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70428" w14:textId="77777777" w:rsidR="00C3280C" w:rsidRPr="009172F4" w:rsidRDefault="00C3280C" w:rsidP="00C3280C">
      <w:pPr>
        <w:spacing w:line="360" w:lineRule="auto"/>
        <w:jc w:val="center"/>
        <w:rPr>
          <w:rFonts w:ascii="Times New Roman" w:hAnsi="Times New Roman" w:cs="Times New Roman"/>
          <w:b/>
          <w:color w:val="000000" w:themeColor="text1"/>
          <w:sz w:val="36"/>
          <w:szCs w:val="36"/>
        </w:rPr>
      </w:pPr>
    </w:p>
    <w:p w14:paraId="15B86847" w14:textId="77777777" w:rsidR="00AC7BAA" w:rsidRPr="009172F4" w:rsidRDefault="00AC7BAA" w:rsidP="00AC7BAA">
      <w:pPr>
        <w:jc w:val="center"/>
        <w:rPr>
          <w:rFonts w:ascii="Times New Roman" w:hAnsi="Times New Roman" w:cs="Times New Roman"/>
          <w:bCs/>
          <w:color w:val="000000" w:themeColor="text1"/>
          <w:sz w:val="40"/>
          <w:szCs w:val="40"/>
        </w:rPr>
      </w:pPr>
      <w:r w:rsidRPr="009172F4">
        <w:rPr>
          <w:rFonts w:ascii="Times New Roman" w:hAnsi="Times New Roman" w:cs="Times New Roman"/>
          <w:bCs/>
          <w:color w:val="000000" w:themeColor="text1"/>
          <w:sz w:val="40"/>
          <w:szCs w:val="40"/>
        </w:rPr>
        <w:t>Name: Gabor Istvan Kovacs</w:t>
      </w:r>
    </w:p>
    <w:p w14:paraId="5E8516A7" w14:textId="77777777" w:rsidR="00AC7BAA" w:rsidRPr="009172F4" w:rsidRDefault="00AC7BAA" w:rsidP="00AC7BAA">
      <w:pPr>
        <w:jc w:val="center"/>
        <w:rPr>
          <w:rFonts w:ascii="Times New Roman" w:hAnsi="Times New Roman" w:cs="Times New Roman"/>
          <w:bCs/>
          <w:color w:val="000000" w:themeColor="text1"/>
          <w:sz w:val="40"/>
          <w:szCs w:val="40"/>
          <w:lang w:val="en-US"/>
        </w:rPr>
      </w:pPr>
      <w:r w:rsidRPr="009172F4">
        <w:rPr>
          <w:rFonts w:ascii="Times New Roman" w:hAnsi="Times New Roman" w:cs="Times New Roman"/>
          <w:bCs/>
          <w:color w:val="000000" w:themeColor="text1"/>
          <w:sz w:val="40"/>
          <w:szCs w:val="40"/>
        </w:rPr>
        <w:t>Student Number: 2011284</w:t>
      </w:r>
    </w:p>
    <w:p w14:paraId="32C2DA9D" w14:textId="38AD603B" w:rsidR="00AC7BAA" w:rsidRPr="009172F4" w:rsidRDefault="00AC7BAA" w:rsidP="00AC7BAA">
      <w:pPr>
        <w:spacing w:line="360" w:lineRule="auto"/>
        <w:jc w:val="center"/>
        <w:rPr>
          <w:rFonts w:ascii="Times New Roman" w:hAnsi="Times New Roman" w:cs="Times New Roman"/>
          <w:bCs/>
          <w:sz w:val="40"/>
          <w:szCs w:val="40"/>
          <w:lang w:val="en-IN"/>
        </w:rPr>
      </w:pPr>
      <w:r w:rsidRPr="009172F4">
        <w:rPr>
          <w:rFonts w:ascii="Times New Roman" w:hAnsi="Times New Roman" w:cs="Times New Roman"/>
          <w:bCs/>
          <w:color w:val="000000" w:themeColor="text1"/>
          <w:sz w:val="40"/>
          <w:szCs w:val="40"/>
        </w:rPr>
        <w:t xml:space="preserve">Assignment Title: </w:t>
      </w:r>
      <w:r w:rsidRPr="009172F4">
        <w:rPr>
          <w:rFonts w:ascii="Times New Roman" w:hAnsi="Times New Roman" w:cs="Times New Roman"/>
          <w:bCs/>
          <w:sz w:val="40"/>
          <w:szCs w:val="40"/>
          <w:lang w:val="en-IN"/>
        </w:rPr>
        <w:t>Managing People</w:t>
      </w:r>
    </w:p>
    <w:p w14:paraId="7849799F" w14:textId="4F3B78E3" w:rsidR="00AC7BAA" w:rsidRPr="009172F4" w:rsidRDefault="00AC7BAA" w:rsidP="00AC7BAA">
      <w:pPr>
        <w:jc w:val="center"/>
        <w:rPr>
          <w:rFonts w:ascii="Times New Roman" w:hAnsi="Times New Roman" w:cs="Times New Roman"/>
          <w:bCs/>
          <w:color w:val="323130"/>
          <w:sz w:val="40"/>
          <w:szCs w:val="40"/>
          <w:shd w:val="clear" w:color="auto" w:fill="FFFFFF"/>
          <w:lang w:val="en-US"/>
        </w:rPr>
      </w:pPr>
      <w:r w:rsidRPr="009172F4">
        <w:rPr>
          <w:rFonts w:ascii="Times New Roman" w:hAnsi="Times New Roman" w:cs="Times New Roman"/>
          <w:bCs/>
          <w:color w:val="000000" w:themeColor="text1"/>
          <w:sz w:val="40"/>
          <w:szCs w:val="40"/>
        </w:rPr>
        <w:t>Module Lecturer’s Name:</w:t>
      </w:r>
      <w:r w:rsidRPr="009172F4">
        <w:rPr>
          <w:rFonts w:ascii="Times New Roman" w:hAnsi="Times New Roman" w:cs="Times New Roman"/>
          <w:bCs/>
          <w:color w:val="323130"/>
          <w:sz w:val="40"/>
          <w:szCs w:val="40"/>
          <w:shd w:val="clear" w:color="auto" w:fill="FFFFFF"/>
        </w:rPr>
        <w:t xml:space="preserve"> Charles </w:t>
      </w:r>
      <w:proofErr w:type="spellStart"/>
      <w:r w:rsidRPr="009172F4">
        <w:rPr>
          <w:rFonts w:ascii="Times New Roman" w:hAnsi="Times New Roman" w:cs="Times New Roman"/>
          <w:bCs/>
          <w:color w:val="323130"/>
          <w:sz w:val="40"/>
          <w:szCs w:val="40"/>
          <w:shd w:val="clear" w:color="auto" w:fill="FFFFFF"/>
        </w:rPr>
        <w:t>Oham</w:t>
      </w:r>
      <w:proofErr w:type="spellEnd"/>
    </w:p>
    <w:p w14:paraId="26976087" w14:textId="77777777" w:rsidR="00C3280C" w:rsidRDefault="00C3280C" w:rsidP="00C3280C">
      <w:pPr>
        <w:spacing w:line="360" w:lineRule="auto"/>
        <w:jc w:val="center"/>
        <w:rPr>
          <w:rFonts w:ascii="Times New Roman" w:hAnsi="Times New Roman" w:cs="Times New Roman"/>
          <w:b/>
          <w:color w:val="000000" w:themeColor="text1"/>
          <w:sz w:val="36"/>
          <w:szCs w:val="36"/>
        </w:rPr>
      </w:pPr>
    </w:p>
    <w:p w14:paraId="185EE766" w14:textId="77777777" w:rsidR="00C3280C" w:rsidRDefault="00C3280C" w:rsidP="00C3280C">
      <w:pPr>
        <w:spacing w:line="360" w:lineRule="auto"/>
        <w:jc w:val="center"/>
        <w:rPr>
          <w:rFonts w:ascii="Times New Roman" w:hAnsi="Times New Roman" w:cs="Times New Roman"/>
          <w:b/>
          <w:color w:val="000000" w:themeColor="text1"/>
          <w:sz w:val="36"/>
          <w:szCs w:val="36"/>
        </w:rPr>
      </w:pPr>
    </w:p>
    <w:p w14:paraId="0BDFEB0E" w14:textId="77777777" w:rsidR="00C3280C" w:rsidRDefault="00C3280C" w:rsidP="00C3280C">
      <w:pPr>
        <w:spacing w:line="360" w:lineRule="auto"/>
        <w:jc w:val="center"/>
        <w:rPr>
          <w:rFonts w:ascii="Times New Roman" w:hAnsi="Times New Roman" w:cs="Times New Roman"/>
          <w:b/>
          <w:color w:val="000000" w:themeColor="text1"/>
          <w:sz w:val="36"/>
          <w:szCs w:val="36"/>
        </w:rPr>
      </w:pPr>
    </w:p>
    <w:p w14:paraId="28493800" w14:textId="77777777" w:rsidR="00C3280C" w:rsidRDefault="00C3280C" w:rsidP="00C3280C">
      <w:pPr>
        <w:spacing w:line="360" w:lineRule="auto"/>
        <w:jc w:val="center"/>
        <w:rPr>
          <w:rFonts w:ascii="Times New Roman" w:hAnsi="Times New Roman" w:cs="Times New Roman"/>
          <w:b/>
          <w:color w:val="000000" w:themeColor="text1"/>
          <w:sz w:val="36"/>
          <w:szCs w:val="36"/>
        </w:rPr>
      </w:pPr>
    </w:p>
    <w:p w14:paraId="4E89BAC9" w14:textId="77777777" w:rsidR="00C3280C" w:rsidRPr="00C3280C" w:rsidRDefault="00C3280C" w:rsidP="00C3280C">
      <w:pPr>
        <w:spacing w:line="360" w:lineRule="auto"/>
        <w:jc w:val="center"/>
        <w:rPr>
          <w:rFonts w:ascii="Times New Roman" w:hAnsi="Times New Roman" w:cs="Times New Roman"/>
          <w:b/>
          <w:color w:val="000000" w:themeColor="text1"/>
          <w:sz w:val="36"/>
          <w:szCs w:val="36"/>
        </w:rPr>
      </w:pPr>
    </w:p>
    <w:p w14:paraId="14CF9713" w14:textId="77777777" w:rsidR="00C3280C" w:rsidRPr="00C3280C" w:rsidRDefault="00C3280C" w:rsidP="00C3280C">
      <w:pPr>
        <w:spacing w:line="360" w:lineRule="auto"/>
        <w:jc w:val="center"/>
        <w:rPr>
          <w:rFonts w:ascii="Times New Roman" w:hAnsi="Times New Roman" w:cs="Times New Roman"/>
          <w:b/>
          <w:color w:val="000000" w:themeColor="text1"/>
          <w:sz w:val="36"/>
          <w:szCs w:val="36"/>
        </w:rPr>
      </w:pPr>
    </w:p>
    <w:p w14:paraId="7AE37683" w14:textId="77777777" w:rsidR="00DA50FD" w:rsidRDefault="0075461D" w:rsidP="00C3280C">
      <w:pPr>
        <w:spacing w:line="360" w:lineRule="auto"/>
        <w:jc w:val="center"/>
        <w:rPr>
          <w:rFonts w:ascii="Times New Roman" w:hAnsi="Times New Roman" w:cs="Times New Roman"/>
          <w:b/>
          <w:color w:val="000000" w:themeColor="text1"/>
          <w:sz w:val="36"/>
          <w:szCs w:val="36"/>
        </w:rPr>
      </w:pPr>
      <w:r w:rsidRPr="00C3280C">
        <w:rPr>
          <w:rFonts w:ascii="Times New Roman" w:hAnsi="Times New Roman" w:cs="Times New Roman"/>
          <w:b/>
          <w:color w:val="000000" w:themeColor="text1"/>
          <w:sz w:val="36"/>
          <w:szCs w:val="36"/>
        </w:rPr>
        <w:t>CASES ON FLEXIBLE WORKING; HR ROLE TO PREVENT INEQUALITY AND PROMOTE INCLUSION AND DIVERSITY THROUGH FWAS</w:t>
      </w:r>
    </w:p>
    <w:p w14:paraId="03466BCA" w14:textId="77777777" w:rsidR="00DA50FD" w:rsidRDefault="0075461D">
      <w:pP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br w:type="page"/>
      </w:r>
    </w:p>
    <w:sdt>
      <w:sdtPr>
        <w:rPr>
          <w:rFonts w:asciiTheme="minorHAnsi" w:eastAsiaTheme="minorHAnsi" w:hAnsiTheme="minorHAnsi" w:cstheme="minorBidi"/>
          <w:b w:val="0"/>
          <w:bCs w:val="0"/>
          <w:color w:val="auto"/>
          <w:sz w:val="22"/>
          <w:szCs w:val="22"/>
          <w:lang w:val="en-GB"/>
        </w:rPr>
        <w:id w:val="23093849"/>
        <w:docPartObj>
          <w:docPartGallery w:val="Table of Contents"/>
          <w:docPartUnique/>
        </w:docPartObj>
      </w:sdtPr>
      <w:sdtEndPr>
        <w:rPr>
          <w:rFonts w:ascii="Times New Roman" w:hAnsi="Times New Roman" w:cs="Times New Roman"/>
          <w:sz w:val="24"/>
          <w:szCs w:val="24"/>
        </w:rPr>
      </w:sdtEndPr>
      <w:sdtContent>
        <w:p w14:paraId="3FA1E2F3" w14:textId="77777777" w:rsidR="00DA50FD" w:rsidRPr="00113951" w:rsidRDefault="0075461D" w:rsidP="00113951">
          <w:pPr>
            <w:pStyle w:val="TOCHeading"/>
            <w:jc w:val="center"/>
            <w:rPr>
              <w:rFonts w:ascii="Times New Roman" w:hAnsi="Times New Roman" w:cs="Times New Roman"/>
              <w:color w:val="000000" w:themeColor="text1"/>
            </w:rPr>
          </w:pPr>
          <w:r w:rsidRPr="00113951">
            <w:rPr>
              <w:rFonts w:ascii="Times New Roman" w:hAnsi="Times New Roman" w:cs="Times New Roman"/>
              <w:color w:val="000000" w:themeColor="text1"/>
            </w:rPr>
            <w:t>Table of Contents</w:t>
          </w:r>
        </w:p>
        <w:p w14:paraId="408C5175" w14:textId="77777777" w:rsidR="00DA50FD" w:rsidRPr="00DA50FD" w:rsidRDefault="007A5EE2" w:rsidP="00113951">
          <w:pPr>
            <w:pStyle w:val="TOC1"/>
            <w:tabs>
              <w:tab w:val="right" w:leader="dot" w:pos="9016"/>
            </w:tabs>
            <w:spacing w:line="360" w:lineRule="auto"/>
            <w:rPr>
              <w:rFonts w:ascii="Times New Roman" w:hAnsi="Times New Roman" w:cs="Times New Roman"/>
              <w:noProof/>
              <w:sz w:val="24"/>
              <w:szCs w:val="24"/>
            </w:rPr>
          </w:pPr>
          <w:hyperlink w:anchor="_Toc99063207" w:history="1">
            <w:r w:rsidR="0075461D" w:rsidRPr="00DA50FD">
              <w:rPr>
                <w:rStyle w:val="Hyperlink"/>
                <w:rFonts w:ascii="Times New Roman" w:hAnsi="Times New Roman" w:cs="Times New Roman"/>
                <w:noProof/>
                <w:sz w:val="24"/>
                <w:szCs w:val="24"/>
              </w:rPr>
              <w:t>Introduction</w:t>
            </w:r>
            <w:r w:rsidR="0075461D" w:rsidRPr="00DA50FD">
              <w:rPr>
                <w:rFonts w:ascii="Times New Roman" w:hAnsi="Times New Roman" w:cs="Times New Roman"/>
                <w:noProof/>
                <w:webHidden/>
                <w:sz w:val="24"/>
                <w:szCs w:val="24"/>
              </w:rPr>
              <w:tab/>
            </w:r>
            <w:r w:rsidR="00E17073" w:rsidRPr="00DA50FD">
              <w:rPr>
                <w:rFonts w:ascii="Times New Roman" w:hAnsi="Times New Roman" w:cs="Times New Roman"/>
                <w:noProof/>
                <w:webHidden/>
                <w:sz w:val="24"/>
                <w:szCs w:val="24"/>
              </w:rPr>
              <w:fldChar w:fldCharType="begin"/>
            </w:r>
            <w:r w:rsidR="0075461D" w:rsidRPr="00DA50FD">
              <w:rPr>
                <w:rFonts w:ascii="Times New Roman" w:hAnsi="Times New Roman" w:cs="Times New Roman"/>
                <w:noProof/>
                <w:webHidden/>
                <w:sz w:val="24"/>
                <w:szCs w:val="24"/>
              </w:rPr>
              <w:instrText xml:space="preserve"> PAGEREF _Toc99063207 \h </w:instrText>
            </w:r>
            <w:r w:rsidR="00E17073" w:rsidRPr="00DA50FD">
              <w:rPr>
                <w:rFonts w:ascii="Times New Roman" w:hAnsi="Times New Roman" w:cs="Times New Roman"/>
                <w:noProof/>
                <w:webHidden/>
                <w:sz w:val="24"/>
                <w:szCs w:val="24"/>
              </w:rPr>
            </w:r>
            <w:r w:rsidR="00E17073" w:rsidRPr="00DA50FD">
              <w:rPr>
                <w:rFonts w:ascii="Times New Roman" w:hAnsi="Times New Roman" w:cs="Times New Roman"/>
                <w:noProof/>
                <w:webHidden/>
                <w:sz w:val="24"/>
                <w:szCs w:val="24"/>
              </w:rPr>
              <w:fldChar w:fldCharType="separate"/>
            </w:r>
            <w:r w:rsidR="0075461D" w:rsidRPr="00DA50FD">
              <w:rPr>
                <w:rFonts w:ascii="Times New Roman" w:hAnsi="Times New Roman" w:cs="Times New Roman"/>
                <w:noProof/>
                <w:webHidden/>
                <w:sz w:val="24"/>
                <w:szCs w:val="24"/>
              </w:rPr>
              <w:t>3</w:t>
            </w:r>
            <w:r w:rsidR="00E17073" w:rsidRPr="00DA50FD">
              <w:rPr>
                <w:rFonts w:ascii="Times New Roman" w:hAnsi="Times New Roman" w:cs="Times New Roman"/>
                <w:noProof/>
                <w:webHidden/>
                <w:sz w:val="24"/>
                <w:szCs w:val="24"/>
              </w:rPr>
              <w:fldChar w:fldCharType="end"/>
            </w:r>
          </w:hyperlink>
        </w:p>
        <w:p w14:paraId="621DC36D" w14:textId="77777777" w:rsidR="00DA50FD" w:rsidRPr="00DA50FD" w:rsidRDefault="007A5EE2" w:rsidP="00113951">
          <w:pPr>
            <w:pStyle w:val="TOC1"/>
            <w:tabs>
              <w:tab w:val="right" w:leader="dot" w:pos="9016"/>
            </w:tabs>
            <w:spacing w:line="360" w:lineRule="auto"/>
            <w:rPr>
              <w:rFonts w:ascii="Times New Roman" w:hAnsi="Times New Roman" w:cs="Times New Roman"/>
              <w:noProof/>
              <w:sz w:val="24"/>
              <w:szCs w:val="24"/>
            </w:rPr>
          </w:pPr>
          <w:hyperlink w:anchor="_Toc99063208" w:history="1">
            <w:r w:rsidR="0075461D" w:rsidRPr="00DA50FD">
              <w:rPr>
                <w:rStyle w:val="Hyperlink"/>
                <w:rFonts w:ascii="Times New Roman" w:hAnsi="Times New Roman" w:cs="Times New Roman"/>
                <w:noProof/>
                <w:sz w:val="24"/>
                <w:szCs w:val="24"/>
              </w:rPr>
              <w:t>Flexible working in relation to diversity and inclusion at workplace</w:t>
            </w:r>
            <w:r w:rsidR="0075461D" w:rsidRPr="00DA50FD">
              <w:rPr>
                <w:rFonts w:ascii="Times New Roman" w:hAnsi="Times New Roman" w:cs="Times New Roman"/>
                <w:noProof/>
                <w:webHidden/>
                <w:sz w:val="24"/>
                <w:szCs w:val="24"/>
              </w:rPr>
              <w:tab/>
              <w:t>3</w:t>
            </w:r>
          </w:hyperlink>
        </w:p>
        <w:p w14:paraId="2ADF2934" w14:textId="77777777" w:rsidR="00DA50FD" w:rsidRPr="00DA50FD" w:rsidRDefault="007A5EE2" w:rsidP="00113951">
          <w:pPr>
            <w:pStyle w:val="TOC1"/>
            <w:tabs>
              <w:tab w:val="right" w:leader="dot" w:pos="9016"/>
            </w:tabs>
            <w:spacing w:line="360" w:lineRule="auto"/>
            <w:rPr>
              <w:rFonts w:ascii="Times New Roman" w:hAnsi="Times New Roman" w:cs="Times New Roman"/>
              <w:noProof/>
              <w:sz w:val="24"/>
              <w:szCs w:val="24"/>
            </w:rPr>
          </w:pPr>
          <w:hyperlink w:anchor="_Toc99063209" w:history="1">
            <w:r w:rsidR="0075461D" w:rsidRPr="00DA50FD">
              <w:rPr>
                <w:rStyle w:val="Hyperlink"/>
                <w:rFonts w:ascii="Times New Roman" w:hAnsi="Times New Roman" w:cs="Times New Roman"/>
                <w:noProof/>
                <w:sz w:val="24"/>
                <w:szCs w:val="24"/>
              </w:rPr>
              <w:t>Role of Human Resources in promoting diversity and inclusion through flexible working</w:t>
            </w:r>
            <w:r w:rsidR="0075461D" w:rsidRPr="00DA50FD">
              <w:rPr>
                <w:rFonts w:ascii="Times New Roman" w:hAnsi="Times New Roman" w:cs="Times New Roman"/>
                <w:noProof/>
                <w:webHidden/>
                <w:sz w:val="24"/>
                <w:szCs w:val="24"/>
              </w:rPr>
              <w:tab/>
              <w:t>5</w:t>
            </w:r>
          </w:hyperlink>
        </w:p>
        <w:p w14:paraId="4E3C8C5A" w14:textId="77777777" w:rsidR="00DA50FD" w:rsidRPr="00DA50FD" w:rsidRDefault="007A5EE2" w:rsidP="00113951">
          <w:pPr>
            <w:pStyle w:val="TOC1"/>
            <w:tabs>
              <w:tab w:val="right" w:leader="dot" w:pos="9016"/>
            </w:tabs>
            <w:spacing w:line="360" w:lineRule="auto"/>
            <w:rPr>
              <w:rFonts w:ascii="Times New Roman" w:hAnsi="Times New Roman" w:cs="Times New Roman"/>
              <w:noProof/>
              <w:sz w:val="24"/>
              <w:szCs w:val="24"/>
            </w:rPr>
          </w:pPr>
          <w:hyperlink w:anchor="_Toc99063210" w:history="1">
            <w:r w:rsidR="0075461D" w:rsidRPr="00DA50FD">
              <w:rPr>
                <w:rStyle w:val="Hyperlink"/>
                <w:rFonts w:ascii="Times New Roman" w:hAnsi="Times New Roman" w:cs="Times New Roman"/>
                <w:noProof/>
                <w:sz w:val="24"/>
                <w:szCs w:val="24"/>
              </w:rPr>
              <w:t>Flexible working in relation to inequality in workplace</w:t>
            </w:r>
            <w:r w:rsidR="0075461D" w:rsidRPr="00DA50FD">
              <w:rPr>
                <w:rFonts w:ascii="Times New Roman" w:hAnsi="Times New Roman" w:cs="Times New Roman"/>
                <w:noProof/>
                <w:webHidden/>
                <w:sz w:val="24"/>
                <w:szCs w:val="24"/>
              </w:rPr>
              <w:tab/>
              <w:t>6</w:t>
            </w:r>
          </w:hyperlink>
        </w:p>
        <w:p w14:paraId="03E13815" w14:textId="77777777" w:rsidR="00DA50FD" w:rsidRPr="00DA50FD" w:rsidRDefault="007A5EE2" w:rsidP="00113951">
          <w:pPr>
            <w:pStyle w:val="TOC1"/>
            <w:tabs>
              <w:tab w:val="right" w:leader="dot" w:pos="9016"/>
            </w:tabs>
            <w:spacing w:line="360" w:lineRule="auto"/>
            <w:rPr>
              <w:rFonts w:ascii="Times New Roman" w:hAnsi="Times New Roman" w:cs="Times New Roman"/>
              <w:noProof/>
              <w:sz w:val="24"/>
              <w:szCs w:val="24"/>
            </w:rPr>
          </w:pPr>
          <w:hyperlink w:anchor="_Toc99063211" w:history="1">
            <w:r w:rsidR="0075461D" w:rsidRPr="00DA50FD">
              <w:rPr>
                <w:rStyle w:val="Hyperlink"/>
                <w:rFonts w:ascii="Times New Roman" w:hAnsi="Times New Roman" w:cs="Times New Roman"/>
                <w:noProof/>
                <w:sz w:val="24"/>
                <w:szCs w:val="24"/>
              </w:rPr>
              <w:t>Role of Human Resources in addressing inequality concerns arising through flexible working</w:t>
            </w:r>
            <w:r w:rsidR="0075461D" w:rsidRPr="00DA50FD">
              <w:rPr>
                <w:rFonts w:ascii="Times New Roman" w:hAnsi="Times New Roman" w:cs="Times New Roman"/>
                <w:noProof/>
                <w:webHidden/>
                <w:sz w:val="24"/>
                <w:szCs w:val="24"/>
              </w:rPr>
              <w:tab/>
              <w:t>7</w:t>
            </w:r>
          </w:hyperlink>
        </w:p>
        <w:p w14:paraId="723139DE" w14:textId="77777777" w:rsidR="00DA50FD" w:rsidRPr="00DA50FD" w:rsidRDefault="007A5EE2" w:rsidP="00113951">
          <w:pPr>
            <w:pStyle w:val="TOC1"/>
            <w:tabs>
              <w:tab w:val="right" w:leader="dot" w:pos="9016"/>
            </w:tabs>
            <w:spacing w:line="360" w:lineRule="auto"/>
            <w:rPr>
              <w:rFonts w:ascii="Times New Roman" w:hAnsi="Times New Roman" w:cs="Times New Roman"/>
              <w:noProof/>
              <w:sz w:val="24"/>
              <w:szCs w:val="24"/>
            </w:rPr>
          </w:pPr>
          <w:hyperlink w:anchor="_Toc99063212" w:history="1">
            <w:r w:rsidR="0075461D" w:rsidRPr="00DA50FD">
              <w:rPr>
                <w:rStyle w:val="Hyperlink"/>
                <w:rFonts w:ascii="Times New Roman" w:hAnsi="Times New Roman" w:cs="Times New Roman"/>
                <w:noProof/>
                <w:sz w:val="24"/>
                <w:szCs w:val="24"/>
              </w:rPr>
              <w:t>Conclusion</w:t>
            </w:r>
            <w:r w:rsidR="0075461D" w:rsidRPr="00DA50FD">
              <w:rPr>
                <w:rFonts w:ascii="Times New Roman" w:hAnsi="Times New Roman" w:cs="Times New Roman"/>
                <w:noProof/>
                <w:webHidden/>
                <w:sz w:val="24"/>
                <w:szCs w:val="24"/>
              </w:rPr>
              <w:tab/>
              <w:t>8</w:t>
            </w:r>
          </w:hyperlink>
        </w:p>
        <w:p w14:paraId="6585FB59" w14:textId="77777777" w:rsidR="00DA50FD" w:rsidRPr="00DA50FD" w:rsidRDefault="007A5EE2" w:rsidP="00113951">
          <w:pPr>
            <w:pStyle w:val="TOC1"/>
            <w:tabs>
              <w:tab w:val="right" w:leader="dot" w:pos="9016"/>
            </w:tabs>
            <w:spacing w:line="360" w:lineRule="auto"/>
            <w:rPr>
              <w:rFonts w:ascii="Times New Roman" w:hAnsi="Times New Roman" w:cs="Times New Roman"/>
              <w:noProof/>
              <w:sz w:val="24"/>
              <w:szCs w:val="24"/>
            </w:rPr>
          </w:pPr>
          <w:hyperlink w:anchor="_Toc99063213" w:history="1">
            <w:r w:rsidR="0075461D" w:rsidRPr="00DA50FD">
              <w:rPr>
                <w:rStyle w:val="Hyperlink"/>
                <w:rFonts w:ascii="Times New Roman" w:hAnsi="Times New Roman" w:cs="Times New Roman"/>
                <w:noProof/>
                <w:sz w:val="24"/>
                <w:szCs w:val="24"/>
              </w:rPr>
              <w:t>Reference List</w:t>
            </w:r>
            <w:r w:rsidR="0075461D" w:rsidRPr="00DA50FD">
              <w:rPr>
                <w:rFonts w:ascii="Times New Roman" w:hAnsi="Times New Roman" w:cs="Times New Roman"/>
                <w:noProof/>
                <w:webHidden/>
                <w:sz w:val="24"/>
                <w:szCs w:val="24"/>
              </w:rPr>
              <w:tab/>
              <w:t>10</w:t>
            </w:r>
          </w:hyperlink>
        </w:p>
        <w:p w14:paraId="60086F5B" w14:textId="77777777" w:rsidR="00DA50FD" w:rsidRPr="00DA50FD" w:rsidRDefault="007A5EE2" w:rsidP="00113951">
          <w:pPr>
            <w:spacing w:line="360" w:lineRule="auto"/>
            <w:rPr>
              <w:rFonts w:ascii="Times New Roman" w:hAnsi="Times New Roman" w:cs="Times New Roman"/>
              <w:sz w:val="24"/>
              <w:szCs w:val="24"/>
            </w:rPr>
          </w:pPr>
        </w:p>
      </w:sdtContent>
    </w:sdt>
    <w:p w14:paraId="3EA4D0B9" w14:textId="77777777" w:rsidR="00AD4255" w:rsidRDefault="0075461D" w:rsidP="00C3280C">
      <w:pPr>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14:paraId="53E81ACE" w14:textId="77777777" w:rsidR="00494CD6" w:rsidRDefault="0075461D" w:rsidP="00C3280C">
      <w:pPr>
        <w:pStyle w:val="Heading1"/>
      </w:pPr>
      <w:bookmarkStart w:id="0" w:name="_Toc99063207"/>
      <w:r>
        <w:lastRenderedPageBreak/>
        <w:t>Introduction</w:t>
      </w:r>
      <w:bookmarkEnd w:id="0"/>
    </w:p>
    <w:p w14:paraId="0A592343" w14:textId="77777777" w:rsidR="007D50E5" w:rsidRPr="007D50E5"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combat the effects of the Covid-19 pandemic, several organisations have embraced the work from home model, which is one of the examples of flexible working. </w:t>
      </w:r>
      <w:r w:rsidR="007C4CE7">
        <w:rPr>
          <w:rFonts w:ascii="Times New Roman" w:hAnsi="Times New Roman" w:cs="Times New Roman"/>
          <w:color w:val="000000" w:themeColor="text1"/>
          <w:sz w:val="24"/>
          <w:szCs w:val="24"/>
        </w:rPr>
        <w:t xml:space="preserve">Now, it must be understood that the idea of flexibility in the workplace is essentially attached to the concept of inclusion and diversity since </w:t>
      </w:r>
      <w:r w:rsidR="00AF3A85">
        <w:rPr>
          <w:rFonts w:ascii="Times New Roman" w:hAnsi="Times New Roman" w:cs="Times New Roman"/>
          <w:color w:val="000000" w:themeColor="text1"/>
          <w:sz w:val="24"/>
          <w:szCs w:val="24"/>
        </w:rPr>
        <w:t xml:space="preserve">flexible individuals are more prone to adapt to different perspectives easily. </w:t>
      </w:r>
      <w:r w:rsidR="006F795D">
        <w:rPr>
          <w:rFonts w:ascii="Times New Roman" w:hAnsi="Times New Roman" w:cs="Times New Roman"/>
          <w:color w:val="000000" w:themeColor="text1"/>
          <w:sz w:val="24"/>
          <w:szCs w:val="24"/>
        </w:rPr>
        <w:t xml:space="preserve">However, as noted in </w:t>
      </w:r>
      <w:r w:rsidR="006663BF">
        <w:rPr>
          <w:rFonts w:ascii="Times New Roman" w:hAnsi="Times New Roman" w:cs="Times New Roman"/>
          <w:sz w:val="24"/>
          <w:szCs w:val="24"/>
        </w:rPr>
        <w:t>Partridge</w:t>
      </w:r>
      <w:r w:rsidR="006663BF">
        <w:rPr>
          <w:rFonts w:ascii="Times New Roman" w:hAnsi="Times New Roman" w:cs="Times New Roman"/>
          <w:color w:val="000000" w:themeColor="text1"/>
          <w:sz w:val="24"/>
          <w:szCs w:val="24"/>
        </w:rPr>
        <w:t xml:space="preserve"> </w:t>
      </w:r>
      <w:r w:rsidR="006F795D">
        <w:rPr>
          <w:rFonts w:ascii="Times New Roman" w:hAnsi="Times New Roman" w:cs="Times New Roman"/>
          <w:color w:val="000000" w:themeColor="text1"/>
          <w:sz w:val="24"/>
          <w:szCs w:val="24"/>
        </w:rPr>
        <w:t>(</w:t>
      </w:r>
      <w:r w:rsidR="006663BF">
        <w:rPr>
          <w:rFonts w:ascii="Times New Roman" w:hAnsi="Times New Roman" w:cs="Times New Roman"/>
          <w:color w:val="000000" w:themeColor="text1"/>
          <w:sz w:val="24"/>
          <w:szCs w:val="24"/>
        </w:rPr>
        <w:t>2021</w:t>
      </w:r>
      <w:r w:rsidR="006F795D">
        <w:rPr>
          <w:rFonts w:ascii="Times New Roman" w:hAnsi="Times New Roman" w:cs="Times New Roman"/>
          <w:color w:val="000000" w:themeColor="text1"/>
          <w:sz w:val="24"/>
          <w:szCs w:val="24"/>
        </w:rPr>
        <w:t xml:space="preserve">), flexibility in the workplace, especially in terms of work from home (WFH) </w:t>
      </w:r>
      <w:r w:rsidR="003F656A">
        <w:rPr>
          <w:rFonts w:ascii="Times New Roman" w:hAnsi="Times New Roman" w:cs="Times New Roman"/>
          <w:color w:val="000000" w:themeColor="text1"/>
          <w:sz w:val="24"/>
          <w:szCs w:val="24"/>
        </w:rPr>
        <w:t xml:space="preserve">for working mothers, </w:t>
      </w:r>
      <w:r w:rsidR="006F795D">
        <w:rPr>
          <w:rFonts w:ascii="Times New Roman" w:hAnsi="Times New Roman" w:cs="Times New Roman"/>
          <w:color w:val="000000" w:themeColor="text1"/>
          <w:sz w:val="24"/>
          <w:szCs w:val="24"/>
        </w:rPr>
        <w:t xml:space="preserve">can often </w:t>
      </w:r>
      <w:r w:rsidR="003F656A">
        <w:rPr>
          <w:rFonts w:ascii="Times New Roman" w:hAnsi="Times New Roman" w:cs="Times New Roman"/>
          <w:color w:val="000000" w:themeColor="text1"/>
          <w:sz w:val="24"/>
          <w:szCs w:val="24"/>
        </w:rPr>
        <w:t xml:space="preserve">lead to increased inequality. </w:t>
      </w:r>
      <w:r w:rsidR="006663BF">
        <w:rPr>
          <w:rFonts w:ascii="Times New Roman" w:hAnsi="Times New Roman" w:cs="Times New Roman"/>
          <w:color w:val="000000" w:themeColor="text1"/>
          <w:sz w:val="24"/>
          <w:szCs w:val="24"/>
        </w:rPr>
        <w:t>In this context, this report will consider both cases to explore the role that Human Resources (HR) can play in promoting diversity and addressing issues related to workplace inequality.</w:t>
      </w:r>
    </w:p>
    <w:p w14:paraId="18AA6D53" w14:textId="77777777" w:rsidR="00843570" w:rsidRDefault="0075461D" w:rsidP="00C3280C">
      <w:pPr>
        <w:pStyle w:val="Heading1"/>
      </w:pPr>
      <w:bookmarkStart w:id="1" w:name="_Toc99063208"/>
      <w:r w:rsidRPr="00971C0F">
        <w:t>Flexible working in relation to diversity and inclusion at the workplace</w:t>
      </w:r>
      <w:bookmarkEnd w:id="1"/>
    </w:p>
    <w:p w14:paraId="75FB8B91" w14:textId="77777777" w:rsidR="005436E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r w:rsidR="002456C3">
        <w:rPr>
          <w:rFonts w:ascii="Times New Roman" w:hAnsi="Times New Roman" w:cs="Times New Roman"/>
          <w:sz w:val="24"/>
          <w:szCs w:val="24"/>
        </w:rPr>
        <w:t>Meagher</w:t>
      </w:r>
      <w:r>
        <w:rPr>
          <w:rFonts w:ascii="Times New Roman" w:hAnsi="Times New Roman" w:cs="Times New Roman"/>
          <w:color w:val="000000" w:themeColor="text1"/>
          <w:sz w:val="24"/>
          <w:szCs w:val="24"/>
        </w:rPr>
        <w:t xml:space="preserve"> (2019), flexible working referred to particular working arrangements that </w:t>
      </w:r>
      <w:r w:rsidR="00B177F8">
        <w:rPr>
          <w:rFonts w:ascii="Times New Roman" w:hAnsi="Times New Roman" w:cs="Times New Roman"/>
          <w:color w:val="000000" w:themeColor="text1"/>
          <w:sz w:val="24"/>
          <w:szCs w:val="24"/>
        </w:rPr>
        <w:t>enable employees to choose the time, location, and amount of work to the mutual benef</w:t>
      </w:r>
      <w:r w:rsidR="00C51336">
        <w:rPr>
          <w:rFonts w:ascii="Times New Roman" w:hAnsi="Times New Roman" w:cs="Times New Roman"/>
          <w:color w:val="000000" w:themeColor="text1"/>
          <w:sz w:val="24"/>
          <w:szCs w:val="24"/>
        </w:rPr>
        <w:t xml:space="preserve">it </w:t>
      </w:r>
      <w:r w:rsidR="005436E3">
        <w:rPr>
          <w:rFonts w:ascii="Times New Roman" w:hAnsi="Times New Roman" w:cs="Times New Roman"/>
          <w:color w:val="000000" w:themeColor="text1"/>
          <w:sz w:val="24"/>
          <w:szCs w:val="24"/>
        </w:rPr>
        <w:t>for</w:t>
      </w:r>
      <w:r w:rsidR="00C51336">
        <w:rPr>
          <w:rFonts w:ascii="Times New Roman" w:hAnsi="Times New Roman" w:cs="Times New Roman"/>
          <w:color w:val="000000" w:themeColor="text1"/>
          <w:sz w:val="24"/>
          <w:szCs w:val="24"/>
        </w:rPr>
        <w:t xml:space="preserve"> both employees and organisation. </w:t>
      </w:r>
      <w:r w:rsidR="00265D5B">
        <w:rPr>
          <w:rFonts w:ascii="Times New Roman" w:hAnsi="Times New Roman" w:cs="Times New Roman"/>
          <w:color w:val="000000" w:themeColor="text1"/>
          <w:sz w:val="24"/>
          <w:szCs w:val="24"/>
        </w:rPr>
        <w:t xml:space="preserve">As noted in </w:t>
      </w:r>
      <w:r w:rsidR="00331AF6">
        <w:rPr>
          <w:rFonts w:ascii="Times New Roman" w:hAnsi="Times New Roman" w:cs="Times New Roman"/>
          <w:sz w:val="24"/>
          <w:szCs w:val="24"/>
        </w:rPr>
        <w:t>Subramanian and Washington</w:t>
      </w:r>
      <w:r w:rsidR="00331AF6">
        <w:rPr>
          <w:rFonts w:ascii="Times New Roman" w:hAnsi="Times New Roman" w:cs="Times New Roman"/>
          <w:color w:val="000000" w:themeColor="text1"/>
          <w:sz w:val="24"/>
          <w:szCs w:val="24"/>
        </w:rPr>
        <w:t xml:space="preserve"> </w:t>
      </w:r>
      <w:r w:rsidR="00265D5B">
        <w:rPr>
          <w:rFonts w:ascii="Times New Roman" w:hAnsi="Times New Roman" w:cs="Times New Roman"/>
          <w:color w:val="000000" w:themeColor="text1"/>
          <w:sz w:val="24"/>
          <w:szCs w:val="24"/>
        </w:rPr>
        <w:t>(</w:t>
      </w:r>
      <w:r w:rsidR="00331AF6">
        <w:rPr>
          <w:rFonts w:ascii="Times New Roman" w:hAnsi="Times New Roman" w:cs="Times New Roman"/>
          <w:color w:val="000000" w:themeColor="text1"/>
          <w:sz w:val="24"/>
          <w:szCs w:val="24"/>
        </w:rPr>
        <w:t>2022</w:t>
      </w:r>
      <w:r w:rsidR="00265D5B">
        <w:rPr>
          <w:rFonts w:ascii="Times New Roman" w:hAnsi="Times New Roman" w:cs="Times New Roman"/>
          <w:color w:val="000000" w:themeColor="text1"/>
          <w:sz w:val="24"/>
          <w:szCs w:val="24"/>
        </w:rPr>
        <w:t>), in the course of celebrating Black</w:t>
      </w:r>
      <w:r w:rsidR="003767BB">
        <w:rPr>
          <w:rFonts w:ascii="Times New Roman" w:hAnsi="Times New Roman" w:cs="Times New Roman"/>
          <w:color w:val="000000" w:themeColor="text1"/>
          <w:sz w:val="24"/>
          <w:szCs w:val="24"/>
        </w:rPr>
        <w:t xml:space="preserve"> History month, the corporate employers publicly displayed their commitment to diversity, equity, and inclusion </w:t>
      </w:r>
      <w:r w:rsidR="00A4724C">
        <w:rPr>
          <w:rFonts w:ascii="Times New Roman" w:hAnsi="Times New Roman" w:cs="Times New Roman"/>
          <w:color w:val="000000" w:themeColor="text1"/>
          <w:sz w:val="24"/>
          <w:szCs w:val="24"/>
        </w:rPr>
        <w:t>by organising internal company workshops</w:t>
      </w:r>
      <w:r w:rsidR="004607EB">
        <w:rPr>
          <w:rFonts w:ascii="Times New Roman" w:hAnsi="Times New Roman" w:cs="Times New Roman"/>
          <w:color w:val="000000" w:themeColor="text1"/>
          <w:sz w:val="24"/>
          <w:szCs w:val="24"/>
        </w:rPr>
        <w:t>, employee volunteer days, and offering checks to non-profit organisations (</w:t>
      </w:r>
      <w:r w:rsidR="00331AF6">
        <w:rPr>
          <w:rFonts w:ascii="Times New Roman" w:hAnsi="Times New Roman" w:cs="Times New Roman"/>
          <w:color w:val="000000" w:themeColor="text1"/>
          <w:sz w:val="24"/>
          <w:szCs w:val="24"/>
        </w:rPr>
        <w:t>NGOs</w:t>
      </w:r>
      <w:r w:rsidR="004607EB">
        <w:rPr>
          <w:rFonts w:ascii="Times New Roman" w:hAnsi="Times New Roman" w:cs="Times New Roman"/>
          <w:color w:val="000000" w:themeColor="text1"/>
          <w:sz w:val="24"/>
          <w:szCs w:val="24"/>
        </w:rPr>
        <w:t>)</w:t>
      </w:r>
      <w:r w:rsidR="00867B02">
        <w:rPr>
          <w:rFonts w:ascii="Times New Roman" w:hAnsi="Times New Roman" w:cs="Times New Roman"/>
          <w:color w:val="000000" w:themeColor="text1"/>
          <w:sz w:val="24"/>
          <w:szCs w:val="24"/>
        </w:rPr>
        <w:t xml:space="preserve">. </w:t>
      </w:r>
      <w:r w:rsidR="00574BBC">
        <w:rPr>
          <w:rFonts w:ascii="Times New Roman" w:hAnsi="Times New Roman" w:cs="Times New Roman"/>
          <w:color w:val="000000" w:themeColor="text1"/>
          <w:sz w:val="24"/>
          <w:szCs w:val="24"/>
        </w:rPr>
        <w:t>This emphasis on inclusion and diversity in the workplace is primarily due to its impact on overall company productivity</w:t>
      </w:r>
      <w:r w:rsidR="004D5968">
        <w:rPr>
          <w:rFonts w:ascii="Times New Roman" w:hAnsi="Times New Roman" w:cs="Times New Roman"/>
          <w:color w:val="000000" w:themeColor="text1"/>
          <w:sz w:val="24"/>
          <w:szCs w:val="24"/>
        </w:rPr>
        <w:t xml:space="preserve"> mostly due to mutual learning, knowledge sharing, and the balance between fresh and experienced ideas. </w:t>
      </w:r>
    </w:p>
    <w:p w14:paraId="281A943E" w14:textId="77777777" w:rsidR="005436E3" w:rsidRDefault="005812FC"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Inclusion and diversity in a workplace are usually measured through the presence of people that are more vulnerable to discrimination in a conventional workplace such as </w:t>
      </w:r>
      <w:r w:rsidR="002A62CA">
        <w:rPr>
          <w:rFonts w:ascii="Times New Roman" w:hAnsi="Times New Roman" w:cs="Times New Roman"/>
          <w:color w:val="000000" w:themeColor="text1"/>
          <w:sz w:val="24"/>
          <w:szCs w:val="24"/>
        </w:rPr>
        <w:t xml:space="preserve">women, older workers, disabled, and single parents. </w:t>
      </w:r>
      <w:r w:rsidR="001E0A71">
        <w:rPr>
          <w:rFonts w:ascii="Times New Roman" w:hAnsi="Times New Roman" w:cs="Times New Roman"/>
          <w:color w:val="000000" w:themeColor="text1"/>
          <w:sz w:val="24"/>
          <w:szCs w:val="24"/>
        </w:rPr>
        <w:t xml:space="preserve">As these people as legally protected under the protected categories defined in the Equality Act 2010, the employers target </w:t>
      </w:r>
      <w:r w:rsidR="00C27A9E">
        <w:rPr>
          <w:rFonts w:ascii="Times New Roman" w:hAnsi="Times New Roman" w:cs="Times New Roman"/>
          <w:color w:val="000000" w:themeColor="text1"/>
          <w:sz w:val="24"/>
          <w:szCs w:val="24"/>
        </w:rPr>
        <w:t xml:space="preserve">implementation of inclusion and diversity in the workplace to be both legally compliant while increasing participation in a wide range of frontiers. </w:t>
      </w:r>
      <w:r w:rsidR="0032602C">
        <w:rPr>
          <w:rFonts w:ascii="Times New Roman" w:hAnsi="Times New Roman" w:cs="Times New Roman"/>
          <w:color w:val="000000" w:themeColor="text1"/>
          <w:sz w:val="24"/>
          <w:szCs w:val="24"/>
        </w:rPr>
        <w:t xml:space="preserve">Hence, it can be said, as noted in </w:t>
      </w:r>
      <w:r w:rsidR="00F4606F" w:rsidRPr="00A2314D">
        <w:rPr>
          <w:rFonts w:ascii="Times New Roman" w:hAnsi="Times New Roman" w:cs="Times New Roman"/>
          <w:sz w:val="24"/>
          <w:szCs w:val="24"/>
        </w:rPr>
        <w:t>Khan</w:t>
      </w:r>
      <w:r w:rsidR="00F4606F">
        <w:rPr>
          <w:rFonts w:ascii="Times New Roman" w:hAnsi="Times New Roman" w:cs="Times New Roman"/>
          <w:color w:val="000000" w:themeColor="text1"/>
          <w:sz w:val="24"/>
          <w:szCs w:val="24"/>
        </w:rPr>
        <w:t xml:space="preserve"> </w:t>
      </w:r>
      <w:r w:rsidR="00F4606F">
        <w:rPr>
          <w:rFonts w:ascii="Times New Roman" w:hAnsi="Times New Roman" w:cs="Times New Roman"/>
          <w:i/>
          <w:color w:val="000000" w:themeColor="text1"/>
          <w:sz w:val="24"/>
          <w:szCs w:val="24"/>
        </w:rPr>
        <w:t>et al</w:t>
      </w:r>
      <w:r w:rsidR="00F4606F">
        <w:rPr>
          <w:rFonts w:ascii="Times New Roman" w:hAnsi="Times New Roman" w:cs="Times New Roman"/>
          <w:color w:val="000000" w:themeColor="text1"/>
          <w:sz w:val="24"/>
          <w:szCs w:val="24"/>
        </w:rPr>
        <w:t xml:space="preserve">. </w:t>
      </w:r>
      <w:r w:rsidR="0032602C">
        <w:rPr>
          <w:rFonts w:ascii="Times New Roman" w:hAnsi="Times New Roman" w:cs="Times New Roman"/>
          <w:color w:val="000000" w:themeColor="text1"/>
          <w:sz w:val="24"/>
          <w:szCs w:val="24"/>
        </w:rPr>
        <w:t>(</w:t>
      </w:r>
      <w:r w:rsidR="00F4606F">
        <w:rPr>
          <w:rFonts w:ascii="Times New Roman" w:hAnsi="Times New Roman" w:cs="Times New Roman"/>
          <w:color w:val="000000" w:themeColor="text1"/>
          <w:sz w:val="24"/>
          <w:szCs w:val="24"/>
        </w:rPr>
        <w:t>2019</w:t>
      </w:r>
      <w:r w:rsidR="0032602C">
        <w:rPr>
          <w:rFonts w:ascii="Times New Roman" w:hAnsi="Times New Roman" w:cs="Times New Roman"/>
          <w:color w:val="000000" w:themeColor="text1"/>
          <w:sz w:val="24"/>
          <w:szCs w:val="24"/>
        </w:rPr>
        <w:t xml:space="preserve">), building a diverse and inclusive workplace is a national agenda that these employers are serving. </w:t>
      </w:r>
      <w:r w:rsidR="002D59A0">
        <w:rPr>
          <w:rFonts w:ascii="Times New Roman" w:hAnsi="Times New Roman" w:cs="Times New Roman"/>
          <w:color w:val="000000" w:themeColor="text1"/>
          <w:sz w:val="24"/>
          <w:szCs w:val="24"/>
        </w:rPr>
        <w:t xml:space="preserve">For the type of employees mentioned earlier, flexible or remote working is the most suitable form of employment, which, hence, transforms flexible working as a crucial condition for promoting workplace diversity. </w:t>
      </w:r>
    </w:p>
    <w:p w14:paraId="5D30D487" w14:textId="4E262307" w:rsidR="00F17880" w:rsidRDefault="00677F13"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Nevertheless, the focus towards </w:t>
      </w:r>
      <w:r w:rsidR="00867B02">
        <w:rPr>
          <w:rFonts w:ascii="Times New Roman" w:hAnsi="Times New Roman" w:cs="Times New Roman"/>
          <w:color w:val="000000" w:themeColor="text1"/>
          <w:sz w:val="24"/>
          <w:szCs w:val="24"/>
        </w:rPr>
        <w:t>flexible working, especially in terms of WFH, is</w:t>
      </w:r>
      <w:r w:rsidR="00E500A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shifted </w:t>
      </w:r>
      <w:r w:rsidR="00E500AE">
        <w:rPr>
          <w:rFonts w:ascii="Times New Roman" w:hAnsi="Times New Roman" w:cs="Times New Roman"/>
          <w:color w:val="000000" w:themeColor="text1"/>
          <w:sz w:val="24"/>
          <w:szCs w:val="24"/>
        </w:rPr>
        <w:t>primarily as a strategy to cope with the uncertainties c</w:t>
      </w:r>
      <w:r>
        <w:rPr>
          <w:rFonts w:ascii="Times New Roman" w:hAnsi="Times New Roman" w:cs="Times New Roman"/>
          <w:color w:val="000000" w:themeColor="text1"/>
          <w:sz w:val="24"/>
          <w:szCs w:val="24"/>
        </w:rPr>
        <w:t xml:space="preserve">aused by the Covid-19 pandemic. However, from </w:t>
      </w:r>
      <w:r w:rsidR="00B275FD">
        <w:rPr>
          <w:rFonts w:ascii="Times New Roman" w:hAnsi="Times New Roman" w:cs="Times New Roman"/>
          <w:color w:val="000000" w:themeColor="text1"/>
          <w:sz w:val="24"/>
          <w:szCs w:val="24"/>
        </w:rPr>
        <w:t>the perspective of an employer, the emphasis on flexible working can be a solution for some of the major problems that they commonly face including gender disparity and rising absenteeism.</w:t>
      </w:r>
    </w:p>
    <w:p w14:paraId="7837EBD3" w14:textId="77777777" w:rsidR="005436E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a webinar </w:t>
      </w:r>
      <w:r w:rsidR="00045A4A">
        <w:rPr>
          <w:rFonts w:ascii="Times New Roman" w:hAnsi="Times New Roman" w:cs="Times New Roman"/>
          <w:color w:val="000000" w:themeColor="text1"/>
          <w:sz w:val="24"/>
          <w:szCs w:val="24"/>
        </w:rPr>
        <w:t xml:space="preserve">on flexible working arrangements (FWAs) and </w:t>
      </w:r>
      <w:r w:rsidR="006E2E4E">
        <w:rPr>
          <w:rFonts w:ascii="Times New Roman" w:hAnsi="Times New Roman" w:cs="Times New Roman"/>
          <w:color w:val="000000" w:themeColor="text1"/>
          <w:sz w:val="24"/>
          <w:szCs w:val="24"/>
        </w:rPr>
        <w:t xml:space="preserve">future of work </w:t>
      </w:r>
      <w:r>
        <w:rPr>
          <w:rFonts w:ascii="Times New Roman" w:hAnsi="Times New Roman" w:cs="Times New Roman"/>
          <w:color w:val="000000" w:themeColor="text1"/>
          <w:sz w:val="24"/>
          <w:szCs w:val="24"/>
        </w:rPr>
        <w:t>organised by the United Nations Industrial Development Organisation (UNIDO)</w:t>
      </w:r>
      <w:r w:rsidR="006E2E4E">
        <w:rPr>
          <w:rFonts w:ascii="Times New Roman" w:hAnsi="Times New Roman" w:cs="Times New Roman"/>
          <w:color w:val="000000" w:themeColor="text1"/>
          <w:sz w:val="24"/>
          <w:szCs w:val="24"/>
        </w:rPr>
        <w:t xml:space="preserve"> and the International Organisation </w:t>
      </w:r>
      <w:r w:rsidR="00D20135">
        <w:rPr>
          <w:rFonts w:ascii="Times New Roman" w:hAnsi="Times New Roman" w:cs="Times New Roman"/>
          <w:color w:val="000000" w:themeColor="text1"/>
          <w:sz w:val="24"/>
          <w:szCs w:val="24"/>
        </w:rPr>
        <w:t>of Mi</w:t>
      </w:r>
      <w:r w:rsidR="00FF2512">
        <w:rPr>
          <w:rFonts w:ascii="Times New Roman" w:hAnsi="Times New Roman" w:cs="Times New Roman"/>
          <w:color w:val="000000" w:themeColor="text1"/>
          <w:sz w:val="24"/>
          <w:szCs w:val="24"/>
        </w:rPr>
        <w:t xml:space="preserve">gration (IOM), the mutual beneficence of flexible working for both employers and employees </w:t>
      </w:r>
      <w:proofErr w:type="gramStart"/>
      <w:r w:rsidR="00FF2512">
        <w:rPr>
          <w:rFonts w:ascii="Times New Roman" w:hAnsi="Times New Roman" w:cs="Times New Roman"/>
          <w:color w:val="000000" w:themeColor="text1"/>
          <w:sz w:val="24"/>
          <w:szCs w:val="24"/>
        </w:rPr>
        <w:t>is</w:t>
      </w:r>
      <w:proofErr w:type="gramEnd"/>
      <w:r w:rsidR="00FF2512">
        <w:rPr>
          <w:rFonts w:ascii="Times New Roman" w:hAnsi="Times New Roman" w:cs="Times New Roman"/>
          <w:color w:val="000000" w:themeColor="text1"/>
          <w:sz w:val="24"/>
          <w:szCs w:val="24"/>
        </w:rPr>
        <w:t xml:space="preserve"> noted while suggesting its capability </w:t>
      </w:r>
      <w:r w:rsidR="00FE0402">
        <w:rPr>
          <w:rFonts w:ascii="Times New Roman" w:hAnsi="Times New Roman" w:cs="Times New Roman"/>
          <w:color w:val="000000" w:themeColor="text1"/>
          <w:sz w:val="24"/>
          <w:szCs w:val="24"/>
        </w:rPr>
        <w:t>to accomplish gender parity (</w:t>
      </w:r>
      <w:r w:rsidR="00984639">
        <w:rPr>
          <w:rFonts w:ascii="Times New Roman" w:hAnsi="Times New Roman" w:cs="Times New Roman"/>
          <w:color w:val="000000" w:themeColor="text1"/>
          <w:sz w:val="24"/>
          <w:szCs w:val="24"/>
        </w:rPr>
        <w:t>UNIDO, 2022</w:t>
      </w:r>
      <w:r w:rsidR="00FE0402">
        <w:rPr>
          <w:rFonts w:ascii="Times New Roman" w:hAnsi="Times New Roman" w:cs="Times New Roman"/>
          <w:color w:val="000000" w:themeColor="text1"/>
          <w:sz w:val="24"/>
          <w:szCs w:val="24"/>
        </w:rPr>
        <w:t xml:space="preserve">). Given the persistence of work-life balance issues that caused much of the absenteeism in the workplace, the webinar has also noted that, though the pandemic has exposed them </w:t>
      </w:r>
      <w:r w:rsidR="00721083">
        <w:rPr>
          <w:rFonts w:ascii="Times New Roman" w:hAnsi="Times New Roman" w:cs="Times New Roman"/>
          <w:color w:val="000000" w:themeColor="text1"/>
          <w:sz w:val="24"/>
          <w:szCs w:val="24"/>
        </w:rPr>
        <w:t>to flexible working arrangements for the first time</w:t>
      </w:r>
      <w:r w:rsidR="005436E3">
        <w:rPr>
          <w:rFonts w:ascii="Times New Roman" w:hAnsi="Times New Roman" w:cs="Times New Roman"/>
          <w:color w:val="000000" w:themeColor="text1"/>
          <w:sz w:val="24"/>
          <w:szCs w:val="24"/>
        </w:rPr>
        <w:t>. T</w:t>
      </w:r>
      <w:r w:rsidR="00721083">
        <w:rPr>
          <w:rFonts w:ascii="Times New Roman" w:hAnsi="Times New Roman" w:cs="Times New Roman"/>
          <w:color w:val="000000" w:themeColor="text1"/>
          <w:sz w:val="24"/>
          <w:szCs w:val="24"/>
        </w:rPr>
        <w:t xml:space="preserve">he employees have been able to spend more time with families, which was reflected in </w:t>
      </w:r>
      <w:r w:rsidR="000317CF">
        <w:rPr>
          <w:rFonts w:ascii="Times New Roman" w:hAnsi="Times New Roman" w:cs="Times New Roman"/>
          <w:color w:val="000000" w:themeColor="text1"/>
          <w:sz w:val="24"/>
          <w:szCs w:val="24"/>
        </w:rPr>
        <w:t xml:space="preserve">the improvement of their wellbeing and the productivity of the employers. </w:t>
      </w:r>
    </w:p>
    <w:p w14:paraId="355634E8" w14:textId="6A5273F8" w:rsidR="00B275FD" w:rsidRDefault="00787CD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Gender inequality in terms of accessing flexible working, however, is not a matter of legal compliance but of the manifestation </w:t>
      </w:r>
      <w:r w:rsidR="00172235">
        <w:rPr>
          <w:rFonts w:ascii="Times New Roman" w:hAnsi="Times New Roman" w:cs="Times New Roman"/>
          <w:color w:val="000000" w:themeColor="text1"/>
          <w:sz w:val="24"/>
          <w:szCs w:val="24"/>
        </w:rPr>
        <w:t>of solidarity by the employers as well as the colleagues</w:t>
      </w:r>
      <w:r w:rsidR="00292B07">
        <w:rPr>
          <w:rFonts w:ascii="Times New Roman" w:hAnsi="Times New Roman" w:cs="Times New Roman"/>
          <w:color w:val="000000" w:themeColor="text1"/>
          <w:sz w:val="24"/>
          <w:szCs w:val="24"/>
        </w:rPr>
        <w:t xml:space="preserve"> (</w:t>
      </w:r>
      <w:proofErr w:type="spellStart"/>
      <w:r w:rsidR="00B51588" w:rsidRPr="00E016AA">
        <w:rPr>
          <w:rFonts w:ascii="Times New Roman" w:hAnsi="Times New Roman" w:cs="Times New Roman"/>
          <w:sz w:val="24"/>
          <w:szCs w:val="24"/>
        </w:rPr>
        <w:t>Subašić</w:t>
      </w:r>
      <w:proofErr w:type="spellEnd"/>
      <w:r w:rsidR="00B51588">
        <w:rPr>
          <w:rFonts w:ascii="Times New Roman" w:hAnsi="Times New Roman" w:cs="Times New Roman"/>
          <w:sz w:val="24"/>
          <w:szCs w:val="24"/>
        </w:rPr>
        <w:t xml:space="preserve"> </w:t>
      </w:r>
      <w:r w:rsidR="00B51588">
        <w:rPr>
          <w:rFonts w:ascii="Times New Roman" w:hAnsi="Times New Roman" w:cs="Times New Roman"/>
          <w:i/>
          <w:sz w:val="24"/>
          <w:szCs w:val="24"/>
        </w:rPr>
        <w:t>et al</w:t>
      </w:r>
      <w:r w:rsidR="00B51588">
        <w:rPr>
          <w:rFonts w:ascii="Times New Roman" w:hAnsi="Times New Roman" w:cs="Times New Roman"/>
          <w:sz w:val="24"/>
          <w:szCs w:val="24"/>
        </w:rPr>
        <w:t>. 2018</w:t>
      </w:r>
      <w:r w:rsidR="00292B07">
        <w:rPr>
          <w:rFonts w:ascii="Times New Roman" w:hAnsi="Times New Roman" w:cs="Times New Roman"/>
          <w:color w:val="000000" w:themeColor="text1"/>
          <w:sz w:val="24"/>
          <w:szCs w:val="24"/>
        </w:rPr>
        <w:t>)</w:t>
      </w:r>
      <w:r w:rsidR="00172235">
        <w:rPr>
          <w:rFonts w:ascii="Times New Roman" w:hAnsi="Times New Roman" w:cs="Times New Roman"/>
          <w:color w:val="000000" w:themeColor="text1"/>
          <w:sz w:val="24"/>
          <w:szCs w:val="24"/>
        </w:rPr>
        <w:t>.</w:t>
      </w:r>
      <w:r w:rsidR="00292B07">
        <w:rPr>
          <w:rFonts w:ascii="Times New Roman" w:hAnsi="Times New Roman" w:cs="Times New Roman"/>
          <w:color w:val="000000" w:themeColor="text1"/>
          <w:sz w:val="24"/>
          <w:szCs w:val="24"/>
        </w:rPr>
        <w:t xml:space="preserve"> </w:t>
      </w:r>
      <w:r w:rsidR="00B51588">
        <w:rPr>
          <w:rFonts w:ascii="Times New Roman" w:hAnsi="Times New Roman" w:cs="Times New Roman"/>
          <w:color w:val="000000" w:themeColor="text1"/>
          <w:sz w:val="24"/>
          <w:szCs w:val="24"/>
        </w:rPr>
        <w:t xml:space="preserve">It is aptly put by Luke Sayers, the current CEO of the PwC Australia, </w:t>
      </w:r>
      <w:r w:rsidR="00F71C74">
        <w:rPr>
          <w:rFonts w:ascii="Times New Roman" w:hAnsi="Times New Roman" w:cs="Times New Roman"/>
          <w:color w:val="000000" w:themeColor="text1"/>
          <w:sz w:val="24"/>
          <w:szCs w:val="24"/>
        </w:rPr>
        <w:t>that diversity and inclusion do not fall in the 'nice to have' category but a fundamental belief in the importance of equal opportunities is required to facilitate it prope</w:t>
      </w:r>
      <w:r w:rsidR="009E7915">
        <w:rPr>
          <w:rFonts w:ascii="Times New Roman" w:hAnsi="Times New Roman" w:cs="Times New Roman"/>
          <w:color w:val="000000" w:themeColor="text1"/>
          <w:sz w:val="24"/>
          <w:szCs w:val="24"/>
        </w:rPr>
        <w:t>rly (</w:t>
      </w:r>
      <w:r w:rsidR="00B352DE">
        <w:rPr>
          <w:rFonts w:ascii="Times New Roman" w:hAnsi="Times New Roman" w:cs="Times New Roman"/>
          <w:sz w:val="24"/>
          <w:szCs w:val="24"/>
        </w:rPr>
        <w:t>Sayers, 2022</w:t>
      </w:r>
      <w:r w:rsidR="009E7915">
        <w:rPr>
          <w:rFonts w:ascii="Times New Roman" w:hAnsi="Times New Roman" w:cs="Times New Roman"/>
          <w:color w:val="000000" w:themeColor="text1"/>
          <w:sz w:val="24"/>
          <w:szCs w:val="24"/>
        </w:rPr>
        <w:t xml:space="preserve">). </w:t>
      </w:r>
      <w:r w:rsidR="007139A8">
        <w:rPr>
          <w:rFonts w:ascii="Times New Roman" w:hAnsi="Times New Roman" w:cs="Times New Roman"/>
          <w:color w:val="000000" w:themeColor="text1"/>
          <w:sz w:val="24"/>
          <w:szCs w:val="24"/>
        </w:rPr>
        <w:t xml:space="preserve">Corresponding to this vision, PwC Australia implemented a firm-wide ‘all-roles flex’ policy 18 months back, which signifies the </w:t>
      </w:r>
      <w:r w:rsidR="00C65A82">
        <w:rPr>
          <w:rFonts w:ascii="Times New Roman" w:hAnsi="Times New Roman" w:cs="Times New Roman"/>
          <w:color w:val="000000" w:themeColor="text1"/>
          <w:sz w:val="24"/>
          <w:szCs w:val="24"/>
        </w:rPr>
        <w:t>confrontation of the latest trend of perceiving flexibility in the workplace solely as a women's issue (</w:t>
      </w:r>
      <w:r w:rsidR="00C65A82">
        <w:rPr>
          <w:rFonts w:ascii="Times New Roman" w:hAnsi="Times New Roman" w:cs="Times New Roman"/>
          <w:sz w:val="24"/>
          <w:szCs w:val="24"/>
        </w:rPr>
        <w:t>Sayers</w:t>
      </w:r>
      <w:r w:rsidR="00C65A82">
        <w:rPr>
          <w:rFonts w:ascii="Times New Roman" w:hAnsi="Times New Roman" w:cs="Times New Roman"/>
          <w:color w:val="000000" w:themeColor="text1"/>
          <w:sz w:val="24"/>
          <w:szCs w:val="24"/>
        </w:rPr>
        <w:t xml:space="preserve">, 2022). </w:t>
      </w:r>
      <w:r w:rsidR="006A1770">
        <w:rPr>
          <w:rFonts w:ascii="Times New Roman" w:hAnsi="Times New Roman" w:cs="Times New Roman"/>
          <w:color w:val="000000" w:themeColor="text1"/>
          <w:sz w:val="24"/>
          <w:szCs w:val="24"/>
        </w:rPr>
        <w:t xml:space="preserve">However, it has been seen across critical research that increasing gender disparity can be one of the adverse consequences </w:t>
      </w:r>
      <w:r w:rsidR="00EA6FC3">
        <w:rPr>
          <w:rFonts w:ascii="Times New Roman" w:hAnsi="Times New Roman" w:cs="Times New Roman"/>
          <w:color w:val="000000" w:themeColor="text1"/>
          <w:sz w:val="24"/>
          <w:szCs w:val="24"/>
        </w:rPr>
        <w:t>of flexible working, which will be discussed later in this report.</w:t>
      </w:r>
    </w:p>
    <w:p w14:paraId="100F73DA" w14:textId="145EEBBA" w:rsidR="0072350B" w:rsidRPr="005436E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Flexible working is associated with the recognition of the specific needs of the employees, which is one of the central reasons for it to promote inclusion and diversity in workplaces. As noted in </w:t>
      </w:r>
      <w:r w:rsidR="00B42303" w:rsidRPr="00230711">
        <w:rPr>
          <w:rFonts w:ascii="Times New Roman" w:hAnsi="Times New Roman" w:cs="Times New Roman"/>
          <w:sz w:val="24"/>
          <w:szCs w:val="24"/>
        </w:rPr>
        <w:t>Wilkinson</w:t>
      </w:r>
      <w:r w:rsidR="00B42303">
        <w:rPr>
          <w:rFonts w:ascii="Times New Roman" w:hAnsi="Times New Roman" w:cs="Times New Roman"/>
          <w:color w:val="000000" w:themeColor="text1"/>
          <w:sz w:val="24"/>
          <w:szCs w:val="24"/>
        </w:rPr>
        <w:t xml:space="preserve"> </w:t>
      </w:r>
      <w:r w:rsidR="00B42303">
        <w:rPr>
          <w:rFonts w:ascii="Times New Roman" w:hAnsi="Times New Roman" w:cs="Times New Roman"/>
          <w:i/>
          <w:color w:val="000000" w:themeColor="text1"/>
          <w:sz w:val="24"/>
          <w:szCs w:val="24"/>
        </w:rPr>
        <w:t>et al</w:t>
      </w:r>
      <w:r w:rsidR="00B4230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00B42303">
        <w:rPr>
          <w:rFonts w:ascii="Times New Roman" w:hAnsi="Times New Roman" w:cs="Times New Roman"/>
          <w:color w:val="000000" w:themeColor="text1"/>
          <w:sz w:val="24"/>
          <w:szCs w:val="24"/>
        </w:rPr>
        <w:t>2018</w:t>
      </w:r>
      <w:r>
        <w:rPr>
          <w:rFonts w:ascii="Times New Roman" w:hAnsi="Times New Roman" w:cs="Times New Roman"/>
          <w:color w:val="000000" w:themeColor="text1"/>
          <w:sz w:val="24"/>
          <w:szCs w:val="24"/>
        </w:rPr>
        <w:t xml:space="preserve">), </w:t>
      </w:r>
      <w:r w:rsidR="007C496B">
        <w:rPr>
          <w:rFonts w:ascii="Times New Roman" w:hAnsi="Times New Roman" w:cs="Times New Roman"/>
          <w:color w:val="000000" w:themeColor="text1"/>
          <w:sz w:val="24"/>
          <w:szCs w:val="24"/>
        </w:rPr>
        <w:t xml:space="preserve">reconciliation with the work-life balance needs has increasingly become a condition for not only retaining a talent pool but also inviting job applications for a company. </w:t>
      </w:r>
      <w:r w:rsidR="00B42303">
        <w:rPr>
          <w:rFonts w:ascii="Times New Roman" w:hAnsi="Times New Roman" w:cs="Times New Roman"/>
          <w:color w:val="000000" w:themeColor="text1"/>
          <w:sz w:val="24"/>
          <w:szCs w:val="24"/>
        </w:rPr>
        <w:t xml:space="preserve">Hence, flexible working is essentially associated with inclusion and diversity since, recognising the specific needs of the employees, creates a sense of trust and belongingness </w:t>
      </w:r>
      <w:r w:rsidR="000A223E">
        <w:rPr>
          <w:rFonts w:ascii="Times New Roman" w:hAnsi="Times New Roman" w:cs="Times New Roman"/>
          <w:color w:val="000000" w:themeColor="text1"/>
          <w:sz w:val="24"/>
          <w:szCs w:val="24"/>
        </w:rPr>
        <w:t>in the employees, which is essential for ensuring participation from a wide range of frontiers.</w:t>
      </w:r>
    </w:p>
    <w:p w14:paraId="3BDC3136" w14:textId="77777777" w:rsidR="00843570" w:rsidRDefault="0075461D" w:rsidP="00C3280C">
      <w:pPr>
        <w:pStyle w:val="Heading1"/>
      </w:pPr>
      <w:bookmarkStart w:id="2" w:name="_Toc99063209"/>
      <w:r w:rsidRPr="00971C0F">
        <w:lastRenderedPageBreak/>
        <w:t xml:space="preserve">Role </w:t>
      </w:r>
      <w:r w:rsidR="001D053E" w:rsidRPr="00971C0F">
        <w:t>of Human Resources in promoting diversity and inclusion through flexible working</w:t>
      </w:r>
      <w:bookmarkEnd w:id="2"/>
    </w:p>
    <w:p w14:paraId="64AC5327" w14:textId="77777777" w:rsidR="005436E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Flexible </w:t>
      </w:r>
      <w:r w:rsidR="00554395">
        <w:rPr>
          <w:rFonts w:ascii="Times New Roman" w:hAnsi="Times New Roman" w:cs="Times New Roman"/>
          <w:color w:val="000000" w:themeColor="text1"/>
          <w:sz w:val="24"/>
          <w:szCs w:val="24"/>
        </w:rPr>
        <w:t>working, as evident from the discussions up to now, enables</w:t>
      </w:r>
      <w:r w:rsidR="0072350B">
        <w:rPr>
          <w:rFonts w:ascii="Times New Roman" w:hAnsi="Times New Roman" w:cs="Times New Roman"/>
          <w:color w:val="000000" w:themeColor="text1"/>
          <w:sz w:val="24"/>
          <w:szCs w:val="24"/>
        </w:rPr>
        <w:t xml:space="preserve"> the employees to manage the resources at their disposal to put a balance between the responsibilities </w:t>
      </w:r>
      <w:r w:rsidR="00554395">
        <w:rPr>
          <w:rFonts w:ascii="Times New Roman" w:hAnsi="Times New Roman" w:cs="Times New Roman"/>
          <w:color w:val="000000" w:themeColor="text1"/>
          <w:sz w:val="24"/>
          <w:szCs w:val="24"/>
        </w:rPr>
        <w:t xml:space="preserve">of work and family. FWAs are one of the paramount concerns for the HR of any organisation since, in terms of improvement of organisational </w:t>
      </w:r>
      <w:r w:rsidR="003678F4">
        <w:rPr>
          <w:rFonts w:ascii="Times New Roman" w:hAnsi="Times New Roman" w:cs="Times New Roman"/>
          <w:color w:val="000000" w:themeColor="text1"/>
          <w:sz w:val="24"/>
          <w:szCs w:val="24"/>
        </w:rPr>
        <w:t>productivity;</w:t>
      </w:r>
      <w:r w:rsidR="00554395">
        <w:rPr>
          <w:rFonts w:ascii="Times New Roman" w:hAnsi="Times New Roman" w:cs="Times New Roman"/>
          <w:color w:val="000000" w:themeColor="text1"/>
          <w:sz w:val="24"/>
          <w:szCs w:val="24"/>
        </w:rPr>
        <w:t xml:space="preserve"> </w:t>
      </w:r>
      <w:r w:rsidR="003678F4">
        <w:rPr>
          <w:rFonts w:ascii="Times New Roman" w:hAnsi="Times New Roman" w:cs="Times New Roman"/>
          <w:color w:val="000000" w:themeColor="text1"/>
          <w:sz w:val="24"/>
          <w:szCs w:val="24"/>
        </w:rPr>
        <w:t xml:space="preserve">it is associated with reduction of work-life conflict while increasing commitment and satisfaction of the employees towards work. </w:t>
      </w:r>
      <w:r w:rsidR="00525C05">
        <w:rPr>
          <w:rFonts w:ascii="Times New Roman" w:hAnsi="Times New Roman" w:cs="Times New Roman"/>
          <w:color w:val="000000" w:themeColor="text1"/>
          <w:sz w:val="24"/>
          <w:szCs w:val="24"/>
        </w:rPr>
        <w:t xml:space="preserve">According to </w:t>
      </w:r>
      <w:proofErr w:type="spellStart"/>
      <w:r w:rsidR="005D3FF0">
        <w:rPr>
          <w:rFonts w:ascii="Times New Roman" w:hAnsi="Times New Roman" w:cs="Times New Roman"/>
          <w:sz w:val="24"/>
          <w:szCs w:val="24"/>
        </w:rPr>
        <w:t>Beltrán</w:t>
      </w:r>
      <w:proofErr w:type="spellEnd"/>
      <w:r w:rsidR="005D3FF0">
        <w:rPr>
          <w:rFonts w:ascii="Times New Roman" w:hAnsi="Times New Roman" w:cs="Times New Roman"/>
          <w:sz w:val="24"/>
          <w:szCs w:val="24"/>
        </w:rPr>
        <w:t xml:space="preserve">‐Martín </w:t>
      </w:r>
      <w:r w:rsidR="005D3FF0" w:rsidRPr="00DB17A9">
        <w:rPr>
          <w:rFonts w:ascii="Times New Roman" w:hAnsi="Times New Roman" w:cs="Times New Roman"/>
          <w:sz w:val="24"/>
          <w:szCs w:val="24"/>
        </w:rPr>
        <w:t>and Roca‐Puig</w:t>
      </w:r>
      <w:r w:rsidR="005D3FF0">
        <w:rPr>
          <w:rFonts w:ascii="Times New Roman" w:hAnsi="Times New Roman" w:cs="Times New Roman"/>
          <w:color w:val="000000" w:themeColor="text1"/>
          <w:sz w:val="24"/>
          <w:szCs w:val="24"/>
        </w:rPr>
        <w:t xml:space="preserve"> </w:t>
      </w:r>
      <w:r w:rsidR="00525C05">
        <w:rPr>
          <w:rFonts w:ascii="Times New Roman" w:hAnsi="Times New Roman" w:cs="Times New Roman"/>
          <w:color w:val="000000" w:themeColor="text1"/>
          <w:sz w:val="24"/>
          <w:szCs w:val="24"/>
        </w:rPr>
        <w:t>(</w:t>
      </w:r>
      <w:r w:rsidR="005D3FF0">
        <w:rPr>
          <w:rFonts w:ascii="Times New Roman" w:hAnsi="Times New Roman" w:cs="Times New Roman"/>
          <w:color w:val="000000" w:themeColor="text1"/>
          <w:sz w:val="24"/>
          <w:szCs w:val="24"/>
        </w:rPr>
        <w:t>2013</w:t>
      </w:r>
      <w:r w:rsidR="00525C05">
        <w:rPr>
          <w:rFonts w:ascii="Times New Roman" w:hAnsi="Times New Roman" w:cs="Times New Roman"/>
          <w:color w:val="000000" w:themeColor="text1"/>
          <w:sz w:val="24"/>
          <w:szCs w:val="24"/>
        </w:rPr>
        <w:t xml:space="preserve">), the recent HR research has emphasised two facets of employee flexibility and those are behaviour flexibility and skill flexibility. </w:t>
      </w:r>
    </w:p>
    <w:p w14:paraId="0958B53E" w14:textId="1885EB9B" w:rsidR="004E7D95" w:rsidRDefault="005D3FF0"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Proving that these facets are interrelated, the authors further note the influence of job enrichment on employee flexibility. </w:t>
      </w:r>
      <w:r w:rsidR="00B036B4">
        <w:rPr>
          <w:rFonts w:ascii="Times New Roman" w:hAnsi="Times New Roman" w:cs="Times New Roman"/>
          <w:color w:val="000000" w:themeColor="text1"/>
          <w:sz w:val="24"/>
          <w:szCs w:val="24"/>
        </w:rPr>
        <w:t>As adequate pay is one of the major aspects of job enrichment, one of the major role</w:t>
      </w:r>
      <w:r w:rsidR="00D84073">
        <w:rPr>
          <w:rFonts w:ascii="Times New Roman" w:hAnsi="Times New Roman" w:cs="Times New Roman"/>
          <w:color w:val="000000" w:themeColor="text1"/>
          <w:sz w:val="24"/>
          <w:szCs w:val="24"/>
        </w:rPr>
        <w:t>s</w:t>
      </w:r>
      <w:r w:rsidR="00B036B4">
        <w:rPr>
          <w:rFonts w:ascii="Times New Roman" w:hAnsi="Times New Roman" w:cs="Times New Roman"/>
          <w:color w:val="000000" w:themeColor="text1"/>
          <w:sz w:val="24"/>
          <w:szCs w:val="24"/>
        </w:rPr>
        <w:t xml:space="preserve"> of HR is to address the gender pay gap (GPG) </w:t>
      </w:r>
      <w:r w:rsidR="00D84073">
        <w:rPr>
          <w:rFonts w:ascii="Times New Roman" w:hAnsi="Times New Roman" w:cs="Times New Roman"/>
          <w:color w:val="000000" w:themeColor="text1"/>
          <w:sz w:val="24"/>
          <w:szCs w:val="24"/>
        </w:rPr>
        <w:t xml:space="preserve">to promote diversity through flexible working. </w:t>
      </w:r>
      <w:r w:rsidR="00772864">
        <w:rPr>
          <w:rFonts w:ascii="Times New Roman" w:hAnsi="Times New Roman" w:cs="Times New Roman"/>
          <w:color w:val="000000" w:themeColor="text1"/>
          <w:sz w:val="24"/>
          <w:szCs w:val="24"/>
        </w:rPr>
        <w:t xml:space="preserve">According to </w:t>
      </w:r>
      <w:r w:rsidR="009C56AF">
        <w:rPr>
          <w:rFonts w:ascii="Times New Roman" w:hAnsi="Times New Roman" w:cs="Times New Roman"/>
          <w:sz w:val="24"/>
          <w:szCs w:val="24"/>
        </w:rPr>
        <w:t>McIntosh</w:t>
      </w:r>
      <w:r w:rsidR="009C56AF">
        <w:rPr>
          <w:rFonts w:ascii="Times New Roman" w:hAnsi="Times New Roman" w:cs="Times New Roman"/>
          <w:color w:val="000000" w:themeColor="text1"/>
          <w:sz w:val="24"/>
          <w:szCs w:val="24"/>
        </w:rPr>
        <w:t xml:space="preserve"> </w:t>
      </w:r>
      <w:r w:rsidR="00772864">
        <w:rPr>
          <w:rFonts w:ascii="Times New Roman" w:hAnsi="Times New Roman" w:cs="Times New Roman"/>
          <w:color w:val="000000" w:themeColor="text1"/>
          <w:sz w:val="24"/>
          <w:szCs w:val="24"/>
        </w:rPr>
        <w:t>(</w:t>
      </w:r>
      <w:r w:rsidR="009C56AF">
        <w:rPr>
          <w:rFonts w:ascii="Times New Roman" w:hAnsi="Times New Roman" w:cs="Times New Roman"/>
          <w:color w:val="000000" w:themeColor="text1"/>
          <w:sz w:val="24"/>
          <w:szCs w:val="24"/>
        </w:rPr>
        <w:t>2018</w:t>
      </w:r>
      <w:r w:rsidR="00772864">
        <w:rPr>
          <w:rFonts w:ascii="Times New Roman" w:hAnsi="Times New Roman" w:cs="Times New Roman"/>
          <w:color w:val="000000" w:themeColor="text1"/>
          <w:sz w:val="24"/>
          <w:szCs w:val="24"/>
        </w:rPr>
        <w:t xml:space="preserve">), the average gender gap in the UK is 18.4% </w:t>
      </w:r>
      <w:r w:rsidR="009C56AF">
        <w:rPr>
          <w:rFonts w:ascii="Times New Roman" w:hAnsi="Times New Roman" w:cs="Times New Roman"/>
          <w:color w:val="000000" w:themeColor="text1"/>
          <w:sz w:val="24"/>
          <w:szCs w:val="24"/>
        </w:rPr>
        <w:t>where the prime reason is the appreciation of flexible working (through part-time jobs) only as a women’s issue, as previously highlighted.</w:t>
      </w:r>
      <w:r w:rsidR="00412C35">
        <w:rPr>
          <w:rFonts w:ascii="Times New Roman" w:hAnsi="Times New Roman" w:cs="Times New Roman"/>
          <w:color w:val="000000" w:themeColor="text1"/>
          <w:sz w:val="24"/>
          <w:szCs w:val="24"/>
        </w:rPr>
        <w:t xml:space="preserve"> In this regard, HR i</w:t>
      </w:r>
      <w:r w:rsidR="0075461D">
        <w:rPr>
          <w:rFonts w:ascii="Times New Roman" w:hAnsi="Times New Roman" w:cs="Times New Roman"/>
          <w:color w:val="000000" w:themeColor="text1"/>
          <w:sz w:val="24"/>
          <w:szCs w:val="24"/>
        </w:rPr>
        <w:t>s responsible for ensuring equal access to flexible working.</w:t>
      </w:r>
    </w:p>
    <w:p w14:paraId="2B2DD016" w14:textId="77777777" w:rsidR="00444695"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Training the manage</w:t>
      </w:r>
      <w:r w:rsidR="0066710F">
        <w:rPr>
          <w:rFonts w:ascii="Times New Roman" w:hAnsi="Times New Roman" w:cs="Times New Roman"/>
          <w:color w:val="000000" w:themeColor="text1"/>
          <w:sz w:val="24"/>
          <w:szCs w:val="24"/>
        </w:rPr>
        <w:t>rs to promote flexible working is also an important role that HR can play to promote inclusion and diversity through flexible working. For</w:t>
      </w:r>
      <w:r w:rsidR="000B4D1D">
        <w:rPr>
          <w:rFonts w:ascii="Times New Roman" w:hAnsi="Times New Roman" w:cs="Times New Roman"/>
          <w:color w:val="000000" w:themeColor="text1"/>
          <w:sz w:val="24"/>
          <w:szCs w:val="24"/>
        </w:rPr>
        <w:t xml:space="preserve"> instance, the University of Wis</w:t>
      </w:r>
      <w:r w:rsidR="0066710F">
        <w:rPr>
          <w:rFonts w:ascii="Times New Roman" w:hAnsi="Times New Roman" w:cs="Times New Roman"/>
          <w:color w:val="000000" w:themeColor="text1"/>
          <w:sz w:val="24"/>
          <w:szCs w:val="24"/>
        </w:rPr>
        <w:t xml:space="preserve">consin-Madison </w:t>
      </w:r>
      <w:r w:rsidR="000B4D1D">
        <w:rPr>
          <w:rFonts w:ascii="Times New Roman" w:hAnsi="Times New Roman" w:cs="Times New Roman"/>
          <w:color w:val="000000" w:themeColor="text1"/>
          <w:sz w:val="24"/>
          <w:szCs w:val="24"/>
        </w:rPr>
        <w:t xml:space="preserve">developed a Workplace Flexibility Toolkit that primarily functions as a repository of information to guide </w:t>
      </w:r>
      <w:r w:rsidR="003178D8">
        <w:rPr>
          <w:rFonts w:ascii="Times New Roman" w:hAnsi="Times New Roman" w:cs="Times New Roman"/>
          <w:color w:val="000000" w:themeColor="text1"/>
          <w:sz w:val="24"/>
          <w:szCs w:val="24"/>
        </w:rPr>
        <w:t>the managers, HR professionals, and supervisors to be aware of the individual needs of the employees, which is a primary condition to develop an inclusive workplace (</w:t>
      </w:r>
      <w:r w:rsidR="000963FF">
        <w:rPr>
          <w:rFonts w:ascii="Times New Roman" w:hAnsi="Times New Roman" w:cs="Times New Roman"/>
          <w:sz w:val="24"/>
          <w:szCs w:val="24"/>
        </w:rPr>
        <w:t>University of Wisconsin-Madison, 2011</w:t>
      </w:r>
      <w:r w:rsidR="00AE0C70">
        <w:rPr>
          <w:rFonts w:ascii="Times New Roman" w:hAnsi="Times New Roman" w:cs="Times New Roman"/>
          <w:color w:val="000000" w:themeColor="text1"/>
          <w:sz w:val="24"/>
          <w:szCs w:val="24"/>
        </w:rPr>
        <w:t>).</w:t>
      </w:r>
    </w:p>
    <w:p w14:paraId="6A256465" w14:textId="77777777" w:rsidR="005436E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already understood that, apart from being a coping strategy for the Covid</w:t>
      </w:r>
      <w:r w:rsidR="00027193">
        <w:rPr>
          <w:rFonts w:ascii="Times New Roman" w:hAnsi="Times New Roman" w:cs="Times New Roman"/>
          <w:color w:val="000000" w:themeColor="text1"/>
          <w:sz w:val="24"/>
          <w:szCs w:val="24"/>
        </w:rPr>
        <w:t xml:space="preserve">-19 pandemic, FWAs addresses the crucial concern of work-life balance shared by most of the employees. </w:t>
      </w:r>
      <w:r w:rsidR="00036961">
        <w:rPr>
          <w:rFonts w:ascii="Times New Roman" w:hAnsi="Times New Roman" w:cs="Times New Roman"/>
          <w:color w:val="000000" w:themeColor="text1"/>
          <w:sz w:val="24"/>
          <w:szCs w:val="24"/>
        </w:rPr>
        <w:t xml:space="preserve">The Border Theory of work-life balance, as noted by </w:t>
      </w:r>
      <w:r w:rsidR="00D33E19">
        <w:rPr>
          <w:rFonts w:ascii="Times New Roman" w:hAnsi="Times New Roman" w:cs="Times New Roman"/>
          <w:sz w:val="24"/>
          <w:szCs w:val="24"/>
        </w:rPr>
        <w:t>Shaw</w:t>
      </w:r>
      <w:r w:rsidR="00D33E19">
        <w:rPr>
          <w:rFonts w:ascii="Times New Roman" w:hAnsi="Times New Roman" w:cs="Times New Roman"/>
          <w:color w:val="000000" w:themeColor="text1"/>
          <w:sz w:val="24"/>
          <w:szCs w:val="24"/>
        </w:rPr>
        <w:t xml:space="preserve"> </w:t>
      </w:r>
      <w:r w:rsidR="00036961">
        <w:rPr>
          <w:rFonts w:ascii="Times New Roman" w:hAnsi="Times New Roman" w:cs="Times New Roman"/>
          <w:color w:val="000000" w:themeColor="text1"/>
          <w:sz w:val="24"/>
          <w:szCs w:val="24"/>
        </w:rPr>
        <w:t>(</w:t>
      </w:r>
      <w:r w:rsidR="00D33E19">
        <w:rPr>
          <w:rFonts w:ascii="Times New Roman" w:hAnsi="Times New Roman" w:cs="Times New Roman"/>
          <w:color w:val="000000" w:themeColor="text1"/>
          <w:sz w:val="24"/>
          <w:szCs w:val="24"/>
        </w:rPr>
        <w:t>2021</w:t>
      </w:r>
      <w:r w:rsidR="00036961">
        <w:rPr>
          <w:rFonts w:ascii="Times New Roman" w:hAnsi="Times New Roman" w:cs="Times New Roman"/>
          <w:color w:val="000000" w:themeColor="text1"/>
          <w:sz w:val="24"/>
          <w:szCs w:val="24"/>
        </w:rPr>
        <w:t xml:space="preserve">), suggests that this balance is a function of permeability and flexibility of the concerned domains </w:t>
      </w:r>
      <w:proofErr w:type="gramStart"/>
      <w:r w:rsidR="00036961">
        <w:rPr>
          <w:rFonts w:ascii="Times New Roman" w:hAnsi="Times New Roman" w:cs="Times New Roman"/>
          <w:color w:val="000000" w:themeColor="text1"/>
          <w:sz w:val="24"/>
          <w:szCs w:val="24"/>
        </w:rPr>
        <w:t>i.e.</w:t>
      </w:r>
      <w:proofErr w:type="gramEnd"/>
      <w:r w:rsidR="00036961">
        <w:rPr>
          <w:rFonts w:ascii="Times New Roman" w:hAnsi="Times New Roman" w:cs="Times New Roman"/>
          <w:color w:val="000000" w:themeColor="text1"/>
          <w:sz w:val="24"/>
          <w:szCs w:val="24"/>
        </w:rPr>
        <w:t xml:space="preserve"> work and home life. </w:t>
      </w:r>
      <w:r w:rsidR="00812629">
        <w:rPr>
          <w:rFonts w:ascii="Times New Roman" w:hAnsi="Times New Roman" w:cs="Times New Roman"/>
          <w:color w:val="000000" w:themeColor="text1"/>
          <w:sz w:val="24"/>
          <w:szCs w:val="24"/>
        </w:rPr>
        <w:t xml:space="preserve">Moreover, </w:t>
      </w:r>
      <w:r w:rsidR="00D33E19">
        <w:rPr>
          <w:rFonts w:ascii="Times New Roman" w:hAnsi="Times New Roman" w:cs="Times New Roman"/>
          <w:sz w:val="24"/>
          <w:szCs w:val="24"/>
        </w:rPr>
        <w:t>Shaw</w:t>
      </w:r>
      <w:r w:rsidR="00D33E19">
        <w:rPr>
          <w:rFonts w:ascii="Times New Roman" w:hAnsi="Times New Roman" w:cs="Times New Roman"/>
          <w:color w:val="000000" w:themeColor="text1"/>
          <w:sz w:val="24"/>
          <w:szCs w:val="24"/>
        </w:rPr>
        <w:t xml:space="preserve"> </w:t>
      </w:r>
      <w:r w:rsidR="00812629">
        <w:rPr>
          <w:rFonts w:ascii="Times New Roman" w:hAnsi="Times New Roman" w:cs="Times New Roman"/>
          <w:color w:val="000000" w:themeColor="text1"/>
          <w:sz w:val="24"/>
          <w:szCs w:val="24"/>
        </w:rPr>
        <w:t>(</w:t>
      </w:r>
      <w:r w:rsidR="00D33E19">
        <w:rPr>
          <w:rFonts w:ascii="Times New Roman" w:hAnsi="Times New Roman" w:cs="Times New Roman"/>
          <w:color w:val="000000" w:themeColor="text1"/>
          <w:sz w:val="24"/>
          <w:szCs w:val="24"/>
        </w:rPr>
        <w:t>2021</w:t>
      </w:r>
      <w:r w:rsidR="00812629">
        <w:rPr>
          <w:rFonts w:ascii="Times New Roman" w:hAnsi="Times New Roman" w:cs="Times New Roman"/>
          <w:color w:val="000000" w:themeColor="text1"/>
          <w:sz w:val="24"/>
          <w:szCs w:val="24"/>
        </w:rPr>
        <w:t xml:space="preserve">) also notes, </w:t>
      </w:r>
      <w:r w:rsidR="00AE3B12">
        <w:rPr>
          <w:rFonts w:ascii="Times New Roman" w:hAnsi="Times New Roman" w:cs="Times New Roman"/>
          <w:color w:val="000000" w:themeColor="text1"/>
          <w:sz w:val="24"/>
          <w:szCs w:val="24"/>
        </w:rPr>
        <w:t xml:space="preserve">successful work-life balance can be accomplished by the employees only if they can identify the domain seamlessly and exercise </w:t>
      </w:r>
      <w:r w:rsidR="00F658C6">
        <w:rPr>
          <w:rFonts w:ascii="Times New Roman" w:hAnsi="Times New Roman" w:cs="Times New Roman"/>
          <w:color w:val="000000" w:themeColor="text1"/>
          <w:sz w:val="24"/>
          <w:szCs w:val="24"/>
        </w:rPr>
        <w:t>autonomy</w:t>
      </w:r>
      <w:r w:rsidR="00AE3B12">
        <w:rPr>
          <w:rFonts w:ascii="Times New Roman" w:hAnsi="Times New Roman" w:cs="Times New Roman"/>
          <w:color w:val="000000" w:themeColor="text1"/>
          <w:sz w:val="24"/>
          <w:szCs w:val="24"/>
        </w:rPr>
        <w:t xml:space="preserve"> in both of the domains. </w:t>
      </w:r>
      <w:r w:rsidR="00F658C6">
        <w:rPr>
          <w:rFonts w:ascii="Times New Roman" w:hAnsi="Times New Roman" w:cs="Times New Roman"/>
          <w:color w:val="000000" w:themeColor="text1"/>
          <w:sz w:val="24"/>
          <w:szCs w:val="24"/>
        </w:rPr>
        <w:t xml:space="preserve">However, from a practical view, </w:t>
      </w:r>
      <w:r w:rsidR="00324045">
        <w:rPr>
          <w:rFonts w:ascii="Times New Roman" w:hAnsi="Times New Roman" w:cs="Times New Roman"/>
          <w:color w:val="000000" w:themeColor="text1"/>
          <w:sz w:val="24"/>
          <w:szCs w:val="24"/>
        </w:rPr>
        <w:t xml:space="preserve">the issues regarding work-life balance are aggravating primarily because, in most organisations, </w:t>
      </w:r>
      <w:r w:rsidR="00CA5C60">
        <w:rPr>
          <w:rFonts w:ascii="Times New Roman" w:hAnsi="Times New Roman" w:cs="Times New Roman"/>
          <w:color w:val="000000" w:themeColor="text1"/>
          <w:sz w:val="24"/>
          <w:szCs w:val="24"/>
        </w:rPr>
        <w:t xml:space="preserve">the efficiency of an employee is measured through quantifications of work output. </w:t>
      </w:r>
      <w:r w:rsidR="001C3876">
        <w:rPr>
          <w:rFonts w:ascii="Times New Roman" w:hAnsi="Times New Roman" w:cs="Times New Roman"/>
          <w:color w:val="000000" w:themeColor="text1"/>
          <w:sz w:val="24"/>
          <w:szCs w:val="24"/>
        </w:rPr>
        <w:t xml:space="preserve">In the study of </w:t>
      </w:r>
      <w:proofErr w:type="spellStart"/>
      <w:r w:rsidR="002206D4" w:rsidRPr="00897097">
        <w:rPr>
          <w:rFonts w:ascii="Times New Roman" w:hAnsi="Times New Roman" w:cs="Times New Roman"/>
          <w:sz w:val="24"/>
          <w:szCs w:val="24"/>
        </w:rPr>
        <w:t>Antai</w:t>
      </w:r>
      <w:proofErr w:type="spellEnd"/>
      <w:r w:rsidR="002206D4">
        <w:rPr>
          <w:rFonts w:ascii="Times New Roman" w:hAnsi="Times New Roman" w:cs="Times New Roman"/>
          <w:color w:val="000000" w:themeColor="text1"/>
          <w:sz w:val="24"/>
          <w:szCs w:val="24"/>
        </w:rPr>
        <w:t xml:space="preserve"> </w:t>
      </w:r>
      <w:r w:rsidR="002206D4">
        <w:rPr>
          <w:rFonts w:ascii="Times New Roman" w:hAnsi="Times New Roman" w:cs="Times New Roman"/>
          <w:i/>
          <w:color w:val="000000" w:themeColor="text1"/>
          <w:sz w:val="24"/>
          <w:szCs w:val="24"/>
        </w:rPr>
        <w:t>et al</w:t>
      </w:r>
      <w:r w:rsidR="002206D4">
        <w:rPr>
          <w:rFonts w:ascii="Times New Roman" w:hAnsi="Times New Roman" w:cs="Times New Roman"/>
          <w:color w:val="000000" w:themeColor="text1"/>
          <w:sz w:val="24"/>
          <w:szCs w:val="24"/>
        </w:rPr>
        <w:t xml:space="preserve">. </w:t>
      </w:r>
      <w:r w:rsidR="001C3876">
        <w:rPr>
          <w:rFonts w:ascii="Times New Roman" w:hAnsi="Times New Roman" w:cs="Times New Roman"/>
          <w:color w:val="000000" w:themeColor="text1"/>
          <w:sz w:val="24"/>
          <w:szCs w:val="24"/>
        </w:rPr>
        <w:t>(</w:t>
      </w:r>
      <w:r w:rsidR="002206D4">
        <w:rPr>
          <w:rFonts w:ascii="Times New Roman" w:hAnsi="Times New Roman" w:cs="Times New Roman"/>
          <w:color w:val="000000" w:themeColor="text1"/>
          <w:sz w:val="24"/>
          <w:szCs w:val="24"/>
        </w:rPr>
        <w:t>2015</w:t>
      </w:r>
      <w:r w:rsidR="001C3876">
        <w:rPr>
          <w:rFonts w:ascii="Times New Roman" w:hAnsi="Times New Roman" w:cs="Times New Roman"/>
          <w:color w:val="000000" w:themeColor="text1"/>
          <w:sz w:val="24"/>
          <w:szCs w:val="24"/>
        </w:rPr>
        <w:t xml:space="preserve">), it is </w:t>
      </w:r>
      <w:r w:rsidR="001C3876">
        <w:rPr>
          <w:rFonts w:ascii="Times New Roman" w:hAnsi="Times New Roman" w:cs="Times New Roman"/>
          <w:color w:val="000000" w:themeColor="text1"/>
          <w:sz w:val="24"/>
          <w:szCs w:val="24"/>
        </w:rPr>
        <w:lastRenderedPageBreak/>
        <w:t xml:space="preserve">recognised as the lack of self-determination of work where the workers are bound to comply with the schedule fixed by the company. </w:t>
      </w:r>
    </w:p>
    <w:p w14:paraId="17949730" w14:textId="41FEE1B3" w:rsidR="00156644" w:rsidRPr="00444695" w:rsidRDefault="002206D4"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Here, the major role that HR can play is restructuring the </w:t>
      </w:r>
      <w:r w:rsidR="001C43A7">
        <w:rPr>
          <w:rFonts w:ascii="Times New Roman" w:hAnsi="Times New Roman" w:cs="Times New Roman"/>
          <w:color w:val="000000" w:themeColor="text1"/>
          <w:sz w:val="24"/>
          <w:szCs w:val="24"/>
        </w:rPr>
        <w:t xml:space="preserve">performance evaluation mechanisms on key performance indicators (KPIs) and outcomes. </w:t>
      </w:r>
      <w:r w:rsidR="00F90E26">
        <w:rPr>
          <w:rFonts w:ascii="Times New Roman" w:hAnsi="Times New Roman" w:cs="Times New Roman"/>
          <w:color w:val="000000" w:themeColor="text1"/>
          <w:sz w:val="24"/>
          <w:szCs w:val="24"/>
        </w:rPr>
        <w:t xml:space="preserve">Emphasising KPIs and outcomes as the basis of performance review will offer the employees a sense of fair treatment irrespective of the abidance of the company work schedule. </w:t>
      </w:r>
      <w:r w:rsidR="00852D4F">
        <w:rPr>
          <w:rFonts w:ascii="Times New Roman" w:hAnsi="Times New Roman" w:cs="Times New Roman"/>
          <w:color w:val="000000" w:themeColor="text1"/>
          <w:sz w:val="24"/>
          <w:szCs w:val="24"/>
        </w:rPr>
        <w:t xml:space="preserve">FWAs are embedded in such structures since, primarily, the physical absence of the workers </w:t>
      </w:r>
      <w:proofErr w:type="gramStart"/>
      <w:r w:rsidR="00852D4F">
        <w:rPr>
          <w:rFonts w:ascii="Times New Roman" w:hAnsi="Times New Roman" w:cs="Times New Roman"/>
          <w:color w:val="000000" w:themeColor="text1"/>
          <w:sz w:val="24"/>
          <w:szCs w:val="24"/>
        </w:rPr>
        <w:t>are</w:t>
      </w:r>
      <w:proofErr w:type="gramEnd"/>
      <w:r w:rsidR="00852D4F">
        <w:rPr>
          <w:rFonts w:ascii="Times New Roman" w:hAnsi="Times New Roman" w:cs="Times New Roman"/>
          <w:color w:val="000000" w:themeColor="text1"/>
          <w:sz w:val="24"/>
          <w:szCs w:val="24"/>
        </w:rPr>
        <w:t xml:space="preserve"> not rendered in a negative light in terms of the </w:t>
      </w:r>
      <w:r w:rsidR="00DB2A8F">
        <w:rPr>
          <w:rFonts w:ascii="Times New Roman" w:hAnsi="Times New Roman" w:cs="Times New Roman"/>
          <w:color w:val="000000" w:themeColor="text1"/>
          <w:sz w:val="24"/>
          <w:szCs w:val="24"/>
        </w:rPr>
        <w:t>performance evaluation.</w:t>
      </w:r>
    </w:p>
    <w:p w14:paraId="3A78D2F2" w14:textId="77777777" w:rsidR="001D053E" w:rsidRDefault="0075461D" w:rsidP="00C3280C">
      <w:pPr>
        <w:pStyle w:val="Heading1"/>
      </w:pPr>
      <w:bookmarkStart w:id="3" w:name="_Toc99063210"/>
      <w:r w:rsidRPr="00971C0F">
        <w:t xml:space="preserve">Flexible working in relation to inequality </w:t>
      </w:r>
      <w:r w:rsidR="00DA1501" w:rsidRPr="00971C0F">
        <w:t>in the workplace</w:t>
      </w:r>
      <w:bookmarkEnd w:id="3"/>
    </w:p>
    <w:p w14:paraId="484164D5" w14:textId="378964C3" w:rsidR="00B06C3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already high</w:t>
      </w:r>
      <w:r w:rsidR="005E4C18">
        <w:rPr>
          <w:rFonts w:ascii="Times New Roman" w:hAnsi="Times New Roman" w:cs="Times New Roman"/>
          <w:color w:val="000000" w:themeColor="text1"/>
          <w:sz w:val="24"/>
          <w:szCs w:val="24"/>
        </w:rPr>
        <w:t xml:space="preserve">lighted in the previous segment, flexible working is fraught with the risks of introducing inequality in the workplace, which is primarily manifested through GPG. As Sayers (2022) notes, it is primarily a cultural mindset where flexible working is recognised as a concern for women. </w:t>
      </w:r>
      <w:r w:rsidR="00E620FA">
        <w:rPr>
          <w:rFonts w:ascii="Times New Roman" w:hAnsi="Times New Roman" w:cs="Times New Roman"/>
          <w:color w:val="000000" w:themeColor="text1"/>
          <w:sz w:val="24"/>
          <w:szCs w:val="24"/>
        </w:rPr>
        <w:t xml:space="preserve">According to Catherine Mann, the policymaker in the Bank of England, FWAs, especially in terms </w:t>
      </w:r>
      <w:r w:rsidR="00B43A28">
        <w:rPr>
          <w:rFonts w:ascii="Times New Roman" w:hAnsi="Times New Roman" w:cs="Times New Roman"/>
          <w:color w:val="000000" w:themeColor="text1"/>
          <w:sz w:val="24"/>
          <w:szCs w:val="24"/>
        </w:rPr>
        <w:t>of WFH, can damage the career of women potentially since the proportion of returning to the of</w:t>
      </w:r>
      <w:r w:rsidR="00751865">
        <w:rPr>
          <w:rFonts w:ascii="Times New Roman" w:hAnsi="Times New Roman" w:cs="Times New Roman"/>
          <w:color w:val="000000" w:themeColor="text1"/>
          <w:sz w:val="24"/>
          <w:szCs w:val="24"/>
        </w:rPr>
        <w:t>fice cannot be the same as the men (</w:t>
      </w:r>
      <w:r w:rsidR="00F5397F">
        <w:rPr>
          <w:rFonts w:ascii="Times New Roman" w:hAnsi="Times New Roman" w:cs="Times New Roman"/>
          <w:sz w:val="24"/>
          <w:szCs w:val="24"/>
        </w:rPr>
        <w:t>Partridge, 2021</w:t>
      </w:r>
      <w:r w:rsidR="00751865">
        <w:rPr>
          <w:rFonts w:ascii="Times New Roman" w:hAnsi="Times New Roman" w:cs="Times New Roman"/>
          <w:color w:val="000000" w:themeColor="text1"/>
          <w:sz w:val="24"/>
          <w:szCs w:val="24"/>
        </w:rPr>
        <w:t xml:space="preserve">). </w:t>
      </w:r>
      <w:r w:rsidR="009B34B8">
        <w:rPr>
          <w:rFonts w:ascii="Times New Roman" w:hAnsi="Times New Roman" w:cs="Times New Roman"/>
          <w:color w:val="000000" w:themeColor="text1"/>
          <w:sz w:val="24"/>
          <w:szCs w:val="24"/>
        </w:rPr>
        <w:t>It is ironic that in 2020 i.e.</w:t>
      </w:r>
      <w:r w:rsidR="005436E3">
        <w:rPr>
          <w:rFonts w:ascii="Times New Roman" w:hAnsi="Times New Roman" w:cs="Times New Roman"/>
          <w:color w:val="000000" w:themeColor="text1"/>
          <w:sz w:val="24"/>
          <w:szCs w:val="24"/>
        </w:rPr>
        <w:t>,</w:t>
      </w:r>
      <w:r w:rsidR="009B34B8">
        <w:rPr>
          <w:rFonts w:ascii="Times New Roman" w:hAnsi="Times New Roman" w:cs="Times New Roman"/>
          <w:color w:val="000000" w:themeColor="text1"/>
          <w:sz w:val="24"/>
          <w:szCs w:val="24"/>
        </w:rPr>
        <w:t xml:space="preserve"> the 50the anniversary of the</w:t>
      </w:r>
      <w:r w:rsidR="00372BE1">
        <w:rPr>
          <w:rFonts w:ascii="Times New Roman" w:hAnsi="Times New Roman" w:cs="Times New Roman"/>
          <w:color w:val="000000" w:themeColor="text1"/>
          <w:sz w:val="24"/>
          <w:szCs w:val="24"/>
        </w:rPr>
        <w:t xml:space="preserve"> Equal Pay Act, the GPG is widening and forcing British women to be involved in household chores without thinking about careers</w:t>
      </w:r>
      <w:r w:rsidR="00F5397F">
        <w:rPr>
          <w:rFonts w:ascii="Times New Roman" w:hAnsi="Times New Roman" w:cs="Times New Roman"/>
          <w:color w:val="000000" w:themeColor="text1"/>
          <w:sz w:val="24"/>
          <w:szCs w:val="24"/>
        </w:rPr>
        <w:t xml:space="preserve"> (Scott, 2020)</w:t>
      </w:r>
      <w:r w:rsidR="00372BE1">
        <w:rPr>
          <w:rFonts w:ascii="Times New Roman" w:hAnsi="Times New Roman" w:cs="Times New Roman"/>
          <w:color w:val="000000" w:themeColor="text1"/>
          <w:sz w:val="24"/>
          <w:szCs w:val="24"/>
        </w:rPr>
        <w:t xml:space="preserve">. </w:t>
      </w:r>
      <w:r w:rsidR="001A22BB">
        <w:rPr>
          <w:rFonts w:ascii="Times New Roman" w:hAnsi="Times New Roman" w:cs="Times New Roman"/>
          <w:color w:val="000000" w:themeColor="text1"/>
          <w:sz w:val="24"/>
          <w:szCs w:val="24"/>
        </w:rPr>
        <w:t>In this context, it is important for the report the way flexible working can be related to workplace inequality.</w:t>
      </w:r>
    </w:p>
    <w:p w14:paraId="5CD4DE22" w14:textId="77777777" w:rsidR="005436E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From Mann's insights, it is evident that, apart from returning to a formal workplace after the pandemic, the women also face difficulties returning to the workplace after maternity leave. </w:t>
      </w:r>
      <w:r w:rsidR="002D7433">
        <w:rPr>
          <w:rFonts w:ascii="Times New Roman" w:hAnsi="Times New Roman" w:cs="Times New Roman"/>
          <w:color w:val="000000" w:themeColor="text1"/>
          <w:sz w:val="24"/>
          <w:szCs w:val="24"/>
        </w:rPr>
        <w:t xml:space="preserve">As a study on the workplaces of Ireland notes, it is primarily a matter of societal and cultural </w:t>
      </w:r>
      <w:r w:rsidR="00195108">
        <w:rPr>
          <w:rFonts w:ascii="Times New Roman" w:hAnsi="Times New Roman" w:cs="Times New Roman"/>
          <w:color w:val="000000" w:themeColor="text1"/>
          <w:sz w:val="24"/>
          <w:szCs w:val="24"/>
        </w:rPr>
        <w:t>obstacles, even if they are legally entitled to have maternity leave (</w:t>
      </w:r>
      <w:r w:rsidR="009D2C9D">
        <w:rPr>
          <w:rFonts w:ascii="Times New Roman" w:hAnsi="Times New Roman" w:cs="Times New Roman"/>
          <w:sz w:val="24"/>
          <w:szCs w:val="24"/>
        </w:rPr>
        <w:t xml:space="preserve">Desmond </w:t>
      </w:r>
      <w:r w:rsidR="009D2C9D" w:rsidRPr="004C49F5">
        <w:rPr>
          <w:rFonts w:ascii="Times New Roman" w:hAnsi="Times New Roman" w:cs="Times New Roman"/>
          <w:sz w:val="24"/>
          <w:szCs w:val="24"/>
        </w:rPr>
        <w:t>and Meaney</w:t>
      </w:r>
      <w:r w:rsidR="009D2C9D">
        <w:rPr>
          <w:rFonts w:ascii="Times New Roman" w:hAnsi="Times New Roman" w:cs="Times New Roman"/>
          <w:sz w:val="24"/>
          <w:szCs w:val="24"/>
        </w:rPr>
        <w:t>, 2016</w:t>
      </w:r>
      <w:r w:rsidR="00195108">
        <w:rPr>
          <w:rFonts w:ascii="Times New Roman" w:hAnsi="Times New Roman" w:cs="Times New Roman"/>
          <w:color w:val="000000" w:themeColor="text1"/>
          <w:sz w:val="24"/>
          <w:szCs w:val="24"/>
        </w:rPr>
        <w:t xml:space="preserve">). </w:t>
      </w:r>
      <w:r w:rsidR="00984AB5">
        <w:rPr>
          <w:rFonts w:ascii="Times New Roman" w:hAnsi="Times New Roman" w:cs="Times New Roman"/>
          <w:color w:val="000000" w:themeColor="text1"/>
          <w:sz w:val="24"/>
          <w:szCs w:val="24"/>
        </w:rPr>
        <w:t xml:space="preserve">From the perspective of female labour supply, most of the women are vulnerable to be either fired from the work or </w:t>
      </w:r>
      <w:r w:rsidR="00363FAA">
        <w:rPr>
          <w:rFonts w:ascii="Times New Roman" w:hAnsi="Times New Roman" w:cs="Times New Roman"/>
          <w:color w:val="000000" w:themeColor="text1"/>
          <w:sz w:val="24"/>
          <w:szCs w:val="24"/>
        </w:rPr>
        <w:t>obtaining a low-performance score (</w:t>
      </w:r>
      <w:proofErr w:type="spellStart"/>
      <w:r w:rsidR="00363FAA" w:rsidRPr="00731048">
        <w:rPr>
          <w:rFonts w:ascii="Times New Roman" w:hAnsi="Times New Roman" w:cs="Times New Roman"/>
          <w:sz w:val="24"/>
          <w:szCs w:val="24"/>
        </w:rPr>
        <w:t>Kalb</w:t>
      </w:r>
      <w:proofErr w:type="spellEnd"/>
      <w:r w:rsidR="00363FAA">
        <w:rPr>
          <w:rFonts w:ascii="Times New Roman" w:hAnsi="Times New Roman" w:cs="Times New Roman"/>
          <w:sz w:val="24"/>
          <w:szCs w:val="24"/>
        </w:rPr>
        <w:t>, 2018</w:t>
      </w:r>
      <w:r w:rsidR="00363FAA">
        <w:rPr>
          <w:rFonts w:ascii="Times New Roman" w:hAnsi="Times New Roman" w:cs="Times New Roman"/>
          <w:color w:val="000000" w:themeColor="text1"/>
          <w:sz w:val="24"/>
          <w:szCs w:val="24"/>
        </w:rPr>
        <w:t xml:space="preserve">). The women are susceptible to getting low-performance scores since performance will be measured based on the financial outputs of the previous years when </w:t>
      </w:r>
      <w:r w:rsidR="00DF7C5D">
        <w:rPr>
          <w:rFonts w:ascii="Times New Roman" w:hAnsi="Times New Roman" w:cs="Times New Roman"/>
          <w:color w:val="000000" w:themeColor="text1"/>
          <w:sz w:val="24"/>
          <w:szCs w:val="24"/>
        </w:rPr>
        <w:t xml:space="preserve">the women are under maternity leave. </w:t>
      </w:r>
    </w:p>
    <w:p w14:paraId="0FC60DD5" w14:textId="2CEB6029" w:rsidR="001A22BB" w:rsidRDefault="00DF7C5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this regard, it is evident that FWAs can be considered as a structured conspiracy designed to fail the women. </w:t>
      </w:r>
      <w:r w:rsidR="001D2A66">
        <w:rPr>
          <w:rFonts w:ascii="Times New Roman" w:hAnsi="Times New Roman" w:cs="Times New Roman"/>
          <w:color w:val="000000" w:themeColor="text1"/>
          <w:sz w:val="24"/>
          <w:szCs w:val="24"/>
        </w:rPr>
        <w:t xml:space="preserve">Moreover, though the shift to the remote working format was mandatory irrespective of men and women, a study by </w:t>
      </w:r>
      <w:r w:rsidR="006F135A" w:rsidRPr="00BE1D1F">
        <w:rPr>
          <w:rFonts w:ascii="Times New Roman" w:hAnsi="Times New Roman" w:cs="Times New Roman"/>
          <w:sz w:val="24"/>
          <w:szCs w:val="24"/>
        </w:rPr>
        <w:t>Chung</w:t>
      </w:r>
      <w:r w:rsidR="006F135A">
        <w:rPr>
          <w:rFonts w:ascii="Times New Roman" w:hAnsi="Times New Roman" w:cs="Times New Roman"/>
          <w:color w:val="000000" w:themeColor="text1"/>
          <w:sz w:val="24"/>
          <w:szCs w:val="24"/>
        </w:rPr>
        <w:t xml:space="preserve"> </w:t>
      </w:r>
      <w:r w:rsidR="006F135A">
        <w:rPr>
          <w:rFonts w:ascii="Times New Roman" w:hAnsi="Times New Roman" w:cs="Times New Roman"/>
          <w:i/>
          <w:color w:val="000000" w:themeColor="text1"/>
          <w:sz w:val="24"/>
          <w:szCs w:val="24"/>
        </w:rPr>
        <w:t>et al</w:t>
      </w:r>
      <w:r w:rsidR="006F135A">
        <w:rPr>
          <w:rFonts w:ascii="Times New Roman" w:hAnsi="Times New Roman" w:cs="Times New Roman"/>
          <w:color w:val="000000" w:themeColor="text1"/>
          <w:sz w:val="24"/>
          <w:szCs w:val="24"/>
        </w:rPr>
        <w:t xml:space="preserve">. </w:t>
      </w:r>
      <w:r w:rsidR="001D2A66">
        <w:rPr>
          <w:rFonts w:ascii="Times New Roman" w:hAnsi="Times New Roman" w:cs="Times New Roman"/>
          <w:color w:val="000000" w:themeColor="text1"/>
          <w:sz w:val="24"/>
          <w:szCs w:val="24"/>
        </w:rPr>
        <w:t>(</w:t>
      </w:r>
      <w:r w:rsidR="006F135A">
        <w:rPr>
          <w:rFonts w:ascii="Times New Roman" w:hAnsi="Times New Roman" w:cs="Times New Roman"/>
          <w:color w:val="000000" w:themeColor="text1"/>
          <w:sz w:val="24"/>
          <w:szCs w:val="24"/>
        </w:rPr>
        <w:t>2021</w:t>
      </w:r>
      <w:r w:rsidR="001D2A66">
        <w:rPr>
          <w:rFonts w:ascii="Times New Roman" w:hAnsi="Times New Roman" w:cs="Times New Roman"/>
          <w:color w:val="000000" w:themeColor="text1"/>
          <w:sz w:val="24"/>
          <w:szCs w:val="24"/>
        </w:rPr>
        <w:t xml:space="preserve">) reveals that </w:t>
      </w:r>
      <w:r w:rsidR="00954EA3">
        <w:rPr>
          <w:rFonts w:ascii="Times New Roman" w:hAnsi="Times New Roman" w:cs="Times New Roman"/>
          <w:color w:val="000000" w:themeColor="text1"/>
          <w:sz w:val="24"/>
          <w:szCs w:val="24"/>
        </w:rPr>
        <w:t xml:space="preserve">the desired role </w:t>
      </w:r>
      <w:r w:rsidR="00954EA3">
        <w:rPr>
          <w:rFonts w:ascii="Times New Roman" w:hAnsi="Times New Roman" w:cs="Times New Roman"/>
          <w:color w:val="000000" w:themeColor="text1"/>
          <w:sz w:val="24"/>
          <w:szCs w:val="24"/>
        </w:rPr>
        <w:lastRenderedPageBreak/>
        <w:t>reversals have not taken place</w:t>
      </w:r>
      <w:r w:rsidR="00A76627">
        <w:rPr>
          <w:rFonts w:ascii="Times New Roman" w:hAnsi="Times New Roman" w:cs="Times New Roman"/>
          <w:color w:val="000000" w:themeColor="text1"/>
          <w:sz w:val="24"/>
          <w:szCs w:val="24"/>
        </w:rPr>
        <w:t xml:space="preserve"> </w:t>
      </w:r>
      <w:proofErr w:type="gramStart"/>
      <w:r w:rsidR="00A76627">
        <w:rPr>
          <w:rFonts w:ascii="Times New Roman" w:hAnsi="Times New Roman" w:cs="Times New Roman"/>
          <w:color w:val="000000" w:themeColor="text1"/>
          <w:sz w:val="24"/>
          <w:szCs w:val="24"/>
        </w:rPr>
        <w:t>i.e.</w:t>
      </w:r>
      <w:proofErr w:type="gramEnd"/>
      <w:r w:rsidR="00A76627">
        <w:rPr>
          <w:rFonts w:ascii="Times New Roman" w:hAnsi="Times New Roman" w:cs="Times New Roman"/>
          <w:color w:val="000000" w:themeColor="text1"/>
          <w:sz w:val="24"/>
          <w:szCs w:val="24"/>
        </w:rPr>
        <w:t xml:space="preserve"> the men in the households are not helping the women by dividing the responsibilities like household chores or child care. </w:t>
      </w:r>
      <w:r w:rsidR="006F135A">
        <w:rPr>
          <w:rFonts w:ascii="Times New Roman" w:hAnsi="Times New Roman" w:cs="Times New Roman"/>
          <w:color w:val="000000" w:themeColor="text1"/>
          <w:sz w:val="24"/>
          <w:szCs w:val="24"/>
        </w:rPr>
        <w:t xml:space="preserve">Hence, what Sayers (2022) has noted is true </w:t>
      </w:r>
      <w:proofErr w:type="gramStart"/>
      <w:r w:rsidR="006F135A">
        <w:rPr>
          <w:rFonts w:ascii="Times New Roman" w:hAnsi="Times New Roman" w:cs="Times New Roman"/>
          <w:color w:val="000000" w:themeColor="text1"/>
          <w:sz w:val="24"/>
          <w:szCs w:val="24"/>
        </w:rPr>
        <w:t>i.e.</w:t>
      </w:r>
      <w:proofErr w:type="gramEnd"/>
      <w:r w:rsidR="006F135A">
        <w:rPr>
          <w:rFonts w:ascii="Times New Roman" w:hAnsi="Times New Roman" w:cs="Times New Roman"/>
          <w:color w:val="000000" w:themeColor="text1"/>
          <w:sz w:val="24"/>
          <w:szCs w:val="24"/>
        </w:rPr>
        <w:t xml:space="preserve"> only FWAs would not be able to cause diversity and inclusion in the workplace, as it is a matter of solidarity exhibited both by the employers and men.</w:t>
      </w:r>
    </w:p>
    <w:p w14:paraId="3C0D5EAC" w14:textId="77777777" w:rsidR="00847A49"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Apart from the fact that flexible working can lead to increased inequality </w:t>
      </w:r>
      <w:r w:rsidR="0012589A">
        <w:rPr>
          <w:rFonts w:ascii="Times New Roman" w:hAnsi="Times New Roman" w:cs="Times New Roman"/>
          <w:color w:val="000000" w:themeColor="text1"/>
          <w:sz w:val="24"/>
          <w:szCs w:val="24"/>
        </w:rPr>
        <w:t xml:space="preserve">as a barrier </w:t>
      </w:r>
      <w:r>
        <w:rPr>
          <w:rFonts w:ascii="Times New Roman" w:hAnsi="Times New Roman" w:cs="Times New Roman"/>
          <w:color w:val="000000" w:themeColor="text1"/>
          <w:sz w:val="24"/>
          <w:szCs w:val="24"/>
        </w:rPr>
        <w:t xml:space="preserve">for the participation of women in the workplace, </w:t>
      </w:r>
      <w:r w:rsidR="0012589A">
        <w:rPr>
          <w:rFonts w:ascii="Times New Roman" w:hAnsi="Times New Roman" w:cs="Times New Roman"/>
          <w:color w:val="000000" w:themeColor="text1"/>
          <w:sz w:val="24"/>
          <w:szCs w:val="24"/>
        </w:rPr>
        <w:t xml:space="preserve">it can lead to other forms of inequality as well. For instance, </w:t>
      </w:r>
      <w:r w:rsidR="00AF286C">
        <w:rPr>
          <w:rFonts w:ascii="Times New Roman" w:hAnsi="Times New Roman" w:cs="Times New Roman"/>
          <w:color w:val="000000" w:themeColor="text1"/>
          <w:sz w:val="24"/>
          <w:szCs w:val="24"/>
        </w:rPr>
        <w:t xml:space="preserve">FWAs cannot be seamlessly implemented without the occurrence of the Fourth Industrial Revolution </w:t>
      </w:r>
      <w:proofErr w:type="gramStart"/>
      <w:r w:rsidR="00AF286C">
        <w:rPr>
          <w:rFonts w:ascii="Times New Roman" w:hAnsi="Times New Roman" w:cs="Times New Roman"/>
          <w:color w:val="000000" w:themeColor="text1"/>
          <w:sz w:val="24"/>
          <w:szCs w:val="24"/>
        </w:rPr>
        <w:t>i.e.</w:t>
      </w:r>
      <w:proofErr w:type="gramEnd"/>
      <w:r w:rsidR="00AF286C">
        <w:rPr>
          <w:rFonts w:ascii="Times New Roman" w:hAnsi="Times New Roman" w:cs="Times New Roman"/>
          <w:color w:val="000000" w:themeColor="text1"/>
          <w:sz w:val="24"/>
          <w:szCs w:val="24"/>
        </w:rPr>
        <w:t xml:space="preserve"> the digital revolution, which, apart from other things, rendered tele-working possible. </w:t>
      </w:r>
      <w:r w:rsidR="002B4BD9">
        <w:rPr>
          <w:rFonts w:ascii="Times New Roman" w:hAnsi="Times New Roman" w:cs="Times New Roman"/>
          <w:color w:val="000000" w:themeColor="text1"/>
          <w:sz w:val="24"/>
          <w:szCs w:val="24"/>
        </w:rPr>
        <w:t xml:space="preserve">In other words, for flexible working to operate seamlessly, it is important for organisations to have a reliable and sophisticated digital infrastructure (UNIDO, 2022). Now, in developing </w:t>
      </w:r>
      <w:r w:rsidR="006B4E47">
        <w:rPr>
          <w:rFonts w:ascii="Times New Roman" w:hAnsi="Times New Roman" w:cs="Times New Roman"/>
          <w:color w:val="000000" w:themeColor="text1"/>
          <w:sz w:val="24"/>
          <w:szCs w:val="24"/>
        </w:rPr>
        <w:t xml:space="preserve">countries, due to the persistence of the digital divide, it might be impossible to functionalised flexible working fully. </w:t>
      </w:r>
      <w:r w:rsidR="004136F0">
        <w:rPr>
          <w:rFonts w:ascii="Times New Roman" w:hAnsi="Times New Roman" w:cs="Times New Roman"/>
          <w:color w:val="000000" w:themeColor="text1"/>
          <w:sz w:val="24"/>
          <w:szCs w:val="24"/>
        </w:rPr>
        <w:t>Interesting, it is noted that</w:t>
      </w:r>
      <w:r w:rsidR="00EA14E9">
        <w:rPr>
          <w:rFonts w:ascii="Times New Roman" w:hAnsi="Times New Roman" w:cs="Times New Roman"/>
          <w:color w:val="000000" w:themeColor="text1"/>
          <w:sz w:val="24"/>
          <w:szCs w:val="24"/>
        </w:rPr>
        <w:t>, apart from ensuring basic digital infrastructure to all for ensuring equal participation in FWAs, age is also a significant determinant of the digital divide</w:t>
      </w:r>
      <w:r w:rsidR="004F397F">
        <w:rPr>
          <w:rFonts w:ascii="Times New Roman" w:hAnsi="Times New Roman" w:cs="Times New Roman"/>
          <w:color w:val="000000" w:themeColor="text1"/>
          <w:sz w:val="24"/>
          <w:szCs w:val="24"/>
        </w:rPr>
        <w:t xml:space="preserve"> (</w:t>
      </w:r>
      <w:r w:rsidR="004F397F" w:rsidRPr="00935AE9">
        <w:rPr>
          <w:rFonts w:ascii="Times New Roman" w:hAnsi="Times New Roman" w:cs="Times New Roman"/>
          <w:sz w:val="24"/>
          <w:szCs w:val="24"/>
        </w:rPr>
        <w:t>Fang</w:t>
      </w:r>
      <w:r w:rsidR="004F397F">
        <w:rPr>
          <w:rFonts w:ascii="Times New Roman" w:hAnsi="Times New Roman" w:cs="Times New Roman"/>
          <w:sz w:val="24"/>
          <w:szCs w:val="24"/>
        </w:rPr>
        <w:t xml:space="preserve"> </w:t>
      </w:r>
      <w:r w:rsidR="004F397F">
        <w:rPr>
          <w:rFonts w:ascii="Times New Roman" w:hAnsi="Times New Roman" w:cs="Times New Roman"/>
          <w:i/>
          <w:sz w:val="24"/>
          <w:szCs w:val="24"/>
        </w:rPr>
        <w:t>et al</w:t>
      </w:r>
      <w:r w:rsidR="004F397F">
        <w:rPr>
          <w:rFonts w:ascii="Times New Roman" w:hAnsi="Times New Roman" w:cs="Times New Roman"/>
          <w:sz w:val="24"/>
          <w:szCs w:val="24"/>
        </w:rPr>
        <w:t>. 2019)</w:t>
      </w:r>
      <w:r w:rsidR="00EA14E9">
        <w:rPr>
          <w:rFonts w:ascii="Times New Roman" w:hAnsi="Times New Roman" w:cs="Times New Roman"/>
          <w:color w:val="000000" w:themeColor="text1"/>
          <w:sz w:val="24"/>
          <w:szCs w:val="24"/>
        </w:rPr>
        <w:t xml:space="preserve">. </w:t>
      </w:r>
      <w:r w:rsidR="004F397F">
        <w:rPr>
          <w:rFonts w:ascii="Times New Roman" w:hAnsi="Times New Roman" w:cs="Times New Roman"/>
          <w:color w:val="000000" w:themeColor="text1"/>
          <w:sz w:val="24"/>
          <w:szCs w:val="24"/>
        </w:rPr>
        <w:t>Hence, the inevitable emphasis on digital infrastructure to propagate flexible working conditions can cause age-based discrimination or inequality.</w:t>
      </w:r>
    </w:p>
    <w:p w14:paraId="67F5D276" w14:textId="77777777" w:rsidR="002D2B64" w:rsidRPr="00B06C3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must be noted here that </w:t>
      </w:r>
      <w:r w:rsidR="002B7177">
        <w:rPr>
          <w:rFonts w:ascii="Times New Roman" w:hAnsi="Times New Roman" w:cs="Times New Roman"/>
          <w:color w:val="000000" w:themeColor="text1"/>
          <w:sz w:val="24"/>
          <w:szCs w:val="24"/>
        </w:rPr>
        <w:t xml:space="preserve">flexible working by the means of digital infrastructure cannot be associated with increased productivity unconditionally. </w:t>
      </w:r>
      <w:r w:rsidR="00346DFB">
        <w:rPr>
          <w:rFonts w:ascii="Times New Roman" w:hAnsi="Times New Roman" w:cs="Times New Roman"/>
          <w:color w:val="000000" w:themeColor="text1"/>
          <w:sz w:val="24"/>
          <w:szCs w:val="24"/>
        </w:rPr>
        <w:t>As noted in a brief on tele</w:t>
      </w:r>
      <w:r w:rsidR="00AD0C35">
        <w:rPr>
          <w:rFonts w:ascii="Times New Roman" w:hAnsi="Times New Roman" w:cs="Times New Roman"/>
          <w:color w:val="000000" w:themeColor="text1"/>
          <w:sz w:val="24"/>
          <w:szCs w:val="24"/>
        </w:rPr>
        <w:t>-</w:t>
      </w:r>
      <w:r w:rsidR="00346DFB">
        <w:rPr>
          <w:rFonts w:ascii="Times New Roman" w:hAnsi="Times New Roman" w:cs="Times New Roman"/>
          <w:color w:val="000000" w:themeColor="text1"/>
          <w:sz w:val="24"/>
          <w:szCs w:val="24"/>
        </w:rPr>
        <w:t>working, due to the emphasis on com</w:t>
      </w:r>
      <w:r w:rsidR="00AD0C35">
        <w:rPr>
          <w:rFonts w:ascii="Times New Roman" w:hAnsi="Times New Roman" w:cs="Times New Roman"/>
          <w:color w:val="000000" w:themeColor="text1"/>
          <w:sz w:val="24"/>
          <w:szCs w:val="24"/>
        </w:rPr>
        <w:t>puter-mediated technology, the employees might be deprived of</w:t>
      </w:r>
      <w:r w:rsidR="00E73847">
        <w:rPr>
          <w:rFonts w:ascii="Times New Roman" w:hAnsi="Times New Roman" w:cs="Times New Roman"/>
          <w:color w:val="000000" w:themeColor="text1"/>
          <w:sz w:val="24"/>
          <w:szCs w:val="24"/>
        </w:rPr>
        <w:t xml:space="preserve"> non-verbal cues such as tone of communication or warmth, which can be challenging to ensure optimum productivity from the employees</w:t>
      </w:r>
      <w:r w:rsidR="00AC3D4A">
        <w:rPr>
          <w:rFonts w:ascii="Times New Roman" w:hAnsi="Times New Roman" w:cs="Times New Roman"/>
          <w:color w:val="000000" w:themeColor="text1"/>
          <w:sz w:val="24"/>
          <w:szCs w:val="24"/>
        </w:rPr>
        <w:t xml:space="preserve"> (CIPD, 2021)</w:t>
      </w:r>
      <w:r w:rsidR="00E73847">
        <w:rPr>
          <w:rFonts w:ascii="Times New Roman" w:hAnsi="Times New Roman" w:cs="Times New Roman"/>
          <w:color w:val="000000" w:themeColor="text1"/>
          <w:sz w:val="24"/>
          <w:szCs w:val="24"/>
        </w:rPr>
        <w:t>.</w:t>
      </w:r>
    </w:p>
    <w:p w14:paraId="5C97DADF" w14:textId="77777777" w:rsidR="00DA1501" w:rsidRDefault="0075461D" w:rsidP="00C3280C">
      <w:pPr>
        <w:pStyle w:val="Heading1"/>
      </w:pPr>
      <w:bookmarkStart w:id="4" w:name="_Toc99063211"/>
      <w:r w:rsidRPr="00971C0F">
        <w:t>Role of Human Resources in addressing inequality concerns arising through flexible working</w:t>
      </w:r>
      <w:bookmarkEnd w:id="4"/>
    </w:p>
    <w:p w14:paraId="4978EB5C" w14:textId="77777777" w:rsidR="005436E3"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evident from the case of inequality tha</w:t>
      </w:r>
      <w:r w:rsidR="00554301">
        <w:rPr>
          <w:rFonts w:ascii="Times New Roman" w:hAnsi="Times New Roman" w:cs="Times New Roman"/>
          <w:color w:val="000000" w:themeColor="text1"/>
          <w:sz w:val="24"/>
          <w:szCs w:val="24"/>
        </w:rPr>
        <w:t xml:space="preserve">t </w:t>
      </w:r>
      <w:r w:rsidR="003A2881">
        <w:rPr>
          <w:rFonts w:ascii="Times New Roman" w:hAnsi="Times New Roman" w:cs="Times New Roman"/>
          <w:color w:val="000000" w:themeColor="text1"/>
          <w:sz w:val="24"/>
          <w:szCs w:val="24"/>
        </w:rPr>
        <w:t xml:space="preserve">the gender equality of women that </w:t>
      </w:r>
      <w:r w:rsidR="00C56197">
        <w:rPr>
          <w:rFonts w:ascii="Times New Roman" w:hAnsi="Times New Roman" w:cs="Times New Roman"/>
          <w:color w:val="000000" w:themeColor="text1"/>
          <w:sz w:val="24"/>
          <w:szCs w:val="24"/>
        </w:rPr>
        <w:t xml:space="preserve">FWAs eventually lead to is a matter of structural </w:t>
      </w:r>
      <w:r w:rsidR="00B668D1">
        <w:rPr>
          <w:rFonts w:ascii="Times New Roman" w:hAnsi="Times New Roman" w:cs="Times New Roman"/>
          <w:color w:val="000000" w:themeColor="text1"/>
          <w:sz w:val="24"/>
          <w:szCs w:val="24"/>
        </w:rPr>
        <w:t xml:space="preserve">injustice. This structural injustice is further exacerbated by the social and cultural barriers where flexibly working is equated with the necessities of women. </w:t>
      </w:r>
      <w:r w:rsidR="00B00D8C">
        <w:rPr>
          <w:rFonts w:ascii="Times New Roman" w:hAnsi="Times New Roman" w:cs="Times New Roman"/>
          <w:color w:val="000000" w:themeColor="text1"/>
          <w:sz w:val="24"/>
          <w:szCs w:val="24"/>
        </w:rPr>
        <w:t xml:space="preserve">In this regard, the </w:t>
      </w:r>
      <w:r w:rsidR="00593688">
        <w:rPr>
          <w:rFonts w:ascii="Times New Roman" w:hAnsi="Times New Roman" w:cs="Times New Roman"/>
          <w:color w:val="000000" w:themeColor="text1"/>
          <w:sz w:val="24"/>
          <w:szCs w:val="24"/>
        </w:rPr>
        <w:t>brightest</w:t>
      </w:r>
      <w:r w:rsidR="00B00D8C">
        <w:rPr>
          <w:rFonts w:ascii="Times New Roman" w:hAnsi="Times New Roman" w:cs="Times New Roman"/>
          <w:color w:val="000000" w:themeColor="text1"/>
          <w:sz w:val="24"/>
          <w:szCs w:val="24"/>
        </w:rPr>
        <w:t xml:space="preserve"> example of confronting this injustice is the firm-wide role flexibility adapted in PwC Australia. </w:t>
      </w:r>
      <w:r w:rsidR="00593688">
        <w:rPr>
          <w:rFonts w:ascii="Times New Roman" w:hAnsi="Times New Roman" w:cs="Times New Roman"/>
          <w:color w:val="000000" w:themeColor="text1"/>
          <w:sz w:val="24"/>
          <w:szCs w:val="24"/>
        </w:rPr>
        <w:t xml:space="preserve">It is so since, as briefly hinted earlier, </w:t>
      </w:r>
      <w:r w:rsidR="00CE2B57">
        <w:rPr>
          <w:rFonts w:ascii="Times New Roman" w:hAnsi="Times New Roman" w:cs="Times New Roman"/>
          <w:color w:val="000000" w:themeColor="text1"/>
          <w:sz w:val="24"/>
          <w:szCs w:val="24"/>
        </w:rPr>
        <w:t xml:space="preserve">it challenges the mindset that flexible working is exclusively for women, which is a blatant lie, as this report has extensively proven. </w:t>
      </w:r>
    </w:p>
    <w:p w14:paraId="48B48D54" w14:textId="6D5AA500" w:rsidR="00957158" w:rsidRDefault="0044565A"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This highlights the major role of HR in addressing concerns related to workplace inequality associated with FWAs. For instance, HR can </w:t>
      </w:r>
      <w:r w:rsidR="005B409F">
        <w:rPr>
          <w:rFonts w:ascii="Times New Roman" w:hAnsi="Times New Roman" w:cs="Times New Roman"/>
          <w:color w:val="000000" w:themeColor="text1"/>
          <w:sz w:val="24"/>
          <w:szCs w:val="24"/>
        </w:rPr>
        <w:t xml:space="preserve">constitute support systems in a structural manner that addresses the returners from maternity or parental leaves. As noted in </w:t>
      </w:r>
      <w:r w:rsidR="00FC441F" w:rsidRPr="00971D89">
        <w:rPr>
          <w:rFonts w:ascii="Times New Roman" w:hAnsi="Times New Roman" w:cs="Times New Roman"/>
          <w:sz w:val="24"/>
          <w:szCs w:val="24"/>
        </w:rPr>
        <w:t>Herman</w:t>
      </w:r>
      <w:r w:rsidR="00FC441F">
        <w:rPr>
          <w:rFonts w:ascii="Times New Roman" w:hAnsi="Times New Roman" w:cs="Times New Roman"/>
          <w:color w:val="000000" w:themeColor="text1"/>
          <w:sz w:val="24"/>
          <w:szCs w:val="24"/>
        </w:rPr>
        <w:t xml:space="preserve"> </w:t>
      </w:r>
      <w:r w:rsidR="00FC441F">
        <w:rPr>
          <w:rFonts w:ascii="Times New Roman" w:hAnsi="Times New Roman" w:cs="Times New Roman"/>
          <w:i/>
          <w:color w:val="000000" w:themeColor="text1"/>
          <w:sz w:val="24"/>
          <w:szCs w:val="24"/>
        </w:rPr>
        <w:t>et al</w:t>
      </w:r>
      <w:r w:rsidR="00FC441F">
        <w:rPr>
          <w:rFonts w:ascii="Times New Roman" w:hAnsi="Times New Roman" w:cs="Times New Roman"/>
          <w:color w:val="000000" w:themeColor="text1"/>
          <w:sz w:val="24"/>
          <w:szCs w:val="24"/>
        </w:rPr>
        <w:t xml:space="preserve">. </w:t>
      </w:r>
      <w:r w:rsidR="005B409F">
        <w:rPr>
          <w:rFonts w:ascii="Times New Roman" w:hAnsi="Times New Roman" w:cs="Times New Roman"/>
          <w:color w:val="000000" w:themeColor="text1"/>
          <w:sz w:val="24"/>
          <w:szCs w:val="24"/>
        </w:rPr>
        <w:t>(</w:t>
      </w:r>
      <w:r w:rsidR="00FC441F">
        <w:rPr>
          <w:rFonts w:ascii="Times New Roman" w:hAnsi="Times New Roman" w:cs="Times New Roman"/>
          <w:color w:val="000000" w:themeColor="text1"/>
          <w:sz w:val="24"/>
          <w:szCs w:val="24"/>
        </w:rPr>
        <w:t>2019</w:t>
      </w:r>
      <w:r w:rsidR="005B409F">
        <w:rPr>
          <w:rFonts w:ascii="Times New Roman" w:hAnsi="Times New Roman" w:cs="Times New Roman"/>
          <w:color w:val="000000" w:themeColor="text1"/>
          <w:sz w:val="24"/>
          <w:szCs w:val="24"/>
        </w:rPr>
        <w:t>), organisations can use a blended learning approach where, through this support, the women can easily identify with that work after returning from a long leave.</w:t>
      </w:r>
    </w:p>
    <w:p w14:paraId="519EB412" w14:textId="77777777" w:rsidR="00402B86"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essence, if HR has to address the inequality issues effectively and sustainably, </w:t>
      </w:r>
      <w:r w:rsidR="006D5E69">
        <w:rPr>
          <w:rFonts w:ascii="Times New Roman" w:hAnsi="Times New Roman" w:cs="Times New Roman"/>
          <w:color w:val="000000" w:themeColor="text1"/>
          <w:sz w:val="24"/>
          <w:szCs w:val="24"/>
        </w:rPr>
        <w:t xml:space="preserve">it must strive for changing the structure that is causing is inequality. Reviewing performance based on KPIs, as mentioned earlier, is also be effective here to </w:t>
      </w:r>
      <w:r w:rsidR="005E42FD">
        <w:rPr>
          <w:rFonts w:ascii="Times New Roman" w:hAnsi="Times New Roman" w:cs="Times New Roman"/>
          <w:color w:val="000000" w:themeColor="text1"/>
          <w:sz w:val="24"/>
          <w:szCs w:val="24"/>
        </w:rPr>
        <w:t xml:space="preserve">prevent women from marginalisation caused by a performance evaluation based on financial contribution. </w:t>
      </w:r>
      <w:r w:rsidR="00903326">
        <w:rPr>
          <w:rFonts w:ascii="Times New Roman" w:hAnsi="Times New Roman" w:cs="Times New Roman"/>
          <w:color w:val="000000" w:themeColor="text1"/>
          <w:sz w:val="24"/>
          <w:szCs w:val="24"/>
        </w:rPr>
        <w:t>In the context of universities, the Athena SWAN scheme for gender equality is an example of such a critical intervention where the goal is to enact sustainable and effective structural and cultural change to promote gender equality in workplaces</w:t>
      </w:r>
      <w:r>
        <w:rPr>
          <w:rFonts w:ascii="Times New Roman" w:hAnsi="Times New Roman" w:cs="Times New Roman"/>
          <w:color w:val="000000" w:themeColor="text1"/>
          <w:sz w:val="24"/>
          <w:szCs w:val="24"/>
        </w:rPr>
        <w:t xml:space="preserve"> (</w:t>
      </w:r>
      <w:proofErr w:type="spellStart"/>
      <w:r w:rsidRPr="00BE37AD">
        <w:rPr>
          <w:rFonts w:ascii="Times New Roman" w:hAnsi="Times New Roman" w:cs="Times New Roman"/>
          <w:sz w:val="24"/>
          <w:szCs w:val="24"/>
        </w:rPr>
        <w:t>Kalpazidou</w:t>
      </w:r>
      <w:proofErr w:type="spellEnd"/>
      <w:r w:rsidRPr="00BE37AD">
        <w:rPr>
          <w:rFonts w:ascii="Times New Roman" w:hAnsi="Times New Roman" w:cs="Times New Roman"/>
          <w:sz w:val="24"/>
          <w:szCs w:val="24"/>
        </w:rPr>
        <w:t xml:space="preserve"> Schmidt</w:t>
      </w:r>
      <w:r>
        <w:rPr>
          <w:rFonts w:ascii="Times New Roman" w:hAnsi="Times New Roman" w:cs="Times New Roman"/>
          <w:sz w:val="24"/>
          <w:szCs w:val="24"/>
        </w:rPr>
        <w:t xml:space="preserve"> </w:t>
      </w:r>
      <w:r>
        <w:rPr>
          <w:rFonts w:ascii="Times New Roman" w:hAnsi="Times New Roman" w:cs="Times New Roman"/>
          <w:i/>
          <w:sz w:val="24"/>
          <w:szCs w:val="24"/>
        </w:rPr>
        <w:t>et al</w:t>
      </w:r>
      <w:r>
        <w:rPr>
          <w:rFonts w:ascii="Times New Roman" w:hAnsi="Times New Roman" w:cs="Times New Roman"/>
          <w:sz w:val="24"/>
          <w:szCs w:val="24"/>
        </w:rPr>
        <w:t>. 2020)</w:t>
      </w:r>
      <w:r w:rsidR="00903326">
        <w:rPr>
          <w:rFonts w:ascii="Times New Roman" w:hAnsi="Times New Roman" w:cs="Times New Roman"/>
          <w:color w:val="000000" w:themeColor="text1"/>
          <w:sz w:val="24"/>
          <w:szCs w:val="24"/>
        </w:rPr>
        <w:t>.</w:t>
      </w:r>
    </w:p>
    <w:p w14:paraId="506EE73C" w14:textId="77777777" w:rsidR="00FC441F"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has also been noted in the discussions regarding the relationship between FWAs and gender inequality that the digital divide can be a principal cause to deter this mode from realising its full potential. </w:t>
      </w:r>
      <w:r w:rsidR="001C69ED">
        <w:rPr>
          <w:rFonts w:ascii="Times New Roman" w:hAnsi="Times New Roman" w:cs="Times New Roman"/>
          <w:color w:val="000000" w:themeColor="text1"/>
          <w:sz w:val="24"/>
          <w:szCs w:val="24"/>
        </w:rPr>
        <w:t xml:space="preserve">In this context, it is primarily important to further inclusive, human-centred digitalisation that can effectively tackle the issue of the </w:t>
      </w:r>
      <w:r w:rsidR="0085579D">
        <w:rPr>
          <w:rFonts w:ascii="Times New Roman" w:hAnsi="Times New Roman" w:cs="Times New Roman"/>
          <w:color w:val="000000" w:themeColor="text1"/>
          <w:sz w:val="24"/>
          <w:szCs w:val="24"/>
        </w:rPr>
        <w:t xml:space="preserve">digital divide (UNIDO, 2022). </w:t>
      </w:r>
      <w:r w:rsidR="008E51B0">
        <w:rPr>
          <w:rFonts w:ascii="Times New Roman" w:hAnsi="Times New Roman" w:cs="Times New Roman"/>
          <w:color w:val="000000" w:themeColor="text1"/>
          <w:sz w:val="24"/>
          <w:szCs w:val="24"/>
        </w:rPr>
        <w:t xml:space="preserve">As shown in </w:t>
      </w:r>
      <w:proofErr w:type="spellStart"/>
      <w:r w:rsidR="0025018F">
        <w:rPr>
          <w:rFonts w:ascii="Times New Roman" w:hAnsi="Times New Roman" w:cs="Times New Roman"/>
          <w:sz w:val="24"/>
          <w:szCs w:val="24"/>
        </w:rPr>
        <w:t>Damman</w:t>
      </w:r>
      <w:proofErr w:type="spellEnd"/>
      <w:r w:rsidR="0025018F">
        <w:rPr>
          <w:rFonts w:ascii="Times New Roman" w:hAnsi="Times New Roman" w:cs="Times New Roman"/>
          <w:sz w:val="24"/>
          <w:szCs w:val="24"/>
        </w:rPr>
        <w:t xml:space="preserve"> </w:t>
      </w:r>
      <w:r w:rsidR="0025018F" w:rsidRPr="00A00033">
        <w:rPr>
          <w:rFonts w:ascii="Times New Roman" w:hAnsi="Times New Roman" w:cs="Times New Roman"/>
          <w:sz w:val="24"/>
          <w:szCs w:val="24"/>
        </w:rPr>
        <w:t xml:space="preserve">and </w:t>
      </w:r>
      <w:proofErr w:type="spellStart"/>
      <w:r w:rsidR="0025018F" w:rsidRPr="00A00033">
        <w:rPr>
          <w:rFonts w:ascii="Times New Roman" w:hAnsi="Times New Roman" w:cs="Times New Roman"/>
          <w:sz w:val="24"/>
          <w:szCs w:val="24"/>
        </w:rPr>
        <w:t>Henkens</w:t>
      </w:r>
      <w:proofErr w:type="spellEnd"/>
      <w:r w:rsidR="0025018F">
        <w:rPr>
          <w:rFonts w:ascii="Times New Roman" w:hAnsi="Times New Roman" w:cs="Times New Roman"/>
          <w:color w:val="000000" w:themeColor="text1"/>
          <w:sz w:val="24"/>
          <w:szCs w:val="24"/>
        </w:rPr>
        <w:t xml:space="preserve"> </w:t>
      </w:r>
      <w:r w:rsidR="008E51B0">
        <w:rPr>
          <w:rFonts w:ascii="Times New Roman" w:hAnsi="Times New Roman" w:cs="Times New Roman"/>
          <w:color w:val="000000" w:themeColor="text1"/>
          <w:sz w:val="24"/>
          <w:szCs w:val="24"/>
        </w:rPr>
        <w:t>(</w:t>
      </w:r>
      <w:r w:rsidR="0025018F">
        <w:rPr>
          <w:rFonts w:ascii="Times New Roman" w:hAnsi="Times New Roman" w:cs="Times New Roman"/>
          <w:color w:val="000000" w:themeColor="text1"/>
          <w:sz w:val="24"/>
          <w:szCs w:val="24"/>
        </w:rPr>
        <w:t>2020</w:t>
      </w:r>
      <w:r w:rsidR="008E51B0">
        <w:rPr>
          <w:rFonts w:ascii="Times New Roman" w:hAnsi="Times New Roman" w:cs="Times New Roman"/>
          <w:color w:val="000000" w:themeColor="text1"/>
          <w:sz w:val="24"/>
          <w:szCs w:val="24"/>
        </w:rPr>
        <w:t xml:space="preserve">), if age is considered as the determinant of the digital divide, then it will be evident that women are doubly marginalised in some of the workplaces in terms of location and work schedule. </w:t>
      </w:r>
      <w:r w:rsidR="0025018F">
        <w:rPr>
          <w:rFonts w:ascii="Times New Roman" w:hAnsi="Times New Roman" w:cs="Times New Roman"/>
          <w:color w:val="000000" w:themeColor="text1"/>
          <w:sz w:val="24"/>
          <w:szCs w:val="24"/>
        </w:rPr>
        <w:t>Here, HR must strive for exposing this subtle violation of the equality act while promoting work-life balance for women from the perspective of solidarity.</w:t>
      </w:r>
    </w:p>
    <w:p w14:paraId="49A9DAB0" w14:textId="77777777" w:rsidR="004C62B5" w:rsidRPr="00957158"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aspect of solidarity is constantly evoked in this report since it is associated with the construction of a trust-based culture, which is also one of the common determinants of making flexible working a successful enterprise. </w:t>
      </w:r>
      <w:r w:rsidR="004F33A8">
        <w:rPr>
          <w:rFonts w:ascii="Times New Roman" w:hAnsi="Times New Roman" w:cs="Times New Roman"/>
          <w:color w:val="000000" w:themeColor="text1"/>
          <w:sz w:val="24"/>
          <w:szCs w:val="24"/>
        </w:rPr>
        <w:t xml:space="preserve">In other words, it is one of the values that employers can propose to the employees. Hence, the role of HR is to promote their commitment to flexibility, and, inclusion and diversity from the hiring phase. </w:t>
      </w:r>
      <w:r w:rsidR="00321185">
        <w:rPr>
          <w:rFonts w:ascii="Times New Roman" w:hAnsi="Times New Roman" w:cs="Times New Roman"/>
          <w:color w:val="000000" w:themeColor="text1"/>
          <w:sz w:val="24"/>
          <w:szCs w:val="24"/>
        </w:rPr>
        <w:t xml:space="preserve">It is also embedded in the principle of mutual benefits since this emphasis on flexibility, inclusion, and diversity from the hiring phase can </w:t>
      </w:r>
      <w:r w:rsidR="008207BC">
        <w:rPr>
          <w:rFonts w:ascii="Times New Roman" w:hAnsi="Times New Roman" w:cs="Times New Roman"/>
          <w:color w:val="000000" w:themeColor="text1"/>
          <w:sz w:val="24"/>
          <w:szCs w:val="24"/>
        </w:rPr>
        <w:t>help the organisation to pipeline its talents.</w:t>
      </w:r>
    </w:p>
    <w:p w14:paraId="14376F60" w14:textId="77777777" w:rsidR="00971C0F" w:rsidRDefault="0075461D" w:rsidP="00C3280C">
      <w:pPr>
        <w:pStyle w:val="Heading1"/>
      </w:pPr>
      <w:bookmarkStart w:id="5" w:name="_Toc99063212"/>
      <w:r w:rsidRPr="00971C0F">
        <w:lastRenderedPageBreak/>
        <w:t>Conclusion</w:t>
      </w:r>
      <w:bookmarkEnd w:id="5"/>
    </w:p>
    <w:p w14:paraId="2DB87CC2" w14:textId="77777777" w:rsidR="00AD4255" w:rsidRDefault="0075461D" w:rsidP="00C328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the light of FWAs</w:t>
      </w:r>
      <w:r w:rsidR="006A5E29">
        <w:rPr>
          <w:rFonts w:ascii="Times New Roman" w:hAnsi="Times New Roman" w:cs="Times New Roman"/>
          <w:color w:val="000000" w:themeColor="text1"/>
          <w:sz w:val="24"/>
          <w:szCs w:val="24"/>
        </w:rPr>
        <w:t xml:space="preserve"> that has become mandatory for the organisations to adapt after the Covid-19 pandemic, this report makes a case in favour of flexible working, as it enables everyone to participate in the workforce. However, it can lead to </w:t>
      </w:r>
      <w:r w:rsidR="008D4A53">
        <w:rPr>
          <w:rFonts w:ascii="Times New Roman" w:hAnsi="Times New Roman" w:cs="Times New Roman"/>
          <w:color w:val="000000" w:themeColor="text1"/>
          <w:sz w:val="24"/>
          <w:szCs w:val="24"/>
        </w:rPr>
        <w:t xml:space="preserve">workplace inequality, especially due to the social obstacles and the emerging digital divide in developing countries. Hence, the primary role that HR can play is to adopt a structure that ensures equal access to work for all. </w:t>
      </w:r>
      <w:r w:rsidR="00767834">
        <w:rPr>
          <w:rFonts w:ascii="Times New Roman" w:hAnsi="Times New Roman" w:cs="Times New Roman"/>
          <w:color w:val="000000" w:themeColor="text1"/>
          <w:sz w:val="24"/>
          <w:szCs w:val="24"/>
        </w:rPr>
        <w:t>Moreover, HR should strive to build a human-centred digital infrastructure to combat the concerns of the digital divide effectively.</w:t>
      </w:r>
    </w:p>
    <w:p w14:paraId="1996F1E0" w14:textId="77777777" w:rsidR="00C3280C" w:rsidRDefault="0075461D">
      <w:pPr>
        <w:rPr>
          <w:rFonts w:ascii="Times New Roman" w:hAnsi="Times New Roman" w:cs="Times New Roman"/>
          <w:sz w:val="24"/>
          <w:szCs w:val="24"/>
        </w:rPr>
      </w:pPr>
      <w:r>
        <w:rPr>
          <w:rFonts w:ascii="Times New Roman" w:hAnsi="Times New Roman" w:cs="Times New Roman"/>
          <w:sz w:val="24"/>
          <w:szCs w:val="24"/>
        </w:rPr>
        <w:br w:type="page"/>
      </w:r>
    </w:p>
    <w:p w14:paraId="4EC9D838" w14:textId="77777777" w:rsidR="00AD4255" w:rsidRDefault="0075461D" w:rsidP="00C3280C">
      <w:pPr>
        <w:pStyle w:val="Heading1"/>
      </w:pPr>
      <w:bookmarkStart w:id="6" w:name="_Toc99063213"/>
      <w:r w:rsidRPr="008E5258">
        <w:lastRenderedPageBreak/>
        <w:t>Reference List</w:t>
      </w:r>
      <w:bookmarkEnd w:id="6"/>
    </w:p>
    <w:p w14:paraId="3078BEE0" w14:textId="77777777" w:rsidR="00C3280C" w:rsidRDefault="0075461D" w:rsidP="00C3280C">
      <w:pPr>
        <w:spacing w:line="360" w:lineRule="auto"/>
        <w:jc w:val="both"/>
        <w:rPr>
          <w:rFonts w:ascii="Times New Roman" w:hAnsi="Times New Roman" w:cs="Times New Roman"/>
          <w:sz w:val="24"/>
          <w:szCs w:val="24"/>
        </w:rPr>
      </w:pPr>
      <w:proofErr w:type="spellStart"/>
      <w:r w:rsidRPr="00897097">
        <w:rPr>
          <w:rFonts w:ascii="Times New Roman" w:hAnsi="Times New Roman" w:cs="Times New Roman"/>
          <w:sz w:val="24"/>
          <w:szCs w:val="24"/>
        </w:rPr>
        <w:t>Antai</w:t>
      </w:r>
      <w:proofErr w:type="spellEnd"/>
      <w:r w:rsidRPr="00897097">
        <w:rPr>
          <w:rFonts w:ascii="Times New Roman" w:hAnsi="Times New Roman" w:cs="Times New Roman"/>
          <w:sz w:val="24"/>
          <w:szCs w:val="24"/>
        </w:rPr>
        <w:t xml:space="preserve">, D., </w:t>
      </w:r>
      <w:proofErr w:type="spellStart"/>
      <w:r w:rsidRPr="00897097">
        <w:rPr>
          <w:rFonts w:ascii="Times New Roman" w:hAnsi="Times New Roman" w:cs="Times New Roman"/>
          <w:sz w:val="24"/>
          <w:szCs w:val="24"/>
        </w:rPr>
        <w:t>Oke</w:t>
      </w:r>
      <w:proofErr w:type="spellEnd"/>
      <w:r w:rsidRPr="00897097">
        <w:rPr>
          <w:rFonts w:ascii="Times New Roman" w:hAnsi="Times New Roman" w:cs="Times New Roman"/>
          <w:sz w:val="24"/>
          <w:szCs w:val="24"/>
        </w:rPr>
        <w:t>, A., Braithwaite, P. and Anthony, D.S., 2015. A ‘</w:t>
      </w:r>
      <w:proofErr w:type="spellStart"/>
      <w:r w:rsidRPr="00897097">
        <w:rPr>
          <w:rFonts w:ascii="Times New Roman" w:hAnsi="Times New Roman" w:cs="Times New Roman"/>
          <w:sz w:val="24"/>
          <w:szCs w:val="24"/>
        </w:rPr>
        <w:t>balanced’life</w:t>
      </w:r>
      <w:proofErr w:type="spellEnd"/>
      <w:r w:rsidRPr="00897097">
        <w:rPr>
          <w:rFonts w:ascii="Times New Roman" w:hAnsi="Times New Roman" w:cs="Times New Roman"/>
          <w:sz w:val="24"/>
          <w:szCs w:val="24"/>
        </w:rPr>
        <w:t>: work-life balance and sickness absence in four Nordic countries. </w:t>
      </w:r>
      <w:r w:rsidRPr="00897097">
        <w:rPr>
          <w:rFonts w:ascii="Times New Roman" w:hAnsi="Times New Roman" w:cs="Times New Roman"/>
          <w:i/>
          <w:iCs/>
          <w:sz w:val="24"/>
          <w:szCs w:val="24"/>
        </w:rPr>
        <w:t>The International Journal of Occupational and Environmental Medicine</w:t>
      </w:r>
      <w:r w:rsidRPr="00897097">
        <w:rPr>
          <w:rFonts w:ascii="Times New Roman" w:hAnsi="Times New Roman" w:cs="Times New Roman"/>
          <w:sz w:val="24"/>
          <w:szCs w:val="24"/>
        </w:rPr>
        <w:t>, </w:t>
      </w:r>
      <w:r w:rsidRPr="00897097">
        <w:rPr>
          <w:rFonts w:ascii="Times New Roman" w:hAnsi="Times New Roman" w:cs="Times New Roman"/>
          <w:i/>
          <w:iCs/>
          <w:sz w:val="24"/>
          <w:szCs w:val="24"/>
        </w:rPr>
        <w:t>6</w:t>
      </w:r>
      <w:r>
        <w:rPr>
          <w:rFonts w:ascii="Times New Roman" w:hAnsi="Times New Roman" w:cs="Times New Roman"/>
          <w:sz w:val="24"/>
          <w:szCs w:val="24"/>
        </w:rPr>
        <w:t xml:space="preserve">(4). </w:t>
      </w:r>
      <w:hyperlink r:id="rId7" w:history="1">
        <w:r w:rsidRPr="00BB61FB">
          <w:rPr>
            <w:rStyle w:val="Hyperlink"/>
            <w:rFonts w:ascii="Times New Roman" w:hAnsi="Times New Roman" w:cs="Times New Roman"/>
            <w:sz w:val="24"/>
            <w:szCs w:val="24"/>
          </w:rPr>
          <w:t>https://www.ncbi.nlm.nih.gov/pmc/articles/pmc6977043/</w:t>
        </w:r>
      </w:hyperlink>
    </w:p>
    <w:p w14:paraId="233F6BBF" w14:textId="77777777" w:rsidR="00C3280C" w:rsidRDefault="0075461D" w:rsidP="00C3280C">
      <w:pPr>
        <w:spacing w:line="360" w:lineRule="auto"/>
        <w:jc w:val="both"/>
        <w:rPr>
          <w:rFonts w:ascii="Times New Roman" w:hAnsi="Times New Roman" w:cs="Times New Roman"/>
          <w:sz w:val="24"/>
          <w:szCs w:val="24"/>
        </w:rPr>
      </w:pPr>
      <w:proofErr w:type="spellStart"/>
      <w:r w:rsidRPr="00DB17A9">
        <w:rPr>
          <w:rFonts w:ascii="Times New Roman" w:hAnsi="Times New Roman" w:cs="Times New Roman"/>
          <w:sz w:val="24"/>
          <w:szCs w:val="24"/>
        </w:rPr>
        <w:t>Beltrán</w:t>
      </w:r>
      <w:proofErr w:type="spellEnd"/>
      <w:r w:rsidRPr="00DB17A9">
        <w:rPr>
          <w:rFonts w:ascii="Times New Roman" w:hAnsi="Times New Roman" w:cs="Times New Roman"/>
          <w:sz w:val="24"/>
          <w:szCs w:val="24"/>
        </w:rPr>
        <w:t>‐Martín, I. and Roca‐Puig, V., 2013. Promoting employee flexibility through HR practices. </w:t>
      </w:r>
      <w:r w:rsidRPr="00DB17A9">
        <w:rPr>
          <w:rFonts w:ascii="Times New Roman" w:hAnsi="Times New Roman" w:cs="Times New Roman"/>
          <w:i/>
          <w:iCs/>
          <w:sz w:val="24"/>
          <w:szCs w:val="24"/>
        </w:rPr>
        <w:t>Human Resource Management</w:t>
      </w:r>
      <w:r w:rsidRPr="00DB17A9">
        <w:rPr>
          <w:rFonts w:ascii="Times New Roman" w:hAnsi="Times New Roman" w:cs="Times New Roman"/>
          <w:sz w:val="24"/>
          <w:szCs w:val="24"/>
        </w:rPr>
        <w:t>, </w:t>
      </w:r>
      <w:r w:rsidRPr="00DB17A9">
        <w:rPr>
          <w:rFonts w:ascii="Times New Roman" w:hAnsi="Times New Roman" w:cs="Times New Roman"/>
          <w:i/>
          <w:iCs/>
          <w:sz w:val="24"/>
          <w:szCs w:val="24"/>
        </w:rPr>
        <w:t>52</w:t>
      </w:r>
      <w:r w:rsidRPr="00DB17A9">
        <w:rPr>
          <w:rFonts w:ascii="Times New Roman" w:hAnsi="Times New Roman" w:cs="Times New Roman"/>
          <w:sz w:val="24"/>
          <w:szCs w:val="24"/>
        </w:rPr>
        <w:t>(5), pp.645-674.</w:t>
      </w:r>
      <w:r>
        <w:rPr>
          <w:rFonts w:ascii="Times New Roman" w:hAnsi="Times New Roman" w:cs="Times New Roman"/>
          <w:sz w:val="24"/>
          <w:szCs w:val="24"/>
        </w:rPr>
        <w:t xml:space="preserve"> </w:t>
      </w:r>
      <w:hyperlink r:id="rId8" w:history="1">
        <w:r w:rsidRPr="00BB61FB">
          <w:rPr>
            <w:rStyle w:val="Hyperlink"/>
            <w:rFonts w:ascii="Times New Roman" w:hAnsi="Times New Roman" w:cs="Times New Roman"/>
            <w:sz w:val="24"/>
            <w:szCs w:val="24"/>
          </w:rPr>
          <w:t>https://cyberleninka.org/article/n/1409123.pdf\</w:t>
        </w:r>
      </w:hyperlink>
    </w:p>
    <w:p w14:paraId="53154618" w14:textId="77777777" w:rsidR="00C3280C" w:rsidRDefault="0075461D" w:rsidP="00C3280C">
      <w:pPr>
        <w:spacing w:line="360" w:lineRule="auto"/>
        <w:jc w:val="both"/>
        <w:rPr>
          <w:rFonts w:ascii="Times New Roman" w:hAnsi="Times New Roman" w:cs="Times New Roman"/>
          <w:sz w:val="24"/>
          <w:szCs w:val="24"/>
        </w:rPr>
      </w:pPr>
      <w:r w:rsidRPr="00BE1D1F">
        <w:rPr>
          <w:rFonts w:ascii="Times New Roman" w:hAnsi="Times New Roman" w:cs="Times New Roman"/>
          <w:sz w:val="24"/>
          <w:szCs w:val="24"/>
        </w:rPr>
        <w:t xml:space="preserve">Chung, H., Birkett, H., Forbes, S. and </w:t>
      </w:r>
      <w:proofErr w:type="spellStart"/>
      <w:r w:rsidRPr="00BE1D1F">
        <w:rPr>
          <w:rFonts w:ascii="Times New Roman" w:hAnsi="Times New Roman" w:cs="Times New Roman"/>
          <w:sz w:val="24"/>
          <w:szCs w:val="24"/>
        </w:rPr>
        <w:t>Seo</w:t>
      </w:r>
      <w:proofErr w:type="spellEnd"/>
      <w:r w:rsidRPr="00BE1D1F">
        <w:rPr>
          <w:rFonts w:ascii="Times New Roman" w:hAnsi="Times New Roman" w:cs="Times New Roman"/>
          <w:sz w:val="24"/>
          <w:szCs w:val="24"/>
        </w:rPr>
        <w:t>, H., 2021. Covid-19, flexible working, and implications for gender equality in the United Kingdom. </w:t>
      </w:r>
      <w:r w:rsidRPr="00BE1D1F">
        <w:rPr>
          <w:rFonts w:ascii="Times New Roman" w:hAnsi="Times New Roman" w:cs="Times New Roman"/>
          <w:i/>
          <w:iCs/>
          <w:sz w:val="24"/>
          <w:szCs w:val="24"/>
        </w:rPr>
        <w:t>Gender &amp; Society</w:t>
      </w:r>
      <w:r w:rsidRPr="00BE1D1F">
        <w:rPr>
          <w:rFonts w:ascii="Times New Roman" w:hAnsi="Times New Roman" w:cs="Times New Roman"/>
          <w:sz w:val="24"/>
          <w:szCs w:val="24"/>
        </w:rPr>
        <w:t>, </w:t>
      </w:r>
      <w:r w:rsidRPr="00BE1D1F">
        <w:rPr>
          <w:rFonts w:ascii="Times New Roman" w:hAnsi="Times New Roman" w:cs="Times New Roman"/>
          <w:i/>
          <w:iCs/>
          <w:sz w:val="24"/>
          <w:szCs w:val="24"/>
        </w:rPr>
        <w:t>35</w:t>
      </w:r>
      <w:r w:rsidRPr="00BE1D1F">
        <w:rPr>
          <w:rFonts w:ascii="Times New Roman" w:hAnsi="Times New Roman" w:cs="Times New Roman"/>
          <w:sz w:val="24"/>
          <w:szCs w:val="24"/>
        </w:rPr>
        <w:t>(2), pp.218-232.</w:t>
      </w:r>
      <w:r>
        <w:rPr>
          <w:rFonts w:ascii="Times New Roman" w:hAnsi="Times New Roman" w:cs="Times New Roman"/>
          <w:sz w:val="24"/>
          <w:szCs w:val="24"/>
        </w:rPr>
        <w:t xml:space="preserve"> </w:t>
      </w:r>
      <w:hyperlink r:id="rId9" w:history="1">
        <w:r w:rsidRPr="00BB61FB">
          <w:rPr>
            <w:rStyle w:val="Hyperlink"/>
            <w:rFonts w:ascii="Times New Roman" w:hAnsi="Times New Roman" w:cs="Times New Roman"/>
            <w:sz w:val="24"/>
            <w:szCs w:val="24"/>
          </w:rPr>
          <w:t>https://journals.sagepub.com/doi/pdf/10.1177/08912432211001304</w:t>
        </w:r>
      </w:hyperlink>
    </w:p>
    <w:p w14:paraId="722EDA09"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CIPD Chartered Institute of Personnel and Development., 7 April 2021. Flexible working, teleworking, and diversity. </w:t>
      </w:r>
      <w:r>
        <w:rPr>
          <w:rFonts w:ascii="Times New Roman" w:hAnsi="Times New Roman" w:cs="Times New Roman"/>
          <w:i/>
          <w:sz w:val="24"/>
          <w:szCs w:val="24"/>
        </w:rPr>
        <w:t>CIPD</w:t>
      </w:r>
      <w:r>
        <w:rPr>
          <w:rFonts w:ascii="Times New Roman" w:hAnsi="Times New Roman" w:cs="Times New Roman"/>
          <w:sz w:val="24"/>
          <w:szCs w:val="24"/>
        </w:rPr>
        <w:t xml:space="preserve">, viewed on 23 March 2022 from </w:t>
      </w:r>
      <w:hyperlink r:id="rId10" w:anchor="gref" w:history="1">
        <w:r w:rsidRPr="00BB61FB">
          <w:rPr>
            <w:rStyle w:val="Hyperlink"/>
            <w:rFonts w:ascii="Times New Roman" w:hAnsi="Times New Roman" w:cs="Times New Roman"/>
            <w:sz w:val="24"/>
            <w:szCs w:val="24"/>
          </w:rPr>
          <w:t>https://www.cipd.co.uk/knowledge/fundamentals/relations/diversity/flexible-working-teleworking-diversity#gref</w:t>
        </w:r>
      </w:hyperlink>
    </w:p>
    <w:p w14:paraId="0A6F8AE0" w14:textId="77777777" w:rsidR="00C3280C" w:rsidRPr="00C3280C" w:rsidRDefault="0075461D" w:rsidP="00C3280C">
      <w:pPr>
        <w:spacing w:line="360" w:lineRule="auto"/>
        <w:jc w:val="both"/>
        <w:rPr>
          <w:rFonts w:ascii="Times New Roman" w:hAnsi="Times New Roman" w:cs="Times New Roman"/>
          <w:sz w:val="24"/>
          <w:szCs w:val="24"/>
        </w:rPr>
      </w:pPr>
      <w:proofErr w:type="spellStart"/>
      <w:r w:rsidRPr="00A00033">
        <w:rPr>
          <w:rFonts w:ascii="Times New Roman" w:hAnsi="Times New Roman" w:cs="Times New Roman"/>
          <w:sz w:val="24"/>
          <w:szCs w:val="24"/>
        </w:rPr>
        <w:t>Damman</w:t>
      </w:r>
      <w:proofErr w:type="spellEnd"/>
      <w:r w:rsidRPr="00A00033">
        <w:rPr>
          <w:rFonts w:ascii="Times New Roman" w:hAnsi="Times New Roman" w:cs="Times New Roman"/>
          <w:sz w:val="24"/>
          <w:szCs w:val="24"/>
        </w:rPr>
        <w:t xml:space="preserve">, M. and </w:t>
      </w:r>
      <w:proofErr w:type="spellStart"/>
      <w:r w:rsidRPr="00A00033">
        <w:rPr>
          <w:rFonts w:ascii="Times New Roman" w:hAnsi="Times New Roman" w:cs="Times New Roman"/>
          <w:sz w:val="24"/>
          <w:szCs w:val="24"/>
        </w:rPr>
        <w:t>Henkens</w:t>
      </w:r>
      <w:proofErr w:type="spellEnd"/>
      <w:r w:rsidRPr="00A00033">
        <w:rPr>
          <w:rFonts w:ascii="Times New Roman" w:hAnsi="Times New Roman" w:cs="Times New Roman"/>
          <w:sz w:val="24"/>
          <w:szCs w:val="24"/>
        </w:rPr>
        <w:t>, K., 2020. Gender differences in perceived workplace flexibility among older workers in the Netherlands: A brief report. </w:t>
      </w:r>
      <w:r w:rsidRPr="00A00033">
        <w:rPr>
          <w:rFonts w:ascii="Times New Roman" w:hAnsi="Times New Roman" w:cs="Times New Roman"/>
          <w:i/>
          <w:iCs/>
          <w:sz w:val="24"/>
          <w:szCs w:val="24"/>
        </w:rPr>
        <w:t>Journal of Applied Gerontology</w:t>
      </w:r>
      <w:r w:rsidRPr="00A00033">
        <w:rPr>
          <w:rFonts w:ascii="Times New Roman" w:hAnsi="Times New Roman" w:cs="Times New Roman"/>
          <w:sz w:val="24"/>
          <w:szCs w:val="24"/>
        </w:rPr>
        <w:t>, </w:t>
      </w:r>
      <w:r w:rsidRPr="00A00033">
        <w:rPr>
          <w:rFonts w:ascii="Times New Roman" w:hAnsi="Times New Roman" w:cs="Times New Roman"/>
          <w:i/>
          <w:iCs/>
          <w:sz w:val="24"/>
          <w:szCs w:val="24"/>
        </w:rPr>
        <w:t>39</w:t>
      </w:r>
      <w:r w:rsidRPr="00A00033">
        <w:rPr>
          <w:rFonts w:ascii="Times New Roman" w:hAnsi="Times New Roman" w:cs="Times New Roman"/>
          <w:sz w:val="24"/>
          <w:szCs w:val="24"/>
        </w:rPr>
        <w:t>(8), pp.915-921.</w:t>
      </w:r>
      <w:r>
        <w:rPr>
          <w:rFonts w:ascii="Times New Roman" w:hAnsi="Times New Roman" w:cs="Times New Roman"/>
          <w:sz w:val="24"/>
          <w:szCs w:val="24"/>
        </w:rPr>
        <w:t xml:space="preserve"> </w:t>
      </w:r>
      <w:hyperlink r:id="rId11" w:history="1">
        <w:r w:rsidRPr="00BB61FB">
          <w:rPr>
            <w:rStyle w:val="Hyperlink"/>
            <w:rFonts w:ascii="Times New Roman" w:hAnsi="Times New Roman" w:cs="Times New Roman"/>
            <w:sz w:val="24"/>
            <w:szCs w:val="24"/>
          </w:rPr>
          <w:t>https://journals.sagepub.com/doi/pdf/10.1177/0733464818800651</w:t>
        </w:r>
      </w:hyperlink>
    </w:p>
    <w:p w14:paraId="742F73BC" w14:textId="77777777" w:rsidR="00C3280C" w:rsidRDefault="0075461D" w:rsidP="00C3280C">
      <w:pPr>
        <w:spacing w:line="360" w:lineRule="auto"/>
        <w:jc w:val="both"/>
        <w:rPr>
          <w:rFonts w:ascii="Times New Roman" w:hAnsi="Times New Roman" w:cs="Times New Roman"/>
          <w:sz w:val="24"/>
          <w:szCs w:val="24"/>
        </w:rPr>
      </w:pPr>
      <w:r w:rsidRPr="004C49F5">
        <w:rPr>
          <w:rFonts w:ascii="Times New Roman" w:hAnsi="Times New Roman" w:cs="Times New Roman"/>
          <w:sz w:val="24"/>
          <w:szCs w:val="24"/>
        </w:rPr>
        <w:t>Desmond, D. and Meaney, S., 2016. A qualitative study investigating the barriers to returning to work for breastfeeding mothers in Ireland. </w:t>
      </w:r>
      <w:r w:rsidRPr="004C49F5">
        <w:rPr>
          <w:rFonts w:ascii="Times New Roman" w:hAnsi="Times New Roman" w:cs="Times New Roman"/>
          <w:i/>
          <w:iCs/>
          <w:sz w:val="24"/>
          <w:szCs w:val="24"/>
        </w:rPr>
        <w:t>International breastfeeding journal</w:t>
      </w:r>
      <w:r w:rsidRPr="004C49F5">
        <w:rPr>
          <w:rFonts w:ascii="Times New Roman" w:hAnsi="Times New Roman" w:cs="Times New Roman"/>
          <w:sz w:val="24"/>
          <w:szCs w:val="24"/>
        </w:rPr>
        <w:t>, </w:t>
      </w:r>
      <w:r w:rsidRPr="004C49F5">
        <w:rPr>
          <w:rFonts w:ascii="Times New Roman" w:hAnsi="Times New Roman" w:cs="Times New Roman"/>
          <w:i/>
          <w:iCs/>
          <w:sz w:val="24"/>
          <w:szCs w:val="24"/>
        </w:rPr>
        <w:t>11</w:t>
      </w:r>
      <w:r w:rsidRPr="004C49F5">
        <w:rPr>
          <w:rFonts w:ascii="Times New Roman" w:hAnsi="Times New Roman" w:cs="Times New Roman"/>
          <w:sz w:val="24"/>
          <w:szCs w:val="24"/>
        </w:rPr>
        <w:t>(1), pp.1-9.</w:t>
      </w:r>
      <w:r>
        <w:rPr>
          <w:rFonts w:ascii="Times New Roman" w:hAnsi="Times New Roman" w:cs="Times New Roman"/>
          <w:sz w:val="24"/>
          <w:szCs w:val="24"/>
        </w:rPr>
        <w:t xml:space="preserve"> </w:t>
      </w:r>
      <w:hyperlink r:id="rId12" w:history="1">
        <w:r w:rsidRPr="00BB61FB">
          <w:rPr>
            <w:rStyle w:val="Hyperlink"/>
            <w:rFonts w:ascii="Times New Roman" w:hAnsi="Times New Roman" w:cs="Times New Roman"/>
            <w:sz w:val="24"/>
            <w:szCs w:val="24"/>
          </w:rPr>
          <w:t>https://link.springer.com/article/10.1186/s13006-016-0075-8</w:t>
        </w:r>
      </w:hyperlink>
    </w:p>
    <w:p w14:paraId="5B77F49F" w14:textId="77777777" w:rsidR="00C3280C" w:rsidRDefault="0075461D" w:rsidP="00C3280C">
      <w:pPr>
        <w:spacing w:line="360" w:lineRule="auto"/>
        <w:jc w:val="both"/>
        <w:rPr>
          <w:rFonts w:ascii="Times New Roman" w:hAnsi="Times New Roman" w:cs="Times New Roman"/>
          <w:sz w:val="24"/>
          <w:szCs w:val="24"/>
        </w:rPr>
      </w:pPr>
      <w:r w:rsidRPr="00935AE9">
        <w:rPr>
          <w:rFonts w:ascii="Times New Roman" w:hAnsi="Times New Roman" w:cs="Times New Roman"/>
          <w:sz w:val="24"/>
          <w:szCs w:val="24"/>
        </w:rPr>
        <w:t xml:space="preserve">Fang, M.L., </w:t>
      </w:r>
      <w:proofErr w:type="spellStart"/>
      <w:r w:rsidRPr="00935AE9">
        <w:rPr>
          <w:rFonts w:ascii="Times New Roman" w:hAnsi="Times New Roman" w:cs="Times New Roman"/>
          <w:sz w:val="24"/>
          <w:szCs w:val="24"/>
        </w:rPr>
        <w:t>Canham</w:t>
      </w:r>
      <w:proofErr w:type="spellEnd"/>
      <w:r w:rsidRPr="00935AE9">
        <w:rPr>
          <w:rFonts w:ascii="Times New Roman" w:hAnsi="Times New Roman" w:cs="Times New Roman"/>
          <w:sz w:val="24"/>
          <w:szCs w:val="24"/>
        </w:rPr>
        <w:t>, S.L., Battersby, L., Sixsmith, J., Wada, M. and Sixsmith, A., 2019. Exploring privilege in the digital divide: implications for theory, policy, and practice. </w:t>
      </w:r>
      <w:r w:rsidRPr="00935AE9">
        <w:rPr>
          <w:rFonts w:ascii="Times New Roman" w:hAnsi="Times New Roman" w:cs="Times New Roman"/>
          <w:i/>
          <w:iCs/>
          <w:sz w:val="24"/>
          <w:szCs w:val="24"/>
        </w:rPr>
        <w:t>The Gerontologist</w:t>
      </w:r>
      <w:r w:rsidRPr="00935AE9">
        <w:rPr>
          <w:rFonts w:ascii="Times New Roman" w:hAnsi="Times New Roman" w:cs="Times New Roman"/>
          <w:sz w:val="24"/>
          <w:szCs w:val="24"/>
        </w:rPr>
        <w:t>, </w:t>
      </w:r>
      <w:r w:rsidRPr="00935AE9">
        <w:rPr>
          <w:rFonts w:ascii="Times New Roman" w:hAnsi="Times New Roman" w:cs="Times New Roman"/>
          <w:i/>
          <w:iCs/>
          <w:sz w:val="24"/>
          <w:szCs w:val="24"/>
        </w:rPr>
        <w:t>59</w:t>
      </w:r>
      <w:r w:rsidRPr="00935AE9">
        <w:rPr>
          <w:rFonts w:ascii="Times New Roman" w:hAnsi="Times New Roman" w:cs="Times New Roman"/>
          <w:sz w:val="24"/>
          <w:szCs w:val="24"/>
        </w:rPr>
        <w:t xml:space="preserve">(1), </w:t>
      </w:r>
      <w:proofErr w:type="gramStart"/>
      <w:r w:rsidRPr="00935AE9">
        <w:rPr>
          <w:rFonts w:ascii="Times New Roman" w:hAnsi="Times New Roman" w:cs="Times New Roman"/>
          <w:sz w:val="24"/>
          <w:szCs w:val="24"/>
        </w:rPr>
        <w:t>pp.e</w:t>
      </w:r>
      <w:proofErr w:type="gramEnd"/>
      <w:r w:rsidRPr="00935AE9">
        <w:rPr>
          <w:rFonts w:ascii="Times New Roman" w:hAnsi="Times New Roman" w:cs="Times New Roman"/>
          <w:sz w:val="24"/>
          <w:szCs w:val="24"/>
        </w:rPr>
        <w:t>1-e15.</w:t>
      </w:r>
      <w:r>
        <w:rPr>
          <w:rFonts w:ascii="Times New Roman" w:hAnsi="Times New Roman" w:cs="Times New Roman"/>
          <w:sz w:val="24"/>
          <w:szCs w:val="24"/>
        </w:rPr>
        <w:t xml:space="preserve"> </w:t>
      </w:r>
      <w:hyperlink r:id="rId13" w:history="1">
        <w:r w:rsidRPr="00BB61FB">
          <w:rPr>
            <w:rStyle w:val="Hyperlink"/>
            <w:rFonts w:ascii="Times New Roman" w:hAnsi="Times New Roman" w:cs="Times New Roman"/>
            <w:sz w:val="24"/>
            <w:szCs w:val="24"/>
          </w:rPr>
          <w:t>https://academic.oup.com/gerontologist/article/59/1/e1/4994703</w:t>
        </w:r>
      </w:hyperlink>
    </w:p>
    <w:p w14:paraId="23F06562" w14:textId="77777777" w:rsidR="00C3280C" w:rsidRDefault="0075461D" w:rsidP="00C3280C">
      <w:pPr>
        <w:spacing w:line="360" w:lineRule="auto"/>
        <w:jc w:val="both"/>
        <w:rPr>
          <w:rFonts w:ascii="Times New Roman" w:hAnsi="Times New Roman" w:cs="Times New Roman"/>
          <w:sz w:val="24"/>
          <w:szCs w:val="24"/>
        </w:rPr>
      </w:pPr>
      <w:r w:rsidRPr="00971D89">
        <w:rPr>
          <w:rFonts w:ascii="Times New Roman" w:hAnsi="Times New Roman" w:cs="Times New Roman"/>
          <w:sz w:val="24"/>
          <w:szCs w:val="24"/>
        </w:rPr>
        <w:t xml:space="preserve">Herman, C., </w:t>
      </w:r>
      <w:proofErr w:type="spellStart"/>
      <w:r w:rsidRPr="00971D89">
        <w:rPr>
          <w:rFonts w:ascii="Times New Roman" w:hAnsi="Times New Roman" w:cs="Times New Roman"/>
          <w:sz w:val="24"/>
          <w:szCs w:val="24"/>
        </w:rPr>
        <w:t>Gracia</w:t>
      </w:r>
      <w:proofErr w:type="spellEnd"/>
      <w:r w:rsidRPr="00971D89">
        <w:rPr>
          <w:rFonts w:ascii="Times New Roman" w:hAnsi="Times New Roman" w:cs="Times New Roman"/>
          <w:sz w:val="24"/>
          <w:szCs w:val="24"/>
        </w:rPr>
        <w:t xml:space="preserve">, R., </w:t>
      </w:r>
      <w:proofErr w:type="spellStart"/>
      <w:r w:rsidRPr="00971D89">
        <w:rPr>
          <w:rFonts w:ascii="Times New Roman" w:hAnsi="Times New Roman" w:cs="Times New Roman"/>
          <w:sz w:val="24"/>
          <w:szCs w:val="24"/>
        </w:rPr>
        <w:t>MacNiven</w:t>
      </w:r>
      <w:proofErr w:type="spellEnd"/>
      <w:r w:rsidRPr="00971D89">
        <w:rPr>
          <w:rFonts w:ascii="Times New Roman" w:hAnsi="Times New Roman" w:cs="Times New Roman"/>
          <w:sz w:val="24"/>
          <w:szCs w:val="24"/>
        </w:rPr>
        <w:t>, L., Clark, B. and Doyle, G., 2019. Using a blended learning approach to support women returning to STEM. </w:t>
      </w:r>
      <w:r w:rsidRPr="00971D89">
        <w:rPr>
          <w:rFonts w:ascii="Times New Roman" w:hAnsi="Times New Roman" w:cs="Times New Roman"/>
          <w:i/>
          <w:iCs/>
          <w:sz w:val="24"/>
          <w:szCs w:val="24"/>
        </w:rPr>
        <w:t>Open Learning: The Journal of Open, Distance and e-Learning</w:t>
      </w:r>
      <w:r w:rsidRPr="00971D89">
        <w:rPr>
          <w:rFonts w:ascii="Times New Roman" w:hAnsi="Times New Roman" w:cs="Times New Roman"/>
          <w:sz w:val="24"/>
          <w:szCs w:val="24"/>
        </w:rPr>
        <w:t>, </w:t>
      </w:r>
      <w:r w:rsidRPr="00971D89">
        <w:rPr>
          <w:rFonts w:ascii="Times New Roman" w:hAnsi="Times New Roman" w:cs="Times New Roman"/>
          <w:i/>
          <w:iCs/>
          <w:sz w:val="24"/>
          <w:szCs w:val="24"/>
        </w:rPr>
        <w:t>34</w:t>
      </w:r>
      <w:r w:rsidRPr="00971D89">
        <w:rPr>
          <w:rFonts w:ascii="Times New Roman" w:hAnsi="Times New Roman" w:cs="Times New Roman"/>
          <w:sz w:val="24"/>
          <w:szCs w:val="24"/>
        </w:rPr>
        <w:t>(1), pp.40-60.</w:t>
      </w:r>
      <w:r>
        <w:rPr>
          <w:rFonts w:ascii="Times New Roman" w:hAnsi="Times New Roman" w:cs="Times New Roman"/>
          <w:sz w:val="24"/>
          <w:szCs w:val="24"/>
        </w:rPr>
        <w:t xml:space="preserve"> </w:t>
      </w:r>
      <w:hyperlink r:id="rId14" w:history="1">
        <w:r w:rsidRPr="00BB61FB">
          <w:rPr>
            <w:rStyle w:val="Hyperlink"/>
            <w:rFonts w:ascii="Times New Roman" w:hAnsi="Times New Roman" w:cs="Times New Roman"/>
            <w:sz w:val="24"/>
            <w:szCs w:val="24"/>
          </w:rPr>
          <w:t>https://oro.open.ac.uk/57501/1/Using%20a%20Blended%20Learning%20Approach%20-%20accepted%20version.pdf</w:t>
        </w:r>
      </w:hyperlink>
    </w:p>
    <w:p w14:paraId="586E3079" w14:textId="77777777" w:rsidR="00C3280C" w:rsidRDefault="0075461D" w:rsidP="00C3280C">
      <w:pPr>
        <w:spacing w:line="360" w:lineRule="auto"/>
        <w:jc w:val="both"/>
        <w:rPr>
          <w:rFonts w:ascii="Times New Roman" w:hAnsi="Times New Roman" w:cs="Times New Roman"/>
          <w:sz w:val="24"/>
          <w:szCs w:val="24"/>
        </w:rPr>
      </w:pPr>
      <w:proofErr w:type="spellStart"/>
      <w:r w:rsidRPr="00731048">
        <w:rPr>
          <w:rFonts w:ascii="Times New Roman" w:hAnsi="Times New Roman" w:cs="Times New Roman"/>
          <w:sz w:val="24"/>
          <w:szCs w:val="24"/>
        </w:rPr>
        <w:t>Kalb</w:t>
      </w:r>
      <w:proofErr w:type="spellEnd"/>
      <w:r w:rsidRPr="00731048">
        <w:rPr>
          <w:rFonts w:ascii="Times New Roman" w:hAnsi="Times New Roman" w:cs="Times New Roman"/>
          <w:sz w:val="24"/>
          <w:szCs w:val="24"/>
        </w:rPr>
        <w:t>, G., 2018. Paid parental leave and female labour supply: A review. </w:t>
      </w:r>
      <w:r w:rsidRPr="00731048">
        <w:rPr>
          <w:rFonts w:ascii="Times New Roman" w:hAnsi="Times New Roman" w:cs="Times New Roman"/>
          <w:i/>
          <w:iCs/>
          <w:sz w:val="24"/>
          <w:szCs w:val="24"/>
        </w:rPr>
        <w:t>Economic Record</w:t>
      </w:r>
      <w:r w:rsidRPr="00731048">
        <w:rPr>
          <w:rFonts w:ascii="Times New Roman" w:hAnsi="Times New Roman" w:cs="Times New Roman"/>
          <w:sz w:val="24"/>
          <w:szCs w:val="24"/>
        </w:rPr>
        <w:t>, </w:t>
      </w:r>
      <w:r w:rsidRPr="00731048">
        <w:rPr>
          <w:rFonts w:ascii="Times New Roman" w:hAnsi="Times New Roman" w:cs="Times New Roman"/>
          <w:i/>
          <w:iCs/>
          <w:sz w:val="24"/>
          <w:szCs w:val="24"/>
        </w:rPr>
        <w:t>94</w:t>
      </w:r>
      <w:r w:rsidRPr="00731048">
        <w:rPr>
          <w:rFonts w:ascii="Times New Roman" w:hAnsi="Times New Roman" w:cs="Times New Roman"/>
          <w:sz w:val="24"/>
          <w:szCs w:val="24"/>
        </w:rPr>
        <w:t>(304), pp.80-100.</w:t>
      </w:r>
      <w:r>
        <w:rPr>
          <w:rFonts w:ascii="Times New Roman" w:hAnsi="Times New Roman" w:cs="Times New Roman"/>
          <w:sz w:val="24"/>
          <w:szCs w:val="24"/>
        </w:rPr>
        <w:t xml:space="preserve"> </w:t>
      </w:r>
      <w:hyperlink r:id="rId15" w:history="1">
        <w:r w:rsidRPr="00BB61FB">
          <w:rPr>
            <w:rStyle w:val="Hyperlink"/>
            <w:rFonts w:ascii="Times New Roman" w:hAnsi="Times New Roman" w:cs="Times New Roman"/>
            <w:sz w:val="24"/>
            <w:szCs w:val="24"/>
          </w:rPr>
          <w:t>https://minerva-access.unimelb.edu.au/bitstream/handle/11343/214384/Paid%20Parental%20Leave%20and%20Female%20Labour%20Supply%20-%20A%20Review.pdf?sequence=1</w:t>
        </w:r>
      </w:hyperlink>
    </w:p>
    <w:p w14:paraId="164683ED" w14:textId="77777777" w:rsidR="00C3280C" w:rsidRDefault="0075461D" w:rsidP="00C3280C">
      <w:pPr>
        <w:spacing w:line="360" w:lineRule="auto"/>
        <w:jc w:val="both"/>
        <w:rPr>
          <w:rFonts w:ascii="Times New Roman" w:hAnsi="Times New Roman" w:cs="Times New Roman"/>
          <w:sz w:val="24"/>
          <w:szCs w:val="24"/>
        </w:rPr>
      </w:pPr>
      <w:proofErr w:type="spellStart"/>
      <w:r w:rsidRPr="00BE37AD">
        <w:rPr>
          <w:rFonts w:ascii="Times New Roman" w:hAnsi="Times New Roman" w:cs="Times New Roman"/>
          <w:sz w:val="24"/>
          <w:szCs w:val="24"/>
        </w:rPr>
        <w:t>Kalpazidou</w:t>
      </w:r>
      <w:proofErr w:type="spellEnd"/>
      <w:r w:rsidRPr="00BE37AD">
        <w:rPr>
          <w:rFonts w:ascii="Times New Roman" w:hAnsi="Times New Roman" w:cs="Times New Roman"/>
          <w:sz w:val="24"/>
          <w:szCs w:val="24"/>
        </w:rPr>
        <w:t xml:space="preserve"> Schmidt, E., </w:t>
      </w:r>
      <w:proofErr w:type="spellStart"/>
      <w:r w:rsidRPr="00BE37AD">
        <w:rPr>
          <w:rFonts w:ascii="Times New Roman" w:hAnsi="Times New Roman" w:cs="Times New Roman"/>
          <w:sz w:val="24"/>
          <w:szCs w:val="24"/>
        </w:rPr>
        <w:t>Ovseiko</w:t>
      </w:r>
      <w:proofErr w:type="spellEnd"/>
      <w:r w:rsidRPr="00BE37AD">
        <w:rPr>
          <w:rFonts w:ascii="Times New Roman" w:hAnsi="Times New Roman" w:cs="Times New Roman"/>
          <w:sz w:val="24"/>
          <w:szCs w:val="24"/>
        </w:rPr>
        <w:t xml:space="preserve">, P.V., Henderson, L.R. and </w:t>
      </w:r>
      <w:proofErr w:type="spellStart"/>
      <w:r w:rsidRPr="00BE37AD">
        <w:rPr>
          <w:rFonts w:ascii="Times New Roman" w:hAnsi="Times New Roman" w:cs="Times New Roman"/>
          <w:sz w:val="24"/>
          <w:szCs w:val="24"/>
        </w:rPr>
        <w:t>Kiparoglou</w:t>
      </w:r>
      <w:proofErr w:type="spellEnd"/>
      <w:r w:rsidRPr="00BE37AD">
        <w:rPr>
          <w:rFonts w:ascii="Times New Roman" w:hAnsi="Times New Roman" w:cs="Times New Roman"/>
          <w:sz w:val="24"/>
          <w:szCs w:val="24"/>
        </w:rPr>
        <w:t xml:space="preserve">, V., 2020. Understanding the Athena SWAN award scheme for gender equality as a complex social intervention in a complex system: analysis of </w:t>
      </w:r>
      <w:proofErr w:type="gramStart"/>
      <w:r w:rsidRPr="00BE37AD">
        <w:rPr>
          <w:rFonts w:ascii="Times New Roman" w:hAnsi="Times New Roman" w:cs="Times New Roman"/>
          <w:sz w:val="24"/>
          <w:szCs w:val="24"/>
        </w:rPr>
        <w:t>Silver</w:t>
      </w:r>
      <w:proofErr w:type="gramEnd"/>
      <w:r w:rsidRPr="00BE37AD">
        <w:rPr>
          <w:rFonts w:ascii="Times New Roman" w:hAnsi="Times New Roman" w:cs="Times New Roman"/>
          <w:sz w:val="24"/>
          <w:szCs w:val="24"/>
        </w:rPr>
        <w:t xml:space="preserve"> award action plans in a comparative European perspective. </w:t>
      </w:r>
      <w:r w:rsidRPr="00BE37AD">
        <w:rPr>
          <w:rFonts w:ascii="Times New Roman" w:hAnsi="Times New Roman" w:cs="Times New Roman"/>
          <w:i/>
          <w:iCs/>
          <w:sz w:val="24"/>
          <w:szCs w:val="24"/>
        </w:rPr>
        <w:t>Health Research Policy and Systems</w:t>
      </w:r>
      <w:r w:rsidRPr="00BE37AD">
        <w:rPr>
          <w:rFonts w:ascii="Times New Roman" w:hAnsi="Times New Roman" w:cs="Times New Roman"/>
          <w:sz w:val="24"/>
          <w:szCs w:val="24"/>
        </w:rPr>
        <w:t>, </w:t>
      </w:r>
      <w:r w:rsidRPr="00BE37AD">
        <w:rPr>
          <w:rFonts w:ascii="Times New Roman" w:hAnsi="Times New Roman" w:cs="Times New Roman"/>
          <w:i/>
          <w:iCs/>
          <w:sz w:val="24"/>
          <w:szCs w:val="24"/>
        </w:rPr>
        <w:t>18</w:t>
      </w:r>
      <w:r w:rsidRPr="00BE37AD">
        <w:rPr>
          <w:rFonts w:ascii="Times New Roman" w:hAnsi="Times New Roman" w:cs="Times New Roman"/>
          <w:sz w:val="24"/>
          <w:szCs w:val="24"/>
        </w:rPr>
        <w:t>(1), pp.1-21.</w:t>
      </w:r>
      <w:r>
        <w:rPr>
          <w:rFonts w:ascii="Times New Roman" w:hAnsi="Times New Roman" w:cs="Times New Roman"/>
          <w:sz w:val="24"/>
          <w:szCs w:val="24"/>
        </w:rPr>
        <w:t xml:space="preserve"> </w:t>
      </w:r>
      <w:hyperlink r:id="rId16" w:history="1">
        <w:r w:rsidRPr="00BB61FB">
          <w:rPr>
            <w:rStyle w:val="Hyperlink"/>
            <w:rFonts w:ascii="Times New Roman" w:hAnsi="Times New Roman" w:cs="Times New Roman"/>
            <w:sz w:val="24"/>
            <w:szCs w:val="24"/>
          </w:rPr>
          <w:t>https://health-policy-systems.biomedcentral.com/articles/10.1186/s12961-020-0527-x</w:t>
        </w:r>
      </w:hyperlink>
    </w:p>
    <w:p w14:paraId="2A3FD924" w14:textId="77777777" w:rsidR="00C3280C" w:rsidRDefault="0075461D" w:rsidP="00C3280C">
      <w:pPr>
        <w:spacing w:line="360" w:lineRule="auto"/>
        <w:jc w:val="both"/>
        <w:rPr>
          <w:rFonts w:ascii="Times New Roman" w:hAnsi="Times New Roman" w:cs="Times New Roman"/>
          <w:sz w:val="24"/>
          <w:szCs w:val="24"/>
        </w:rPr>
      </w:pPr>
      <w:r w:rsidRPr="00A2314D">
        <w:rPr>
          <w:rFonts w:ascii="Times New Roman" w:hAnsi="Times New Roman" w:cs="Times New Roman"/>
          <w:sz w:val="24"/>
          <w:szCs w:val="24"/>
        </w:rPr>
        <w:t xml:space="preserve">Khan, N., </w:t>
      </w:r>
      <w:proofErr w:type="spellStart"/>
      <w:r w:rsidRPr="00A2314D">
        <w:rPr>
          <w:rFonts w:ascii="Times New Roman" w:hAnsi="Times New Roman" w:cs="Times New Roman"/>
          <w:sz w:val="24"/>
          <w:szCs w:val="24"/>
        </w:rPr>
        <w:t>Korac‐Kakabadse</w:t>
      </w:r>
      <w:proofErr w:type="spellEnd"/>
      <w:r w:rsidRPr="00A2314D">
        <w:rPr>
          <w:rFonts w:ascii="Times New Roman" w:hAnsi="Times New Roman" w:cs="Times New Roman"/>
          <w:sz w:val="24"/>
          <w:szCs w:val="24"/>
        </w:rPr>
        <w:t xml:space="preserve">, N., </w:t>
      </w:r>
      <w:proofErr w:type="spellStart"/>
      <w:r w:rsidRPr="00A2314D">
        <w:rPr>
          <w:rFonts w:ascii="Times New Roman" w:hAnsi="Times New Roman" w:cs="Times New Roman"/>
          <w:sz w:val="24"/>
          <w:szCs w:val="24"/>
        </w:rPr>
        <w:t>Skouloudis</w:t>
      </w:r>
      <w:proofErr w:type="spellEnd"/>
      <w:r w:rsidRPr="00A2314D">
        <w:rPr>
          <w:rFonts w:ascii="Times New Roman" w:hAnsi="Times New Roman" w:cs="Times New Roman"/>
          <w:sz w:val="24"/>
          <w:szCs w:val="24"/>
        </w:rPr>
        <w:t xml:space="preserve">, A. and </w:t>
      </w:r>
      <w:proofErr w:type="spellStart"/>
      <w:r w:rsidRPr="00A2314D">
        <w:rPr>
          <w:rFonts w:ascii="Times New Roman" w:hAnsi="Times New Roman" w:cs="Times New Roman"/>
          <w:sz w:val="24"/>
          <w:szCs w:val="24"/>
        </w:rPr>
        <w:t>Dimopoulos</w:t>
      </w:r>
      <w:proofErr w:type="spellEnd"/>
      <w:r w:rsidRPr="00A2314D">
        <w:rPr>
          <w:rFonts w:ascii="Times New Roman" w:hAnsi="Times New Roman" w:cs="Times New Roman"/>
          <w:sz w:val="24"/>
          <w:szCs w:val="24"/>
        </w:rPr>
        <w:t>, A., 2019. Diversity in the workplace: An overview of disability employment disclosures among UK firms. </w:t>
      </w:r>
      <w:r w:rsidRPr="00A2314D">
        <w:rPr>
          <w:rFonts w:ascii="Times New Roman" w:hAnsi="Times New Roman" w:cs="Times New Roman"/>
          <w:i/>
          <w:iCs/>
          <w:sz w:val="24"/>
          <w:szCs w:val="24"/>
        </w:rPr>
        <w:t>Corporate Social Responsibility and Environmental Management</w:t>
      </w:r>
      <w:r w:rsidRPr="00A2314D">
        <w:rPr>
          <w:rFonts w:ascii="Times New Roman" w:hAnsi="Times New Roman" w:cs="Times New Roman"/>
          <w:sz w:val="24"/>
          <w:szCs w:val="24"/>
        </w:rPr>
        <w:t>, </w:t>
      </w:r>
      <w:r w:rsidRPr="00A2314D">
        <w:rPr>
          <w:rFonts w:ascii="Times New Roman" w:hAnsi="Times New Roman" w:cs="Times New Roman"/>
          <w:i/>
          <w:iCs/>
          <w:sz w:val="24"/>
          <w:szCs w:val="24"/>
        </w:rPr>
        <w:t>26</w:t>
      </w:r>
      <w:r w:rsidRPr="00A2314D">
        <w:rPr>
          <w:rFonts w:ascii="Times New Roman" w:hAnsi="Times New Roman" w:cs="Times New Roman"/>
          <w:sz w:val="24"/>
          <w:szCs w:val="24"/>
        </w:rPr>
        <w:t>(1), pp.170-185.</w:t>
      </w:r>
      <w:r>
        <w:rPr>
          <w:rFonts w:ascii="Times New Roman" w:hAnsi="Times New Roman" w:cs="Times New Roman"/>
          <w:sz w:val="24"/>
          <w:szCs w:val="24"/>
        </w:rPr>
        <w:t xml:space="preserve"> </w:t>
      </w:r>
      <w:hyperlink r:id="rId17" w:history="1">
        <w:r w:rsidRPr="00BB61FB">
          <w:rPr>
            <w:rStyle w:val="Hyperlink"/>
            <w:rFonts w:ascii="Times New Roman" w:hAnsi="Times New Roman" w:cs="Times New Roman"/>
            <w:sz w:val="24"/>
            <w:szCs w:val="24"/>
          </w:rPr>
          <w:t>https://pure.hud.ac.uk/ws/files/14445350/PWD_NKASNK_final_140618_extra_references_2_.pdf</w:t>
        </w:r>
      </w:hyperlink>
    </w:p>
    <w:p w14:paraId="6E79FCD6"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McIntosh, S., 19 June 2018. Gender </w:t>
      </w:r>
      <w:proofErr w:type="gramStart"/>
      <w:r>
        <w:rPr>
          <w:rFonts w:ascii="Times New Roman" w:hAnsi="Times New Roman" w:cs="Times New Roman"/>
          <w:sz w:val="24"/>
          <w:szCs w:val="24"/>
        </w:rPr>
        <w:t>pay</w:t>
      </w:r>
      <w:proofErr w:type="gramEnd"/>
      <w:r>
        <w:rPr>
          <w:rFonts w:ascii="Times New Roman" w:hAnsi="Times New Roman" w:cs="Times New Roman"/>
          <w:sz w:val="24"/>
          <w:szCs w:val="24"/>
        </w:rPr>
        <w:t xml:space="preserve"> gap reporting: what your business needs to know. </w:t>
      </w:r>
      <w:r>
        <w:rPr>
          <w:rFonts w:ascii="Times New Roman" w:hAnsi="Times New Roman" w:cs="Times New Roman"/>
          <w:i/>
          <w:sz w:val="24"/>
          <w:szCs w:val="24"/>
        </w:rPr>
        <w:t>Sage</w:t>
      </w:r>
      <w:r>
        <w:rPr>
          <w:rFonts w:ascii="Times New Roman" w:hAnsi="Times New Roman" w:cs="Times New Roman"/>
          <w:sz w:val="24"/>
          <w:szCs w:val="24"/>
        </w:rPr>
        <w:t xml:space="preserve">, viewed on 22 March 2022 from </w:t>
      </w:r>
      <w:hyperlink r:id="rId18" w:history="1">
        <w:r w:rsidRPr="00BB61FB">
          <w:rPr>
            <w:rStyle w:val="Hyperlink"/>
            <w:rFonts w:ascii="Times New Roman" w:hAnsi="Times New Roman" w:cs="Times New Roman"/>
            <w:sz w:val="24"/>
            <w:szCs w:val="24"/>
          </w:rPr>
          <w:t>https://www.sage.com/en-gb/blog/gender-pay-gap-reporting/</w:t>
        </w:r>
      </w:hyperlink>
    </w:p>
    <w:p w14:paraId="58E597E0"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Meagher, F., 26 September 2019. Flexible working: a step to creating more inclusive workplaces. </w:t>
      </w:r>
      <w:r>
        <w:rPr>
          <w:rFonts w:ascii="Times New Roman" w:hAnsi="Times New Roman" w:cs="Times New Roman"/>
          <w:i/>
          <w:sz w:val="24"/>
          <w:szCs w:val="24"/>
        </w:rPr>
        <w:t>CIPD</w:t>
      </w:r>
      <w:r>
        <w:rPr>
          <w:rFonts w:ascii="Times New Roman" w:hAnsi="Times New Roman" w:cs="Times New Roman"/>
          <w:sz w:val="24"/>
          <w:szCs w:val="24"/>
        </w:rPr>
        <w:t xml:space="preserve">, viewed on 22 March 2022 from </w:t>
      </w:r>
      <w:hyperlink r:id="rId19" w:anchor="gref" w:history="1">
        <w:r w:rsidRPr="00BB61FB">
          <w:rPr>
            <w:rStyle w:val="Hyperlink"/>
            <w:rFonts w:ascii="Times New Roman" w:hAnsi="Times New Roman" w:cs="Times New Roman"/>
            <w:sz w:val="24"/>
            <w:szCs w:val="24"/>
          </w:rPr>
          <w:t>https://www.cipd.co.uk/news-views/news-articles/flexible-working#gref</w:t>
        </w:r>
      </w:hyperlink>
    </w:p>
    <w:p w14:paraId="7B004935"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Partridge, J., 20 November 2021. Flexible working: ‘a system set up for women to fail’. </w:t>
      </w:r>
      <w:r>
        <w:rPr>
          <w:rFonts w:ascii="Times New Roman" w:hAnsi="Times New Roman" w:cs="Times New Roman"/>
          <w:i/>
          <w:sz w:val="24"/>
          <w:szCs w:val="24"/>
        </w:rPr>
        <w:t>The Guardian</w:t>
      </w:r>
      <w:r>
        <w:rPr>
          <w:rFonts w:ascii="Times New Roman" w:hAnsi="Times New Roman" w:cs="Times New Roman"/>
          <w:sz w:val="24"/>
          <w:szCs w:val="24"/>
        </w:rPr>
        <w:t xml:space="preserve">, viewed on 22 March 2022 from </w:t>
      </w:r>
      <w:hyperlink r:id="rId20" w:history="1">
        <w:r w:rsidRPr="00BB61FB">
          <w:rPr>
            <w:rStyle w:val="Hyperlink"/>
            <w:rFonts w:ascii="Times New Roman" w:hAnsi="Times New Roman" w:cs="Times New Roman"/>
            <w:sz w:val="24"/>
            <w:szCs w:val="24"/>
          </w:rPr>
          <w:t>https://www.theguardian.com/world/2021/nov/20/flexible-working-a-system-set-up-for-women-to-fail</w:t>
        </w:r>
      </w:hyperlink>
    </w:p>
    <w:p w14:paraId="5505787A"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Sayers, L., 2022. Flexibility critical to being a talent magnet to the modern workforce. </w:t>
      </w:r>
      <w:r>
        <w:rPr>
          <w:rFonts w:ascii="Times New Roman" w:hAnsi="Times New Roman" w:cs="Times New Roman"/>
          <w:i/>
          <w:sz w:val="24"/>
          <w:szCs w:val="24"/>
        </w:rPr>
        <w:t>PwC</w:t>
      </w:r>
      <w:r>
        <w:rPr>
          <w:rFonts w:ascii="Times New Roman" w:hAnsi="Times New Roman" w:cs="Times New Roman"/>
          <w:sz w:val="24"/>
          <w:szCs w:val="24"/>
        </w:rPr>
        <w:t xml:space="preserve">, viewed on 22 March 2022 from </w:t>
      </w:r>
      <w:hyperlink r:id="rId21" w:history="1">
        <w:r w:rsidRPr="00BB61FB">
          <w:rPr>
            <w:rStyle w:val="Hyperlink"/>
            <w:rFonts w:ascii="Times New Roman" w:hAnsi="Times New Roman" w:cs="Times New Roman"/>
            <w:sz w:val="24"/>
            <w:szCs w:val="24"/>
          </w:rPr>
          <w:t>https://www.pwc.com/gx/en/about/diversity/internationalwomensday/blogs/flexibility-critical.html</w:t>
        </w:r>
      </w:hyperlink>
    </w:p>
    <w:p w14:paraId="4DEBD4D5"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Scott, L., 7 July 2020. How coronavirus in widening the UK gender pay gap. </w:t>
      </w:r>
      <w:r>
        <w:rPr>
          <w:rFonts w:ascii="Times New Roman" w:hAnsi="Times New Roman" w:cs="Times New Roman"/>
          <w:i/>
          <w:sz w:val="24"/>
          <w:szCs w:val="24"/>
        </w:rPr>
        <w:t>The Guardian</w:t>
      </w:r>
      <w:r>
        <w:rPr>
          <w:rFonts w:ascii="Times New Roman" w:hAnsi="Times New Roman" w:cs="Times New Roman"/>
          <w:sz w:val="24"/>
          <w:szCs w:val="24"/>
        </w:rPr>
        <w:t xml:space="preserve">, viewed on 2022 from </w:t>
      </w:r>
      <w:hyperlink r:id="rId22" w:history="1">
        <w:r w:rsidRPr="00BB61FB">
          <w:rPr>
            <w:rStyle w:val="Hyperlink"/>
            <w:rFonts w:ascii="Times New Roman" w:hAnsi="Times New Roman" w:cs="Times New Roman"/>
            <w:sz w:val="24"/>
            <w:szCs w:val="24"/>
          </w:rPr>
          <w:t>https://www.theguardian.com/world/2020/jul/07/how-coronavirus-is-widening-the-uk-gender-pay-gap</w:t>
        </w:r>
      </w:hyperlink>
    </w:p>
    <w:p w14:paraId="6B50DA86"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Shaw, N., 25 January 2021. Study examines 7 theories that help us better understand work-life balance. </w:t>
      </w:r>
      <w:r>
        <w:rPr>
          <w:rFonts w:ascii="Times New Roman" w:hAnsi="Times New Roman" w:cs="Times New Roman"/>
          <w:i/>
          <w:sz w:val="24"/>
          <w:szCs w:val="24"/>
        </w:rPr>
        <w:t>Pollack</w:t>
      </w:r>
      <w:r>
        <w:rPr>
          <w:rFonts w:ascii="Times New Roman" w:hAnsi="Times New Roman" w:cs="Times New Roman"/>
          <w:sz w:val="24"/>
          <w:szCs w:val="24"/>
        </w:rPr>
        <w:t xml:space="preserve">, viewed on 22 March 2022 from </w:t>
      </w:r>
      <w:hyperlink r:id="rId23" w:history="1">
        <w:r w:rsidRPr="00BB61FB">
          <w:rPr>
            <w:rStyle w:val="Hyperlink"/>
            <w:rFonts w:ascii="Times New Roman" w:hAnsi="Times New Roman" w:cs="Times New Roman"/>
            <w:sz w:val="24"/>
            <w:szCs w:val="24"/>
          </w:rPr>
          <w:t>https://pollackpeacebuilding.com/blog/study-examines-7-theories-that-help-us-better-understand-work-life-balance/</w:t>
        </w:r>
      </w:hyperlink>
    </w:p>
    <w:p w14:paraId="17DC3D25" w14:textId="77777777" w:rsidR="00C3280C" w:rsidRDefault="0075461D" w:rsidP="00C3280C">
      <w:pPr>
        <w:spacing w:line="360" w:lineRule="auto"/>
        <w:jc w:val="both"/>
        <w:rPr>
          <w:rFonts w:ascii="Times New Roman" w:hAnsi="Times New Roman" w:cs="Times New Roman"/>
          <w:sz w:val="24"/>
          <w:szCs w:val="24"/>
        </w:rPr>
      </w:pPr>
      <w:proofErr w:type="spellStart"/>
      <w:r w:rsidRPr="00E016AA">
        <w:rPr>
          <w:rFonts w:ascii="Times New Roman" w:hAnsi="Times New Roman" w:cs="Times New Roman"/>
          <w:sz w:val="24"/>
          <w:szCs w:val="24"/>
        </w:rPr>
        <w:t>Subašić</w:t>
      </w:r>
      <w:proofErr w:type="spellEnd"/>
      <w:r w:rsidRPr="00E016AA">
        <w:rPr>
          <w:rFonts w:ascii="Times New Roman" w:hAnsi="Times New Roman" w:cs="Times New Roman"/>
          <w:sz w:val="24"/>
          <w:szCs w:val="24"/>
        </w:rPr>
        <w:t xml:space="preserve">, E., </w:t>
      </w:r>
      <w:proofErr w:type="spellStart"/>
      <w:r w:rsidRPr="00E016AA">
        <w:rPr>
          <w:rFonts w:ascii="Times New Roman" w:hAnsi="Times New Roman" w:cs="Times New Roman"/>
          <w:sz w:val="24"/>
          <w:szCs w:val="24"/>
        </w:rPr>
        <w:t>Hardacre</w:t>
      </w:r>
      <w:proofErr w:type="spellEnd"/>
      <w:r w:rsidRPr="00E016AA">
        <w:rPr>
          <w:rFonts w:ascii="Times New Roman" w:hAnsi="Times New Roman" w:cs="Times New Roman"/>
          <w:sz w:val="24"/>
          <w:szCs w:val="24"/>
        </w:rPr>
        <w:t xml:space="preserve">, S., Elton, B., </w:t>
      </w:r>
      <w:proofErr w:type="spellStart"/>
      <w:r w:rsidRPr="00E016AA">
        <w:rPr>
          <w:rFonts w:ascii="Times New Roman" w:hAnsi="Times New Roman" w:cs="Times New Roman"/>
          <w:sz w:val="24"/>
          <w:szCs w:val="24"/>
        </w:rPr>
        <w:t>Branscombe</w:t>
      </w:r>
      <w:proofErr w:type="spellEnd"/>
      <w:r w:rsidRPr="00E016AA">
        <w:rPr>
          <w:rFonts w:ascii="Times New Roman" w:hAnsi="Times New Roman" w:cs="Times New Roman"/>
          <w:sz w:val="24"/>
          <w:szCs w:val="24"/>
        </w:rPr>
        <w:t>, N.R., Ryan, M.K. and Reynolds, K.J., 2018. “We for She”: Mobilising men and women to act in solidarity for gender equality. </w:t>
      </w:r>
      <w:r w:rsidRPr="00E016AA">
        <w:rPr>
          <w:rFonts w:ascii="Times New Roman" w:hAnsi="Times New Roman" w:cs="Times New Roman"/>
          <w:i/>
          <w:iCs/>
          <w:sz w:val="24"/>
          <w:szCs w:val="24"/>
        </w:rPr>
        <w:t>Group Processes &amp; Intergroup Relations</w:t>
      </w:r>
      <w:r w:rsidRPr="00E016AA">
        <w:rPr>
          <w:rFonts w:ascii="Times New Roman" w:hAnsi="Times New Roman" w:cs="Times New Roman"/>
          <w:sz w:val="24"/>
          <w:szCs w:val="24"/>
        </w:rPr>
        <w:t>, </w:t>
      </w:r>
      <w:r w:rsidRPr="00E016AA">
        <w:rPr>
          <w:rFonts w:ascii="Times New Roman" w:hAnsi="Times New Roman" w:cs="Times New Roman"/>
          <w:i/>
          <w:iCs/>
          <w:sz w:val="24"/>
          <w:szCs w:val="24"/>
        </w:rPr>
        <w:t>21</w:t>
      </w:r>
      <w:r w:rsidRPr="00E016AA">
        <w:rPr>
          <w:rFonts w:ascii="Times New Roman" w:hAnsi="Times New Roman" w:cs="Times New Roman"/>
          <w:sz w:val="24"/>
          <w:szCs w:val="24"/>
        </w:rPr>
        <w:t>(5), pp.707-724.</w:t>
      </w:r>
      <w:r>
        <w:rPr>
          <w:rFonts w:ascii="Times New Roman" w:hAnsi="Times New Roman" w:cs="Times New Roman"/>
          <w:sz w:val="24"/>
          <w:szCs w:val="24"/>
        </w:rPr>
        <w:t xml:space="preserve"> </w:t>
      </w:r>
      <w:hyperlink r:id="rId24" w:history="1">
        <w:r w:rsidRPr="00BB61FB">
          <w:rPr>
            <w:rStyle w:val="Hyperlink"/>
            <w:rFonts w:ascii="Times New Roman" w:hAnsi="Times New Roman" w:cs="Times New Roman"/>
            <w:sz w:val="24"/>
            <w:szCs w:val="24"/>
          </w:rPr>
          <w:t>https://journals.sagepub.com/doi/pdf/10.1177/1368430218763272</w:t>
        </w:r>
      </w:hyperlink>
    </w:p>
    <w:p w14:paraId="77226EA8"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Subramanian, S. and Washington, E.F., 25 February 2022. Why flexible working is essential to your DEI strategy. </w:t>
      </w:r>
      <w:r>
        <w:rPr>
          <w:rFonts w:ascii="Times New Roman" w:hAnsi="Times New Roman" w:cs="Times New Roman"/>
          <w:i/>
          <w:sz w:val="24"/>
          <w:szCs w:val="24"/>
        </w:rPr>
        <w:t>Harvard Business Review</w:t>
      </w:r>
      <w:r>
        <w:rPr>
          <w:rFonts w:ascii="Times New Roman" w:hAnsi="Times New Roman" w:cs="Times New Roman"/>
          <w:sz w:val="24"/>
          <w:szCs w:val="24"/>
        </w:rPr>
        <w:t xml:space="preserve">, viewed on 22 March 2022 from </w:t>
      </w:r>
      <w:hyperlink r:id="rId25" w:history="1">
        <w:r w:rsidRPr="00BB61FB">
          <w:rPr>
            <w:rStyle w:val="Hyperlink"/>
            <w:rFonts w:ascii="Times New Roman" w:hAnsi="Times New Roman" w:cs="Times New Roman"/>
            <w:sz w:val="24"/>
            <w:szCs w:val="24"/>
          </w:rPr>
          <w:t>https://hbr.org/2022/02/why-flexible-work-is-essential-to-your-dei-strategy</w:t>
        </w:r>
      </w:hyperlink>
    </w:p>
    <w:p w14:paraId="7EFC2866"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UNIDO The United Nations Industrial Development Organisation., 2022. Flexible working arrangements and the future of work: promoting gender equality, diversity, and inclusion. </w:t>
      </w:r>
      <w:r>
        <w:rPr>
          <w:rFonts w:ascii="Times New Roman" w:hAnsi="Times New Roman" w:cs="Times New Roman"/>
          <w:i/>
          <w:sz w:val="24"/>
          <w:szCs w:val="24"/>
        </w:rPr>
        <w:t>UNIDO</w:t>
      </w:r>
      <w:r>
        <w:rPr>
          <w:rFonts w:ascii="Times New Roman" w:hAnsi="Times New Roman" w:cs="Times New Roman"/>
          <w:sz w:val="24"/>
          <w:szCs w:val="24"/>
        </w:rPr>
        <w:t xml:space="preserve">, viewed on 22 March 2022 from </w:t>
      </w:r>
      <w:hyperlink r:id="rId26" w:history="1">
        <w:r w:rsidRPr="00BB61FB">
          <w:rPr>
            <w:rStyle w:val="Hyperlink"/>
            <w:rFonts w:ascii="Times New Roman" w:hAnsi="Times New Roman" w:cs="Times New Roman"/>
            <w:sz w:val="24"/>
            <w:szCs w:val="24"/>
          </w:rPr>
          <w:t>https://www.unido.org/news/flexible-working-arrangements-and-future-work-promoting-gender-equality-diversity-and-inclusion</w:t>
        </w:r>
      </w:hyperlink>
    </w:p>
    <w:p w14:paraId="2AA6DD8C" w14:textId="77777777" w:rsidR="00C3280C" w:rsidRDefault="0075461D" w:rsidP="00C328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University of Wisconsin-Madison., 2011. Workplace flexibility. </w:t>
      </w:r>
      <w:r>
        <w:rPr>
          <w:rFonts w:ascii="Times New Roman" w:hAnsi="Times New Roman" w:cs="Times New Roman"/>
          <w:i/>
          <w:sz w:val="24"/>
          <w:szCs w:val="24"/>
        </w:rPr>
        <w:t>UW Madison HR Design</w:t>
      </w:r>
      <w:r>
        <w:rPr>
          <w:rFonts w:ascii="Times New Roman" w:hAnsi="Times New Roman" w:cs="Times New Roman"/>
          <w:sz w:val="24"/>
          <w:szCs w:val="24"/>
        </w:rPr>
        <w:t xml:space="preserve">, viewed on 22 March 2022 from </w:t>
      </w:r>
      <w:hyperlink r:id="rId27" w:history="1">
        <w:r w:rsidRPr="00BB61FB">
          <w:rPr>
            <w:rStyle w:val="Hyperlink"/>
            <w:rFonts w:ascii="Times New Roman" w:hAnsi="Times New Roman" w:cs="Times New Roman"/>
            <w:sz w:val="24"/>
            <w:szCs w:val="24"/>
          </w:rPr>
          <w:t>https://hrdesign.wisc.edu/workplace-flexibility/</w:t>
        </w:r>
      </w:hyperlink>
    </w:p>
    <w:p w14:paraId="5E8E0D83" w14:textId="77777777" w:rsidR="00C3280C" w:rsidRDefault="0075461D" w:rsidP="00C3280C">
      <w:pPr>
        <w:spacing w:line="360" w:lineRule="auto"/>
        <w:jc w:val="both"/>
        <w:rPr>
          <w:rFonts w:ascii="Times New Roman" w:hAnsi="Times New Roman" w:cs="Times New Roman"/>
          <w:sz w:val="24"/>
          <w:szCs w:val="24"/>
        </w:rPr>
      </w:pPr>
      <w:r w:rsidRPr="00230711">
        <w:rPr>
          <w:rFonts w:ascii="Times New Roman" w:hAnsi="Times New Roman" w:cs="Times New Roman"/>
          <w:sz w:val="24"/>
          <w:szCs w:val="24"/>
        </w:rPr>
        <w:t>Wilkinson, K., Tomlinson, J. and Gardiner, J., 2018. The perceived fairness of work–life balance policies: A UK case study of solo‐living managers and professionals without children. </w:t>
      </w:r>
      <w:r w:rsidRPr="00230711">
        <w:rPr>
          <w:rFonts w:ascii="Times New Roman" w:hAnsi="Times New Roman" w:cs="Times New Roman"/>
          <w:i/>
          <w:iCs/>
          <w:sz w:val="24"/>
          <w:szCs w:val="24"/>
        </w:rPr>
        <w:t>Human Resource Management Journal</w:t>
      </w:r>
      <w:r w:rsidRPr="00230711">
        <w:rPr>
          <w:rFonts w:ascii="Times New Roman" w:hAnsi="Times New Roman" w:cs="Times New Roman"/>
          <w:sz w:val="24"/>
          <w:szCs w:val="24"/>
        </w:rPr>
        <w:t>, </w:t>
      </w:r>
      <w:r w:rsidRPr="00230711">
        <w:rPr>
          <w:rFonts w:ascii="Times New Roman" w:hAnsi="Times New Roman" w:cs="Times New Roman"/>
          <w:i/>
          <w:iCs/>
          <w:sz w:val="24"/>
          <w:szCs w:val="24"/>
        </w:rPr>
        <w:t>28</w:t>
      </w:r>
      <w:r w:rsidRPr="00230711">
        <w:rPr>
          <w:rFonts w:ascii="Times New Roman" w:hAnsi="Times New Roman" w:cs="Times New Roman"/>
          <w:sz w:val="24"/>
          <w:szCs w:val="24"/>
        </w:rPr>
        <w:t>(2), pp.325-339.</w:t>
      </w:r>
    </w:p>
    <w:sectPr w:rsidR="00C3280C" w:rsidSect="00DA50FD">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EA65E" w14:textId="77777777" w:rsidR="007A5EE2" w:rsidRDefault="007A5EE2" w:rsidP="00E17073">
      <w:pPr>
        <w:spacing w:after="0" w:line="240" w:lineRule="auto"/>
      </w:pPr>
      <w:r>
        <w:separator/>
      </w:r>
    </w:p>
  </w:endnote>
  <w:endnote w:type="continuationSeparator" w:id="0">
    <w:p w14:paraId="04B08E7D" w14:textId="77777777" w:rsidR="007A5EE2" w:rsidRDefault="007A5EE2" w:rsidP="00E17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3093844"/>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61A19663" w14:textId="77777777" w:rsidR="00DA50FD" w:rsidRPr="00DA50FD" w:rsidRDefault="0075461D">
            <w:pPr>
              <w:pStyle w:val="Footer"/>
              <w:jc w:val="right"/>
              <w:rPr>
                <w:rFonts w:ascii="Times New Roman" w:hAnsi="Times New Roman" w:cs="Times New Roman"/>
                <w:sz w:val="24"/>
                <w:szCs w:val="24"/>
              </w:rPr>
            </w:pPr>
            <w:r w:rsidRPr="00DA50FD">
              <w:rPr>
                <w:rFonts w:ascii="Times New Roman" w:hAnsi="Times New Roman" w:cs="Times New Roman"/>
                <w:sz w:val="24"/>
                <w:szCs w:val="24"/>
              </w:rPr>
              <w:t xml:space="preserve">Page </w:t>
            </w:r>
            <w:r w:rsidR="00964FA0">
              <w:rPr>
                <w:rFonts w:ascii="Times New Roman" w:hAnsi="Times New Roman" w:cs="Times New Roman"/>
                <w:b/>
                <w:noProof/>
                <w:sz w:val="24"/>
                <w:szCs w:val="24"/>
              </w:rPr>
              <w:t>1</w:t>
            </w:r>
            <w:r w:rsidRPr="00DA50FD">
              <w:rPr>
                <w:rFonts w:ascii="Times New Roman" w:hAnsi="Times New Roman" w:cs="Times New Roman"/>
                <w:sz w:val="24"/>
                <w:szCs w:val="24"/>
              </w:rPr>
              <w:t xml:space="preserve"> of </w:t>
            </w:r>
            <w:r w:rsidR="00964FA0">
              <w:rPr>
                <w:rFonts w:ascii="Times New Roman" w:hAnsi="Times New Roman" w:cs="Times New Roman"/>
                <w:b/>
                <w:noProof/>
                <w:sz w:val="24"/>
                <w:szCs w:val="24"/>
              </w:rPr>
              <w:t>12</w:t>
            </w:r>
          </w:p>
        </w:sdtContent>
      </w:sdt>
    </w:sdtContent>
  </w:sdt>
  <w:p w14:paraId="0F1348EE" w14:textId="77777777" w:rsidR="00DA50FD" w:rsidRDefault="00DA5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0D4E1" w14:textId="77777777" w:rsidR="007A5EE2" w:rsidRDefault="007A5EE2" w:rsidP="00E17073">
      <w:pPr>
        <w:spacing w:after="0" w:line="240" w:lineRule="auto"/>
      </w:pPr>
      <w:r>
        <w:separator/>
      </w:r>
    </w:p>
  </w:footnote>
  <w:footnote w:type="continuationSeparator" w:id="0">
    <w:p w14:paraId="65C8D2AC" w14:textId="77777777" w:rsidR="007A5EE2" w:rsidRDefault="007A5EE2" w:rsidP="00E170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F33"/>
    <w:rsid w:val="000030BE"/>
    <w:rsid w:val="00007424"/>
    <w:rsid w:val="00013670"/>
    <w:rsid w:val="00015653"/>
    <w:rsid w:val="000205B1"/>
    <w:rsid w:val="0002163D"/>
    <w:rsid w:val="000237C7"/>
    <w:rsid w:val="000240EC"/>
    <w:rsid w:val="00027193"/>
    <w:rsid w:val="000317CF"/>
    <w:rsid w:val="0003561D"/>
    <w:rsid w:val="000367AF"/>
    <w:rsid w:val="00036961"/>
    <w:rsid w:val="00037FA6"/>
    <w:rsid w:val="0004054D"/>
    <w:rsid w:val="00044F3F"/>
    <w:rsid w:val="00045A4A"/>
    <w:rsid w:val="00050ED4"/>
    <w:rsid w:val="0006450F"/>
    <w:rsid w:val="00066546"/>
    <w:rsid w:val="00081140"/>
    <w:rsid w:val="000813D0"/>
    <w:rsid w:val="00085C12"/>
    <w:rsid w:val="0008702E"/>
    <w:rsid w:val="00087C7F"/>
    <w:rsid w:val="00092751"/>
    <w:rsid w:val="000963FF"/>
    <w:rsid w:val="00096679"/>
    <w:rsid w:val="000A2022"/>
    <w:rsid w:val="000A223E"/>
    <w:rsid w:val="000A2E90"/>
    <w:rsid w:val="000B2840"/>
    <w:rsid w:val="000B399A"/>
    <w:rsid w:val="000B4D1D"/>
    <w:rsid w:val="000C7CA5"/>
    <w:rsid w:val="000D0F6E"/>
    <w:rsid w:val="000D54B3"/>
    <w:rsid w:val="000F29A8"/>
    <w:rsid w:val="001111CA"/>
    <w:rsid w:val="00113951"/>
    <w:rsid w:val="00113955"/>
    <w:rsid w:val="0012589A"/>
    <w:rsid w:val="00132C85"/>
    <w:rsid w:val="00147808"/>
    <w:rsid w:val="00150627"/>
    <w:rsid w:val="00156644"/>
    <w:rsid w:val="00160A22"/>
    <w:rsid w:val="00166938"/>
    <w:rsid w:val="00172235"/>
    <w:rsid w:val="00177067"/>
    <w:rsid w:val="00182052"/>
    <w:rsid w:val="00183702"/>
    <w:rsid w:val="0018383F"/>
    <w:rsid w:val="00194FA5"/>
    <w:rsid w:val="00195108"/>
    <w:rsid w:val="001A1761"/>
    <w:rsid w:val="001A22BB"/>
    <w:rsid w:val="001A3890"/>
    <w:rsid w:val="001A403B"/>
    <w:rsid w:val="001C3876"/>
    <w:rsid w:val="001C43A7"/>
    <w:rsid w:val="001C69ED"/>
    <w:rsid w:val="001D053E"/>
    <w:rsid w:val="001D28AE"/>
    <w:rsid w:val="001D2A66"/>
    <w:rsid w:val="001E0A71"/>
    <w:rsid w:val="001E1BDD"/>
    <w:rsid w:val="001E4CAC"/>
    <w:rsid w:val="001E62EF"/>
    <w:rsid w:val="001F4130"/>
    <w:rsid w:val="00200781"/>
    <w:rsid w:val="002019FA"/>
    <w:rsid w:val="00207255"/>
    <w:rsid w:val="00212AD3"/>
    <w:rsid w:val="002206D4"/>
    <w:rsid w:val="00230711"/>
    <w:rsid w:val="00230B9A"/>
    <w:rsid w:val="00232543"/>
    <w:rsid w:val="00233BBA"/>
    <w:rsid w:val="00236C1D"/>
    <w:rsid w:val="002421CC"/>
    <w:rsid w:val="002456C3"/>
    <w:rsid w:val="00246445"/>
    <w:rsid w:val="00247368"/>
    <w:rsid w:val="0025018F"/>
    <w:rsid w:val="00265D5B"/>
    <w:rsid w:val="00273CE6"/>
    <w:rsid w:val="00290477"/>
    <w:rsid w:val="00292B07"/>
    <w:rsid w:val="00294DA6"/>
    <w:rsid w:val="002A2554"/>
    <w:rsid w:val="002A62CA"/>
    <w:rsid w:val="002B4BD9"/>
    <w:rsid w:val="002B4E0A"/>
    <w:rsid w:val="002B5322"/>
    <w:rsid w:val="002B7177"/>
    <w:rsid w:val="002C6A18"/>
    <w:rsid w:val="002D2B64"/>
    <w:rsid w:val="002D59A0"/>
    <w:rsid w:val="002D7433"/>
    <w:rsid w:val="002F52C6"/>
    <w:rsid w:val="002F556D"/>
    <w:rsid w:val="002F70B1"/>
    <w:rsid w:val="003178D8"/>
    <w:rsid w:val="00321185"/>
    <w:rsid w:val="00322E8A"/>
    <w:rsid w:val="00324045"/>
    <w:rsid w:val="0032602C"/>
    <w:rsid w:val="00331AF6"/>
    <w:rsid w:val="00346DFB"/>
    <w:rsid w:val="003545EB"/>
    <w:rsid w:val="00357CB0"/>
    <w:rsid w:val="003605E1"/>
    <w:rsid w:val="00363FAA"/>
    <w:rsid w:val="003656C3"/>
    <w:rsid w:val="003678F4"/>
    <w:rsid w:val="00372BE1"/>
    <w:rsid w:val="003767BB"/>
    <w:rsid w:val="00380768"/>
    <w:rsid w:val="0038364B"/>
    <w:rsid w:val="00383AB4"/>
    <w:rsid w:val="003A180D"/>
    <w:rsid w:val="003A2881"/>
    <w:rsid w:val="003A29BF"/>
    <w:rsid w:val="003B3925"/>
    <w:rsid w:val="003C63F3"/>
    <w:rsid w:val="003D2FD1"/>
    <w:rsid w:val="003D41DF"/>
    <w:rsid w:val="003E5992"/>
    <w:rsid w:val="003E6498"/>
    <w:rsid w:val="003F5AB0"/>
    <w:rsid w:val="003F5FCB"/>
    <w:rsid w:val="003F62EC"/>
    <w:rsid w:val="003F656A"/>
    <w:rsid w:val="00402B86"/>
    <w:rsid w:val="0040410C"/>
    <w:rsid w:val="00406662"/>
    <w:rsid w:val="00412C35"/>
    <w:rsid w:val="004136F0"/>
    <w:rsid w:val="0042576B"/>
    <w:rsid w:val="00426791"/>
    <w:rsid w:val="004274E3"/>
    <w:rsid w:val="004327C6"/>
    <w:rsid w:val="00444695"/>
    <w:rsid w:val="0044565A"/>
    <w:rsid w:val="004524BA"/>
    <w:rsid w:val="004542DA"/>
    <w:rsid w:val="0045754A"/>
    <w:rsid w:val="004607EB"/>
    <w:rsid w:val="00462483"/>
    <w:rsid w:val="00465A54"/>
    <w:rsid w:val="00470F50"/>
    <w:rsid w:val="00475A20"/>
    <w:rsid w:val="00490EF8"/>
    <w:rsid w:val="004921F0"/>
    <w:rsid w:val="00494CD6"/>
    <w:rsid w:val="004962A6"/>
    <w:rsid w:val="00497898"/>
    <w:rsid w:val="004A3F02"/>
    <w:rsid w:val="004A566A"/>
    <w:rsid w:val="004B36EE"/>
    <w:rsid w:val="004B5E04"/>
    <w:rsid w:val="004C49F5"/>
    <w:rsid w:val="004C62B5"/>
    <w:rsid w:val="004D4D85"/>
    <w:rsid w:val="004D5968"/>
    <w:rsid w:val="004E190F"/>
    <w:rsid w:val="004E7D95"/>
    <w:rsid w:val="004F33A8"/>
    <w:rsid w:val="004F397F"/>
    <w:rsid w:val="004F78AA"/>
    <w:rsid w:val="0050458C"/>
    <w:rsid w:val="005063AF"/>
    <w:rsid w:val="005125A2"/>
    <w:rsid w:val="00514D7D"/>
    <w:rsid w:val="00515F57"/>
    <w:rsid w:val="005177A7"/>
    <w:rsid w:val="0052164F"/>
    <w:rsid w:val="005231C4"/>
    <w:rsid w:val="00525C05"/>
    <w:rsid w:val="00525E23"/>
    <w:rsid w:val="00526DB5"/>
    <w:rsid w:val="0052719C"/>
    <w:rsid w:val="00527752"/>
    <w:rsid w:val="0052785B"/>
    <w:rsid w:val="005436E3"/>
    <w:rsid w:val="00544BB2"/>
    <w:rsid w:val="00546DCD"/>
    <w:rsid w:val="005506F2"/>
    <w:rsid w:val="005510BF"/>
    <w:rsid w:val="00554301"/>
    <w:rsid w:val="00554395"/>
    <w:rsid w:val="00562327"/>
    <w:rsid w:val="0056330E"/>
    <w:rsid w:val="00567216"/>
    <w:rsid w:val="00574BBC"/>
    <w:rsid w:val="005812FC"/>
    <w:rsid w:val="005852D0"/>
    <w:rsid w:val="00593688"/>
    <w:rsid w:val="00595D67"/>
    <w:rsid w:val="005A4E5B"/>
    <w:rsid w:val="005A6B5A"/>
    <w:rsid w:val="005B409F"/>
    <w:rsid w:val="005B61E6"/>
    <w:rsid w:val="005C3F24"/>
    <w:rsid w:val="005D2852"/>
    <w:rsid w:val="005D3FF0"/>
    <w:rsid w:val="005D6B1E"/>
    <w:rsid w:val="005D6C4E"/>
    <w:rsid w:val="005E2839"/>
    <w:rsid w:val="005E37A2"/>
    <w:rsid w:val="005E42FD"/>
    <w:rsid w:val="005E4C18"/>
    <w:rsid w:val="005E6974"/>
    <w:rsid w:val="005F305A"/>
    <w:rsid w:val="005F65ED"/>
    <w:rsid w:val="006034DE"/>
    <w:rsid w:val="00613832"/>
    <w:rsid w:val="0062486C"/>
    <w:rsid w:val="00626F1F"/>
    <w:rsid w:val="00644FB1"/>
    <w:rsid w:val="00650220"/>
    <w:rsid w:val="006532A4"/>
    <w:rsid w:val="00660666"/>
    <w:rsid w:val="00662461"/>
    <w:rsid w:val="006663BF"/>
    <w:rsid w:val="0066710F"/>
    <w:rsid w:val="00672D0B"/>
    <w:rsid w:val="00673054"/>
    <w:rsid w:val="00675FF0"/>
    <w:rsid w:val="00677F13"/>
    <w:rsid w:val="00693EC7"/>
    <w:rsid w:val="006A1770"/>
    <w:rsid w:val="006A5E29"/>
    <w:rsid w:val="006B0B92"/>
    <w:rsid w:val="006B3A11"/>
    <w:rsid w:val="006B4E47"/>
    <w:rsid w:val="006C259D"/>
    <w:rsid w:val="006C4B5E"/>
    <w:rsid w:val="006C7B92"/>
    <w:rsid w:val="006D3063"/>
    <w:rsid w:val="006D5E69"/>
    <w:rsid w:val="006D5ECA"/>
    <w:rsid w:val="006E07B5"/>
    <w:rsid w:val="006E2E4E"/>
    <w:rsid w:val="006E4A54"/>
    <w:rsid w:val="006E5683"/>
    <w:rsid w:val="006E5D01"/>
    <w:rsid w:val="006F0C13"/>
    <w:rsid w:val="006F135A"/>
    <w:rsid w:val="006F2A96"/>
    <w:rsid w:val="006F795D"/>
    <w:rsid w:val="00700C8B"/>
    <w:rsid w:val="00702E73"/>
    <w:rsid w:val="00703BFF"/>
    <w:rsid w:val="007139A8"/>
    <w:rsid w:val="00716FD5"/>
    <w:rsid w:val="0072007A"/>
    <w:rsid w:val="00720B98"/>
    <w:rsid w:val="00720F85"/>
    <w:rsid w:val="00721083"/>
    <w:rsid w:val="0072350B"/>
    <w:rsid w:val="00731048"/>
    <w:rsid w:val="00731A6C"/>
    <w:rsid w:val="00737098"/>
    <w:rsid w:val="00741930"/>
    <w:rsid w:val="00745EF0"/>
    <w:rsid w:val="00750FD6"/>
    <w:rsid w:val="00751865"/>
    <w:rsid w:val="0075333B"/>
    <w:rsid w:val="0075461D"/>
    <w:rsid w:val="00757094"/>
    <w:rsid w:val="0076222D"/>
    <w:rsid w:val="007629BA"/>
    <w:rsid w:val="00767834"/>
    <w:rsid w:val="007703ED"/>
    <w:rsid w:val="00772864"/>
    <w:rsid w:val="007778EE"/>
    <w:rsid w:val="00780A02"/>
    <w:rsid w:val="007832D3"/>
    <w:rsid w:val="007850A1"/>
    <w:rsid w:val="00787CDD"/>
    <w:rsid w:val="00794B24"/>
    <w:rsid w:val="007A1331"/>
    <w:rsid w:val="007A4040"/>
    <w:rsid w:val="007A5EE2"/>
    <w:rsid w:val="007A643A"/>
    <w:rsid w:val="007B5525"/>
    <w:rsid w:val="007B6592"/>
    <w:rsid w:val="007C0FDB"/>
    <w:rsid w:val="007C496B"/>
    <w:rsid w:val="007C4CE7"/>
    <w:rsid w:val="007D1906"/>
    <w:rsid w:val="007D1F33"/>
    <w:rsid w:val="007D50E5"/>
    <w:rsid w:val="007D6C19"/>
    <w:rsid w:val="007E2FA6"/>
    <w:rsid w:val="007F49E7"/>
    <w:rsid w:val="00801891"/>
    <w:rsid w:val="00812629"/>
    <w:rsid w:val="00814A83"/>
    <w:rsid w:val="00816720"/>
    <w:rsid w:val="00816DA3"/>
    <w:rsid w:val="00816DDB"/>
    <w:rsid w:val="008200D1"/>
    <w:rsid w:val="008207BC"/>
    <w:rsid w:val="00821055"/>
    <w:rsid w:val="00821C26"/>
    <w:rsid w:val="008269E0"/>
    <w:rsid w:val="00832237"/>
    <w:rsid w:val="008348A7"/>
    <w:rsid w:val="008369F1"/>
    <w:rsid w:val="00842DFF"/>
    <w:rsid w:val="00843570"/>
    <w:rsid w:val="00847A49"/>
    <w:rsid w:val="0085003A"/>
    <w:rsid w:val="00852D4F"/>
    <w:rsid w:val="0085579D"/>
    <w:rsid w:val="00864C96"/>
    <w:rsid w:val="0086752E"/>
    <w:rsid w:val="00867B02"/>
    <w:rsid w:val="00867BD7"/>
    <w:rsid w:val="008779E8"/>
    <w:rsid w:val="008811CC"/>
    <w:rsid w:val="00885938"/>
    <w:rsid w:val="0089464B"/>
    <w:rsid w:val="00897097"/>
    <w:rsid w:val="008A3B87"/>
    <w:rsid w:val="008B190C"/>
    <w:rsid w:val="008B3C03"/>
    <w:rsid w:val="008B7FD0"/>
    <w:rsid w:val="008C00CE"/>
    <w:rsid w:val="008C4DA9"/>
    <w:rsid w:val="008D4A53"/>
    <w:rsid w:val="008D5CB0"/>
    <w:rsid w:val="008E2711"/>
    <w:rsid w:val="008E51B0"/>
    <w:rsid w:val="008E5258"/>
    <w:rsid w:val="008F0051"/>
    <w:rsid w:val="008F1839"/>
    <w:rsid w:val="008F29CE"/>
    <w:rsid w:val="008F2A59"/>
    <w:rsid w:val="008F5E87"/>
    <w:rsid w:val="008F6685"/>
    <w:rsid w:val="008F7D89"/>
    <w:rsid w:val="00900378"/>
    <w:rsid w:val="00900689"/>
    <w:rsid w:val="00903326"/>
    <w:rsid w:val="00906EA3"/>
    <w:rsid w:val="00915CFC"/>
    <w:rsid w:val="009172F4"/>
    <w:rsid w:val="00927BF5"/>
    <w:rsid w:val="0093483E"/>
    <w:rsid w:val="00935AE9"/>
    <w:rsid w:val="0094641F"/>
    <w:rsid w:val="00950751"/>
    <w:rsid w:val="00954EA3"/>
    <w:rsid w:val="00954FEE"/>
    <w:rsid w:val="00957158"/>
    <w:rsid w:val="00957D76"/>
    <w:rsid w:val="00964FA0"/>
    <w:rsid w:val="00971C0F"/>
    <w:rsid w:val="00971D89"/>
    <w:rsid w:val="00973DE0"/>
    <w:rsid w:val="0098118B"/>
    <w:rsid w:val="00984639"/>
    <w:rsid w:val="00984AB5"/>
    <w:rsid w:val="00992661"/>
    <w:rsid w:val="00995BFE"/>
    <w:rsid w:val="00996D94"/>
    <w:rsid w:val="009B14CD"/>
    <w:rsid w:val="009B34B8"/>
    <w:rsid w:val="009B34CF"/>
    <w:rsid w:val="009B6C1E"/>
    <w:rsid w:val="009B72E8"/>
    <w:rsid w:val="009C0F21"/>
    <w:rsid w:val="009C56AF"/>
    <w:rsid w:val="009D015D"/>
    <w:rsid w:val="009D2C9D"/>
    <w:rsid w:val="009D2E64"/>
    <w:rsid w:val="009D55F4"/>
    <w:rsid w:val="009D57EC"/>
    <w:rsid w:val="009E7915"/>
    <w:rsid w:val="009F64D6"/>
    <w:rsid w:val="00A00033"/>
    <w:rsid w:val="00A00809"/>
    <w:rsid w:val="00A06580"/>
    <w:rsid w:val="00A1629A"/>
    <w:rsid w:val="00A2314D"/>
    <w:rsid w:val="00A23636"/>
    <w:rsid w:val="00A2721E"/>
    <w:rsid w:val="00A27AA2"/>
    <w:rsid w:val="00A4724C"/>
    <w:rsid w:val="00A50387"/>
    <w:rsid w:val="00A53317"/>
    <w:rsid w:val="00A54DF2"/>
    <w:rsid w:val="00A564BB"/>
    <w:rsid w:val="00A57AC4"/>
    <w:rsid w:val="00A67D9C"/>
    <w:rsid w:val="00A74CE4"/>
    <w:rsid w:val="00A76627"/>
    <w:rsid w:val="00A771FB"/>
    <w:rsid w:val="00A807F7"/>
    <w:rsid w:val="00A90298"/>
    <w:rsid w:val="00A95F27"/>
    <w:rsid w:val="00A97972"/>
    <w:rsid w:val="00AA16FC"/>
    <w:rsid w:val="00AA44C7"/>
    <w:rsid w:val="00AB191E"/>
    <w:rsid w:val="00AB3CC1"/>
    <w:rsid w:val="00AC366E"/>
    <w:rsid w:val="00AC3D4A"/>
    <w:rsid w:val="00AC7BAA"/>
    <w:rsid w:val="00AD0C35"/>
    <w:rsid w:val="00AD2F2E"/>
    <w:rsid w:val="00AD4255"/>
    <w:rsid w:val="00AE0C70"/>
    <w:rsid w:val="00AE3B12"/>
    <w:rsid w:val="00AE5726"/>
    <w:rsid w:val="00AF286C"/>
    <w:rsid w:val="00AF3A85"/>
    <w:rsid w:val="00AF54AA"/>
    <w:rsid w:val="00AF5E23"/>
    <w:rsid w:val="00AF70A6"/>
    <w:rsid w:val="00B00D8C"/>
    <w:rsid w:val="00B036B4"/>
    <w:rsid w:val="00B06C33"/>
    <w:rsid w:val="00B1390E"/>
    <w:rsid w:val="00B177F8"/>
    <w:rsid w:val="00B275FD"/>
    <w:rsid w:val="00B31145"/>
    <w:rsid w:val="00B33FE8"/>
    <w:rsid w:val="00B352DE"/>
    <w:rsid w:val="00B42303"/>
    <w:rsid w:val="00B43A28"/>
    <w:rsid w:val="00B46978"/>
    <w:rsid w:val="00B51588"/>
    <w:rsid w:val="00B51EAA"/>
    <w:rsid w:val="00B633EA"/>
    <w:rsid w:val="00B668D1"/>
    <w:rsid w:val="00B8086F"/>
    <w:rsid w:val="00B87B77"/>
    <w:rsid w:val="00B92F6C"/>
    <w:rsid w:val="00B933DA"/>
    <w:rsid w:val="00B95C60"/>
    <w:rsid w:val="00BB2264"/>
    <w:rsid w:val="00BB2AE0"/>
    <w:rsid w:val="00BB61FB"/>
    <w:rsid w:val="00BC2A5B"/>
    <w:rsid w:val="00BC4FD7"/>
    <w:rsid w:val="00BC7AFA"/>
    <w:rsid w:val="00BD684C"/>
    <w:rsid w:val="00BE1D1F"/>
    <w:rsid w:val="00BE211C"/>
    <w:rsid w:val="00BE37AD"/>
    <w:rsid w:val="00BF1EAF"/>
    <w:rsid w:val="00BF44A0"/>
    <w:rsid w:val="00BF47CD"/>
    <w:rsid w:val="00BF6741"/>
    <w:rsid w:val="00C213E1"/>
    <w:rsid w:val="00C26C1C"/>
    <w:rsid w:val="00C27A9E"/>
    <w:rsid w:val="00C31413"/>
    <w:rsid w:val="00C3280C"/>
    <w:rsid w:val="00C348A5"/>
    <w:rsid w:val="00C47CAA"/>
    <w:rsid w:val="00C51336"/>
    <w:rsid w:val="00C53F6A"/>
    <w:rsid w:val="00C556EF"/>
    <w:rsid w:val="00C56197"/>
    <w:rsid w:val="00C61726"/>
    <w:rsid w:val="00C65A82"/>
    <w:rsid w:val="00C71DBA"/>
    <w:rsid w:val="00C7377D"/>
    <w:rsid w:val="00C8522B"/>
    <w:rsid w:val="00C91B2C"/>
    <w:rsid w:val="00CA5C60"/>
    <w:rsid w:val="00CC1DA7"/>
    <w:rsid w:val="00CD0B6F"/>
    <w:rsid w:val="00CD2BAB"/>
    <w:rsid w:val="00CE2B57"/>
    <w:rsid w:val="00CF539B"/>
    <w:rsid w:val="00CF7699"/>
    <w:rsid w:val="00D14AE7"/>
    <w:rsid w:val="00D20135"/>
    <w:rsid w:val="00D21AA7"/>
    <w:rsid w:val="00D23F5A"/>
    <w:rsid w:val="00D2749C"/>
    <w:rsid w:val="00D31A4A"/>
    <w:rsid w:val="00D332DD"/>
    <w:rsid w:val="00D33E19"/>
    <w:rsid w:val="00D40DAA"/>
    <w:rsid w:val="00D42BA7"/>
    <w:rsid w:val="00D42CB8"/>
    <w:rsid w:val="00D43F1E"/>
    <w:rsid w:val="00D475F4"/>
    <w:rsid w:val="00D566B1"/>
    <w:rsid w:val="00D5777E"/>
    <w:rsid w:val="00D60105"/>
    <w:rsid w:val="00D7350D"/>
    <w:rsid w:val="00D84073"/>
    <w:rsid w:val="00D9751A"/>
    <w:rsid w:val="00DA1501"/>
    <w:rsid w:val="00DA339B"/>
    <w:rsid w:val="00DA50FD"/>
    <w:rsid w:val="00DB17A9"/>
    <w:rsid w:val="00DB2A8F"/>
    <w:rsid w:val="00DB703B"/>
    <w:rsid w:val="00DC4DDD"/>
    <w:rsid w:val="00DC5617"/>
    <w:rsid w:val="00DD1B5B"/>
    <w:rsid w:val="00DD3A1A"/>
    <w:rsid w:val="00DD5A05"/>
    <w:rsid w:val="00DE17E8"/>
    <w:rsid w:val="00DE6940"/>
    <w:rsid w:val="00DF6C69"/>
    <w:rsid w:val="00DF7C5D"/>
    <w:rsid w:val="00E016AA"/>
    <w:rsid w:val="00E01C9F"/>
    <w:rsid w:val="00E1111F"/>
    <w:rsid w:val="00E12D05"/>
    <w:rsid w:val="00E17073"/>
    <w:rsid w:val="00E17628"/>
    <w:rsid w:val="00E20FA6"/>
    <w:rsid w:val="00E21BFC"/>
    <w:rsid w:val="00E27F7D"/>
    <w:rsid w:val="00E41E4A"/>
    <w:rsid w:val="00E42E18"/>
    <w:rsid w:val="00E500AE"/>
    <w:rsid w:val="00E570C9"/>
    <w:rsid w:val="00E61F30"/>
    <w:rsid w:val="00E620FA"/>
    <w:rsid w:val="00E73847"/>
    <w:rsid w:val="00E74EFE"/>
    <w:rsid w:val="00E77736"/>
    <w:rsid w:val="00E80416"/>
    <w:rsid w:val="00E819C9"/>
    <w:rsid w:val="00E9459D"/>
    <w:rsid w:val="00EA14E9"/>
    <w:rsid w:val="00EA50DB"/>
    <w:rsid w:val="00EA6FB5"/>
    <w:rsid w:val="00EA6FC3"/>
    <w:rsid w:val="00EA778E"/>
    <w:rsid w:val="00EA7C92"/>
    <w:rsid w:val="00EC106B"/>
    <w:rsid w:val="00EC4E36"/>
    <w:rsid w:val="00EC633C"/>
    <w:rsid w:val="00ED2E2A"/>
    <w:rsid w:val="00ED41F8"/>
    <w:rsid w:val="00EE28FE"/>
    <w:rsid w:val="00EF7D15"/>
    <w:rsid w:val="00F012D0"/>
    <w:rsid w:val="00F13AF9"/>
    <w:rsid w:val="00F17880"/>
    <w:rsid w:val="00F31D68"/>
    <w:rsid w:val="00F32CDC"/>
    <w:rsid w:val="00F3375A"/>
    <w:rsid w:val="00F339FF"/>
    <w:rsid w:val="00F402F0"/>
    <w:rsid w:val="00F43F20"/>
    <w:rsid w:val="00F4606F"/>
    <w:rsid w:val="00F47716"/>
    <w:rsid w:val="00F5397F"/>
    <w:rsid w:val="00F658C6"/>
    <w:rsid w:val="00F65D9B"/>
    <w:rsid w:val="00F70E46"/>
    <w:rsid w:val="00F71C74"/>
    <w:rsid w:val="00F73E51"/>
    <w:rsid w:val="00F76B13"/>
    <w:rsid w:val="00F80F7A"/>
    <w:rsid w:val="00F82E8E"/>
    <w:rsid w:val="00F871B6"/>
    <w:rsid w:val="00F90E26"/>
    <w:rsid w:val="00F91FA9"/>
    <w:rsid w:val="00F923B0"/>
    <w:rsid w:val="00F94371"/>
    <w:rsid w:val="00FA41F1"/>
    <w:rsid w:val="00FB6E71"/>
    <w:rsid w:val="00FC0426"/>
    <w:rsid w:val="00FC3904"/>
    <w:rsid w:val="00FC441F"/>
    <w:rsid w:val="00FC682F"/>
    <w:rsid w:val="00FE0402"/>
    <w:rsid w:val="00FE2B62"/>
    <w:rsid w:val="00FE7466"/>
    <w:rsid w:val="00FF221E"/>
    <w:rsid w:val="00FF2512"/>
    <w:rsid w:val="00FF60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E0166"/>
  <w15:docId w15:val="{27FBB5E5-C9D9-4F5D-A010-757F3BE28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D9C"/>
    <w:rPr>
      <w:lang w:val="en-GB"/>
    </w:rPr>
  </w:style>
  <w:style w:type="paragraph" w:styleId="Heading1">
    <w:name w:val="heading 1"/>
    <w:basedOn w:val="Normal"/>
    <w:next w:val="Normal"/>
    <w:link w:val="Heading1Char"/>
    <w:uiPriority w:val="9"/>
    <w:qFormat/>
    <w:rsid w:val="00C3280C"/>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4255"/>
    <w:rPr>
      <w:color w:val="0000FF" w:themeColor="hyperlink"/>
      <w:u w:val="single"/>
    </w:rPr>
  </w:style>
  <w:style w:type="character" w:customStyle="1" w:styleId="Heading1Char">
    <w:name w:val="Heading 1 Char"/>
    <w:basedOn w:val="DefaultParagraphFont"/>
    <w:link w:val="Heading1"/>
    <w:uiPriority w:val="9"/>
    <w:rsid w:val="00C3280C"/>
    <w:rPr>
      <w:rFonts w:ascii="Times New Roman" w:eastAsiaTheme="majorEastAsia" w:hAnsi="Times New Roman" w:cstheme="majorBidi"/>
      <w:b/>
      <w:bCs/>
      <w:color w:val="000000" w:themeColor="text1"/>
      <w:sz w:val="28"/>
      <w:szCs w:val="28"/>
      <w:lang w:val="en-GB"/>
    </w:rPr>
  </w:style>
  <w:style w:type="paragraph" w:styleId="Header">
    <w:name w:val="header"/>
    <w:basedOn w:val="Normal"/>
    <w:link w:val="HeaderChar"/>
    <w:uiPriority w:val="99"/>
    <w:semiHidden/>
    <w:unhideWhenUsed/>
    <w:rsid w:val="00DA50F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A50FD"/>
    <w:rPr>
      <w:lang w:val="en-GB"/>
    </w:rPr>
  </w:style>
  <w:style w:type="paragraph" w:styleId="Footer">
    <w:name w:val="footer"/>
    <w:basedOn w:val="Normal"/>
    <w:link w:val="FooterChar"/>
    <w:uiPriority w:val="99"/>
    <w:unhideWhenUsed/>
    <w:rsid w:val="00DA5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0FD"/>
    <w:rPr>
      <w:lang w:val="en-GB"/>
    </w:rPr>
  </w:style>
  <w:style w:type="paragraph" w:styleId="TOCHeading">
    <w:name w:val="TOC Heading"/>
    <w:basedOn w:val="Heading1"/>
    <w:next w:val="Normal"/>
    <w:uiPriority w:val="39"/>
    <w:semiHidden/>
    <w:unhideWhenUsed/>
    <w:qFormat/>
    <w:rsid w:val="00DA50FD"/>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DA50FD"/>
    <w:pPr>
      <w:spacing w:after="100"/>
    </w:pPr>
  </w:style>
  <w:style w:type="paragraph" w:styleId="BalloonText">
    <w:name w:val="Balloon Text"/>
    <w:basedOn w:val="Normal"/>
    <w:link w:val="BalloonTextChar"/>
    <w:uiPriority w:val="99"/>
    <w:semiHidden/>
    <w:unhideWhenUsed/>
    <w:rsid w:val="00DA50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50F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400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24"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footer" Target="footer1.xm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13A927-733D-4F06-B407-FCE5E901D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3447</Words>
  <Characters>19649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Gabor Kovacs</cp:lastModifiedBy>
  <cp:revision>5</cp:revision>
  <dcterms:created xsi:type="dcterms:W3CDTF">2022-03-24T20:17:00Z</dcterms:created>
  <dcterms:modified xsi:type="dcterms:W3CDTF">2022-05-11T19:44:00Z</dcterms:modified>
</cp:coreProperties>
</file>