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33E375" w14:textId="63294B6C" w:rsidR="00F96C08" w:rsidRDefault="009869E9">
      <w:pPr>
        <w:rPr>
          <w:b/>
          <w:bCs/>
        </w:rPr>
      </w:pPr>
      <w:r w:rsidRPr="005F3696">
        <w:rPr>
          <w:b/>
          <w:bCs/>
        </w:rPr>
        <w:t>Is Barbara Bender’s theory of contested space complemented by Christopher Tilley’s phenomenological perspective?</w:t>
      </w:r>
    </w:p>
    <w:p w14:paraId="119748C0" w14:textId="77777777" w:rsidR="0075604C" w:rsidRPr="0075604C" w:rsidRDefault="0075604C">
      <w:pPr>
        <w:rPr>
          <w:b/>
          <w:bCs/>
        </w:rPr>
      </w:pPr>
    </w:p>
    <w:p w14:paraId="32C9ED2C" w14:textId="66A20618" w:rsidR="00D5546F" w:rsidRDefault="00B21158">
      <w:r>
        <w:t xml:space="preserve">   </w:t>
      </w:r>
      <w:r w:rsidR="00A733BE">
        <w:t xml:space="preserve">Barbara Bender and Christopher Tilley are names that often </w:t>
      </w:r>
      <w:r w:rsidR="005962CB">
        <w:t xml:space="preserve">both </w:t>
      </w:r>
      <w:r w:rsidR="00A733BE">
        <w:t xml:space="preserve">appear in literature when discussing </w:t>
      </w:r>
      <w:r w:rsidR="00C732E9">
        <w:t>post-processual</w:t>
      </w:r>
      <w:r w:rsidR="00AF6784" w:rsidRPr="002A5EB8">
        <w:t xml:space="preserve"> </w:t>
      </w:r>
      <w:r w:rsidR="00E7642D">
        <w:t xml:space="preserve">and neo-Marxist </w:t>
      </w:r>
      <w:r w:rsidR="007F1053">
        <w:t xml:space="preserve">approaches to </w:t>
      </w:r>
      <w:r w:rsidR="002A5EB8">
        <w:t xml:space="preserve">landscape </w:t>
      </w:r>
      <w:r w:rsidR="007F1053">
        <w:t>archaeology</w:t>
      </w:r>
      <w:r w:rsidR="007F1053">
        <w:rPr>
          <w:rStyle w:val="FootnoteReference"/>
        </w:rPr>
        <w:footnoteReference w:id="1"/>
      </w:r>
      <w:r w:rsidR="00073F9F">
        <w:t xml:space="preserve"> </w:t>
      </w:r>
      <w:r w:rsidR="00B822F0">
        <w:rPr>
          <w:rStyle w:val="FootnoteReference"/>
        </w:rPr>
        <w:footnoteReference w:id="2"/>
      </w:r>
      <w:r w:rsidR="006E27DE">
        <w:t xml:space="preserve">. </w:t>
      </w:r>
      <w:r w:rsidR="0025537A">
        <w:t xml:space="preserve"> </w:t>
      </w:r>
      <w:r w:rsidR="00E97870">
        <w:t xml:space="preserve">They both </w:t>
      </w:r>
      <w:r w:rsidR="00395AF9">
        <w:t>offered</w:t>
      </w:r>
      <w:r w:rsidR="00E10C72">
        <w:t xml:space="preserve"> an alternative perspective to the study of prehistoric society and culture, </w:t>
      </w:r>
      <w:r w:rsidR="008D525B">
        <w:t xml:space="preserve">Bender through her theory of contested </w:t>
      </w:r>
      <w:r w:rsidR="002A5EB8">
        <w:t xml:space="preserve">spaces, and Tilley through his introduction of </w:t>
      </w:r>
      <w:r w:rsidR="00E97870">
        <w:t>p</w:t>
      </w:r>
      <w:r w:rsidR="002A5EB8">
        <w:t>henomenology to archaeological theory</w:t>
      </w:r>
      <w:r w:rsidR="00761309">
        <w:t xml:space="preserve">. </w:t>
      </w:r>
      <w:r w:rsidR="006E27DE">
        <w:t>It is na</w:t>
      </w:r>
      <w:r w:rsidR="00E337ED">
        <w:t>tural</w:t>
      </w:r>
      <w:r w:rsidR="008D525B">
        <w:t>, then,</w:t>
      </w:r>
      <w:r w:rsidR="00E337ED">
        <w:t xml:space="preserve"> to </w:t>
      </w:r>
      <w:r w:rsidR="008D525B">
        <w:t xml:space="preserve">ponder </w:t>
      </w:r>
      <w:r w:rsidR="00E337ED">
        <w:t xml:space="preserve">whether </w:t>
      </w:r>
      <w:r w:rsidR="001F6803">
        <w:t>the</w:t>
      </w:r>
      <w:r w:rsidR="00761309">
        <w:t xml:space="preserve"> </w:t>
      </w:r>
      <w:r w:rsidR="00C83248">
        <w:t>perspectives</w:t>
      </w:r>
      <w:r w:rsidR="00761309">
        <w:t xml:space="preserve"> of these </w:t>
      </w:r>
      <w:r w:rsidR="00C83248">
        <w:t>s</w:t>
      </w:r>
      <w:r w:rsidR="00761309">
        <w:t xml:space="preserve">cholars </w:t>
      </w:r>
      <w:r w:rsidR="00F1180C">
        <w:t>are</w:t>
      </w:r>
      <w:r w:rsidR="00E337ED">
        <w:t xml:space="preserve"> complementary, </w:t>
      </w:r>
      <w:r w:rsidR="00CF6B68">
        <w:t xml:space="preserve">or if the merits of one should cause it to supersede the other. </w:t>
      </w:r>
      <w:r w:rsidR="00701052">
        <w:t>I posit that</w:t>
      </w:r>
      <w:r w:rsidR="00B30D73">
        <w:t xml:space="preserve"> </w:t>
      </w:r>
      <w:r w:rsidR="004455FD">
        <w:t>these theories are indeed complementary,</w:t>
      </w:r>
      <w:r w:rsidR="00D118C0">
        <w:t xml:space="preserve"> as they bolster each other to create </w:t>
      </w:r>
      <w:r w:rsidR="00876AAA">
        <w:t xml:space="preserve">a </w:t>
      </w:r>
      <w:r w:rsidR="00964ECC">
        <w:t>framework for studying landscape that is both more theoretically and practically sound than either theory apart.</w:t>
      </w:r>
      <w:r w:rsidR="00B30D73">
        <w:t xml:space="preserve"> </w:t>
      </w:r>
      <w:r w:rsidR="00244F54">
        <w:t xml:space="preserve">Furthermore, through analysis of </w:t>
      </w:r>
      <w:r w:rsidR="005962CB">
        <w:t xml:space="preserve">the </w:t>
      </w:r>
      <w:proofErr w:type="spellStart"/>
      <w:r w:rsidR="005962CB">
        <w:t>Leskernick</w:t>
      </w:r>
      <w:proofErr w:type="spellEnd"/>
      <w:r w:rsidR="005962CB">
        <w:t xml:space="preserve"> Landscape project</w:t>
      </w:r>
      <w:r w:rsidR="007359B7">
        <w:t>,</w:t>
      </w:r>
      <w:r w:rsidR="005962CB">
        <w:t xml:space="preserve"> it will be seen that</w:t>
      </w:r>
      <w:r w:rsidR="0074335F">
        <w:t xml:space="preserve"> the combination of </w:t>
      </w:r>
      <w:r w:rsidR="007359B7">
        <w:t>both</w:t>
      </w:r>
      <w:r w:rsidR="0074335F">
        <w:t xml:space="preserve"> theories</w:t>
      </w:r>
      <w:r w:rsidR="008D5AEC">
        <w:t>, when applied to real-world research, results in</w:t>
      </w:r>
      <w:r w:rsidR="0037680A">
        <w:t xml:space="preserve"> an</w:t>
      </w:r>
      <w:r w:rsidR="008D5AEC">
        <w:t xml:space="preserve"> intriguing and </w:t>
      </w:r>
      <w:r w:rsidR="0037680A">
        <w:t xml:space="preserve">academically </w:t>
      </w:r>
      <w:r w:rsidR="008D5AEC">
        <w:t>valuable</w:t>
      </w:r>
      <w:r w:rsidR="007359B7">
        <w:t xml:space="preserve"> study</w:t>
      </w:r>
      <w:r w:rsidR="0037680A">
        <w:t xml:space="preserve"> of landscape</w:t>
      </w:r>
      <w:r w:rsidR="007359B7">
        <w:t>.</w:t>
      </w:r>
    </w:p>
    <w:p w14:paraId="51B5DD79" w14:textId="77777777" w:rsidR="00B63172" w:rsidRDefault="00B63172" w:rsidP="00106E1D">
      <w:pPr>
        <w:rPr>
          <w:b/>
          <w:bCs/>
        </w:rPr>
      </w:pPr>
    </w:p>
    <w:p w14:paraId="69988B05" w14:textId="274CDD58" w:rsidR="00A72BFD" w:rsidRPr="002A6298" w:rsidRDefault="00590DEE" w:rsidP="00106E1D">
      <w:pPr>
        <w:rPr>
          <w:b/>
          <w:bCs/>
        </w:rPr>
      </w:pPr>
      <w:r w:rsidRPr="00590DEE">
        <w:rPr>
          <w:b/>
          <w:bCs/>
        </w:rPr>
        <w:t>Bender’s Theory of Contested Landscapes</w:t>
      </w:r>
    </w:p>
    <w:p w14:paraId="46DFC6D9" w14:textId="585B4995" w:rsidR="00922131" w:rsidRDefault="00077F7B" w:rsidP="00A3016C">
      <w:r>
        <w:t xml:space="preserve">   </w:t>
      </w:r>
      <w:r w:rsidR="001E297A" w:rsidRPr="00735114">
        <w:t>In her book “Stonehenge</w:t>
      </w:r>
      <w:r w:rsidR="00915AA2">
        <w:t>: Making Space</w:t>
      </w:r>
      <w:r w:rsidR="001E297A" w:rsidRPr="00735114">
        <w:t xml:space="preserve">”, Bender </w:t>
      </w:r>
      <w:r w:rsidR="00903EF7" w:rsidRPr="00735114">
        <w:t xml:space="preserve">presents her </w:t>
      </w:r>
      <w:r w:rsidR="00943B1F">
        <w:t>concept</w:t>
      </w:r>
      <w:r w:rsidR="00903EF7" w:rsidRPr="00735114">
        <w:t xml:space="preserve"> of contested space through an exploration of the history of Stonehenge</w:t>
      </w:r>
      <w:r w:rsidR="00E873DA">
        <w:rPr>
          <w:rStyle w:val="FootnoteReference"/>
        </w:rPr>
        <w:footnoteReference w:id="3"/>
      </w:r>
      <w:r w:rsidR="00D663C9">
        <w:t>.</w:t>
      </w:r>
      <w:r w:rsidR="001B3E88">
        <w:t xml:space="preserve"> Beginning with medieval period</w:t>
      </w:r>
      <w:r w:rsidR="00605899">
        <w:t xml:space="preserve"> and continuing into the present</w:t>
      </w:r>
      <w:r w:rsidR="001B3E88">
        <w:t xml:space="preserve">, Bender </w:t>
      </w:r>
      <w:r w:rsidR="007736C0">
        <w:t xml:space="preserve">shows how </w:t>
      </w:r>
      <w:r w:rsidR="00BC7E38" w:rsidRPr="00BC7E38">
        <w:t xml:space="preserve">groups with different </w:t>
      </w:r>
      <w:r w:rsidR="00BC7E38">
        <w:t xml:space="preserve">degrees of </w:t>
      </w:r>
      <w:r w:rsidR="00BC7E38" w:rsidRPr="00BC7E38">
        <w:t xml:space="preserve">economic, political, and </w:t>
      </w:r>
      <w:r w:rsidR="00BC7E38">
        <w:t>social</w:t>
      </w:r>
      <w:r w:rsidR="00BC7E38" w:rsidRPr="00BC7E38">
        <w:t xml:space="preserve"> power</w:t>
      </w:r>
      <w:r w:rsidR="00FF6643">
        <w:t xml:space="preserve"> </w:t>
      </w:r>
      <w:r w:rsidR="008A5F64">
        <w:t>experience</w:t>
      </w:r>
      <w:r w:rsidR="00605899">
        <w:t>d</w:t>
      </w:r>
      <w:r w:rsidR="00BC7E38">
        <w:t xml:space="preserve"> the Stone</w:t>
      </w:r>
      <w:r w:rsidR="008A5F64">
        <w:t xml:space="preserve"> Stone</w:t>
      </w:r>
      <w:r w:rsidR="00605899">
        <w:t xml:space="preserve">henge </w:t>
      </w:r>
      <w:r w:rsidR="00BC7E38">
        <w:t>cite in different, and often conflicting ways.</w:t>
      </w:r>
      <w:r w:rsidR="00462640">
        <w:t xml:space="preserve"> </w:t>
      </w:r>
      <w:r w:rsidR="00A353E3">
        <w:t>This is achieved t</w:t>
      </w:r>
      <w:r w:rsidR="0073647F">
        <w:t xml:space="preserve">hrough an analysis of both </w:t>
      </w:r>
      <w:r w:rsidR="00A353E3">
        <w:t>archaeological</w:t>
      </w:r>
      <w:r w:rsidR="00F62A0F">
        <w:t xml:space="preserve"> and literary evidence</w:t>
      </w:r>
      <w:r w:rsidR="00BE5010">
        <w:rPr>
          <w:rStyle w:val="FootnoteReference"/>
        </w:rPr>
        <w:footnoteReference w:id="4"/>
      </w:r>
      <w:r w:rsidR="00A353E3">
        <w:t xml:space="preserve">. </w:t>
      </w:r>
      <w:r w:rsidR="001825A3">
        <w:t xml:space="preserve">The story that Bender unfolds is one </w:t>
      </w:r>
      <w:r w:rsidR="006945C5">
        <w:t xml:space="preserve">focused primarily upon </w:t>
      </w:r>
      <w:r w:rsidR="001825A3">
        <w:t>class struggle,</w:t>
      </w:r>
      <w:r w:rsidR="008A5971">
        <w:t xml:space="preserve"> from the </w:t>
      </w:r>
      <w:r w:rsidR="00483767">
        <w:t xml:space="preserve">‘half-pagan’ medieval commoner </w:t>
      </w:r>
      <w:r w:rsidR="00570E36">
        <w:t>cautiously worshipping the power of the stones</w:t>
      </w:r>
      <w:r w:rsidR="008B7D1B">
        <w:t xml:space="preserve"> and the</w:t>
      </w:r>
      <w:r w:rsidR="003D3CF7">
        <w:t>ir</w:t>
      </w:r>
      <w:r w:rsidR="008B7D1B">
        <w:t xml:space="preserve"> appropriation by the Church</w:t>
      </w:r>
      <w:r w:rsidR="00AB1CA5">
        <w:t xml:space="preserve"> as</w:t>
      </w:r>
      <w:r w:rsidR="008B7D1B">
        <w:t xml:space="preserve"> </w:t>
      </w:r>
      <w:r w:rsidR="00867A58">
        <w:t>the work of the Devil</w:t>
      </w:r>
      <w:r w:rsidR="00091BA8">
        <w:rPr>
          <w:rStyle w:val="FootnoteReference"/>
        </w:rPr>
        <w:footnoteReference w:id="5"/>
      </w:r>
      <w:r w:rsidR="00AB1CA5">
        <w:t>, all the way through to the</w:t>
      </w:r>
      <w:r w:rsidR="00D40BB2">
        <w:t xml:space="preserve"> commodification of </w:t>
      </w:r>
      <w:r w:rsidR="000C2F1A">
        <w:t>British</w:t>
      </w:r>
      <w:r w:rsidR="00091BA8">
        <w:t xml:space="preserve"> heritage</w:t>
      </w:r>
      <w:r w:rsidR="000C2F1A">
        <w:t xml:space="preserve"> </w:t>
      </w:r>
      <w:r w:rsidR="00091BA8">
        <w:t xml:space="preserve">and </w:t>
      </w:r>
      <w:r w:rsidR="000C2F1A">
        <w:t>landscape</w:t>
      </w:r>
      <w:r w:rsidR="001D04F1">
        <w:t>s</w:t>
      </w:r>
      <w:r w:rsidR="000C2F1A">
        <w:t xml:space="preserve"> as resource to be owned and sold</w:t>
      </w:r>
      <w:r w:rsidR="006D19DC">
        <w:t xml:space="preserve"> as capital</w:t>
      </w:r>
      <w:r w:rsidR="001D04F1">
        <w:rPr>
          <w:rStyle w:val="FootnoteReference"/>
        </w:rPr>
        <w:footnoteReference w:id="6"/>
      </w:r>
      <w:r w:rsidR="00091BA8">
        <w:t xml:space="preserve">. </w:t>
      </w:r>
      <w:r w:rsidR="00BE7022">
        <w:t xml:space="preserve">Bender’s approach takes great inspiration from neo-Marxist ideology, focusing particularly on a renegotiation of Marx’s historical materialism. Whilst Marx’s historical materialism focuses solely on </w:t>
      </w:r>
      <w:r w:rsidR="00BE7022" w:rsidRPr="00634103">
        <w:t xml:space="preserve">economic and class factors </w:t>
      </w:r>
      <w:r w:rsidR="00BE7022">
        <w:t>as</w:t>
      </w:r>
      <w:r w:rsidR="00BE7022" w:rsidRPr="00634103">
        <w:t xml:space="preserve"> the primary drivers of </w:t>
      </w:r>
      <w:r w:rsidR="00BE7022">
        <w:t>societal change</w:t>
      </w:r>
      <w:r w:rsidR="00BE7022">
        <w:rPr>
          <w:rStyle w:val="FootnoteReference"/>
        </w:rPr>
        <w:footnoteReference w:id="7"/>
      </w:r>
      <w:r w:rsidR="00BE7022">
        <w:t xml:space="preserve">, Bender contests that the scope of these factors must be ‘widened’ to include other imbalances of power, </w:t>
      </w:r>
      <w:r w:rsidR="00BE7022">
        <w:lastRenderedPageBreak/>
        <w:t>such as age, gender, and ethnicity</w:t>
      </w:r>
      <w:r w:rsidR="00BE7022">
        <w:rPr>
          <w:rStyle w:val="FootnoteReference"/>
        </w:rPr>
        <w:footnoteReference w:id="8"/>
      </w:r>
      <w:r w:rsidR="00BE7022">
        <w:t>.</w:t>
      </w:r>
      <w:r w:rsidR="008965D2">
        <w:t xml:space="preserve"> </w:t>
      </w:r>
      <w:r w:rsidR="00A3016C">
        <w:t xml:space="preserve">This, according to Bender, accounts not only for how </w:t>
      </w:r>
      <w:r w:rsidR="005243A2">
        <w:t>society undergoes change, but also causes the narratives of landscapes to become contested.</w:t>
      </w:r>
    </w:p>
    <w:p w14:paraId="5275B48C" w14:textId="77777777" w:rsidR="00122968" w:rsidRDefault="00F83747" w:rsidP="0097688E">
      <w:r>
        <w:t xml:space="preserve">   </w:t>
      </w:r>
      <w:r w:rsidR="001F2718">
        <w:t xml:space="preserve">The most notable example of Bender employing this neo-Marxist </w:t>
      </w:r>
      <w:r w:rsidR="0070213B">
        <w:t xml:space="preserve">historical materialist viewpoint can be seen when she </w:t>
      </w:r>
      <w:r w:rsidR="00672F3B">
        <w:t>examines</w:t>
      </w:r>
      <w:r w:rsidR="00037717">
        <w:t xml:space="preserve"> the increase in willingness to damage the stones of Stonehenge </w:t>
      </w:r>
      <w:r w:rsidR="009B0C50">
        <w:t xml:space="preserve">up to the </w:t>
      </w:r>
      <w:r w:rsidR="00630932">
        <w:t>18th century. Bender</w:t>
      </w:r>
      <w:r w:rsidR="00C70230">
        <w:t xml:space="preserve"> attests that as capitalist ideology began to flourish within society, that notion of the magic or deified power of nature, and in extension that of Stonehenge, were slowly abandoned in favour of viewing land as detached, impersonal and only useful in terms of its resource</w:t>
      </w:r>
      <w:r w:rsidR="00C70230">
        <w:rPr>
          <w:rStyle w:val="FootnoteReference"/>
        </w:rPr>
        <w:footnoteReference w:id="9"/>
      </w:r>
      <w:r w:rsidR="00C70230">
        <w:t>. However, this change in the narrative happened at different rates, depending on the socio-economic class in question.  For example, the lower ‘peasant’ classes, who were most likely farmhands</w:t>
      </w:r>
      <w:r w:rsidR="002D01EB">
        <w:t xml:space="preserve"> and thus </w:t>
      </w:r>
      <w:r w:rsidR="00D45BF2">
        <w:t>more situated in within the natural world</w:t>
      </w:r>
      <w:r w:rsidR="00C70230">
        <w:t>, were less ready to abandon their reverence of the land as the more literate upper classes were.</w:t>
      </w:r>
      <w:r w:rsidR="00630932">
        <w:t xml:space="preserve"> </w:t>
      </w:r>
      <w:r w:rsidR="002D01EB">
        <w:t>They shifted instead to view the</w:t>
      </w:r>
      <w:r w:rsidR="00E44DDA">
        <w:t xml:space="preserve"> perceived</w:t>
      </w:r>
      <w:r w:rsidR="002D01EB">
        <w:t xml:space="preserve"> </w:t>
      </w:r>
      <w:r w:rsidR="009B532B">
        <w:t xml:space="preserve">magic </w:t>
      </w:r>
      <w:r w:rsidR="00E44DDA">
        <w:t>of</w:t>
      </w:r>
      <w:r w:rsidR="009B532B">
        <w:t xml:space="preserve"> the Stones as a resource, </w:t>
      </w:r>
      <w:r w:rsidR="00E44DDA">
        <w:t xml:space="preserve">with records of </w:t>
      </w:r>
      <w:r w:rsidR="009C00C7">
        <w:t>people chipping off pieces of bluestone for their reported medicinal qualities</w:t>
      </w:r>
      <w:r w:rsidR="005D128B">
        <w:rPr>
          <w:rStyle w:val="FootnoteReference"/>
        </w:rPr>
        <w:footnoteReference w:id="10"/>
      </w:r>
      <w:r w:rsidR="009C00C7">
        <w:t xml:space="preserve">. </w:t>
      </w:r>
      <w:r w:rsidR="005D128B">
        <w:t xml:space="preserve">This is a stark difference in </w:t>
      </w:r>
      <w:r w:rsidR="004F4437">
        <w:t xml:space="preserve">behaviour to the late medieval commoner, who worshipped the stones instead of destroying them. </w:t>
      </w:r>
      <w:r w:rsidR="00452ADF">
        <w:t xml:space="preserve">This is also a different narrative to the more literate, upper classes of the time, who had more quickly dismissed the </w:t>
      </w:r>
      <w:r w:rsidR="00FA2B3E">
        <w:t>‘magic’ power of the stones, and instead sought the land and the physical material from Stonehenge</w:t>
      </w:r>
      <w:r>
        <w:t xml:space="preserve"> </w:t>
      </w:r>
      <w:r w:rsidR="00B962D9">
        <w:t xml:space="preserve">As such, Benders </w:t>
      </w:r>
      <w:r w:rsidR="00A0733D">
        <w:t xml:space="preserve">theory of contested space </w:t>
      </w:r>
      <w:r w:rsidR="00A0733D" w:rsidRPr="00F83747">
        <w:t>attributes</w:t>
      </w:r>
      <w:r w:rsidR="009547E1" w:rsidRPr="00F83747">
        <w:t xml:space="preserve"> the unequal power dynamics </w:t>
      </w:r>
      <w:r w:rsidR="00A0733D" w:rsidRPr="00F83747">
        <w:t xml:space="preserve">between </w:t>
      </w:r>
      <w:r w:rsidR="00595890" w:rsidRPr="00F83747">
        <w:t>different socio-political groups as</w:t>
      </w:r>
      <w:r w:rsidR="009547E1" w:rsidRPr="00F83747">
        <w:t xml:space="preserve"> the</w:t>
      </w:r>
      <w:r w:rsidR="00832006" w:rsidRPr="00F83747">
        <w:t xml:space="preserve"> driving factor towards the</w:t>
      </w:r>
      <w:r w:rsidR="009547E1" w:rsidRPr="00F83747">
        <w:t xml:space="preserve"> and interpretation </w:t>
      </w:r>
      <w:r w:rsidR="00832006" w:rsidRPr="00F83747">
        <w:t xml:space="preserve">(and appropriation) </w:t>
      </w:r>
      <w:r w:rsidR="009547E1" w:rsidRPr="00F83747">
        <w:t xml:space="preserve">of </w:t>
      </w:r>
      <w:r w:rsidR="00832006" w:rsidRPr="00F83747">
        <w:t>landscapes</w:t>
      </w:r>
      <w:r w:rsidR="009547E1" w:rsidRPr="00F83747">
        <w:t>.</w:t>
      </w:r>
      <w:r w:rsidR="00BC7E38">
        <w:t xml:space="preserve"> </w:t>
      </w:r>
    </w:p>
    <w:p w14:paraId="2688F573" w14:textId="4A1A512E" w:rsidR="00EE3E09" w:rsidRDefault="00F14E79" w:rsidP="00EE3E09">
      <w:r>
        <w:t xml:space="preserve">   </w:t>
      </w:r>
      <w:r w:rsidR="00FB04B1">
        <w:t xml:space="preserve">A critic to Bender’s </w:t>
      </w:r>
      <w:r w:rsidR="00122968">
        <w:t xml:space="preserve">work may argue that </w:t>
      </w:r>
      <w:r w:rsidR="00D4769C">
        <w:t>her work</w:t>
      </w:r>
      <w:r w:rsidR="00B62D8E">
        <w:t xml:space="preserve"> is </w:t>
      </w:r>
      <w:r w:rsidR="00570ADB">
        <w:t xml:space="preserve">too subjective and emotionally charged </w:t>
      </w:r>
      <w:r w:rsidR="00D4769C">
        <w:t xml:space="preserve">in tone </w:t>
      </w:r>
      <w:r w:rsidR="00570ADB">
        <w:t>to be considered unbiased</w:t>
      </w:r>
      <w:r w:rsidR="00C3360E">
        <w:t xml:space="preserve">. </w:t>
      </w:r>
      <w:r w:rsidR="003B1479">
        <w:t xml:space="preserve">Bender is certainly a passionate writer, </w:t>
      </w:r>
      <w:r w:rsidR="00A453F3">
        <w:t xml:space="preserve">even going as far as admitting that </w:t>
      </w:r>
      <w:r w:rsidR="008A344E">
        <w:t xml:space="preserve">her </w:t>
      </w:r>
      <w:r w:rsidR="00C3360E">
        <w:t>wo</w:t>
      </w:r>
      <w:r w:rsidR="0037460B">
        <w:t>rk on the contested landscape of Stonehenge</w:t>
      </w:r>
      <w:r w:rsidR="008A344E">
        <w:t xml:space="preserve"> was </w:t>
      </w:r>
      <w:r w:rsidR="00CB0C58">
        <w:t>conceived</w:t>
      </w:r>
      <w:r w:rsidR="008A344E">
        <w:t xml:space="preserve"> </w:t>
      </w:r>
      <w:r w:rsidR="00CB0C58">
        <w:t>partially</w:t>
      </w:r>
      <w:r w:rsidR="008A344E">
        <w:t xml:space="preserve"> out of anger</w:t>
      </w:r>
      <w:r w:rsidR="0037460B">
        <w:rPr>
          <w:rStyle w:val="FootnoteReference"/>
        </w:rPr>
        <w:footnoteReference w:id="11"/>
      </w:r>
      <w:r w:rsidR="0037460B">
        <w:t xml:space="preserve">. </w:t>
      </w:r>
      <w:r w:rsidR="000546C0">
        <w:t xml:space="preserve">It is clear from her writing that she believes in, and cares deeply about, what she’s saying. This should not be </w:t>
      </w:r>
      <w:r w:rsidR="00A6769F">
        <w:t>used as a critique against her work</w:t>
      </w:r>
      <w:r w:rsidR="00010A64">
        <w:t xml:space="preserve">. </w:t>
      </w:r>
      <w:r w:rsidR="008D06BC">
        <w:t>Equating</w:t>
      </w:r>
      <w:r w:rsidR="0099219B">
        <w:t xml:space="preserve"> her passion </w:t>
      </w:r>
      <w:r w:rsidR="00314CFE">
        <w:t>to a</w:t>
      </w:r>
      <w:r w:rsidR="002D48A1">
        <w:t xml:space="preserve"> lack of authority in her work </w:t>
      </w:r>
      <w:r w:rsidR="00EB3B2A">
        <w:t>perpetuates</w:t>
      </w:r>
      <w:r w:rsidR="004A7B99">
        <w:t xml:space="preserve"> </w:t>
      </w:r>
      <w:r w:rsidR="00EB3B2A">
        <w:t>the</w:t>
      </w:r>
      <w:r w:rsidR="004A7B99">
        <w:t xml:space="preserve"> harmful</w:t>
      </w:r>
      <w:r w:rsidR="00EB3B2A">
        <w:t xml:space="preserve"> stereotype of the </w:t>
      </w:r>
      <w:r w:rsidR="00A54CD4">
        <w:t xml:space="preserve">hysteric </w:t>
      </w:r>
      <w:r w:rsidR="00EB3B2A">
        <w:t>woman</w:t>
      </w:r>
      <w:r w:rsidR="00064A25">
        <w:rPr>
          <w:rStyle w:val="FootnoteReference"/>
        </w:rPr>
        <w:footnoteReference w:id="12"/>
      </w:r>
      <w:r w:rsidR="00EB3B2A">
        <w:t>,</w:t>
      </w:r>
      <w:r w:rsidR="008D06BC">
        <w:t xml:space="preserve"> which is not only morally reprehensible</w:t>
      </w:r>
      <w:r w:rsidR="00D130C2">
        <w:t xml:space="preserve"> but also </w:t>
      </w:r>
      <w:r w:rsidR="00C74BED">
        <w:t xml:space="preserve">falls for the ad hominem, or personal attack, logical fallacy. As such, </w:t>
      </w:r>
      <w:r w:rsidR="00E70829">
        <w:t xml:space="preserve">this is not a valid critique of </w:t>
      </w:r>
      <w:r w:rsidR="0037460B">
        <w:t>B</w:t>
      </w:r>
      <w:r w:rsidR="00E70829">
        <w:t>ender’s theory</w:t>
      </w:r>
      <w:r w:rsidR="00D130C2">
        <w:t xml:space="preserve"> </w:t>
      </w:r>
      <w:r w:rsidR="0037460B">
        <w:t>of contested space.</w:t>
      </w:r>
      <w:r w:rsidR="00BF06C2">
        <w:t xml:space="preserve"> </w:t>
      </w:r>
      <w:r w:rsidR="00E360AE">
        <w:t>A more credible critique of Bender’s position</w:t>
      </w:r>
      <w:r w:rsidR="00464967">
        <w:t xml:space="preserve"> would be to question</w:t>
      </w:r>
      <w:r w:rsidR="00772907">
        <w:t xml:space="preserve"> how </w:t>
      </w:r>
      <w:r w:rsidR="00F410ED">
        <w:t>one should determine which narrative</w:t>
      </w:r>
      <w:r w:rsidR="00A07E54">
        <w:t>(s)</w:t>
      </w:r>
      <w:r w:rsidR="00F410ED">
        <w:t xml:space="preserve"> or </w:t>
      </w:r>
      <w:r w:rsidR="00A07E54">
        <w:t>history(</w:t>
      </w:r>
      <w:proofErr w:type="spellStart"/>
      <w:r w:rsidR="00A07E54">
        <w:t>ies</w:t>
      </w:r>
      <w:proofErr w:type="spellEnd"/>
      <w:r w:rsidR="00A07E54">
        <w:t>)</w:t>
      </w:r>
      <w:r w:rsidR="00F410ED">
        <w:t xml:space="preserve"> </w:t>
      </w:r>
      <w:r w:rsidR="00A07E54">
        <w:t xml:space="preserve">of a given landscape </w:t>
      </w:r>
      <w:r w:rsidR="00E360AE">
        <w:t>provide the</w:t>
      </w:r>
      <w:r w:rsidR="00A07E54">
        <w:t xml:space="preserve"> correct</w:t>
      </w:r>
      <w:r w:rsidR="00E360AE">
        <w:t xml:space="preserve"> perspective</w:t>
      </w:r>
      <w:r w:rsidR="00A07E54">
        <w:t>.</w:t>
      </w:r>
      <w:r w:rsidR="00E360AE">
        <w:t xml:space="preserve"> </w:t>
      </w:r>
      <w:r w:rsidR="00DC3895">
        <w:t xml:space="preserve">Bender presents us </w:t>
      </w:r>
      <w:r w:rsidR="00DC3895">
        <w:lastRenderedPageBreak/>
        <w:t xml:space="preserve">with multiple, contradictory voices, but provides us with no </w:t>
      </w:r>
      <w:r w:rsidR="00935359">
        <w:t>justification as to which we should listen to, thus weakening her theory</w:t>
      </w:r>
      <w:r w:rsidR="00BF06C2">
        <w:t>.</w:t>
      </w:r>
      <w:r w:rsidR="00935359">
        <w:t xml:space="preserve"> </w:t>
      </w:r>
    </w:p>
    <w:p w14:paraId="6CC47D33" w14:textId="77777777" w:rsidR="00964ECC" w:rsidRDefault="00964ECC" w:rsidP="00EE3E09"/>
    <w:p w14:paraId="4D9BE14A" w14:textId="77777777" w:rsidR="0004611C" w:rsidRDefault="0004611C" w:rsidP="0004611C">
      <w:pPr>
        <w:rPr>
          <w:b/>
          <w:bCs/>
        </w:rPr>
      </w:pPr>
      <w:r w:rsidRPr="00EB2D44">
        <w:rPr>
          <w:b/>
          <w:bCs/>
        </w:rPr>
        <w:t>Post-processual Archaeology</w:t>
      </w:r>
    </w:p>
    <w:p w14:paraId="701EACBF" w14:textId="572B8B3C" w:rsidR="0004611C" w:rsidRDefault="0004611C" w:rsidP="0004611C">
      <w:r>
        <w:t xml:space="preserve">   Before we begin to discuss </w:t>
      </w:r>
      <w:r>
        <w:t>Tilley’s phenomenological perspective of archaeology</w:t>
      </w:r>
      <w:r>
        <w:t xml:space="preserve">, we must first understand the intellectual movement that </w:t>
      </w:r>
      <w:r>
        <w:t>his</w:t>
      </w:r>
      <w:r>
        <w:t xml:space="preserve"> work </w:t>
      </w:r>
      <w:r>
        <w:t>was born out of</w:t>
      </w:r>
      <w:r>
        <w:t>. As the name suggests, post-processual archaeology was developed in answer to processual archaeology, an intellectual tradition dating to the 1950s and 60s predicated on the positivist view that objective knowledge of past socio-cultural dynamics can be attained through applying the scientific method to the archaeological record</w:t>
      </w:r>
      <w:r>
        <w:rPr>
          <w:rStyle w:val="FootnoteReference"/>
        </w:rPr>
        <w:footnoteReference w:id="13"/>
      </w:r>
      <w:r>
        <w:t>. The processual framework emphasises the use of a hypothetico-deductive approach, where researchers begin with a hypothesis about past societies, deductively reasoning what archaeological evidence would be found if this hypothesis were true, and, finally, reviewing the archaeological record to determine whether the hypothesis can be validated. Archaeologist Lewis Binford was the driving force behind this approach, attesting that this framework could transform the practice of archaeology into a rigorous science</w:t>
      </w:r>
      <w:r>
        <w:rPr>
          <w:rStyle w:val="FootnoteReference"/>
        </w:rPr>
        <w:footnoteReference w:id="14"/>
      </w:r>
      <w:r>
        <w:t>.</w:t>
      </w:r>
    </w:p>
    <w:p w14:paraId="2F1CF573" w14:textId="65042766" w:rsidR="0004611C" w:rsidRDefault="0004611C" w:rsidP="0004611C">
      <w:r>
        <w:t xml:space="preserve">   However, a group of Cambridge archaeologists in the 1980s, including Tilley, argued that this positivist stance of archaeology ultimately fails to provide the objective truths it purports to uncover</w:t>
      </w:r>
      <w:r>
        <w:rPr>
          <w:rStyle w:val="FootnoteReference"/>
        </w:rPr>
        <w:footnoteReference w:id="15"/>
      </w:r>
      <w:r>
        <w:t>.  Instead, post-processualism was conceived on upon the importance of interpretation, with varying levels of ‘radical’ shift from the logical positivist perspective</w:t>
      </w:r>
      <w:r>
        <w:rPr>
          <w:rStyle w:val="FootnoteReference"/>
        </w:rPr>
        <w:footnoteReference w:id="16"/>
      </w:r>
      <w:r>
        <w:t>.</w:t>
      </w:r>
      <w:r w:rsidR="00077F7B">
        <w:t xml:space="preserve"> </w:t>
      </w:r>
      <w:r>
        <w:t>Tilley held a particularly strong relativist view of archaeology, attesting that there is no rational way to assign truth or falsehood to opposing accounts of the past, and such interpretations are always done through the interpreter’s political or moral system</w:t>
      </w:r>
      <w:r>
        <w:rPr>
          <w:rStyle w:val="FootnoteReference"/>
        </w:rPr>
        <w:footnoteReference w:id="17"/>
      </w:r>
      <w:r>
        <w:t xml:space="preserve">. This relationship between the human interpreter and the pasts they wish to understand underpins Tilley’s subsequent work, including his phenomenological perspective of landscape. </w:t>
      </w:r>
    </w:p>
    <w:p w14:paraId="15518A43" w14:textId="77777777" w:rsidR="00B63172" w:rsidRPr="00EE3E09" w:rsidRDefault="00B63172" w:rsidP="00EE3E09"/>
    <w:p w14:paraId="13351AB1" w14:textId="6745B38B" w:rsidR="00631D7D" w:rsidRPr="000A125A" w:rsidRDefault="00590DEE" w:rsidP="000A125A">
      <w:pPr>
        <w:rPr>
          <w:b/>
          <w:bCs/>
        </w:rPr>
      </w:pPr>
      <w:r>
        <w:rPr>
          <w:b/>
          <w:bCs/>
        </w:rPr>
        <w:t>Tilley</w:t>
      </w:r>
      <w:r w:rsidR="00C23317">
        <w:rPr>
          <w:b/>
          <w:bCs/>
        </w:rPr>
        <w:t xml:space="preserve">’s </w:t>
      </w:r>
      <w:r w:rsidR="00CD49B4" w:rsidRPr="000A125A">
        <w:rPr>
          <w:b/>
          <w:bCs/>
        </w:rPr>
        <w:t>Phenomenology of Landscape</w:t>
      </w:r>
    </w:p>
    <w:p w14:paraId="44A40CBA" w14:textId="4DF2DCB7" w:rsidR="00646891" w:rsidRDefault="00EA3D8F" w:rsidP="0073189C">
      <w:r>
        <w:t xml:space="preserve">  </w:t>
      </w:r>
      <w:r w:rsidR="00631D7D">
        <w:t>Tilley’s “</w:t>
      </w:r>
      <w:r w:rsidR="00631D7D" w:rsidRPr="00631D7D">
        <w:t>A Phenomenology of Landscape</w:t>
      </w:r>
      <w:r w:rsidR="00631D7D">
        <w:t xml:space="preserve">” </w:t>
      </w:r>
      <w:proofErr w:type="gramStart"/>
      <w:r w:rsidR="00631D7D">
        <w:t>is considered to be</w:t>
      </w:r>
      <w:proofErr w:type="gramEnd"/>
      <w:r w:rsidR="00631D7D">
        <w:t xml:space="preserve"> the first instance of phenomenology, the </w:t>
      </w:r>
      <w:r w:rsidR="00CD49B4">
        <w:t>study</w:t>
      </w:r>
      <w:r w:rsidR="00CF0388">
        <w:t xml:space="preserve"> of structures of </w:t>
      </w:r>
      <w:r w:rsidR="00A04935">
        <w:t>experience</w:t>
      </w:r>
      <w:r w:rsidR="00CF0388">
        <w:t xml:space="preserve"> as they appear to </w:t>
      </w:r>
      <w:r w:rsidR="00A04935">
        <w:t xml:space="preserve">their subject or </w:t>
      </w:r>
      <w:r w:rsidR="00A04935">
        <w:lastRenderedPageBreak/>
        <w:t>experiencer</w:t>
      </w:r>
      <w:r w:rsidR="00A04935">
        <w:rPr>
          <w:rStyle w:val="FootnoteReference"/>
        </w:rPr>
        <w:footnoteReference w:id="18"/>
      </w:r>
      <w:r w:rsidR="00631D7D">
        <w:t>, being introduced into archaeological methodology</w:t>
      </w:r>
      <w:r w:rsidR="00305B76">
        <w:rPr>
          <w:rStyle w:val="FootnoteReference"/>
        </w:rPr>
        <w:footnoteReference w:id="19"/>
      </w:r>
      <w:r w:rsidR="00631D7D" w:rsidRPr="00631D7D">
        <w:t>.</w:t>
      </w:r>
      <w:r w:rsidR="00FF62B1">
        <w:t xml:space="preserve"> </w:t>
      </w:r>
      <w:r w:rsidR="003D2DE0">
        <w:t xml:space="preserve">Tilley </w:t>
      </w:r>
      <w:r w:rsidR="003D2DE0" w:rsidRPr="00FF62B1">
        <w:rPr>
          <w:color w:val="000000" w:themeColor="text1"/>
        </w:rPr>
        <w:t xml:space="preserve">begins </w:t>
      </w:r>
      <w:r w:rsidR="00E21D14" w:rsidRPr="00FF62B1">
        <w:rPr>
          <w:color w:val="000000" w:themeColor="text1"/>
        </w:rPr>
        <w:t xml:space="preserve">his </w:t>
      </w:r>
      <w:r w:rsidR="00FF62B1" w:rsidRPr="00FF62B1">
        <w:rPr>
          <w:color w:val="000000" w:themeColor="text1"/>
        </w:rPr>
        <w:t xml:space="preserve">treatise </w:t>
      </w:r>
      <w:r w:rsidR="003D2DE0">
        <w:t>by</w:t>
      </w:r>
      <w:r w:rsidR="00524262">
        <w:t xml:space="preserve"> considering the nature of space</w:t>
      </w:r>
      <w:r w:rsidR="00C877C6">
        <w:t>, and how it is experienced</w:t>
      </w:r>
      <w:r w:rsidR="00E86166">
        <w:t xml:space="preserve">. </w:t>
      </w:r>
      <w:r w:rsidR="00EA5515">
        <w:t xml:space="preserve">One perspective </w:t>
      </w:r>
      <w:r w:rsidR="00F25133">
        <w:t xml:space="preserve">he explores </w:t>
      </w:r>
      <w:r w:rsidR="00EA5515">
        <w:t xml:space="preserve">is </w:t>
      </w:r>
      <w:r w:rsidR="00567BC1">
        <w:t xml:space="preserve">that of </w:t>
      </w:r>
      <w:r w:rsidR="00026AE0">
        <w:t xml:space="preserve">empiricist objectivism, which would attest that </w:t>
      </w:r>
      <w:r w:rsidR="0043386A">
        <w:t xml:space="preserve">there is a purely objective reality, in which </w:t>
      </w:r>
      <w:r w:rsidR="00E650A8">
        <w:t>‘perception</w:t>
      </w:r>
      <w:r w:rsidR="00956842">
        <w:t>’ is simply a</w:t>
      </w:r>
      <w:r w:rsidR="00661670">
        <w:t xml:space="preserve"> causal action</w:t>
      </w:r>
      <w:r w:rsidR="0026494B">
        <w:t xml:space="preserve"> upon an organ that </w:t>
      </w:r>
      <w:r w:rsidR="00413467">
        <w:t xml:space="preserve">then </w:t>
      </w:r>
      <w:r w:rsidR="0026494B">
        <w:t>registers as sensation</w:t>
      </w:r>
      <w:r w:rsidR="00746A7D">
        <w:rPr>
          <w:rStyle w:val="FootnoteReference"/>
        </w:rPr>
        <w:footnoteReference w:id="20"/>
      </w:r>
      <w:r w:rsidR="0026494B">
        <w:t>. In this view, there is no subject who perceives</w:t>
      </w:r>
      <w:r w:rsidR="00BF6737">
        <w:t xml:space="preserve">, just objects </w:t>
      </w:r>
      <w:r w:rsidR="005E5AA8">
        <w:t>exerting forces upon one another</w:t>
      </w:r>
      <w:r w:rsidR="00F25133">
        <w:t>.</w:t>
      </w:r>
      <w:r w:rsidR="00661670">
        <w:t xml:space="preserve"> </w:t>
      </w:r>
      <w:r w:rsidR="006D1F78">
        <w:t xml:space="preserve">Diametrically opposed to this </w:t>
      </w:r>
      <w:r w:rsidR="000A39C0">
        <w:t>the cognitive idealist view t</w:t>
      </w:r>
      <w:r w:rsidR="00C43530">
        <w:t xml:space="preserve">hat reality </w:t>
      </w:r>
      <w:r w:rsidR="00393FF8">
        <w:t>is ultimately constructed by the mind</w:t>
      </w:r>
      <w:r w:rsidR="000720E7">
        <w:t xml:space="preserve">, and </w:t>
      </w:r>
      <w:r w:rsidR="00AB5C21">
        <w:t xml:space="preserve">as such </w:t>
      </w:r>
      <w:r w:rsidR="005E5AA8">
        <w:t>objects, and the spaces they are situated,</w:t>
      </w:r>
      <w:r w:rsidR="004D702A">
        <w:t xml:space="preserve"> </w:t>
      </w:r>
      <w:r w:rsidR="00735107">
        <w:t>exist only in relation to</w:t>
      </w:r>
      <w:r w:rsidR="00413467">
        <w:t xml:space="preserve"> </w:t>
      </w:r>
      <w:r w:rsidR="00AB5C21">
        <w:t>the subject or consciousness</w:t>
      </w:r>
      <w:r w:rsidR="004D702A">
        <w:t xml:space="preserve"> perceiving them</w:t>
      </w:r>
      <w:r w:rsidR="00AB5C21">
        <w:rPr>
          <w:rStyle w:val="FootnoteReference"/>
        </w:rPr>
        <w:footnoteReference w:id="21"/>
      </w:r>
      <w:r w:rsidR="00AB5C21">
        <w:t>.</w:t>
      </w:r>
      <w:r w:rsidR="004D702A">
        <w:t xml:space="preserve"> </w:t>
      </w:r>
      <w:r w:rsidR="00FF268F">
        <w:t>These views, Tilley argues</w:t>
      </w:r>
      <w:r w:rsidR="00AC3B6C">
        <w:t xml:space="preserve">, are insufficient in conceptualising </w:t>
      </w:r>
      <w:r w:rsidR="0062331C">
        <w:t>what it means to experience space</w:t>
      </w:r>
      <w:r w:rsidR="00A86DF3">
        <w:t>, because</w:t>
      </w:r>
      <w:r w:rsidR="003A1CF0">
        <w:t xml:space="preserve"> they fail to </w:t>
      </w:r>
      <w:r w:rsidR="0018535C">
        <w:t xml:space="preserve">address </w:t>
      </w:r>
      <w:r w:rsidR="00BF39FE">
        <w:t>systematically evade the problem of the phenomenon of</w:t>
      </w:r>
      <w:r w:rsidR="00BF39FE">
        <w:t xml:space="preserve"> </w:t>
      </w:r>
      <w:r w:rsidR="00BF39FE">
        <w:t>perception</w:t>
      </w:r>
      <w:r w:rsidR="00BF39FE">
        <w:rPr>
          <w:rStyle w:val="FootnoteReference"/>
        </w:rPr>
        <w:footnoteReference w:id="22"/>
      </w:r>
      <w:r w:rsidR="0062331C">
        <w:t xml:space="preserve"> Instead, </w:t>
      </w:r>
      <w:r w:rsidR="00232AA5">
        <w:t xml:space="preserve">Tilley employs the works of philosophers Heidegger and </w:t>
      </w:r>
      <w:r w:rsidR="00232AA5" w:rsidRPr="00232AA5">
        <w:t>Merleau-Ponty</w:t>
      </w:r>
      <w:r w:rsidR="00232AA5">
        <w:t xml:space="preserve"> to</w:t>
      </w:r>
      <w:r w:rsidR="000B1C6D">
        <w:t xml:space="preserve"> argue that </w:t>
      </w:r>
      <w:r w:rsidR="006D0DAB">
        <w:t>conscious subjects are “being</w:t>
      </w:r>
      <w:r w:rsidR="008F6B10">
        <w:t xml:space="preserve">s-in-the-world”, with </w:t>
      </w:r>
      <w:r w:rsidR="007C1845">
        <w:t xml:space="preserve">fundamental condition </w:t>
      </w:r>
      <w:r w:rsidR="008F6B10">
        <w:t>of their existence predicated on their</w:t>
      </w:r>
      <w:r w:rsidR="002C7D29">
        <w:t xml:space="preserve"> </w:t>
      </w:r>
      <w:r w:rsidR="008F6B10">
        <w:t>integration</w:t>
      </w:r>
      <w:r w:rsidR="002C7D29">
        <w:t xml:space="preserve"> and </w:t>
      </w:r>
      <w:r w:rsidR="008F6B10">
        <w:t>engagement</w:t>
      </w:r>
      <w:r w:rsidR="002C7D29">
        <w:t xml:space="preserve"> with the </w:t>
      </w:r>
      <w:r w:rsidR="005B3346">
        <w:t>spaces they inhabit</w:t>
      </w:r>
      <w:r w:rsidR="00660A11">
        <w:rPr>
          <w:rStyle w:val="FootnoteReference"/>
        </w:rPr>
        <w:footnoteReference w:id="23"/>
      </w:r>
      <w:r w:rsidR="008F6B10">
        <w:t>.</w:t>
      </w:r>
      <w:r w:rsidR="006D0DAB">
        <w:t xml:space="preserve"> </w:t>
      </w:r>
      <w:r w:rsidR="005B3346">
        <w:t xml:space="preserve"> </w:t>
      </w:r>
    </w:p>
    <w:p w14:paraId="4763C204" w14:textId="47A62113" w:rsidR="0054585E" w:rsidRDefault="00EA3D8F" w:rsidP="002530B4">
      <w:r>
        <w:t xml:space="preserve">  </w:t>
      </w:r>
      <w:r w:rsidR="00D67ECC">
        <w:t xml:space="preserve">Tilley </w:t>
      </w:r>
      <w:r w:rsidR="001F6F08">
        <w:t xml:space="preserve">then </w:t>
      </w:r>
      <w:r w:rsidR="00D67ECC">
        <w:t xml:space="preserve">applies this </w:t>
      </w:r>
      <w:r w:rsidR="00C07AA4">
        <w:t>understanding</w:t>
      </w:r>
      <w:r w:rsidR="00D67ECC">
        <w:t xml:space="preserve"> of space and place to </w:t>
      </w:r>
      <w:r w:rsidR="00ED46E7">
        <w:t>anthropological</w:t>
      </w:r>
      <w:r w:rsidR="00D67ECC">
        <w:t xml:space="preserve"> and </w:t>
      </w:r>
      <w:r w:rsidR="00ED46E7">
        <w:t>archaeological</w:t>
      </w:r>
      <w:r w:rsidR="00D67ECC">
        <w:t xml:space="preserve"> understandings of landscape. </w:t>
      </w:r>
      <w:r w:rsidR="001F6F08">
        <w:t xml:space="preserve">Tilley argues that </w:t>
      </w:r>
      <w:r w:rsidR="0018402A">
        <w:t>t</w:t>
      </w:r>
      <w:r w:rsidR="003D1EB0">
        <w:t xml:space="preserve">he relationships between peoples and landscapes </w:t>
      </w:r>
      <w:r w:rsidR="00A80C50">
        <w:t xml:space="preserve">were traditionally interrogated from </w:t>
      </w:r>
      <w:r w:rsidR="005E7060">
        <w:t>a functional or adaptive perspective</w:t>
      </w:r>
      <w:r w:rsidR="00F604F7">
        <w:t xml:space="preserve">, </w:t>
      </w:r>
      <w:r w:rsidR="00C17D71">
        <w:t xml:space="preserve">disregarding </w:t>
      </w:r>
      <w:r w:rsidR="00BC6131">
        <w:t>cosmologies</w:t>
      </w:r>
      <w:r w:rsidR="00F81B89">
        <w:t xml:space="preserve"> and symbolism attached to the land.</w:t>
      </w:r>
      <w:r w:rsidR="00F81B89">
        <w:rPr>
          <w:rStyle w:val="FootnoteReference"/>
        </w:rPr>
        <w:footnoteReference w:id="24"/>
      </w:r>
      <w:r w:rsidR="00F81B89">
        <w:t xml:space="preserve"> </w:t>
      </w:r>
      <w:r w:rsidR="003D2757" w:rsidRPr="003D2757">
        <w:t xml:space="preserve">This creates a view of landscapes as passive, with human activity occurring within them only to the extent of their ‘usefulness’. However, Tilley attests that this is </w:t>
      </w:r>
      <w:r w:rsidR="00511B50">
        <w:t>of limited usefulness as a</w:t>
      </w:r>
      <w:r w:rsidR="003D2757" w:rsidRPr="003D2757">
        <w:t xml:space="preserve"> perspective</w:t>
      </w:r>
      <w:r w:rsidR="00942CFB">
        <w:t xml:space="preserve">, as it separates </w:t>
      </w:r>
      <w:r w:rsidR="00511B50">
        <w:t xml:space="preserve">the </w:t>
      </w:r>
      <w:r w:rsidR="002530B4">
        <w:t>mental processes of the conscious</w:t>
      </w:r>
      <w:r w:rsidR="00511B50">
        <w:t xml:space="preserve"> being from the world they inhabit</w:t>
      </w:r>
      <w:r w:rsidR="002530B4">
        <w:t xml:space="preserve">, instead of </w:t>
      </w:r>
      <w:r w:rsidR="007803D3">
        <w:t>honouring</w:t>
      </w:r>
      <w:r w:rsidR="002530B4">
        <w:t xml:space="preserve"> the </w:t>
      </w:r>
      <w:r w:rsidR="007803D3">
        <w:t xml:space="preserve">integrated nature of both the being and the world they move through. </w:t>
      </w:r>
      <w:r w:rsidR="001D1E5C">
        <w:t>As “beings-in-the-world”,</w:t>
      </w:r>
      <w:r w:rsidR="004253E7">
        <w:t xml:space="preserve"> human activities are imprinted into the landscapes</w:t>
      </w:r>
      <w:r w:rsidR="001A795A">
        <w:t xml:space="preserve">, which can hold these echoes to be </w:t>
      </w:r>
      <w:r w:rsidR="00322F05">
        <w:t>re-experienced by a future “being-in-the-world”</w:t>
      </w:r>
      <w:r w:rsidR="00887E33">
        <w:rPr>
          <w:rStyle w:val="FootnoteReference"/>
        </w:rPr>
        <w:footnoteReference w:id="25"/>
      </w:r>
      <w:r w:rsidR="00887E33">
        <w:t>. As such,</w:t>
      </w:r>
      <w:r w:rsidR="002530B4">
        <w:t xml:space="preserve"> Tilley advocates for</w:t>
      </w:r>
      <w:r w:rsidR="007803D3">
        <w:t xml:space="preserve"> the </w:t>
      </w:r>
      <w:r w:rsidR="00D23E03">
        <w:t>archaeological</w:t>
      </w:r>
      <w:r w:rsidR="00A67A11">
        <w:t xml:space="preserve"> researcher to </w:t>
      </w:r>
      <w:r w:rsidR="00D23E03">
        <w:t xml:space="preserve">use their body as an instrument to engage </w:t>
      </w:r>
      <w:r w:rsidR="006810D3">
        <w:t>with the landscape</w:t>
      </w:r>
      <w:r w:rsidR="00865835">
        <w:t xml:space="preserve"> as a means of understanding past human activity. </w:t>
      </w:r>
    </w:p>
    <w:p w14:paraId="40F0B8A6" w14:textId="77777777" w:rsidR="00946ACD" w:rsidRDefault="00946ACD" w:rsidP="002530B4"/>
    <w:p w14:paraId="7B93E144" w14:textId="02E9FAAE" w:rsidR="00F4565B" w:rsidRDefault="00EA3D8F" w:rsidP="002530B4">
      <w:r>
        <w:t xml:space="preserve">  </w:t>
      </w:r>
      <w:r w:rsidR="00425962">
        <w:t>One critique of Tilley’s</w:t>
      </w:r>
      <w:r w:rsidR="006B26C9">
        <w:t xml:space="preserve"> </w:t>
      </w:r>
      <w:r w:rsidR="00B34A41">
        <w:t xml:space="preserve">phenomenological perspective </w:t>
      </w:r>
      <w:r w:rsidR="00F50FED">
        <w:t>is that</w:t>
      </w:r>
      <w:r w:rsidR="00502031">
        <w:t xml:space="preserve"> i</w:t>
      </w:r>
      <w:r w:rsidR="00250484">
        <w:t>t misunderstands</w:t>
      </w:r>
      <w:r w:rsidR="00A71758">
        <w:t xml:space="preserve"> Heideggerian </w:t>
      </w:r>
      <w:r w:rsidR="00250484">
        <w:t>phenomenology</w:t>
      </w:r>
      <w:r w:rsidR="00A71758">
        <w:t xml:space="preserve">. </w:t>
      </w:r>
      <w:r w:rsidR="00181932">
        <w:t>Scholars</w:t>
      </w:r>
      <w:r w:rsidR="00FA60D9">
        <w:t xml:space="preserve"> Barrett and Ko distilled Tilley’s phenomenological perspective into the following three claims:</w:t>
      </w:r>
    </w:p>
    <w:p w14:paraId="3C30A4A6" w14:textId="03357DF3" w:rsidR="00B73D98" w:rsidRDefault="00B73D98" w:rsidP="00127829">
      <w:pPr>
        <w:pStyle w:val="ListParagraph"/>
        <w:widowControl w:val="0"/>
        <w:numPr>
          <w:ilvl w:val="0"/>
          <w:numId w:val="5"/>
        </w:numPr>
        <w:autoSpaceDE w:val="0"/>
        <w:autoSpaceDN w:val="0"/>
        <w:spacing w:beforeLines="50" w:before="120" w:afterLines="50" w:after="120" w:line="360" w:lineRule="auto"/>
      </w:pPr>
      <w:r>
        <w:lastRenderedPageBreak/>
        <w:t xml:space="preserve"> </w:t>
      </w:r>
      <w:r>
        <w:t>The archaeological record cannot be understood without a human presence. Meaning arises in a human engagement with material conditions.</w:t>
      </w:r>
    </w:p>
    <w:p w14:paraId="31294ED2" w14:textId="4DD38324" w:rsidR="00B73D98" w:rsidRDefault="00B73D98" w:rsidP="00127829">
      <w:pPr>
        <w:pStyle w:val="ListParagraph"/>
        <w:widowControl w:val="0"/>
        <w:numPr>
          <w:ilvl w:val="0"/>
          <w:numId w:val="5"/>
        </w:numPr>
        <w:autoSpaceDE w:val="0"/>
        <w:autoSpaceDN w:val="0"/>
        <w:spacing w:beforeLines="50" w:before="120" w:afterLines="50" w:after="120" w:line="360" w:lineRule="auto"/>
      </w:pPr>
      <w:r>
        <w:t xml:space="preserve"> </w:t>
      </w:r>
      <w:r>
        <w:t>The body is the medium through which this engagement occurs.</w:t>
      </w:r>
    </w:p>
    <w:p w14:paraId="5BE20D9A" w14:textId="44FED4B8" w:rsidR="0037090E" w:rsidRDefault="00127829" w:rsidP="00FA60D9">
      <w:pPr>
        <w:pStyle w:val="ListParagraph"/>
        <w:widowControl w:val="0"/>
        <w:numPr>
          <w:ilvl w:val="0"/>
          <w:numId w:val="5"/>
        </w:numPr>
        <w:autoSpaceDE w:val="0"/>
        <w:autoSpaceDN w:val="0"/>
        <w:spacing w:beforeLines="50" w:before="120" w:afterLines="50" w:after="120" w:line="360" w:lineRule="auto"/>
      </w:pPr>
      <w:r>
        <w:t xml:space="preserve"> </w:t>
      </w:r>
      <w:r w:rsidR="00B73D98">
        <w:t>By using his or her own body as the medium of engagement, the archaeologist can encounter a past Being-in-the-world, and in doing so, grasp the meaning of the archaeological record.</w:t>
      </w:r>
      <w:r w:rsidR="0037090E">
        <w:t xml:space="preserve"> (Barrett and Ko, 2006)</w:t>
      </w:r>
      <w:r>
        <w:rPr>
          <w:rStyle w:val="FootnoteReference"/>
        </w:rPr>
        <w:footnoteReference w:id="26"/>
      </w:r>
      <w:r>
        <w:t xml:space="preserve"> </w:t>
      </w:r>
    </w:p>
    <w:p w14:paraId="0D3BB22E" w14:textId="201D00F8" w:rsidR="006B1174" w:rsidRDefault="00EA3D8F" w:rsidP="002530B4">
      <w:r>
        <w:t xml:space="preserve">  </w:t>
      </w:r>
      <w:r w:rsidR="00FA60D9">
        <w:t>It is the</w:t>
      </w:r>
      <w:r w:rsidR="00016602">
        <w:t xml:space="preserve"> third claim, </w:t>
      </w:r>
      <w:r w:rsidR="0037090E">
        <w:t xml:space="preserve">Barrett and Ko argue, </w:t>
      </w:r>
      <w:r w:rsidR="00FA60D9">
        <w:t>that is</w:t>
      </w:r>
      <w:r w:rsidR="00184420">
        <w:t xml:space="preserve"> </w:t>
      </w:r>
      <w:r w:rsidR="00C67A8E">
        <w:t xml:space="preserve">flawed, </w:t>
      </w:r>
      <w:r w:rsidR="004E3FBC">
        <w:t xml:space="preserve">as they view this as a subjective epistemological claim, which </w:t>
      </w:r>
      <w:r w:rsidR="002A0A39">
        <w:t>conflicts with</w:t>
      </w:r>
      <w:r w:rsidR="00594F93">
        <w:t xml:space="preserve"> Heideggerian </w:t>
      </w:r>
      <w:r w:rsidR="00702E7C">
        <w:t>phenomenology</w:t>
      </w:r>
      <w:r w:rsidR="00702E7C">
        <w:rPr>
          <w:rStyle w:val="FootnoteReference"/>
        </w:rPr>
        <w:footnoteReference w:id="27"/>
      </w:r>
      <w:r w:rsidR="00702E7C">
        <w:t>.</w:t>
      </w:r>
      <w:r w:rsidR="009B45DB">
        <w:t xml:space="preserve"> </w:t>
      </w:r>
      <w:r w:rsidR="00D2065A">
        <w:t xml:space="preserve">However, this </w:t>
      </w:r>
      <w:r w:rsidR="000C06AE">
        <w:t xml:space="preserve">critique is only valid if Tilley is asserting that </w:t>
      </w:r>
      <w:r w:rsidR="00110A42">
        <w:t>“</w:t>
      </w:r>
      <w:r w:rsidR="000C06AE">
        <w:t>truth</w:t>
      </w:r>
      <w:r w:rsidR="00110A42">
        <w:t>”</w:t>
      </w:r>
      <w:r w:rsidR="000C06AE">
        <w:t xml:space="preserve"> is to be found </w:t>
      </w:r>
      <w:r w:rsidR="008617DD">
        <w:t>through his methodology. However, Ti</w:t>
      </w:r>
      <w:r w:rsidR="00261945">
        <w:t xml:space="preserve">lley does not assert </w:t>
      </w:r>
      <w:r w:rsidR="00946ACD">
        <w:t>this and</w:t>
      </w:r>
      <w:r w:rsidR="00261945">
        <w:t xml:space="preserve"> is clear </w:t>
      </w:r>
      <w:r w:rsidR="00FF4845">
        <w:t>in his belief that</w:t>
      </w:r>
      <w:r w:rsidR="00261945">
        <w:t xml:space="preserve"> no interpretation of the past can be lorded as </w:t>
      </w:r>
      <w:r w:rsidR="00FF4845">
        <w:t>‘absolute truth’ over others</w:t>
      </w:r>
      <w:r w:rsidR="00945A65">
        <w:t xml:space="preserve">. As such, this critique of Tilley’s </w:t>
      </w:r>
      <w:r w:rsidR="00660F25">
        <w:t>phenomenological perspective is flawed.</w:t>
      </w:r>
    </w:p>
    <w:p w14:paraId="0C8E044B" w14:textId="77777777" w:rsidR="00425962" w:rsidRDefault="00425962" w:rsidP="0045309C"/>
    <w:p w14:paraId="0B0BC160" w14:textId="19FD2528" w:rsidR="007803D3" w:rsidRDefault="00EA3D8F" w:rsidP="00250484">
      <w:r>
        <w:t xml:space="preserve">  </w:t>
      </w:r>
      <w:r w:rsidR="00793CB5">
        <w:t>Another</w:t>
      </w:r>
      <w:r w:rsidR="00F4565B">
        <w:t xml:space="preserve"> critique of Tilley</w:t>
      </w:r>
      <w:r w:rsidR="00F00445">
        <w:t xml:space="preserve">’s phenomenology </w:t>
      </w:r>
      <w:r w:rsidR="00355302">
        <w:t xml:space="preserve">of archaeology </w:t>
      </w:r>
      <w:r w:rsidR="00A829C9">
        <w:t xml:space="preserve">is that </w:t>
      </w:r>
      <w:r w:rsidR="00FC17F4">
        <w:t xml:space="preserve">whilst </w:t>
      </w:r>
      <w:r w:rsidR="00D47701">
        <w:t>it presents an interesting</w:t>
      </w:r>
      <w:r w:rsidR="00442EA6" w:rsidRPr="00442EA6">
        <w:t xml:space="preserve"> approach </w:t>
      </w:r>
      <w:r w:rsidR="002F0DCC">
        <w:t>for analysing</w:t>
      </w:r>
      <w:r w:rsidR="00442EA6" w:rsidRPr="00442EA6">
        <w:t xml:space="preserve"> contemporary world</w:t>
      </w:r>
      <w:r w:rsidR="00D47701">
        <w:t>,</w:t>
      </w:r>
      <w:r w:rsidR="00442EA6" w:rsidRPr="00442EA6">
        <w:t xml:space="preserve"> </w:t>
      </w:r>
      <w:r w:rsidR="00D47701">
        <w:t>it fails to</w:t>
      </w:r>
      <w:r w:rsidR="00442EA6" w:rsidRPr="00442EA6">
        <w:t xml:space="preserve"> provide a framework of the right order for </w:t>
      </w:r>
      <w:r w:rsidR="005D503D">
        <w:t>archaeological</w:t>
      </w:r>
      <w:r w:rsidR="00192B81">
        <w:t xml:space="preserve"> investigations. Archaeologist Chris Chippindale </w:t>
      </w:r>
      <w:r w:rsidR="005D503D">
        <w:t xml:space="preserve">argues this point, attesting that </w:t>
      </w:r>
      <w:r w:rsidR="0077176D">
        <w:t>“</w:t>
      </w:r>
      <w:r w:rsidR="0077176D" w:rsidRPr="0077176D">
        <w:t>Very good work in, for instance, architectural history</w:t>
      </w:r>
      <w:r w:rsidR="0077176D">
        <w:t xml:space="preserve"> </w:t>
      </w:r>
      <w:r w:rsidR="0077176D" w:rsidRPr="0077176D">
        <w:t>-</w:t>
      </w:r>
      <w:r w:rsidR="0077176D">
        <w:t xml:space="preserve"> </w:t>
      </w:r>
      <w:r w:rsidR="0077176D" w:rsidRPr="0077176D">
        <w:t xml:space="preserve">such as Franklin's recent study of the Victorian social order as that is shown in the plans of country houses </w:t>
      </w:r>
      <w:r w:rsidR="0077176D">
        <w:t>-</w:t>
      </w:r>
      <w:r w:rsidR="00A901C4">
        <w:t xml:space="preserve"> </w:t>
      </w:r>
      <w:r w:rsidR="0077176D" w:rsidRPr="0077176D">
        <w:t>gets by perfect</w:t>
      </w:r>
      <w:r w:rsidR="0077176D">
        <w:t>l</w:t>
      </w:r>
      <w:r w:rsidR="0077176D" w:rsidRPr="0077176D">
        <w:t>y well without much interest in theory at all</w:t>
      </w:r>
      <w:r w:rsidR="00360865">
        <w:t xml:space="preserve"> </w:t>
      </w:r>
      <w:r w:rsidR="00A901C4">
        <w:t>(Chippindale</w:t>
      </w:r>
      <w:r w:rsidR="00360865">
        <w:t>, 1984: 229)</w:t>
      </w:r>
      <w:r w:rsidR="00360865">
        <w:rPr>
          <w:rStyle w:val="FootnoteReference"/>
        </w:rPr>
        <w:footnoteReference w:id="28"/>
      </w:r>
      <w:r w:rsidR="00360865">
        <w:t>.</w:t>
      </w:r>
      <w:r w:rsidR="00660F25">
        <w:t xml:space="preserve"> </w:t>
      </w:r>
      <w:r w:rsidR="004A6594">
        <w:t>Th</w:t>
      </w:r>
      <w:r w:rsidR="00953A15">
        <w:t xml:space="preserve">is argument alone is not very compelling, as </w:t>
      </w:r>
      <w:r w:rsidR="0000569D">
        <w:t>its</w:t>
      </w:r>
      <w:r w:rsidR="002814DC">
        <w:t xml:space="preserve"> </w:t>
      </w:r>
      <w:r w:rsidR="0000569D">
        <w:t xml:space="preserve">underlying </w:t>
      </w:r>
      <w:r w:rsidR="002814DC">
        <w:t xml:space="preserve">sentiment of ‘if it isn’t broken, don’t fix it’ fails to </w:t>
      </w:r>
      <w:r w:rsidR="00407E88">
        <w:t>engage with Tilley’s argument at all. However</w:t>
      </w:r>
      <w:r w:rsidR="00746B6A">
        <w:t xml:space="preserve">, it does </w:t>
      </w:r>
      <w:r w:rsidR="0093273B">
        <w:t>bring to light that Tilley’s phenomenological perspective</w:t>
      </w:r>
      <w:r w:rsidR="000F52E8">
        <w:t xml:space="preserve"> in this form</w:t>
      </w:r>
      <w:r w:rsidR="0093273B">
        <w:t xml:space="preserve">, whilst it has a strong philosophical grounding, </w:t>
      </w:r>
      <w:r w:rsidR="00B5508E">
        <w:t xml:space="preserve">lacks </w:t>
      </w:r>
      <w:r w:rsidR="00A67A11">
        <w:t xml:space="preserve">a </w:t>
      </w:r>
      <w:r w:rsidR="00B5508E">
        <w:t xml:space="preserve">practical </w:t>
      </w:r>
      <w:r w:rsidR="00A67A11">
        <w:t>application to bolster its defence</w:t>
      </w:r>
      <w:r w:rsidR="007B73DF">
        <w:t>.</w:t>
      </w:r>
    </w:p>
    <w:p w14:paraId="4F9EA198" w14:textId="1D7F631F" w:rsidR="00956842" w:rsidRDefault="00EA3D8F" w:rsidP="00956842">
      <w:r>
        <w:t xml:space="preserve">  </w:t>
      </w:r>
      <w:r w:rsidR="007B73DF">
        <w:t>In summary, Tilley argues that spaces are not containers for human action, but rather are mediums for and outcomes of it</w:t>
      </w:r>
      <w:r w:rsidR="007B73DF">
        <w:rPr>
          <w:rStyle w:val="FootnoteReference"/>
        </w:rPr>
        <w:footnoteReference w:id="29"/>
      </w:r>
      <w:r w:rsidR="007B73DF">
        <w:t>. Landscapes, in this schema, are understood as the physical and visual form of the earth as a setting in which human-created locales are both situated, shaped and linked together by movements and narratives</w:t>
      </w:r>
      <w:r w:rsidR="007B73DF">
        <w:rPr>
          <w:rStyle w:val="FootnoteReference"/>
        </w:rPr>
        <w:t xml:space="preserve"> </w:t>
      </w:r>
      <w:r w:rsidR="007B73DF">
        <w:rPr>
          <w:rStyle w:val="FootnoteReference"/>
        </w:rPr>
        <w:footnoteReference w:id="30"/>
      </w:r>
      <w:r w:rsidR="007B73DF">
        <w:t xml:space="preserve">. As such, Tilly attests that investigations of </w:t>
      </w:r>
      <w:r w:rsidR="007803D3">
        <w:t>landscapes</w:t>
      </w:r>
      <w:r w:rsidR="007B73DF">
        <w:t xml:space="preserve"> should be structured around the placement, orientation and movement of conscious subjects moving with and through these spaces.</w:t>
      </w:r>
    </w:p>
    <w:p w14:paraId="6647C04E" w14:textId="77777777" w:rsidR="00A67A11" w:rsidRPr="00A67A11" w:rsidRDefault="00A67A11" w:rsidP="00956842"/>
    <w:p w14:paraId="126FD2FF" w14:textId="3DBBEFB6" w:rsidR="00C41892" w:rsidRPr="00910848" w:rsidRDefault="00910848" w:rsidP="00653891">
      <w:pPr>
        <w:rPr>
          <w:b/>
          <w:bCs/>
        </w:rPr>
      </w:pPr>
      <w:r w:rsidRPr="00910848">
        <w:rPr>
          <w:b/>
          <w:bCs/>
        </w:rPr>
        <w:t xml:space="preserve">The </w:t>
      </w:r>
      <w:proofErr w:type="spellStart"/>
      <w:r w:rsidR="00C41892" w:rsidRPr="00910848">
        <w:rPr>
          <w:b/>
          <w:bCs/>
        </w:rPr>
        <w:t>Leskernick</w:t>
      </w:r>
      <w:proofErr w:type="spellEnd"/>
      <w:r w:rsidR="00C41892" w:rsidRPr="00910848">
        <w:rPr>
          <w:b/>
          <w:bCs/>
        </w:rPr>
        <w:t xml:space="preserve"> </w:t>
      </w:r>
      <w:r w:rsidR="00303D44" w:rsidRPr="00910848">
        <w:rPr>
          <w:b/>
          <w:bCs/>
        </w:rPr>
        <w:t>Landscape project</w:t>
      </w:r>
    </w:p>
    <w:p w14:paraId="698F4320" w14:textId="0CB57919" w:rsidR="00FF7970" w:rsidRDefault="00EA3D8F" w:rsidP="00A3774A">
      <w:r>
        <w:t xml:space="preserve">  </w:t>
      </w:r>
      <w:r w:rsidR="00ED6B3D">
        <w:t xml:space="preserve">Given that </w:t>
      </w:r>
      <w:r w:rsidR="007820FB">
        <w:t>Bender and Tilley were contemporaries</w:t>
      </w:r>
      <w:r w:rsidR="00D82E56">
        <w:t xml:space="preserve"> with s</w:t>
      </w:r>
      <w:r w:rsidR="00245F1F">
        <w:t>imilar</w:t>
      </w:r>
      <w:r w:rsidR="007F30D2">
        <w:t xml:space="preserve"> scholarly</w:t>
      </w:r>
      <w:r w:rsidR="00245F1F">
        <w:t xml:space="preserve"> interests, it is unsurprising that they in fact collaborated, </w:t>
      </w:r>
      <w:r w:rsidR="006C7F43">
        <w:t>alongside archaeologist Sue Hamilton</w:t>
      </w:r>
      <w:r w:rsidR="00245F1F">
        <w:t>,</w:t>
      </w:r>
      <w:r w:rsidR="006C7F43">
        <w:t xml:space="preserve"> </w:t>
      </w:r>
      <w:r w:rsidR="007820FB">
        <w:t xml:space="preserve">on </w:t>
      </w:r>
      <w:r w:rsidR="0002195E">
        <w:t xml:space="preserve">the </w:t>
      </w:r>
      <w:proofErr w:type="spellStart"/>
      <w:r w:rsidR="0002195E" w:rsidRPr="0002195E">
        <w:t>Leskernick</w:t>
      </w:r>
      <w:proofErr w:type="spellEnd"/>
      <w:r w:rsidR="0002195E" w:rsidRPr="0002195E">
        <w:t xml:space="preserve"> Landscape Project on Bodmin Moor</w:t>
      </w:r>
      <w:r w:rsidR="004D62F6">
        <w:t>.</w:t>
      </w:r>
      <w:r w:rsidR="0060419A">
        <w:t xml:space="preserve"> </w:t>
      </w:r>
      <w:r w:rsidR="00396AEE">
        <w:t>The</w:t>
      </w:r>
      <w:r w:rsidR="00791613">
        <w:t>ir</w:t>
      </w:r>
      <w:r w:rsidR="00396AEE">
        <w:t xml:space="preserve"> </w:t>
      </w:r>
      <w:r w:rsidR="00CB0CD6">
        <w:t>paper “</w:t>
      </w:r>
      <w:proofErr w:type="spellStart"/>
      <w:r w:rsidR="00EA5C96">
        <w:t>Leskernick</w:t>
      </w:r>
      <w:proofErr w:type="spellEnd"/>
      <w:r w:rsidR="00917D7F">
        <w:t>: The Biography of an Excavation</w:t>
      </w:r>
      <w:r w:rsidR="00396AEE">
        <w:t>”</w:t>
      </w:r>
      <w:r w:rsidR="00917D7F">
        <w:t xml:space="preserve"> </w:t>
      </w:r>
      <w:r w:rsidR="00791613">
        <w:t xml:space="preserve">is based on their first season of work surveying and excavating at </w:t>
      </w:r>
      <w:proofErr w:type="spellStart"/>
      <w:r w:rsidR="00791613">
        <w:t>Leskernick</w:t>
      </w:r>
      <w:proofErr w:type="spellEnd"/>
      <w:r w:rsidR="00791613">
        <w:t xml:space="preserve"> Hill, Bodmin Moor, and serves both a</w:t>
      </w:r>
      <w:r w:rsidR="00032A1D">
        <w:t>s a preliminary</w:t>
      </w:r>
      <w:r w:rsidR="00791613">
        <w:t xml:space="preserve"> </w:t>
      </w:r>
      <w:r w:rsidR="00CB0CD6">
        <w:t>report of their findings, and a treatise for their methodology</w:t>
      </w:r>
      <w:r w:rsidR="00CB0CD6">
        <w:rPr>
          <w:rStyle w:val="FootnoteReference"/>
        </w:rPr>
        <w:footnoteReference w:id="31"/>
      </w:r>
      <w:r w:rsidR="0014541E">
        <w:t>.</w:t>
      </w:r>
    </w:p>
    <w:p w14:paraId="503A7FCF" w14:textId="1A97F9D9" w:rsidR="00214C11" w:rsidRDefault="00EA3D8F" w:rsidP="001027D9">
      <w:r>
        <w:t xml:space="preserve">  </w:t>
      </w:r>
      <w:r w:rsidR="00A939AA" w:rsidRPr="00EE6387">
        <w:t xml:space="preserve">The resulting work combines </w:t>
      </w:r>
      <w:r w:rsidR="00B62AF2" w:rsidRPr="00EE6387">
        <w:t>quantifiable data with subjective observations</w:t>
      </w:r>
      <w:r w:rsidR="005E522F" w:rsidRPr="00EE6387">
        <w:t xml:space="preserve">; in one </w:t>
      </w:r>
      <w:r w:rsidR="001349D9">
        <w:t xml:space="preserve">paragraph </w:t>
      </w:r>
      <w:r w:rsidR="009E44CB">
        <w:t xml:space="preserve">we learn both that </w:t>
      </w:r>
      <w:r w:rsidR="00F11161">
        <w:t xml:space="preserve">the </w:t>
      </w:r>
      <w:proofErr w:type="spellStart"/>
      <w:r w:rsidR="00F11161">
        <w:t>Leskernick</w:t>
      </w:r>
      <w:proofErr w:type="spellEnd"/>
      <w:r w:rsidR="00F11161">
        <w:t xml:space="preserve"> stone row is approximately 300 metres long</w:t>
      </w:r>
      <w:r w:rsidR="00514E30">
        <w:t xml:space="preserve">, and that </w:t>
      </w:r>
      <w:r w:rsidR="00514E30" w:rsidRPr="00514E30">
        <w:t>Rough Tor</w:t>
      </w:r>
      <w:r w:rsidR="00514E30">
        <w:t xml:space="preserve"> to the east has a </w:t>
      </w:r>
      <w:r w:rsidR="00203984">
        <w:t>“spiky fugitive silhouette”</w:t>
      </w:r>
      <w:r w:rsidR="00CE5E0F">
        <w:t xml:space="preserve"> (Bender et al, 1995)</w:t>
      </w:r>
      <w:r w:rsidR="00CE5E0F">
        <w:rPr>
          <w:rStyle w:val="FootnoteReference"/>
        </w:rPr>
        <w:footnoteReference w:id="32"/>
      </w:r>
      <w:r w:rsidR="00CE5E0F">
        <w:t xml:space="preserve"> </w:t>
      </w:r>
      <w:r w:rsidR="00203984">
        <w:t>.</w:t>
      </w:r>
      <w:r w:rsidR="00CE5E0F">
        <w:t xml:space="preserve"> </w:t>
      </w:r>
      <w:r w:rsidR="0072595F">
        <w:t>This shows the team’s commitment to</w:t>
      </w:r>
      <w:r w:rsidR="00AB3FAD">
        <w:t xml:space="preserve"> honouring the </w:t>
      </w:r>
      <w:r w:rsidR="000C2E43">
        <w:t xml:space="preserve">value of multiple research methodologies. </w:t>
      </w:r>
      <w:r w:rsidR="00C24BD1">
        <w:t>The work itself is interspliced with diary entries</w:t>
      </w:r>
      <w:r w:rsidR="00711A3F">
        <w:t xml:space="preserve"> and</w:t>
      </w:r>
      <w:r w:rsidR="00630E87">
        <w:t xml:space="preserve"> even</w:t>
      </w:r>
      <w:r w:rsidR="00711A3F">
        <w:t xml:space="preserve"> poetry, preserving the mental processes of the team as they </w:t>
      </w:r>
      <w:r w:rsidR="00B361D7">
        <w:t>experienced and were impacted by the landscape</w:t>
      </w:r>
      <w:r w:rsidR="00711A3F">
        <w:t xml:space="preserve">. And, most importantly, </w:t>
      </w:r>
      <w:r w:rsidR="00A45556">
        <w:t>their paper displays the process of interpretation</w:t>
      </w:r>
      <w:r w:rsidR="00642765">
        <w:t xml:space="preserve"> and re-interpretation </w:t>
      </w:r>
      <w:r w:rsidR="00E57744">
        <w:t xml:space="preserve">by each individual researcher as they experience the land </w:t>
      </w:r>
      <w:r>
        <w:t>in their own way</w:t>
      </w:r>
      <w:r w:rsidR="00642765">
        <w:t>.</w:t>
      </w:r>
      <w:r w:rsidR="0037410E">
        <w:t xml:space="preserve"> </w:t>
      </w:r>
      <w:r w:rsidR="009C4E6D">
        <w:t xml:space="preserve">The </w:t>
      </w:r>
      <w:proofErr w:type="spellStart"/>
      <w:r w:rsidR="009C4E6D">
        <w:t>Leskernick</w:t>
      </w:r>
      <w:proofErr w:type="spellEnd"/>
      <w:r w:rsidR="009C4E6D">
        <w:t xml:space="preserve"> project therefore combines </w:t>
      </w:r>
      <w:r w:rsidR="00374990">
        <w:t xml:space="preserve">both Bender and Tilley’s theories to </w:t>
      </w:r>
      <w:r w:rsidR="00384197">
        <w:t>crea</w:t>
      </w:r>
      <w:r>
        <w:t>te an immensely valuable piece of scholarly work</w:t>
      </w:r>
      <w:r w:rsidR="00E277BC">
        <w:t>.</w:t>
      </w:r>
    </w:p>
    <w:p w14:paraId="036FCA00" w14:textId="5F2D255D" w:rsidR="00DE16FA" w:rsidRDefault="00EA3D8F" w:rsidP="001027D9">
      <w:r>
        <w:t xml:space="preserve">  </w:t>
      </w:r>
      <w:r w:rsidR="00964ECC">
        <w:t>To conclude, Bender’s theory of contested spaces provides a valid and insightful explanation for how multiple conflicting narratives of landscapes arise through the employment of a modified version of Marxist historical materialism. What Bender does not do, however, is provide a philosophical justification for selecting the ‘correct’ narrative, or explain the existence of multiple, conflicting ‘</w:t>
      </w:r>
      <w:proofErr w:type="gramStart"/>
      <w:r w:rsidR="00964ECC">
        <w:t>truths’</w:t>
      </w:r>
      <w:proofErr w:type="gramEnd"/>
      <w:r w:rsidR="00964ECC">
        <w:t xml:space="preserve">. </w:t>
      </w:r>
      <w:r w:rsidR="00964ECC">
        <w:t xml:space="preserve">On the other hand, Tilley presents a </w:t>
      </w:r>
      <w:r w:rsidR="00BC7470">
        <w:t xml:space="preserve">theory for the introduction of phenomenology into </w:t>
      </w:r>
      <w:r>
        <w:t>archaeology</w:t>
      </w:r>
      <w:r w:rsidR="00BC7470">
        <w:t xml:space="preserve"> that, whilst it is theoretically sound, requires more </w:t>
      </w:r>
      <w:r w:rsidR="00616668">
        <w:t xml:space="preserve">in-world context to bolster. Apart, these are two controversial but interesting theories, </w:t>
      </w:r>
      <w:r w:rsidR="00E57744">
        <w:t xml:space="preserve">however combined, as in the case of the </w:t>
      </w:r>
      <w:proofErr w:type="spellStart"/>
      <w:r w:rsidR="00E57744">
        <w:t>Leskernick</w:t>
      </w:r>
      <w:proofErr w:type="spellEnd"/>
      <w:r w:rsidR="00E57744">
        <w:t xml:space="preserve"> project, they flourish. </w:t>
      </w:r>
      <w:proofErr w:type="gramStart"/>
      <w:r w:rsidR="00E32487" w:rsidRPr="00E32487">
        <w:t>Bender’s</w:t>
      </w:r>
      <w:proofErr w:type="gramEnd"/>
      <w:r w:rsidR="00E32487" w:rsidRPr="00E32487">
        <w:t xml:space="preserve"> and Tilley’s theories are </w:t>
      </w:r>
      <w:r w:rsidR="00E57744">
        <w:t xml:space="preserve">therefore </w:t>
      </w:r>
      <w:r w:rsidR="00E32487" w:rsidRPr="00E32487">
        <w:t>not only compatible but also mutually reinforcing, fostering a deeper and more comprehensive approach to landscape archaeology</w:t>
      </w:r>
      <w:r w:rsidR="00E57744">
        <w:t>.</w:t>
      </w:r>
      <w:r>
        <w:t xml:space="preserve"> </w:t>
      </w:r>
    </w:p>
    <w:p w14:paraId="65832370" w14:textId="77777777" w:rsidR="00F826E1" w:rsidRDefault="00F826E1" w:rsidP="001027D9"/>
    <w:p w14:paraId="5CBA6FF7" w14:textId="71BCC96D" w:rsidR="0047475E" w:rsidRPr="0047475E" w:rsidRDefault="0047475E" w:rsidP="001027D9">
      <w:pPr>
        <w:rPr>
          <w:b/>
          <w:bCs/>
        </w:rPr>
      </w:pPr>
      <w:r w:rsidRPr="0047475E">
        <w:rPr>
          <w:b/>
          <w:bCs/>
        </w:rPr>
        <w:t>Word count: 2161</w:t>
      </w:r>
    </w:p>
    <w:p w14:paraId="509C2AB4" w14:textId="77777777" w:rsidR="0047475E" w:rsidRDefault="0047475E" w:rsidP="001027D9"/>
    <w:p w14:paraId="4CBAD2E6" w14:textId="77777777" w:rsidR="0047475E" w:rsidRDefault="0047475E" w:rsidP="001027D9"/>
    <w:p w14:paraId="00507898" w14:textId="121F1023" w:rsidR="00F826E1" w:rsidRPr="0047475E" w:rsidRDefault="0047475E" w:rsidP="001027D9">
      <w:pPr>
        <w:rPr>
          <w:b/>
          <w:bCs/>
        </w:rPr>
      </w:pPr>
      <w:r w:rsidRPr="0047475E">
        <w:rPr>
          <w:b/>
          <w:bCs/>
        </w:rPr>
        <w:lastRenderedPageBreak/>
        <w:t>Bibliography:</w:t>
      </w:r>
    </w:p>
    <w:p w14:paraId="50977E99" w14:textId="77777777" w:rsidR="0047475E" w:rsidRPr="0047475E" w:rsidRDefault="0047475E" w:rsidP="0047475E">
      <w:r w:rsidRPr="0047475E">
        <w:t xml:space="preserve">Barrett, John C., and </w:t>
      </w:r>
      <w:proofErr w:type="spellStart"/>
      <w:r w:rsidRPr="0047475E">
        <w:t>Ilhong</w:t>
      </w:r>
      <w:proofErr w:type="spellEnd"/>
      <w:r w:rsidRPr="0047475E">
        <w:t xml:space="preserve"> Ko. "A Phenomenology of </w:t>
      </w:r>
      <w:proofErr w:type="spellStart"/>
      <w:proofErr w:type="gramStart"/>
      <w:r w:rsidRPr="0047475E">
        <w:t>Landscape:A</w:t>
      </w:r>
      <w:proofErr w:type="spellEnd"/>
      <w:proofErr w:type="gramEnd"/>
      <w:r w:rsidRPr="0047475E">
        <w:t xml:space="preserve"> Crisis in British Landscape Archaeology?" </w:t>
      </w:r>
      <w:r w:rsidRPr="0047475E">
        <w:rPr>
          <w:i/>
          <w:iCs/>
        </w:rPr>
        <w:t>Journal of Social Archaeology</w:t>
      </w:r>
      <w:r w:rsidRPr="0047475E">
        <w:t> 9, no. 3 (2009): 275-94. https://doi.org/10.1177/1469605309338422.</w:t>
      </w:r>
    </w:p>
    <w:p w14:paraId="5EE09E6E" w14:textId="77777777" w:rsidR="0047475E" w:rsidRPr="0047475E" w:rsidRDefault="0047475E" w:rsidP="0047475E">
      <w:r w:rsidRPr="0047475E">
        <w:t>Bender, Barbara. "Contested Landscapes: Medieval to Present Day." Chap. 4 In </w:t>
      </w:r>
      <w:r w:rsidRPr="0047475E">
        <w:rPr>
          <w:i/>
          <w:iCs/>
        </w:rPr>
        <w:t>Stonehenge: Making Space</w:t>
      </w:r>
      <w:r w:rsidRPr="0047475E">
        <w:t>. Berg, 1998.</w:t>
      </w:r>
    </w:p>
    <w:p w14:paraId="6A2ABC8C" w14:textId="77777777" w:rsidR="0047475E" w:rsidRPr="0047475E" w:rsidRDefault="0047475E" w:rsidP="0047475E">
      <w:r w:rsidRPr="0047475E">
        <w:t>Bender, Barbara, Sue Hamilton, and Christopher Tilley. "</w:t>
      </w:r>
      <w:proofErr w:type="spellStart"/>
      <w:r w:rsidRPr="0047475E">
        <w:t>Leskernick</w:t>
      </w:r>
      <w:proofErr w:type="spellEnd"/>
      <w:r w:rsidRPr="0047475E">
        <w:t>: The Biography of an Excavation." </w:t>
      </w:r>
      <w:r w:rsidRPr="0047475E">
        <w:rPr>
          <w:i/>
          <w:iCs/>
        </w:rPr>
        <w:t>Cornish Archaeology</w:t>
      </w:r>
      <w:r w:rsidRPr="0047475E">
        <w:t> 34 (1995): 58-73.</w:t>
      </w:r>
    </w:p>
    <w:p w14:paraId="049037DB" w14:textId="77777777" w:rsidR="0047475E" w:rsidRPr="0047475E" w:rsidRDefault="0047475E" w:rsidP="0047475E">
      <w:r w:rsidRPr="0047475E">
        <w:t>Chippindale, Christopher. "Daniel Miller &amp; Christopher Tilley (Eds): Ideology, Power and Prehistory. Cambridge: University Press, 1984. 158 Pp., 53 Figs. £25.00." </w:t>
      </w:r>
      <w:r w:rsidRPr="0047475E">
        <w:rPr>
          <w:i/>
          <w:iCs/>
        </w:rPr>
        <w:t>Antiquity</w:t>
      </w:r>
      <w:r w:rsidRPr="0047475E">
        <w:t> 58, no. 224 (1984): 229-30. https://doi.org/10.1017/S0003598X00056349.</w:t>
      </w:r>
    </w:p>
    <w:p w14:paraId="2BBB7CBD" w14:textId="77777777" w:rsidR="0047475E" w:rsidRPr="0047475E" w:rsidRDefault="0047475E" w:rsidP="0047475E">
      <w:r w:rsidRPr="0047475E">
        <w:t>Hodder, Ian. "Burials, Houses, Women and Men in the European Neolithic." In </w:t>
      </w:r>
      <w:r w:rsidRPr="0047475E">
        <w:rPr>
          <w:i/>
          <w:iCs/>
        </w:rPr>
        <w:t>Ideology, Power and Prehistory</w:t>
      </w:r>
      <w:r w:rsidRPr="0047475E">
        <w:t>. Cambridge University Press, 1984.</w:t>
      </w:r>
    </w:p>
    <w:p w14:paraId="52AD30A2" w14:textId="77777777" w:rsidR="0047475E" w:rsidRPr="0047475E" w:rsidRDefault="0047475E" w:rsidP="0047475E">
      <w:r w:rsidRPr="0047475E">
        <w:t>Johnson, Amber L. "Processual Archaeology." In </w:t>
      </w:r>
      <w:proofErr w:type="spellStart"/>
      <w:r w:rsidRPr="0047475E">
        <w:rPr>
          <w:i/>
          <w:iCs/>
        </w:rPr>
        <w:t>Encyclopedia</w:t>
      </w:r>
      <w:proofErr w:type="spellEnd"/>
      <w:r w:rsidRPr="0047475E">
        <w:rPr>
          <w:i/>
          <w:iCs/>
        </w:rPr>
        <w:t xml:space="preserve"> of Archaeology</w:t>
      </w:r>
      <w:r w:rsidRPr="0047475E">
        <w:t>. Academic Press, 2008. </w:t>
      </w:r>
      <w:hyperlink r:id="rId8" w:history="1">
        <w:r w:rsidRPr="0047475E">
          <w:rPr>
            <w:rStyle w:val="Hyperlink"/>
          </w:rPr>
          <w:t>https://doi.org/https://doi.org/10.1016/B978-012373962-9.00264-8.</w:t>
        </w:r>
      </w:hyperlink>
    </w:p>
    <w:p w14:paraId="592F85C0" w14:textId="77777777" w:rsidR="0047475E" w:rsidRPr="0047475E" w:rsidRDefault="0047475E" w:rsidP="0047475E">
      <w:proofErr w:type="spellStart"/>
      <w:r w:rsidRPr="0047475E">
        <w:t>Kaasila-Pakanen</w:t>
      </w:r>
      <w:proofErr w:type="spellEnd"/>
      <w:r w:rsidRPr="0047475E">
        <w:t>, Anna-Liisa, and Emmanouela Mandalaki. "Hysterically Y-Ours: Reclaiming Academic Writing as a Hysterical Practice." </w:t>
      </w:r>
      <w:r w:rsidRPr="0047475E">
        <w:rPr>
          <w:i/>
          <w:iCs/>
        </w:rPr>
        <w:t>Organization</w:t>
      </w:r>
      <w:r w:rsidRPr="0047475E">
        <w:t> 32, no. 1 (2025): 53-79. https://doi.org/10.1177/13505084231198436.</w:t>
      </w:r>
    </w:p>
    <w:p w14:paraId="0F2AFADC" w14:textId="77777777" w:rsidR="0047475E" w:rsidRPr="0047475E" w:rsidRDefault="0047475E" w:rsidP="0047475E">
      <w:r w:rsidRPr="0047475E">
        <w:t>Pearson, Mike, and Michael Shanks. </w:t>
      </w:r>
      <w:r w:rsidRPr="0047475E">
        <w:rPr>
          <w:i/>
          <w:iCs/>
        </w:rPr>
        <w:t>Theatre/Archaeology</w:t>
      </w:r>
      <w:r w:rsidRPr="0047475E">
        <w:t>. Routledge, 2005.</w:t>
      </w:r>
    </w:p>
    <w:p w14:paraId="7EE670CE" w14:textId="77777777" w:rsidR="0047475E" w:rsidRPr="0047475E" w:rsidRDefault="0047475E" w:rsidP="0047475E">
      <w:r w:rsidRPr="0047475E">
        <w:t>Rowlands, Michael, Esther Solomon, Eleana Yalouri, and Patrick Laviolette. "A Tribute and Farewell to Professor Chris Tilley." </w:t>
      </w:r>
      <w:proofErr w:type="spellStart"/>
      <w:r w:rsidRPr="0047475E">
        <w:rPr>
          <w:i/>
          <w:iCs/>
        </w:rPr>
        <w:t>Ethnologia</w:t>
      </w:r>
      <w:proofErr w:type="spellEnd"/>
      <w:r w:rsidRPr="0047475E">
        <w:rPr>
          <w:i/>
          <w:iCs/>
        </w:rPr>
        <w:t xml:space="preserve"> Europaea</w:t>
      </w:r>
      <w:r w:rsidRPr="0047475E">
        <w:t> 54, no. 1 (2024): 88-95. https://doi.org/10.3167/ee.2024.540106.</w:t>
      </w:r>
    </w:p>
    <w:p w14:paraId="69829973" w14:textId="77777777" w:rsidR="0047475E" w:rsidRPr="0047475E" w:rsidRDefault="0047475E" w:rsidP="0047475E">
      <w:r w:rsidRPr="0047475E">
        <w:t>Shanks, Michael. "Post-Processual Archaeology and After." In </w:t>
      </w:r>
      <w:r w:rsidRPr="0047475E">
        <w:rPr>
          <w:i/>
          <w:iCs/>
        </w:rPr>
        <w:t>Handbook of Archaeological Theories</w:t>
      </w:r>
      <w:r w:rsidRPr="0047475E">
        <w:t>. Bloomsbury Publishing, 2007.</w:t>
      </w:r>
    </w:p>
    <w:p w14:paraId="5245D27A" w14:textId="77777777" w:rsidR="0047475E" w:rsidRPr="0047475E" w:rsidRDefault="0047475E" w:rsidP="0047475E">
      <w:r w:rsidRPr="0047475E">
        <w:t>Shanks, Michael, and Christopher Tilley. </w:t>
      </w:r>
      <w:r w:rsidRPr="0047475E">
        <w:rPr>
          <w:i/>
          <w:iCs/>
        </w:rPr>
        <w:t>Social Theory and Archaeology</w:t>
      </w:r>
      <w:r w:rsidRPr="0047475E">
        <w:t>. Polity Press Cambridge, 1987.</w:t>
      </w:r>
    </w:p>
    <w:p w14:paraId="5BA87C44" w14:textId="77777777" w:rsidR="0047475E" w:rsidRPr="0047475E" w:rsidRDefault="0047475E" w:rsidP="0047475E">
      <w:r w:rsidRPr="0047475E">
        <w:t>Smith, David Woodruff. "Phenomenology." In </w:t>
      </w:r>
      <w:r w:rsidRPr="0047475E">
        <w:rPr>
          <w:i/>
          <w:iCs/>
        </w:rPr>
        <w:t xml:space="preserve">The Stanford </w:t>
      </w:r>
      <w:proofErr w:type="spellStart"/>
      <w:r w:rsidRPr="0047475E">
        <w:rPr>
          <w:i/>
          <w:iCs/>
        </w:rPr>
        <w:t>Encyclopedia</w:t>
      </w:r>
      <w:proofErr w:type="spellEnd"/>
      <w:r w:rsidRPr="0047475E">
        <w:rPr>
          <w:i/>
          <w:iCs/>
        </w:rPr>
        <w:t xml:space="preserve"> of Philosophy</w:t>
      </w:r>
      <w:r w:rsidRPr="0047475E">
        <w:t>. Metaphysics Research Lab, Stanford University, 2018.</w:t>
      </w:r>
    </w:p>
    <w:p w14:paraId="69B436C2" w14:textId="77777777" w:rsidR="0047475E" w:rsidRPr="0047475E" w:rsidRDefault="0047475E" w:rsidP="0047475E">
      <w:r w:rsidRPr="0047475E">
        <w:t>Tilley, Christopher. "Space, Place, Landscape and Perception: Phenomenological Perspectives." </w:t>
      </w:r>
      <w:r w:rsidRPr="0047475E">
        <w:rPr>
          <w:i/>
          <w:iCs/>
        </w:rPr>
        <w:t>A phenomenology of landscape: Places, paths and monuments</w:t>
      </w:r>
      <w:r w:rsidRPr="0047475E">
        <w:t> (1994): 7-34.</w:t>
      </w:r>
    </w:p>
    <w:p w14:paraId="0A309AB9" w14:textId="77777777" w:rsidR="0047475E" w:rsidRDefault="0047475E" w:rsidP="001027D9"/>
    <w:sectPr w:rsidR="0047475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79201D" w14:textId="77777777" w:rsidR="009B48F9" w:rsidRDefault="009B48F9" w:rsidP="00A04935">
      <w:pPr>
        <w:spacing w:after="0" w:line="240" w:lineRule="auto"/>
      </w:pPr>
      <w:r>
        <w:separator/>
      </w:r>
    </w:p>
  </w:endnote>
  <w:endnote w:type="continuationSeparator" w:id="0">
    <w:p w14:paraId="7F16FCE1" w14:textId="77777777" w:rsidR="009B48F9" w:rsidRDefault="009B48F9" w:rsidP="00A049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F5B109" w14:textId="77777777" w:rsidR="009B48F9" w:rsidRDefault="009B48F9" w:rsidP="00A04935">
      <w:pPr>
        <w:spacing w:after="0" w:line="240" w:lineRule="auto"/>
      </w:pPr>
      <w:r>
        <w:separator/>
      </w:r>
    </w:p>
  </w:footnote>
  <w:footnote w:type="continuationSeparator" w:id="0">
    <w:p w14:paraId="6A2A9457" w14:textId="77777777" w:rsidR="009B48F9" w:rsidRDefault="009B48F9" w:rsidP="00A04935">
      <w:pPr>
        <w:spacing w:after="0" w:line="240" w:lineRule="auto"/>
      </w:pPr>
      <w:r>
        <w:continuationSeparator/>
      </w:r>
    </w:p>
  </w:footnote>
  <w:footnote w:id="1">
    <w:p w14:paraId="0CDD5F9E" w14:textId="472A03C0" w:rsidR="007F1053" w:rsidRDefault="007F1053">
      <w:pPr>
        <w:pStyle w:val="FootnoteText"/>
      </w:pPr>
      <w:r>
        <w:rPr>
          <w:rStyle w:val="FootnoteReference"/>
        </w:rPr>
        <w:footnoteRef/>
      </w:r>
      <w:r>
        <w:t xml:space="preserve"> </w:t>
      </w:r>
      <w:r w:rsidR="00287F94" w:rsidRPr="00287F94">
        <w:rPr>
          <w:sz w:val="18"/>
          <w:szCs w:val="18"/>
        </w:rPr>
        <w:t xml:space="preserve">Fleming, Andrew. “Post-Processual Landscape Archaeology: A Critique.” </w:t>
      </w:r>
      <w:r w:rsidR="00287F94" w:rsidRPr="00287F94">
        <w:rPr>
          <w:i/>
          <w:iCs/>
          <w:sz w:val="18"/>
          <w:szCs w:val="18"/>
        </w:rPr>
        <w:t>Cambridge Archaeological Journal</w:t>
      </w:r>
      <w:r w:rsidR="00287F94" w:rsidRPr="00287F94">
        <w:rPr>
          <w:sz w:val="18"/>
          <w:szCs w:val="18"/>
        </w:rPr>
        <w:t xml:space="preserve"> 16, no.3 (2006): 267–80. https://doi.org/10.1017/S0959774306000163.</w:t>
      </w:r>
    </w:p>
  </w:footnote>
  <w:footnote w:id="2">
    <w:p w14:paraId="4BAE20E9" w14:textId="439386AA" w:rsidR="00B822F0" w:rsidRDefault="00B822F0">
      <w:pPr>
        <w:pStyle w:val="FootnoteText"/>
      </w:pPr>
      <w:r>
        <w:rPr>
          <w:rStyle w:val="FootnoteReference"/>
        </w:rPr>
        <w:footnoteRef/>
      </w:r>
      <w:r>
        <w:t xml:space="preserve"> </w:t>
      </w:r>
      <w:r w:rsidR="00B317E2" w:rsidRPr="00D75285">
        <w:rPr>
          <w:sz w:val="18"/>
          <w:szCs w:val="18"/>
        </w:rPr>
        <w:t>Pearson, Mike, and Michael Shanks. </w:t>
      </w:r>
      <w:r w:rsidR="00B317E2" w:rsidRPr="00D75285">
        <w:rPr>
          <w:i/>
          <w:iCs/>
          <w:sz w:val="18"/>
          <w:szCs w:val="18"/>
        </w:rPr>
        <w:t>Theatre/Archaeology.</w:t>
      </w:r>
      <w:r w:rsidR="00B317E2" w:rsidRPr="00D75285">
        <w:rPr>
          <w:sz w:val="18"/>
          <w:szCs w:val="18"/>
        </w:rPr>
        <w:t xml:space="preserve"> Routledge, </w:t>
      </w:r>
      <w:r w:rsidR="00D75285" w:rsidRPr="00D75285">
        <w:rPr>
          <w:sz w:val="18"/>
          <w:szCs w:val="18"/>
        </w:rPr>
        <w:t>(</w:t>
      </w:r>
      <w:r w:rsidR="00B317E2" w:rsidRPr="00D75285">
        <w:rPr>
          <w:sz w:val="18"/>
          <w:szCs w:val="18"/>
        </w:rPr>
        <w:t>2005</w:t>
      </w:r>
      <w:r w:rsidR="00D75285" w:rsidRPr="00D75285">
        <w:rPr>
          <w:sz w:val="18"/>
          <w:szCs w:val="18"/>
        </w:rPr>
        <w:t>)</w:t>
      </w:r>
      <w:r w:rsidR="00B317E2" w:rsidRPr="00D75285">
        <w:rPr>
          <w:sz w:val="18"/>
          <w:szCs w:val="18"/>
        </w:rPr>
        <w:t xml:space="preserve">: </w:t>
      </w:r>
      <w:r w:rsidR="00D75285" w:rsidRPr="00D75285">
        <w:rPr>
          <w:sz w:val="18"/>
          <w:szCs w:val="18"/>
        </w:rPr>
        <w:t>40</w:t>
      </w:r>
    </w:p>
  </w:footnote>
  <w:footnote w:id="3">
    <w:p w14:paraId="35B8F157" w14:textId="1FCC166C" w:rsidR="00E873DA" w:rsidRDefault="00E873DA">
      <w:pPr>
        <w:pStyle w:val="FootnoteText"/>
      </w:pPr>
      <w:r>
        <w:rPr>
          <w:rStyle w:val="FootnoteReference"/>
        </w:rPr>
        <w:footnoteRef/>
      </w:r>
      <w:r>
        <w:t xml:space="preserve"> </w:t>
      </w:r>
      <w:r w:rsidR="00C523DA" w:rsidRPr="00C523DA">
        <w:rPr>
          <w:sz w:val="18"/>
          <w:szCs w:val="18"/>
        </w:rPr>
        <w:t xml:space="preserve">Bender, Barbara. "Contested Landscapes: Medieval to Present Day." Chap. 4 In Stonehenge: Making Space. Berg, </w:t>
      </w:r>
      <w:r w:rsidR="00C523DA">
        <w:rPr>
          <w:sz w:val="18"/>
          <w:szCs w:val="18"/>
        </w:rPr>
        <w:t>(</w:t>
      </w:r>
      <w:r w:rsidR="00C523DA" w:rsidRPr="00C523DA">
        <w:rPr>
          <w:sz w:val="18"/>
          <w:szCs w:val="18"/>
        </w:rPr>
        <w:t>1998</w:t>
      </w:r>
      <w:r w:rsidR="00C523DA">
        <w:rPr>
          <w:sz w:val="18"/>
          <w:szCs w:val="18"/>
        </w:rPr>
        <w:t>):</w:t>
      </w:r>
      <w:r w:rsidR="006C1BCF">
        <w:rPr>
          <w:sz w:val="18"/>
          <w:szCs w:val="18"/>
        </w:rPr>
        <w:t xml:space="preserve"> 100</w:t>
      </w:r>
    </w:p>
  </w:footnote>
  <w:footnote w:id="4">
    <w:p w14:paraId="151414E0" w14:textId="6D1532A0" w:rsidR="00BE5010" w:rsidRDefault="00BE5010">
      <w:pPr>
        <w:pStyle w:val="FootnoteText"/>
      </w:pPr>
      <w:r>
        <w:rPr>
          <w:rStyle w:val="FootnoteReference"/>
        </w:rPr>
        <w:footnoteRef/>
      </w:r>
      <w:r>
        <w:t xml:space="preserve"> </w:t>
      </w:r>
      <w:r w:rsidRPr="00BE5010">
        <w:rPr>
          <w:sz w:val="18"/>
          <w:szCs w:val="18"/>
        </w:rPr>
        <w:t>Ibid.</w:t>
      </w:r>
    </w:p>
  </w:footnote>
  <w:footnote w:id="5">
    <w:p w14:paraId="35554EDB" w14:textId="13938427" w:rsidR="00091BA8" w:rsidRPr="008E4A5D" w:rsidRDefault="00091BA8">
      <w:pPr>
        <w:pStyle w:val="FootnoteText"/>
        <w:rPr>
          <w:sz w:val="18"/>
          <w:szCs w:val="18"/>
        </w:rPr>
      </w:pPr>
      <w:r w:rsidRPr="008E4A5D">
        <w:rPr>
          <w:rStyle w:val="FootnoteReference"/>
          <w:sz w:val="18"/>
          <w:szCs w:val="18"/>
        </w:rPr>
        <w:footnoteRef/>
      </w:r>
      <w:r w:rsidRPr="008E4A5D">
        <w:rPr>
          <w:sz w:val="18"/>
          <w:szCs w:val="18"/>
        </w:rPr>
        <w:t xml:space="preserve"> </w:t>
      </w:r>
      <w:proofErr w:type="gramStart"/>
      <w:r w:rsidR="008E4A5D" w:rsidRPr="008E4A5D">
        <w:rPr>
          <w:sz w:val="18"/>
          <w:szCs w:val="18"/>
        </w:rPr>
        <w:t>Ibid</w:t>
      </w:r>
      <w:r w:rsidR="008E4A5D">
        <w:rPr>
          <w:sz w:val="18"/>
          <w:szCs w:val="18"/>
        </w:rPr>
        <w:t>,</w:t>
      </w:r>
      <w:r w:rsidR="008E4A5D" w:rsidRPr="008E4A5D">
        <w:rPr>
          <w:sz w:val="18"/>
          <w:szCs w:val="18"/>
        </w:rPr>
        <w:t>,</w:t>
      </w:r>
      <w:proofErr w:type="gramEnd"/>
      <w:r w:rsidR="008E4A5D" w:rsidRPr="008E4A5D">
        <w:rPr>
          <w:sz w:val="18"/>
          <w:szCs w:val="18"/>
        </w:rPr>
        <w:t xml:space="preserve"> 102</w:t>
      </w:r>
    </w:p>
  </w:footnote>
  <w:footnote w:id="6">
    <w:p w14:paraId="7B2BC7D4" w14:textId="5FA5983A" w:rsidR="001D04F1" w:rsidRDefault="001D04F1">
      <w:pPr>
        <w:pStyle w:val="FootnoteText"/>
      </w:pPr>
      <w:r w:rsidRPr="008E4A5D">
        <w:rPr>
          <w:rStyle w:val="FootnoteReference"/>
          <w:sz w:val="18"/>
          <w:szCs w:val="18"/>
        </w:rPr>
        <w:footnoteRef/>
      </w:r>
      <w:r w:rsidRPr="008E4A5D">
        <w:rPr>
          <w:sz w:val="18"/>
          <w:szCs w:val="18"/>
        </w:rPr>
        <w:t xml:space="preserve"> Ibid</w:t>
      </w:r>
      <w:r w:rsidR="006945C5" w:rsidRPr="008E4A5D">
        <w:rPr>
          <w:sz w:val="18"/>
          <w:szCs w:val="18"/>
        </w:rPr>
        <w:t>., 116</w:t>
      </w:r>
    </w:p>
  </w:footnote>
  <w:footnote w:id="7">
    <w:p w14:paraId="27052EE4" w14:textId="77777777" w:rsidR="00BE7022" w:rsidRDefault="00BE7022" w:rsidP="00BE7022">
      <w:pPr>
        <w:pStyle w:val="FootnoteText"/>
      </w:pPr>
      <w:r>
        <w:rPr>
          <w:rStyle w:val="FootnoteReference"/>
        </w:rPr>
        <w:footnoteRef/>
      </w:r>
      <w:r>
        <w:t xml:space="preserve"> </w:t>
      </w:r>
      <w:r w:rsidRPr="00C406C6">
        <w:rPr>
          <w:sz w:val="18"/>
          <w:szCs w:val="18"/>
        </w:rPr>
        <w:t>Volle, A. "</w:t>
      </w:r>
      <w:r>
        <w:rPr>
          <w:sz w:val="18"/>
          <w:szCs w:val="18"/>
        </w:rPr>
        <w:t>H</w:t>
      </w:r>
      <w:r w:rsidRPr="00C406C6">
        <w:rPr>
          <w:sz w:val="18"/>
          <w:szCs w:val="18"/>
        </w:rPr>
        <w:t>istorical materialism." </w:t>
      </w:r>
      <w:proofErr w:type="spellStart"/>
      <w:r w:rsidRPr="00C406C6">
        <w:rPr>
          <w:i/>
          <w:iCs/>
          <w:sz w:val="18"/>
          <w:szCs w:val="18"/>
        </w:rPr>
        <w:t>Encyclopedia</w:t>
      </w:r>
      <w:proofErr w:type="spellEnd"/>
      <w:r w:rsidRPr="00C406C6">
        <w:rPr>
          <w:i/>
          <w:iCs/>
          <w:sz w:val="18"/>
          <w:szCs w:val="18"/>
        </w:rPr>
        <w:t xml:space="preserve"> Britannica</w:t>
      </w:r>
      <w:r w:rsidRPr="00C406C6">
        <w:rPr>
          <w:sz w:val="18"/>
          <w:szCs w:val="18"/>
        </w:rPr>
        <w:t xml:space="preserve">, November 2025. </w:t>
      </w:r>
      <w:hyperlink r:id="rId1" w:history="1">
        <w:r w:rsidRPr="00782AF5">
          <w:rPr>
            <w:rStyle w:val="Hyperlink"/>
            <w:sz w:val="18"/>
            <w:szCs w:val="18"/>
          </w:rPr>
          <w:t>https://www.britannica.com/topic/historical-materialism</w:t>
        </w:r>
      </w:hyperlink>
      <w:r w:rsidRPr="00C406C6">
        <w:rPr>
          <w:sz w:val="18"/>
          <w:szCs w:val="18"/>
        </w:rPr>
        <w:t>.</w:t>
      </w:r>
      <w:r>
        <w:rPr>
          <w:sz w:val="18"/>
          <w:szCs w:val="18"/>
        </w:rPr>
        <w:t xml:space="preserve"> Last accessed 11 November 2025</w:t>
      </w:r>
    </w:p>
  </w:footnote>
  <w:footnote w:id="8">
    <w:p w14:paraId="0CE496A1" w14:textId="77777777" w:rsidR="00BE7022" w:rsidRDefault="00BE7022" w:rsidP="00BE7022">
      <w:pPr>
        <w:pStyle w:val="FootnoteText"/>
      </w:pPr>
      <w:r>
        <w:rPr>
          <w:rStyle w:val="FootnoteReference"/>
        </w:rPr>
        <w:footnoteRef/>
      </w:r>
      <w:r>
        <w:t xml:space="preserve"> </w:t>
      </w:r>
      <w:r>
        <w:rPr>
          <w:sz w:val="18"/>
          <w:szCs w:val="18"/>
        </w:rPr>
        <w:t>Bender, 1998, 131</w:t>
      </w:r>
    </w:p>
  </w:footnote>
  <w:footnote w:id="9">
    <w:p w14:paraId="23660EC4" w14:textId="77777777" w:rsidR="00C70230" w:rsidRDefault="00C70230" w:rsidP="00C70230">
      <w:pPr>
        <w:pStyle w:val="FootnoteText"/>
      </w:pPr>
      <w:r w:rsidRPr="00213EE6">
        <w:rPr>
          <w:rStyle w:val="FootnoteReference"/>
          <w:sz w:val="18"/>
          <w:szCs w:val="18"/>
        </w:rPr>
        <w:footnoteRef/>
      </w:r>
      <w:r w:rsidRPr="00213EE6">
        <w:rPr>
          <w:sz w:val="18"/>
          <w:szCs w:val="18"/>
        </w:rPr>
        <w:t xml:space="preserve"> Ibid., 106</w:t>
      </w:r>
    </w:p>
  </w:footnote>
  <w:footnote w:id="10">
    <w:p w14:paraId="628CF91A" w14:textId="4FD8A67F" w:rsidR="005D128B" w:rsidRPr="005F01F5" w:rsidRDefault="005D128B">
      <w:pPr>
        <w:pStyle w:val="FootnoteText"/>
        <w:rPr>
          <w:sz w:val="18"/>
          <w:szCs w:val="18"/>
        </w:rPr>
      </w:pPr>
      <w:r w:rsidRPr="005F01F5">
        <w:rPr>
          <w:rStyle w:val="FootnoteReference"/>
          <w:sz w:val="18"/>
          <w:szCs w:val="18"/>
        </w:rPr>
        <w:footnoteRef/>
      </w:r>
      <w:r w:rsidRPr="005F01F5">
        <w:rPr>
          <w:sz w:val="18"/>
          <w:szCs w:val="18"/>
        </w:rPr>
        <w:t xml:space="preserve"> Ibid</w:t>
      </w:r>
      <w:r w:rsidR="005F01F5" w:rsidRPr="005F01F5">
        <w:rPr>
          <w:sz w:val="18"/>
          <w:szCs w:val="18"/>
        </w:rPr>
        <w:t>., 104</w:t>
      </w:r>
    </w:p>
  </w:footnote>
  <w:footnote w:id="11">
    <w:p w14:paraId="784B2DA9" w14:textId="0E0AA4F3" w:rsidR="0037460B" w:rsidRDefault="0037460B">
      <w:pPr>
        <w:pStyle w:val="FootnoteText"/>
      </w:pPr>
      <w:r>
        <w:rPr>
          <w:rStyle w:val="FootnoteReference"/>
        </w:rPr>
        <w:footnoteRef/>
      </w:r>
      <w:r>
        <w:t xml:space="preserve"> </w:t>
      </w:r>
      <w:proofErr w:type="gramStart"/>
      <w:r w:rsidRPr="0037460B">
        <w:rPr>
          <w:sz w:val="18"/>
          <w:szCs w:val="18"/>
        </w:rPr>
        <w:t>Ibid,.</w:t>
      </w:r>
      <w:proofErr w:type="gramEnd"/>
      <w:r w:rsidRPr="0037460B">
        <w:rPr>
          <w:sz w:val="18"/>
          <w:szCs w:val="18"/>
        </w:rPr>
        <w:t xml:space="preserve"> 131</w:t>
      </w:r>
    </w:p>
  </w:footnote>
  <w:footnote w:id="12">
    <w:p w14:paraId="6C675C48" w14:textId="40774A94" w:rsidR="00064A25" w:rsidRPr="00064A25" w:rsidRDefault="00064A25">
      <w:pPr>
        <w:pStyle w:val="FootnoteText"/>
        <w:rPr>
          <w:sz w:val="18"/>
          <w:szCs w:val="18"/>
        </w:rPr>
      </w:pPr>
      <w:r>
        <w:rPr>
          <w:rStyle w:val="FootnoteReference"/>
        </w:rPr>
        <w:footnoteRef/>
      </w:r>
      <w:r>
        <w:t xml:space="preserve"> </w:t>
      </w:r>
      <w:proofErr w:type="spellStart"/>
      <w:r w:rsidRPr="00064A25">
        <w:rPr>
          <w:sz w:val="18"/>
          <w:szCs w:val="18"/>
        </w:rPr>
        <w:t>Kaasila-Pakanen</w:t>
      </w:r>
      <w:proofErr w:type="spellEnd"/>
      <w:r w:rsidRPr="00064A25">
        <w:rPr>
          <w:sz w:val="18"/>
          <w:szCs w:val="18"/>
        </w:rPr>
        <w:t xml:space="preserve">, A.-L., &amp; </w:t>
      </w:r>
      <w:proofErr w:type="spellStart"/>
      <w:r w:rsidRPr="00064A25">
        <w:rPr>
          <w:sz w:val="18"/>
          <w:szCs w:val="18"/>
        </w:rPr>
        <w:t>Mandalaki</w:t>
      </w:r>
      <w:proofErr w:type="spellEnd"/>
      <w:r w:rsidRPr="00064A25">
        <w:rPr>
          <w:sz w:val="18"/>
          <w:szCs w:val="18"/>
        </w:rPr>
        <w:t xml:space="preserve">, E. </w:t>
      </w:r>
      <w:r>
        <w:rPr>
          <w:sz w:val="18"/>
          <w:szCs w:val="18"/>
        </w:rPr>
        <w:t>“</w:t>
      </w:r>
      <w:r w:rsidRPr="00064A25">
        <w:rPr>
          <w:sz w:val="18"/>
          <w:szCs w:val="18"/>
        </w:rPr>
        <w:t>Hysterically y-ours: Reclaiming academic writing as a hysterical practice</w:t>
      </w:r>
      <w:r>
        <w:rPr>
          <w:sz w:val="18"/>
          <w:szCs w:val="18"/>
        </w:rPr>
        <w:t>”</w:t>
      </w:r>
      <w:r w:rsidRPr="00064A25">
        <w:rPr>
          <w:sz w:val="18"/>
          <w:szCs w:val="18"/>
        </w:rPr>
        <w:t>. </w:t>
      </w:r>
      <w:r w:rsidRPr="00064A25">
        <w:rPr>
          <w:i/>
          <w:iCs/>
          <w:sz w:val="18"/>
          <w:szCs w:val="18"/>
        </w:rPr>
        <w:t>Organization</w:t>
      </w:r>
      <w:r w:rsidRPr="00064A25">
        <w:rPr>
          <w:sz w:val="18"/>
          <w:szCs w:val="18"/>
        </w:rPr>
        <w:t>, 32(1),</w:t>
      </w:r>
      <w:r>
        <w:rPr>
          <w:sz w:val="18"/>
          <w:szCs w:val="18"/>
        </w:rPr>
        <w:t xml:space="preserve"> (2023): </w:t>
      </w:r>
      <w:r w:rsidRPr="00064A25">
        <w:rPr>
          <w:sz w:val="18"/>
          <w:szCs w:val="18"/>
        </w:rPr>
        <w:t>53-79. </w:t>
      </w:r>
      <w:hyperlink r:id="rId2" w:history="1">
        <w:r w:rsidRPr="00064A25">
          <w:rPr>
            <w:sz w:val="18"/>
            <w:szCs w:val="18"/>
          </w:rPr>
          <w:t>https://doi.org/10.1177/13505084231198436</w:t>
        </w:r>
      </w:hyperlink>
      <w:r w:rsidRPr="00064A25">
        <w:rPr>
          <w:sz w:val="18"/>
          <w:szCs w:val="18"/>
        </w:rPr>
        <w:t> </w:t>
      </w:r>
    </w:p>
  </w:footnote>
  <w:footnote w:id="13">
    <w:p w14:paraId="05010BD5" w14:textId="77777777" w:rsidR="0004611C" w:rsidRPr="00611207" w:rsidRDefault="0004611C" w:rsidP="0004611C">
      <w:pPr>
        <w:pStyle w:val="FootnoteText"/>
        <w:rPr>
          <w:sz w:val="18"/>
          <w:szCs w:val="18"/>
        </w:rPr>
      </w:pPr>
      <w:r w:rsidRPr="00611207">
        <w:rPr>
          <w:rStyle w:val="FootnoteReference"/>
          <w:sz w:val="18"/>
          <w:szCs w:val="18"/>
        </w:rPr>
        <w:footnoteRef/>
      </w:r>
      <w:r w:rsidRPr="00611207">
        <w:rPr>
          <w:sz w:val="18"/>
          <w:szCs w:val="18"/>
        </w:rPr>
        <w:t xml:space="preserve"> Johnson, Amber L. "Processual Archaeology." In </w:t>
      </w:r>
      <w:proofErr w:type="spellStart"/>
      <w:r w:rsidRPr="00611207">
        <w:rPr>
          <w:i/>
          <w:iCs/>
          <w:sz w:val="18"/>
          <w:szCs w:val="18"/>
        </w:rPr>
        <w:t>Encyclopedia</w:t>
      </w:r>
      <w:proofErr w:type="spellEnd"/>
      <w:r w:rsidRPr="00611207">
        <w:rPr>
          <w:i/>
          <w:iCs/>
          <w:sz w:val="18"/>
          <w:szCs w:val="18"/>
        </w:rPr>
        <w:t xml:space="preserve"> of Archaeology</w:t>
      </w:r>
      <w:r w:rsidRPr="00611207">
        <w:rPr>
          <w:sz w:val="18"/>
          <w:szCs w:val="18"/>
        </w:rPr>
        <w:t>, edited by Deborah M. Pearsall, New York: Academic Press, (2008): 1894-96</w:t>
      </w:r>
    </w:p>
  </w:footnote>
  <w:footnote w:id="14">
    <w:p w14:paraId="142F8FB2" w14:textId="77777777" w:rsidR="0004611C" w:rsidRPr="00436440" w:rsidRDefault="0004611C" w:rsidP="0004611C">
      <w:pPr>
        <w:pStyle w:val="FootnoteText"/>
        <w:rPr>
          <w:sz w:val="18"/>
          <w:szCs w:val="18"/>
        </w:rPr>
      </w:pPr>
      <w:r w:rsidRPr="00436440">
        <w:rPr>
          <w:rStyle w:val="FootnoteReference"/>
          <w:sz w:val="18"/>
          <w:szCs w:val="18"/>
        </w:rPr>
        <w:footnoteRef/>
      </w:r>
      <w:r w:rsidRPr="00436440">
        <w:rPr>
          <w:sz w:val="18"/>
          <w:szCs w:val="18"/>
        </w:rPr>
        <w:t xml:space="preserve"> Britannica Editors. "Lewis R. Binford." </w:t>
      </w:r>
      <w:proofErr w:type="spellStart"/>
      <w:r w:rsidRPr="00436440">
        <w:rPr>
          <w:sz w:val="18"/>
          <w:szCs w:val="18"/>
        </w:rPr>
        <w:t>Encyclopedia</w:t>
      </w:r>
      <w:proofErr w:type="spellEnd"/>
      <w:r w:rsidRPr="00436440">
        <w:rPr>
          <w:sz w:val="18"/>
          <w:szCs w:val="18"/>
        </w:rPr>
        <w:t xml:space="preserve"> Britannica, (April 2025). </w:t>
      </w:r>
      <w:hyperlink r:id="rId3" w:history="1">
        <w:r w:rsidRPr="00436440">
          <w:rPr>
            <w:rStyle w:val="Hyperlink"/>
            <w:sz w:val="18"/>
            <w:szCs w:val="18"/>
          </w:rPr>
          <w:t>https://www.britannica.com/biography/Lewis-R-Binford</w:t>
        </w:r>
      </w:hyperlink>
      <w:r w:rsidRPr="00436440">
        <w:rPr>
          <w:sz w:val="18"/>
          <w:szCs w:val="18"/>
        </w:rPr>
        <w:t>. Last accessed 10 November 2025</w:t>
      </w:r>
    </w:p>
  </w:footnote>
  <w:footnote w:id="15">
    <w:p w14:paraId="7FA864AB" w14:textId="77777777" w:rsidR="0004611C" w:rsidRPr="00611207" w:rsidRDefault="0004611C" w:rsidP="0004611C">
      <w:pPr>
        <w:pStyle w:val="FootnoteText"/>
        <w:rPr>
          <w:sz w:val="18"/>
          <w:szCs w:val="18"/>
        </w:rPr>
      </w:pPr>
      <w:r w:rsidRPr="00611207">
        <w:rPr>
          <w:rStyle w:val="FootnoteReference"/>
          <w:sz w:val="18"/>
          <w:szCs w:val="18"/>
        </w:rPr>
        <w:footnoteRef/>
      </w:r>
      <w:r w:rsidRPr="00611207">
        <w:rPr>
          <w:sz w:val="18"/>
          <w:szCs w:val="18"/>
        </w:rPr>
        <w:t xml:space="preserve"> Hodder, Ian. "Burials, Houses, Women and Men in the European Neolithic." In </w:t>
      </w:r>
      <w:r w:rsidRPr="00611207">
        <w:rPr>
          <w:i/>
          <w:iCs/>
          <w:sz w:val="18"/>
          <w:szCs w:val="18"/>
        </w:rPr>
        <w:t>Ideology, Power and Prehistory</w:t>
      </w:r>
      <w:r w:rsidRPr="00611207">
        <w:rPr>
          <w:sz w:val="18"/>
          <w:szCs w:val="18"/>
        </w:rPr>
        <w:t>, edited by Daniel Miller and Christopher Tilley, Cambridge University Press, (1984): 53</w:t>
      </w:r>
    </w:p>
  </w:footnote>
  <w:footnote w:id="16">
    <w:p w14:paraId="7A2AFF7C" w14:textId="77777777" w:rsidR="0004611C" w:rsidRPr="00611207" w:rsidRDefault="0004611C" w:rsidP="0004611C">
      <w:pPr>
        <w:pStyle w:val="FootnoteText"/>
        <w:rPr>
          <w:sz w:val="18"/>
          <w:szCs w:val="18"/>
        </w:rPr>
      </w:pPr>
      <w:r w:rsidRPr="00611207">
        <w:rPr>
          <w:rStyle w:val="FootnoteReference"/>
          <w:sz w:val="18"/>
          <w:szCs w:val="18"/>
        </w:rPr>
        <w:footnoteRef/>
      </w:r>
      <w:r w:rsidRPr="00611207">
        <w:rPr>
          <w:sz w:val="18"/>
          <w:szCs w:val="18"/>
        </w:rPr>
        <w:t xml:space="preserve"> Shanks, Michael. "Post-Processual Archaeology and After." In </w:t>
      </w:r>
      <w:r w:rsidRPr="00611207">
        <w:rPr>
          <w:i/>
          <w:iCs/>
          <w:sz w:val="18"/>
          <w:szCs w:val="18"/>
        </w:rPr>
        <w:t>Handbook of Archaeological Theories</w:t>
      </w:r>
      <w:r w:rsidRPr="00611207">
        <w:rPr>
          <w:sz w:val="18"/>
          <w:szCs w:val="18"/>
        </w:rPr>
        <w:t xml:space="preserve">, edited by R. Alexander Bentley, Herbert D. G. </w:t>
      </w:r>
      <w:proofErr w:type="spellStart"/>
      <w:r w:rsidRPr="00611207">
        <w:rPr>
          <w:sz w:val="18"/>
          <w:szCs w:val="18"/>
        </w:rPr>
        <w:t>Maschner</w:t>
      </w:r>
      <w:proofErr w:type="spellEnd"/>
      <w:r w:rsidRPr="00611207">
        <w:rPr>
          <w:sz w:val="18"/>
          <w:szCs w:val="18"/>
        </w:rPr>
        <w:t xml:space="preserve"> and Christopher Chippindale, Bloomsbury Publishing, (2007):135</w:t>
      </w:r>
    </w:p>
  </w:footnote>
  <w:footnote w:id="17">
    <w:p w14:paraId="5E98328E" w14:textId="77777777" w:rsidR="0004611C" w:rsidRDefault="0004611C" w:rsidP="0004611C">
      <w:pPr>
        <w:pStyle w:val="FootnoteText"/>
      </w:pPr>
      <w:r w:rsidRPr="00611207">
        <w:rPr>
          <w:rStyle w:val="FootnoteReference"/>
          <w:sz w:val="18"/>
          <w:szCs w:val="18"/>
        </w:rPr>
        <w:footnoteRef/>
      </w:r>
      <w:r w:rsidRPr="00611207">
        <w:rPr>
          <w:sz w:val="18"/>
          <w:szCs w:val="18"/>
        </w:rPr>
        <w:t xml:space="preserve"> Shanks, Michael, and Christopher Tilley. </w:t>
      </w:r>
      <w:r w:rsidRPr="00611207">
        <w:rPr>
          <w:i/>
          <w:iCs/>
          <w:sz w:val="18"/>
          <w:szCs w:val="18"/>
        </w:rPr>
        <w:t>Social Theory and Archaeology.</w:t>
      </w:r>
      <w:r w:rsidRPr="00611207">
        <w:rPr>
          <w:sz w:val="18"/>
          <w:szCs w:val="18"/>
        </w:rPr>
        <w:t> Polity Press Cambridge, (1987): 195</w:t>
      </w:r>
    </w:p>
  </w:footnote>
  <w:footnote w:id="18">
    <w:p w14:paraId="227F89F1" w14:textId="0554119D" w:rsidR="00E66587" w:rsidRPr="00754149" w:rsidRDefault="00A04935">
      <w:pPr>
        <w:pStyle w:val="FootnoteText"/>
        <w:rPr>
          <w:sz w:val="18"/>
          <w:szCs w:val="18"/>
        </w:rPr>
      </w:pPr>
      <w:r w:rsidRPr="00754149">
        <w:rPr>
          <w:rStyle w:val="FootnoteReference"/>
          <w:sz w:val="18"/>
          <w:szCs w:val="18"/>
        </w:rPr>
        <w:footnoteRef/>
      </w:r>
      <w:r w:rsidRPr="00754149">
        <w:rPr>
          <w:sz w:val="18"/>
          <w:szCs w:val="18"/>
        </w:rPr>
        <w:t xml:space="preserve"> </w:t>
      </w:r>
      <w:r w:rsidR="009B015E" w:rsidRPr="00754149">
        <w:rPr>
          <w:sz w:val="18"/>
          <w:szCs w:val="18"/>
        </w:rPr>
        <w:t>Smith, David Woodruff, "Phenomenology", </w:t>
      </w:r>
      <w:r w:rsidR="009B015E" w:rsidRPr="00754149">
        <w:rPr>
          <w:i/>
          <w:iCs/>
          <w:sz w:val="18"/>
          <w:szCs w:val="18"/>
        </w:rPr>
        <w:t xml:space="preserve">The Stanford </w:t>
      </w:r>
      <w:proofErr w:type="spellStart"/>
      <w:r w:rsidR="009B015E" w:rsidRPr="00754149">
        <w:rPr>
          <w:i/>
          <w:iCs/>
          <w:sz w:val="18"/>
          <w:szCs w:val="18"/>
        </w:rPr>
        <w:t>Encyclopedia</w:t>
      </w:r>
      <w:proofErr w:type="spellEnd"/>
      <w:r w:rsidR="009B015E" w:rsidRPr="00754149">
        <w:rPr>
          <w:i/>
          <w:iCs/>
          <w:sz w:val="18"/>
          <w:szCs w:val="18"/>
        </w:rPr>
        <w:t xml:space="preserve"> of Philosophy </w:t>
      </w:r>
      <w:r w:rsidR="009B015E" w:rsidRPr="00754149">
        <w:rPr>
          <w:sz w:val="18"/>
          <w:szCs w:val="18"/>
        </w:rPr>
        <w:t xml:space="preserve">(Summer 2018 Edition), Edward N. Zalta (ed.), URL </w:t>
      </w:r>
      <w:hyperlink r:id="rId4" w:history="1">
        <w:r w:rsidR="009B015E" w:rsidRPr="00754149">
          <w:rPr>
            <w:rStyle w:val="Hyperlink"/>
            <w:sz w:val="18"/>
            <w:szCs w:val="18"/>
          </w:rPr>
          <w:t>https://plato.stanford.edu/archives/sum2018/entries/phenomenology/</w:t>
        </w:r>
      </w:hyperlink>
      <w:r w:rsidR="009B015E" w:rsidRPr="00754149">
        <w:rPr>
          <w:sz w:val="18"/>
          <w:szCs w:val="18"/>
        </w:rPr>
        <w:t xml:space="preserve"> accessed 10 November 2</w:t>
      </w:r>
      <w:r w:rsidR="00EF5F7E" w:rsidRPr="00754149">
        <w:rPr>
          <w:sz w:val="18"/>
          <w:szCs w:val="18"/>
        </w:rPr>
        <w:t>02</w:t>
      </w:r>
      <w:r w:rsidR="009B015E" w:rsidRPr="00754149">
        <w:rPr>
          <w:sz w:val="18"/>
          <w:szCs w:val="18"/>
        </w:rPr>
        <w:t>5</w:t>
      </w:r>
    </w:p>
  </w:footnote>
  <w:footnote w:id="19">
    <w:p w14:paraId="5D9643C0" w14:textId="534AFFF6" w:rsidR="00305B76" w:rsidRPr="00754149" w:rsidRDefault="00305B76">
      <w:pPr>
        <w:pStyle w:val="FootnoteText"/>
        <w:rPr>
          <w:sz w:val="18"/>
          <w:szCs w:val="18"/>
        </w:rPr>
      </w:pPr>
      <w:r w:rsidRPr="00754149">
        <w:rPr>
          <w:rStyle w:val="FootnoteReference"/>
          <w:sz w:val="18"/>
          <w:szCs w:val="18"/>
        </w:rPr>
        <w:footnoteRef/>
      </w:r>
      <w:r w:rsidRPr="00754149">
        <w:rPr>
          <w:sz w:val="18"/>
          <w:szCs w:val="18"/>
        </w:rPr>
        <w:t xml:space="preserve"> Rowlands et al, 2024</w:t>
      </w:r>
    </w:p>
  </w:footnote>
  <w:footnote w:id="20">
    <w:p w14:paraId="714A2ADB" w14:textId="017DD46D" w:rsidR="00746A7D" w:rsidRPr="00754149" w:rsidRDefault="00746A7D">
      <w:pPr>
        <w:pStyle w:val="FootnoteText"/>
        <w:rPr>
          <w:sz w:val="18"/>
          <w:szCs w:val="18"/>
        </w:rPr>
      </w:pPr>
      <w:r w:rsidRPr="00754149">
        <w:rPr>
          <w:rStyle w:val="FootnoteReference"/>
          <w:sz w:val="18"/>
          <w:szCs w:val="18"/>
        </w:rPr>
        <w:footnoteRef/>
      </w:r>
      <w:r w:rsidRPr="00754149">
        <w:rPr>
          <w:sz w:val="18"/>
          <w:szCs w:val="18"/>
        </w:rPr>
        <w:t xml:space="preserve"> </w:t>
      </w:r>
      <w:r w:rsidR="00875E15" w:rsidRPr="00754149">
        <w:rPr>
          <w:sz w:val="18"/>
          <w:szCs w:val="18"/>
        </w:rPr>
        <w:t>Tilley, Christopher. "Space, Place, Landscape and Perception: Phenomenological Perspectives." </w:t>
      </w:r>
      <w:r w:rsidR="00875E15" w:rsidRPr="00754149">
        <w:rPr>
          <w:i/>
          <w:iCs/>
          <w:sz w:val="18"/>
          <w:szCs w:val="18"/>
        </w:rPr>
        <w:t>A phenomenology of landscape: Places, paths and monuments </w:t>
      </w:r>
      <w:r w:rsidR="00875E15" w:rsidRPr="00754149">
        <w:rPr>
          <w:sz w:val="18"/>
          <w:szCs w:val="18"/>
        </w:rPr>
        <w:t>(1994): 13</w:t>
      </w:r>
    </w:p>
  </w:footnote>
  <w:footnote w:id="21">
    <w:p w14:paraId="585F133F" w14:textId="6B7E5F6D" w:rsidR="00AB5C21" w:rsidRPr="00754149" w:rsidRDefault="00AB5C21">
      <w:pPr>
        <w:pStyle w:val="FootnoteText"/>
        <w:rPr>
          <w:sz w:val="18"/>
          <w:szCs w:val="18"/>
        </w:rPr>
      </w:pPr>
      <w:r w:rsidRPr="00754149">
        <w:rPr>
          <w:rStyle w:val="FootnoteReference"/>
          <w:sz w:val="18"/>
          <w:szCs w:val="18"/>
        </w:rPr>
        <w:footnoteRef/>
      </w:r>
      <w:r w:rsidRPr="00754149">
        <w:rPr>
          <w:sz w:val="18"/>
          <w:szCs w:val="18"/>
        </w:rPr>
        <w:t xml:space="preserve"> </w:t>
      </w:r>
      <w:r w:rsidR="00F91BC7" w:rsidRPr="00754149">
        <w:rPr>
          <w:sz w:val="18"/>
          <w:szCs w:val="18"/>
        </w:rPr>
        <w:t>Ibid</w:t>
      </w:r>
      <w:r w:rsidR="00764543">
        <w:rPr>
          <w:sz w:val="18"/>
          <w:szCs w:val="18"/>
        </w:rPr>
        <w:t>.</w:t>
      </w:r>
    </w:p>
  </w:footnote>
  <w:footnote w:id="22">
    <w:p w14:paraId="4C0048E7" w14:textId="20496F34" w:rsidR="00BF39FE" w:rsidRDefault="00BF39FE">
      <w:pPr>
        <w:pStyle w:val="FootnoteText"/>
      </w:pPr>
      <w:r>
        <w:rPr>
          <w:rStyle w:val="FootnoteReference"/>
        </w:rPr>
        <w:footnoteRef/>
      </w:r>
      <w:r w:rsidRPr="003A79BE">
        <w:rPr>
          <w:sz w:val="18"/>
          <w:szCs w:val="18"/>
        </w:rPr>
        <w:t xml:space="preserve"> </w:t>
      </w:r>
      <w:r w:rsidR="003A79BE" w:rsidRPr="003A79BE">
        <w:rPr>
          <w:sz w:val="18"/>
          <w:szCs w:val="18"/>
        </w:rPr>
        <w:t>Ibid</w:t>
      </w:r>
      <w:r w:rsidR="003A79BE">
        <w:t>.</w:t>
      </w:r>
    </w:p>
  </w:footnote>
  <w:footnote w:id="23">
    <w:p w14:paraId="0E8BABF5" w14:textId="0760E25B" w:rsidR="00660A11" w:rsidRPr="00660A11" w:rsidRDefault="00660A11">
      <w:pPr>
        <w:pStyle w:val="FootnoteText"/>
        <w:rPr>
          <w:sz w:val="18"/>
          <w:szCs w:val="18"/>
        </w:rPr>
      </w:pPr>
      <w:r>
        <w:rPr>
          <w:rStyle w:val="FootnoteReference"/>
        </w:rPr>
        <w:footnoteRef/>
      </w:r>
      <w:r>
        <w:t xml:space="preserve"> </w:t>
      </w:r>
      <w:r w:rsidRPr="00660A11">
        <w:rPr>
          <w:sz w:val="18"/>
          <w:szCs w:val="18"/>
        </w:rPr>
        <w:t>Ibid., 13-16</w:t>
      </w:r>
    </w:p>
  </w:footnote>
  <w:footnote w:id="24">
    <w:p w14:paraId="37555AB9" w14:textId="6E37EDC8" w:rsidR="00F81B89" w:rsidRPr="00276B4E" w:rsidRDefault="00F81B89">
      <w:pPr>
        <w:pStyle w:val="FootnoteText"/>
        <w:rPr>
          <w:sz w:val="18"/>
          <w:szCs w:val="18"/>
        </w:rPr>
      </w:pPr>
      <w:r w:rsidRPr="00276B4E">
        <w:rPr>
          <w:rStyle w:val="FootnoteReference"/>
          <w:sz w:val="18"/>
          <w:szCs w:val="18"/>
        </w:rPr>
        <w:footnoteRef/>
      </w:r>
      <w:r w:rsidRPr="00276B4E">
        <w:rPr>
          <w:sz w:val="18"/>
          <w:szCs w:val="18"/>
        </w:rPr>
        <w:t xml:space="preserve"> Ibid</w:t>
      </w:r>
      <w:r w:rsidR="00EE6178" w:rsidRPr="00276B4E">
        <w:rPr>
          <w:sz w:val="18"/>
          <w:szCs w:val="18"/>
        </w:rPr>
        <w:t>., 22</w:t>
      </w:r>
    </w:p>
  </w:footnote>
  <w:footnote w:id="25">
    <w:p w14:paraId="5063418C" w14:textId="6F16F6F6" w:rsidR="00887E33" w:rsidRDefault="00887E33">
      <w:pPr>
        <w:pStyle w:val="FootnoteText"/>
      </w:pPr>
      <w:r>
        <w:rPr>
          <w:rStyle w:val="FootnoteReference"/>
        </w:rPr>
        <w:footnoteRef/>
      </w:r>
      <w:r>
        <w:t xml:space="preserve"> </w:t>
      </w:r>
      <w:r w:rsidRPr="00887E33">
        <w:rPr>
          <w:sz w:val="18"/>
          <w:szCs w:val="18"/>
        </w:rPr>
        <w:t xml:space="preserve">Ibid., 27 </w:t>
      </w:r>
    </w:p>
  </w:footnote>
  <w:footnote w:id="26">
    <w:p w14:paraId="6F863FF0" w14:textId="091EB305" w:rsidR="00127829" w:rsidRDefault="00127829">
      <w:pPr>
        <w:pStyle w:val="FootnoteText"/>
      </w:pPr>
      <w:r>
        <w:rPr>
          <w:rStyle w:val="FootnoteReference"/>
        </w:rPr>
        <w:footnoteRef/>
      </w:r>
      <w:r>
        <w:t xml:space="preserve"> </w:t>
      </w:r>
      <w:r w:rsidR="00964ECC">
        <w:t>Barrett and Ko, 2006</w:t>
      </w:r>
    </w:p>
  </w:footnote>
  <w:footnote w:id="27">
    <w:p w14:paraId="23E471AE" w14:textId="79C68A79" w:rsidR="00702E7C" w:rsidRDefault="00702E7C">
      <w:pPr>
        <w:pStyle w:val="FootnoteText"/>
      </w:pPr>
      <w:r>
        <w:rPr>
          <w:rStyle w:val="FootnoteReference"/>
        </w:rPr>
        <w:footnoteRef/>
      </w:r>
      <w:r>
        <w:t xml:space="preserve"> </w:t>
      </w:r>
      <w:r w:rsidR="00964ECC">
        <w:t>Barrett and Ko, 2006</w:t>
      </w:r>
    </w:p>
  </w:footnote>
  <w:footnote w:id="28">
    <w:p w14:paraId="0F6BDB3F" w14:textId="1D77D2E3" w:rsidR="00360865" w:rsidRPr="00D536A5" w:rsidRDefault="00360865">
      <w:pPr>
        <w:pStyle w:val="FootnoteText"/>
        <w:rPr>
          <w:sz w:val="18"/>
          <w:szCs w:val="18"/>
        </w:rPr>
      </w:pPr>
      <w:r w:rsidRPr="00D536A5">
        <w:rPr>
          <w:rStyle w:val="FootnoteReference"/>
          <w:sz w:val="18"/>
          <w:szCs w:val="18"/>
        </w:rPr>
        <w:footnoteRef/>
      </w:r>
      <w:r w:rsidRPr="00D536A5">
        <w:rPr>
          <w:sz w:val="18"/>
          <w:szCs w:val="18"/>
        </w:rPr>
        <w:t xml:space="preserve"> </w:t>
      </w:r>
      <w:r w:rsidR="00E46062" w:rsidRPr="00D536A5">
        <w:rPr>
          <w:sz w:val="18"/>
          <w:szCs w:val="18"/>
        </w:rPr>
        <w:t>Chippindale, Christopher. "Daniel Miller &amp; Christopher Tilley (eds): Ideology, power and prehistory.</w:t>
      </w:r>
      <w:r w:rsidR="00D536A5" w:rsidRPr="00D536A5">
        <w:rPr>
          <w:sz w:val="18"/>
          <w:szCs w:val="18"/>
        </w:rPr>
        <w:t>”</w:t>
      </w:r>
      <w:r w:rsidR="00E46062" w:rsidRPr="00D536A5">
        <w:rPr>
          <w:sz w:val="18"/>
          <w:szCs w:val="18"/>
        </w:rPr>
        <w:t xml:space="preserve"> Cambridge: University Press, 1984. </w:t>
      </w:r>
      <w:r w:rsidR="00E46062" w:rsidRPr="00D536A5">
        <w:rPr>
          <w:i/>
          <w:iCs/>
          <w:sz w:val="18"/>
          <w:szCs w:val="18"/>
        </w:rPr>
        <w:t>Antiquity</w:t>
      </w:r>
      <w:r w:rsidR="00E46062" w:rsidRPr="00D536A5">
        <w:rPr>
          <w:sz w:val="18"/>
          <w:szCs w:val="18"/>
        </w:rPr>
        <w:t xml:space="preserve"> 58, no. 224 (1984): 229-230.</w:t>
      </w:r>
    </w:p>
  </w:footnote>
  <w:footnote w:id="29">
    <w:p w14:paraId="1FAFF7AA" w14:textId="77777777" w:rsidR="007B73DF" w:rsidRPr="00794AA8" w:rsidRDefault="007B73DF" w:rsidP="007B73DF">
      <w:pPr>
        <w:pStyle w:val="FootnoteText"/>
        <w:rPr>
          <w:sz w:val="18"/>
          <w:szCs w:val="18"/>
        </w:rPr>
      </w:pPr>
      <w:r w:rsidRPr="00794AA8">
        <w:rPr>
          <w:rStyle w:val="FootnoteReference"/>
          <w:sz w:val="18"/>
          <w:szCs w:val="18"/>
        </w:rPr>
        <w:footnoteRef/>
      </w:r>
      <w:r w:rsidRPr="00794AA8">
        <w:rPr>
          <w:sz w:val="18"/>
          <w:szCs w:val="18"/>
        </w:rPr>
        <w:t xml:space="preserve"> Ibid., 10</w:t>
      </w:r>
    </w:p>
  </w:footnote>
  <w:footnote w:id="30">
    <w:p w14:paraId="3CBCF5A5" w14:textId="77777777" w:rsidR="007B73DF" w:rsidRPr="00794AA8" w:rsidRDefault="007B73DF" w:rsidP="007B73DF">
      <w:pPr>
        <w:pStyle w:val="FootnoteText"/>
        <w:rPr>
          <w:sz w:val="18"/>
          <w:szCs w:val="18"/>
        </w:rPr>
      </w:pPr>
      <w:r w:rsidRPr="00794AA8">
        <w:rPr>
          <w:rStyle w:val="FootnoteReference"/>
          <w:sz w:val="18"/>
          <w:szCs w:val="18"/>
        </w:rPr>
        <w:footnoteRef/>
      </w:r>
      <w:r w:rsidRPr="00794AA8">
        <w:rPr>
          <w:sz w:val="18"/>
          <w:szCs w:val="18"/>
        </w:rPr>
        <w:t xml:space="preserve"> </w:t>
      </w:r>
      <w:proofErr w:type="gramStart"/>
      <w:r w:rsidRPr="00794AA8">
        <w:rPr>
          <w:sz w:val="18"/>
          <w:szCs w:val="18"/>
        </w:rPr>
        <w:t>Ibid,.</w:t>
      </w:r>
      <w:proofErr w:type="gramEnd"/>
      <w:r w:rsidRPr="00794AA8">
        <w:rPr>
          <w:sz w:val="18"/>
          <w:szCs w:val="18"/>
        </w:rPr>
        <w:t xml:space="preserve"> 34</w:t>
      </w:r>
    </w:p>
  </w:footnote>
  <w:footnote w:id="31">
    <w:p w14:paraId="605E69EB" w14:textId="0244D9FC" w:rsidR="00CB0CD6" w:rsidRDefault="00CB0CD6">
      <w:pPr>
        <w:pStyle w:val="FootnoteText"/>
      </w:pPr>
      <w:r>
        <w:rPr>
          <w:rStyle w:val="FootnoteReference"/>
        </w:rPr>
        <w:footnoteRef/>
      </w:r>
      <w:r>
        <w:t xml:space="preserve"> </w:t>
      </w:r>
      <w:r w:rsidR="00591150" w:rsidRPr="00794AA8">
        <w:rPr>
          <w:sz w:val="18"/>
          <w:szCs w:val="18"/>
        </w:rPr>
        <w:t>Bender, Barbara, Sue Hamilton, and Christopher Tilley. "</w:t>
      </w:r>
      <w:proofErr w:type="spellStart"/>
      <w:r w:rsidR="00591150" w:rsidRPr="00794AA8">
        <w:rPr>
          <w:sz w:val="18"/>
          <w:szCs w:val="18"/>
        </w:rPr>
        <w:t>Leskernick</w:t>
      </w:r>
      <w:proofErr w:type="spellEnd"/>
      <w:r w:rsidR="00591150" w:rsidRPr="00794AA8">
        <w:rPr>
          <w:sz w:val="18"/>
          <w:szCs w:val="18"/>
        </w:rPr>
        <w:t>: the biography of an excavation." </w:t>
      </w:r>
      <w:r w:rsidR="00591150" w:rsidRPr="00794AA8">
        <w:rPr>
          <w:i/>
          <w:iCs/>
          <w:sz w:val="18"/>
          <w:szCs w:val="18"/>
        </w:rPr>
        <w:t>Cornish Archaeology</w:t>
      </w:r>
      <w:r w:rsidR="00591150" w:rsidRPr="00794AA8">
        <w:rPr>
          <w:sz w:val="18"/>
          <w:szCs w:val="18"/>
        </w:rPr>
        <w:t xml:space="preserve"> 34: 58-73, </w:t>
      </w:r>
      <w:r w:rsidR="00591150">
        <w:rPr>
          <w:sz w:val="18"/>
          <w:szCs w:val="18"/>
        </w:rPr>
        <w:t>(</w:t>
      </w:r>
      <w:r w:rsidR="00591150" w:rsidRPr="00794AA8">
        <w:rPr>
          <w:sz w:val="18"/>
          <w:szCs w:val="18"/>
        </w:rPr>
        <w:t>1995</w:t>
      </w:r>
      <w:r w:rsidR="00591150">
        <w:rPr>
          <w:sz w:val="18"/>
          <w:szCs w:val="18"/>
        </w:rPr>
        <w:t>): 58</w:t>
      </w:r>
    </w:p>
  </w:footnote>
  <w:footnote w:id="32">
    <w:p w14:paraId="4AB03133" w14:textId="52F4667D" w:rsidR="00CE5E0F" w:rsidRDefault="00CE5E0F">
      <w:pPr>
        <w:pStyle w:val="FootnoteText"/>
      </w:pPr>
      <w:r>
        <w:rPr>
          <w:rStyle w:val="FootnoteReference"/>
        </w:rPr>
        <w:footnoteRef/>
      </w:r>
      <w:r>
        <w:t xml:space="preserve"> </w:t>
      </w:r>
      <w:r w:rsidRPr="00CE5E0F">
        <w:rPr>
          <w:sz w:val="18"/>
          <w:szCs w:val="18"/>
        </w:rPr>
        <w:t>Ibid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350464A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09A1700"/>
    <w:multiLevelType w:val="hybridMultilevel"/>
    <w:tmpl w:val="276CA88C"/>
    <w:lvl w:ilvl="0" w:tplc="048CD30C">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FE128F"/>
    <w:multiLevelType w:val="hybridMultilevel"/>
    <w:tmpl w:val="3A82E6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EC1277B"/>
    <w:multiLevelType w:val="hybridMultilevel"/>
    <w:tmpl w:val="56D49FB2"/>
    <w:lvl w:ilvl="0" w:tplc="40AA168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5914216E"/>
    <w:multiLevelType w:val="hybridMultilevel"/>
    <w:tmpl w:val="8398C4F4"/>
    <w:lvl w:ilvl="0" w:tplc="0409000F">
      <w:start w:val="1"/>
      <w:numFmt w:val="decimal"/>
      <w:lvlText w:val="%1."/>
      <w:lvlJc w:val="left"/>
      <w:pPr>
        <w:tabs>
          <w:tab w:val="num" w:pos="1120"/>
        </w:tabs>
        <w:ind w:left="1120" w:hanging="360"/>
      </w:pPr>
    </w:lvl>
    <w:lvl w:ilvl="1" w:tplc="04090019">
      <w:start w:val="1"/>
      <w:numFmt w:val="lowerLetter"/>
      <w:lvlText w:val="%2."/>
      <w:lvlJc w:val="left"/>
      <w:pPr>
        <w:tabs>
          <w:tab w:val="num" w:pos="1840"/>
        </w:tabs>
        <w:ind w:left="1840" w:hanging="360"/>
      </w:pPr>
    </w:lvl>
    <w:lvl w:ilvl="2" w:tplc="0409001B">
      <w:start w:val="1"/>
      <w:numFmt w:val="lowerRoman"/>
      <w:lvlText w:val="%3."/>
      <w:lvlJc w:val="right"/>
      <w:pPr>
        <w:tabs>
          <w:tab w:val="num" w:pos="2560"/>
        </w:tabs>
        <w:ind w:left="2560" w:hanging="180"/>
      </w:pPr>
    </w:lvl>
    <w:lvl w:ilvl="3" w:tplc="0409000F">
      <w:start w:val="1"/>
      <w:numFmt w:val="decimal"/>
      <w:lvlText w:val="%4."/>
      <w:lvlJc w:val="left"/>
      <w:pPr>
        <w:tabs>
          <w:tab w:val="num" w:pos="3280"/>
        </w:tabs>
        <w:ind w:left="3280" w:hanging="360"/>
      </w:pPr>
    </w:lvl>
    <w:lvl w:ilvl="4" w:tplc="04090019">
      <w:start w:val="1"/>
      <w:numFmt w:val="lowerLetter"/>
      <w:lvlText w:val="%5."/>
      <w:lvlJc w:val="left"/>
      <w:pPr>
        <w:tabs>
          <w:tab w:val="num" w:pos="4000"/>
        </w:tabs>
        <w:ind w:left="4000" w:hanging="360"/>
      </w:pPr>
    </w:lvl>
    <w:lvl w:ilvl="5" w:tplc="0409001B">
      <w:start w:val="1"/>
      <w:numFmt w:val="lowerRoman"/>
      <w:lvlText w:val="%6."/>
      <w:lvlJc w:val="right"/>
      <w:pPr>
        <w:tabs>
          <w:tab w:val="num" w:pos="4720"/>
        </w:tabs>
        <w:ind w:left="4720" w:hanging="180"/>
      </w:pPr>
    </w:lvl>
    <w:lvl w:ilvl="6" w:tplc="0409000F">
      <w:start w:val="1"/>
      <w:numFmt w:val="decimal"/>
      <w:lvlText w:val="%7."/>
      <w:lvlJc w:val="left"/>
      <w:pPr>
        <w:tabs>
          <w:tab w:val="num" w:pos="5440"/>
        </w:tabs>
        <w:ind w:left="5440" w:hanging="360"/>
      </w:pPr>
    </w:lvl>
    <w:lvl w:ilvl="7" w:tplc="04090019">
      <w:start w:val="1"/>
      <w:numFmt w:val="lowerLetter"/>
      <w:lvlText w:val="%8."/>
      <w:lvlJc w:val="left"/>
      <w:pPr>
        <w:tabs>
          <w:tab w:val="num" w:pos="6160"/>
        </w:tabs>
        <w:ind w:left="6160" w:hanging="360"/>
      </w:pPr>
    </w:lvl>
    <w:lvl w:ilvl="8" w:tplc="0409001B">
      <w:start w:val="1"/>
      <w:numFmt w:val="lowerRoman"/>
      <w:lvlText w:val="%9."/>
      <w:lvlJc w:val="right"/>
      <w:pPr>
        <w:tabs>
          <w:tab w:val="num" w:pos="6880"/>
        </w:tabs>
        <w:ind w:left="6880" w:hanging="180"/>
      </w:pPr>
    </w:lvl>
  </w:abstractNum>
  <w:abstractNum w:abstractNumId="5" w15:restartNumberingAfterBreak="0">
    <w:nsid w:val="6B82386F"/>
    <w:multiLevelType w:val="hybridMultilevel"/>
    <w:tmpl w:val="A6523F66"/>
    <w:lvl w:ilvl="0" w:tplc="AC023FC4">
      <w:start w:val="3"/>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987F71"/>
    <w:multiLevelType w:val="hybridMultilevel"/>
    <w:tmpl w:val="D32830E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453210007">
    <w:abstractNumId w:val="1"/>
  </w:num>
  <w:num w:numId="2" w16cid:durableId="223880763">
    <w:abstractNumId w:val="6"/>
  </w:num>
  <w:num w:numId="3" w16cid:durableId="831725406">
    <w:abstractNumId w:val="2"/>
  </w:num>
  <w:num w:numId="4" w16cid:durableId="97722835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34634976">
    <w:abstractNumId w:val="3"/>
  </w:num>
  <w:num w:numId="6" w16cid:durableId="957832994">
    <w:abstractNumId w:val="5"/>
  </w:num>
  <w:num w:numId="7" w16cid:durableId="10560511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9E9"/>
    <w:rsid w:val="00001A0C"/>
    <w:rsid w:val="00001AB3"/>
    <w:rsid w:val="0000386F"/>
    <w:rsid w:val="0000569D"/>
    <w:rsid w:val="000062A5"/>
    <w:rsid w:val="00010A64"/>
    <w:rsid w:val="00013ED4"/>
    <w:rsid w:val="00016602"/>
    <w:rsid w:val="0002110D"/>
    <w:rsid w:val="0002195E"/>
    <w:rsid w:val="0002386D"/>
    <w:rsid w:val="00026AE0"/>
    <w:rsid w:val="00032A1D"/>
    <w:rsid w:val="00037717"/>
    <w:rsid w:val="000403A3"/>
    <w:rsid w:val="0004611C"/>
    <w:rsid w:val="00050F84"/>
    <w:rsid w:val="00053908"/>
    <w:rsid w:val="000546C0"/>
    <w:rsid w:val="00060A34"/>
    <w:rsid w:val="000622FA"/>
    <w:rsid w:val="0006298C"/>
    <w:rsid w:val="00063046"/>
    <w:rsid w:val="00064A25"/>
    <w:rsid w:val="00070BD6"/>
    <w:rsid w:val="00071D7A"/>
    <w:rsid w:val="000720E7"/>
    <w:rsid w:val="00073AFC"/>
    <w:rsid w:val="00073F9F"/>
    <w:rsid w:val="00073FC6"/>
    <w:rsid w:val="00074610"/>
    <w:rsid w:val="00075954"/>
    <w:rsid w:val="00076C9D"/>
    <w:rsid w:val="00077F7B"/>
    <w:rsid w:val="000807CF"/>
    <w:rsid w:val="00081ECF"/>
    <w:rsid w:val="00082276"/>
    <w:rsid w:val="000823C1"/>
    <w:rsid w:val="00083CFC"/>
    <w:rsid w:val="00084114"/>
    <w:rsid w:val="00085A3F"/>
    <w:rsid w:val="00090CBC"/>
    <w:rsid w:val="00091BA8"/>
    <w:rsid w:val="00093D38"/>
    <w:rsid w:val="000A000F"/>
    <w:rsid w:val="000A125A"/>
    <w:rsid w:val="000A39C0"/>
    <w:rsid w:val="000A4FAC"/>
    <w:rsid w:val="000A6BF5"/>
    <w:rsid w:val="000A74DB"/>
    <w:rsid w:val="000B0BCE"/>
    <w:rsid w:val="000B1C6D"/>
    <w:rsid w:val="000B5BD4"/>
    <w:rsid w:val="000C06AE"/>
    <w:rsid w:val="000C2E43"/>
    <w:rsid w:val="000C2F1A"/>
    <w:rsid w:val="000C4676"/>
    <w:rsid w:val="000C5B48"/>
    <w:rsid w:val="000C7E65"/>
    <w:rsid w:val="000D1FC3"/>
    <w:rsid w:val="000E31B1"/>
    <w:rsid w:val="000F52E8"/>
    <w:rsid w:val="001027D9"/>
    <w:rsid w:val="00103781"/>
    <w:rsid w:val="00103BC7"/>
    <w:rsid w:val="00103D8B"/>
    <w:rsid w:val="00106E1D"/>
    <w:rsid w:val="00110A42"/>
    <w:rsid w:val="00111E0B"/>
    <w:rsid w:val="001136A5"/>
    <w:rsid w:val="00114C86"/>
    <w:rsid w:val="00122968"/>
    <w:rsid w:val="001251F6"/>
    <w:rsid w:val="0012777B"/>
    <w:rsid w:val="00127829"/>
    <w:rsid w:val="001349D9"/>
    <w:rsid w:val="00134D58"/>
    <w:rsid w:val="00141485"/>
    <w:rsid w:val="00144759"/>
    <w:rsid w:val="0014541E"/>
    <w:rsid w:val="00150B3A"/>
    <w:rsid w:val="00150FFF"/>
    <w:rsid w:val="00151DB1"/>
    <w:rsid w:val="00154A20"/>
    <w:rsid w:val="001559B7"/>
    <w:rsid w:val="00161B92"/>
    <w:rsid w:val="00162D03"/>
    <w:rsid w:val="0016645F"/>
    <w:rsid w:val="00181932"/>
    <w:rsid w:val="001825A3"/>
    <w:rsid w:val="00183926"/>
    <w:rsid w:val="0018402A"/>
    <w:rsid w:val="0018404C"/>
    <w:rsid w:val="00184420"/>
    <w:rsid w:val="0018535C"/>
    <w:rsid w:val="00186E11"/>
    <w:rsid w:val="00192B81"/>
    <w:rsid w:val="001943B1"/>
    <w:rsid w:val="001A2D21"/>
    <w:rsid w:val="001A3915"/>
    <w:rsid w:val="001A6920"/>
    <w:rsid w:val="001A795A"/>
    <w:rsid w:val="001B3E88"/>
    <w:rsid w:val="001B53C6"/>
    <w:rsid w:val="001C175D"/>
    <w:rsid w:val="001D04F1"/>
    <w:rsid w:val="001D1E5C"/>
    <w:rsid w:val="001D4F9C"/>
    <w:rsid w:val="001D6FCD"/>
    <w:rsid w:val="001E297A"/>
    <w:rsid w:val="001E5D75"/>
    <w:rsid w:val="001F0F84"/>
    <w:rsid w:val="001F1140"/>
    <w:rsid w:val="001F2718"/>
    <w:rsid w:val="001F6803"/>
    <w:rsid w:val="001F6F08"/>
    <w:rsid w:val="00200057"/>
    <w:rsid w:val="00203984"/>
    <w:rsid w:val="00204B44"/>
    <w:rsid w:val="00205CFE"/>
    <w:rsid w:val="00211730"/>
    <w:rsid w:val="00211B4A"/>
    <w:rsid w:val="00212F02"/>
    <w:rsid w:val="00213EE6"/>
    <w:rsid w:val="00214C11"/>
    <w:rsid w:val="002167B6"/>
    <w:rsid w:val="00224789"/>
    <w:rsid w:val="002250FB"/>
    <w:rsid w:val="00232AA5"/>
    <w:rsid w:val="00234255"/>
    <w:rsid w:val="00237F53"/>
    <w:rsid w:val="0024030E"/>
    <w:rsid w:val="00244F54"/>
    <w:rsid w:val="00245F1F"/>
    <w:rsid w:val="00250484"/>
    <w:rsid w:val="002530B4"/>
    <w:rsid w:val="002541AD"/>
    <w:rsid w:val="0025537A"/>
    <w:rsid w:val="002569F9"/>
    <w:rsid w:val="00261945"/>
    <w:rsid w:val="00261A2B"/>
    <w:rsid w:val="0026494B"/>
    <w:rsid w:val="00267560"/>
    <w:rsid w:val="00271A25"/>
    <w:rsid w:val="0027252D"/>
    <w:rsid w:val="00275B90"/>
    <w:rsid w:val="00276713"/>
    <w:rsid w:val="00276B4E"/>
    <w:rsid w:val="002779DD"/>
    <w:rsid w:val="00280D63"/>
    <w:rsid w:val="002814DC"/>
    <w:rsid w:val="00287764"/>
    <w:rsid w:val="00287F94"/>
    <w:rsid w:val="0029254C"/>
    <w:rsid w:val="00294B42"/>
    <w:rsid w:val="00296318"/>
    <w:rsid w:val="002A0051"/>
    <w:rsid w:val="002A0110"/>
    <w:rsid w:val="002A07DC"/>
    <w:rsid w:val="002A0A39"/>
    <w:rsid w:val="002A11C9"/>
    <w:rsid w:val="002A46C1"/>
    <w:rsid w:val="002A4A4C"/>
    <w:rsid w:val="002A5EB8"/>
    <w:rsid w:val="002A6298"/>
    <w:rsid w:val="002B09CA"/>
    <w:rsid w:val="002C082C"/>
    <w:rsid w:val="002C7D29"/>
    <w:rsid w:val="002D01EB"/>
    <w:rsid w:val="002D48A1"/>
    <w:rsid w:val="002E0255"/>
    <w:rsid w:val="002E0396"/>
    <w:rsid w:val="002E2E9E"/>
    <w:rsid w:val="002F07BC"/>
    <w:rsid w:val="002F0DCC"/>
    <w:rsid w:val="002F5266"/>
    <w:rsid w:val="002F721F"/>
    <w:rsid w:val="003015B1"/>
    <w:rsid w:val="00303D44"/>
    <w:rsid w:val="00305B76"/>
    <w:rsid w:val="00307621"/>
    <w:rsid w:val="003124EF"/>
    <w:rsid w:val="00314CFE"/>
    <w:rsid w:val="0031692D"/>
    <w:rsid w:val="00321FC8"/>
    <w:rsid w:val="00322F05"/>
    <w:rsid w:val="00324EF7"/>
    <w:rsid w:val="00330A12"/>
    <w:rsid w:val="003318E2"/>
    <w:rsid w:val="003400BC"/>
    <w:rsid w:val="00350C0A"/>
    <w:rsid w:val="0035185D"/>
    <w:rsid w:val="003536C9"/>
    <w:rsid w:val="00355302"/>
    <w:rsid w:val="00355365"/>
    <w:rsid w:val="00357019"/>
    <w:rsid w:val="003603B3"/>
    <w:rsid w:val="00360865"/>
    <w:rsid w:val="00363518"/>
    <w:rsid w:val="0036525F"/>
    <w:rsid w:val="00365896"/>
    <w:rsid w:val="00365A28"/>
    <w:rsid w:val="0037090E"/>
    <w:rsid w:val="0037410E"/>
    <w:rsid w:val="0037460B"/>
    <w:rsid w:val="00374990"/>
    <w:rsid w:val="0037680A"/>
    <w:rsid w:val="00384197"/>
    <w:rsid w:val="003918DC"/>
    <w:rsid w:val="00393B20"/>
    <w:rsid w:val="00393FF8"/>
    <w:rsid w:val="00395AF9"/>
    <w:rsid w:val="00396AEE"/>
    <w:rsid w:val="00397990"/>
    <w:rsid w:val="003A1CF0"/>
    <w:rsid w:val="003A5692"/>
    <w:rsid w:val="003A79BE"/>
    <w:rsid w:val="003B0D39"/>
    <w:rsid w:val="003B1479"/>
    <w:rsid w:val="003B43D0"/>
    <w:rsid w:val="003C0B50"/>
    <w:rsid w:val="003C62EB"/>
    <w:rsid w:val="003C757C"/>
    <w:rsid w:val="003D1EB0"/>
    <w:rsid w:val="003D25B8"/>
    <w:rsid w:val="003D2757"/>
    <w:rsid w:val="003D2DE0"/>
    <w:rsid w:val="003D3CF7"/>
    <w:rsid w:val="003D702F"/>
    <w:rsid w:val="003F18B2"/>
    <w:rsid w:val="003F211C"/>
    <w:rsid w:val="003F6D5E"/>
    <w:rsid w:val="003F7B30"/>
    <w:rsid w:val="00401341"/>
    <w:rsid w:val="004049A4"/>
    <w:rsid w:val="0040659A"/>
    <w:rsid w:val="00407E88"/>
    <w:rsid w:val="00411571"/>
    <w:rsid w:val="00411AD3"/>
    <w:rsid w:val="0041277F"/>
    <w:rsid w:val="00413467"/>
    <w:rsid w:val="004159EC"/>
    <w:rsid w:val="004224F6"/>
    <w:rsid w:val="00423C65"/>
    <w:rsid w:val="004247DF"/>
    <w:rsid w:val="004253E7"/>
    <w:rsid w:val="00425962"/>
    <w:rsid w:val="00427149"/>
    <w:rsid w:val="00431A7C"/>
    <w:rsid w:val="00431C7E"/>
    <w:rsid w:val="0043386A"/>
    <w:rsid w:val="00436440"/>
    <w:rsid w:val="00442EA6"/>
    <w:rsid w:val="004455FD"/>
    <w:rsid w:val="00446BCB"/>
    <w:rsid w:val="00447357"/>
    <w:rsid w:val="00452ADF"/>
    <w:rsid w:val="0045309C"/>
    <w:rsid w:val="00454B41"/>
    <w:rsid w:val="004600F9"/>
    <w:rsid w:val="00462640"/>
    <w:rsid w:val="00464967"/>
    <w:rsid w:val="0047475E"/>
    <w:rsid w:val="00474D09"/>
    <w:rsid w:val="0047521E"/>
    <w:rsid w:val="004752E8"/>
    <w:rsid w:val="00483767"/>
    <w:rsid w:val="00483B7C"/>
    <w:rsid w:val="00490458"/>
    <w:rsid w:val="00493631"/>
    <w:rsid w:val="00495C7A"/>
    <w:rsid w:val="0049612C"/>
    <w:rsid w:val="00496BD7"/>
    <w:rsid w:val="004A6594"/>
    <w:rsid w:val="004A7287"/>
    <w:rsid w:val="004A7B99"/>
    <w:rsid w:val="004B4A05"/>
    <w:rsid w:val="004B78B8"/>
    <w:rsid w:val="004C329C"/>
    <w:rsid w:val="004D538D"/>
    <w:rsid w:val="004D62F6"/>
    <w:rsid w:val="004D702A"/>
    <w:rsid w:val="004E0B1C"/>
    <w:rsid w:val="004E3FBC"/>
    <w:rsid w:val="004E6A95"/>
    <w:rsid w:val="004E6CEC"/>
    <w:rsid w:val="004F166D"/>
    <w:rsid w:val="004F1FE5"/>
    <w:rsid w:val="004F3379"/>
    <w:rsid w:val="004F4437"/>
    <w:rsid w:val="004F75B1"/>
    <w:rsid w:val="005002D9"/>
    <w:rsid w:val="00500E0E"/>
    <w:rsid w:val="00502031"/>
    <w:rsid w:val="005069E9"/>
    <w:rsid w:val="00511B50"/>
    <w:rsid w:val="00514E30"/>
    <w:rsid w:val="00515397"/>
    <w:rsid w:val="005176C2"/>
    <w:rsid w:val="00517746"/>
    <w:rsid w:val="00517E37"/>
    <w:rsid w:val="00520410"/>
    <w:rsid w:val="005237E4"/>
    <w:rsid w:val="00524262"/>
    <w:rsid w:val="005243A2"/>
    <w:rsid w:val="0052477F"/>
    <w:rsid w:val="0052562D"/>
    <w:rsid w:val="00537DBC"/>
    <w:rsid w:val="00541094"/>
    <w:rsid w:val="005444CD"/>
    <w:rsid w:val="0054585E"/>
    <w:rsid w:val="00550CAB"/>
    <w:rsid w:val="005522E6"/>
    <w:rsid w:val="005536AA"/>
    <w:rsid w:val="00556474"/>
    <w:rsid w:val="00556F56"/>
    <w:rsid w:val="00562D09"/>
    <w:rsid w:val="00567BC1"/>
    <w:rsid w:val="00570ADB"/>
    <w:rsid w:val="00570E36"/>
    <w:rsid w:val="0057636D"/>
    <w:rsid w:val="00576AD1"/>
    <w:rsid w:val="00576FD4"/>
    <w:rsid w:val="00577262"/>
    <w:rsid w:val="00583F01"/>
    <w:rsid w:val="00585C39"/>
    <w:rsid w:val="0058772F"/>
    <w:rsid w:val="00590DEE"/>
    <w:rsid w:val="00591150"/>
    <w:rsid w:val="005931BF"/>
    <w:rsid w:val="00594F93"/>
    <w:rsid w:val="00595890"/>
    <w:rsid w:val="005962CB"/>
    <w:rsid w:val="005B0C8D"/>
    <w:rsid w:val="005B3346"/>
    <w:rsid w:val="005B6533"/>
    <w:rsid w:val="005D128B"/>
    <w:rsid w:val="005D40A9"/>
    <w:rsid w:val="005D503D"/>
    <w:rsid w:val="005D6AC7"/>
    <w:rsid w:val="005D6B97"/>
    <w:rsid w:val="005E19D9"/>
    <w:rsid w:val="005E260D"/>
    <w:rsid w:val="005E522F"/>
    <w:rsid w:val="005E5AA8"/>
    <w:rsid w:val="005E6493"/>
    <w:rsid w:val="005E7060"/>
    <w:rsid w:val="005F01F5"/>
    <w:rsid w:val="005F3696"/>
    <w:rsid w:val="005F36C7"/>
    <w:rsid w:val="005F4671"/>
    <w:rsid w:val="005F763A"/>
    <w:rsid w:val="00601DE7"/>
    <w:rsid w:val="0060419A"/>
    <w:rsid w:val="00605899"/>
    <w:rsid w:val="00605D6C"/>
    <w:rsid w:val="00611207"/>
    <w:rsid w:val="00611D23"/>
    <w:rsid w:val="0061321A"/>
    <w:rsid w:val="00615A4B"/>
    <w:rsid w:val="0061629B"/>
    <w:rsid w:val="00616668"/>
    <w:rsid w:val="00617A9A"/>
    <w:rsid w:val="0062331C"/>
    <w:rsid w:val="00623EA0"/>
    <w:rsid w:val="00624F97"/>
    <w:rsid w:val="00630932"/>
    <w:rsid w:val="00630E87"/>
    <w:rsid w:val="00631D7D"/>
    <w:rsid w:val="00634103"/>
    <w:rsid w:val="0064094D"/>
    <w:rsid w:val="00642765"/>
    <w:rsid w:val="00646891"/>
    <w:rsid w:val="00647417"/>
    <w:rsid w:val="00653891"/>
    <w:rsid w:val="00660A11"/>
    <w:rsid w:val="00660F25"/>
    <w:rsid w:val="00661670"/>
    <w:rsid w:val="00662235"/>
    <w:rsid w:val="00670489"/>
    <w:rsid w:val="00672F3B"/>
    <w:rsid w:val="00675251"/>
    <w:rsid w:val="00676937"/>
    <w:rsid w:val="00677A89"/>
    <w:rsid w:val="006810D3"/>
    <w:rsid w:val="0069186A"/>
    <w:rsid w:val="006945C5"/>
    <w:rsid w:val="006A35E7"/>
    <w:rsid w:val="006A3C18"/>
    <w:rsid w:val="006B1174"/>
    <w:rsid w:val="006B15B5"/>
    <w:rsid w:val="006B26C9"/>
    <w:rsid w:val="006B3270"/>
    <w:rsid w:val="006B3A6F"/>
    <w:rsid w:val="006C1BCF"/>
    <w:rsid w:val="006C3CAE"/>
    <w:rsid w:val="006C6490"/>
    <w:rsid w:val="006C7F43"/>
    <w:rsid w:val="006D0DAB"/>
    <w:rsid w:val="006D19DC"/>
    <w:rsid w:val="006D1F78"/>
    <w:rsid w:val="006D2086"/>
    <w:rsid w:val="006D5BA0"/>
    <w:rsid w:val="006E01A4"/>
    <w:rsid w:val="006E04AA"/>
    <w:rsid w:val="006E1443"/>
    <w:rsid w:val="006E27DE"/>
    <w:rsid w:val="006E53ED"/>
    <w:rsid w:val="006E70CF"/>
    <w:rsid w:val="006F3FBD"/>
    <w:rsid w:val="006F73CB"/>
    <w:rsid w:val="00701052"/>
    <w:rsid w:val="0070213B"/>
    <w:rsid w:val="00702E7C"/>
    <w:rsid w:val="00704254"/>
    <w:rsid w:val="007048C7"/>
    <w:rsid w:val="007077E4"/>
    <w:rsid w:val="00711A3F"/>
    <w:rsid w:val="0071352C"/>
    <w:rsid w:val="00713AED"/>
    <w:rsid w:val="0071423C"/>
    <w:rsid w:val="00715C7A"/>
    <w:rsid w:val="00720440"/>
    <w:rsid w:val="0072595F"/>
    <w:rsid w:val="00725A03"/>
    <w:rsid w:val="007317C0"/>
    <w:rsid w:val="0073189C"/>
    <w:rsid w:val="00735107"/>
    <w:rsid w:val="00735114"/>
    <w:rsid w:val="007359B7"/>
    <w:rsid w:val="0073647F"/>
    <w:rsid w:val="0074335F"/>
    <w:rsid w:val="00743BB2"/>
    <w:rsid w:val="00746A7D"/>
    <w:rsid w:val="00746B6A"/>
    <w:rsid w:val="00754149"/>
    <w:rsid w:val="0075501D"/>
    <w:rsid w:val="00755937"/>
    <w:rsid w:val="0075604C"/>
    <w:rsid w:val="00761309"/>
    <w:rsid w:val="0076172A"/>
    <w:rsid w:val="00764543"/>
    <w:rsid w:val="00765AFE"/>
    <w:rsid w:val="00765EB2"/>
    <w:rsid w:val="00770BE2"/>
    <w:rsid w:val="0077176D"/>
    <w:rsid w:val="00771AD0"/>
    <w:rsid w:val="00772907"/>
    <w:rsid w:val="007736C0"/>
    <w:rsid w:val="007803D3"/>
    <w:rsid w:val="007820FB"/>
    <w:rsid w:val="0078621E"/>
    <w:rsid w:val="007868DD"/>
    <w:rsid w:val="00791613"/>
    <w:rsid w:val="00792046"/>
    <w:rsid w:val="00793998"/>
    <w:rsid w:val="00793CB5"/>
    <w:rsid w:val="00794AA8"/>
    <w:rsid w:val="007952A1"/>
    <w:rsid w:val="00795332"/>
    <w:rsid w:val="00797AD2"/>
    <w:rsid w:val="007A6078"/>
    <w:rsid w:val="007A6333"/>
    <w:rsid w:val="007B05BF"/>
    <w:rsid w:val="007B0ABD"/>
    <w:rsid w:val="007B73DF"/>
    <w:rsid w:val="007B7992"/>
    <w:rsid w:val="007C0DBB"/>
    <w:rsid w:val="007C1845"/>
    <w:rsid w:val="007D2520"/>
    <w:rsid w:val="007D59F1"/>
    <w:rsid w:val="007D5D16"/>
    <w:rsid w:val="007E0F01"/>
    <w:rsid w:val="007F04B1"/>
    <w:rsid w:val="007F1053"/>
    <w:rsid w:val="007F30D2"/>
    <w:rsid w:val="007F64EC"/>
    <w:rsid w:val="00800476"/>
    <w:rsid w:val="008008DE"/>
    <w:rsid w:val="00805C04"/>
    <w:rsid w:val="00810F5F"/>
    <w:rsid w:val="00816D7B"/>
    <w:rsid w:val="008305EA"/>
    <w:rsid w:val="00832006"/>
    <w:rsid w:val="00832B6D"/>
    <w:rsid w:val="008370E9"/>
    <w:rsid w:val="008376EF"/>
    <w:rsid w:val="00841F65"/>
    <w:rsid w:val="00842507"/>
    <w:rsid w:val="00845AC6"/>
    <w:rsid w:val="00851F25"/>
    <w:rsid w:val="00855393"/>
    <w:rsid w:val="008617DD"/>
    <w:rsid w:val="00862443"/>
    <w:rsid w:val="00863A26"/>
    <w:rsid w:val="00864434"/>
    <w:rsid w:val="00865835"/>
    <w:rsid w:val="00867A58"/>
    <w:rsid w:val="00875E15"/>
    <w:rsid w:val="00876AAA"/>
    <w:rsid w:val="00881070"/>
    <w:rsid w:val="00887E33"/>
    <w:rsid w:val="0089095D"/>
    <w:rsid w:val="00891625"/>
    <w:rsid w:val="00893502"/>
    <w:rsid w:val="00895F4D"/>
    <w:rsid w:val="008965D2"/>
    <w:rsid w:val="00896D20"/>
    <w:rsid w:val="008A1DA6"/>
    <w:rsid w:val="008A344E"/>
    <w:rsid w:val="008A5971"/>
    <w:rsid w:val="008A5F64"/>
    <w:rsid w:val="008A635E"/>
    <w:rsid w:val="008A6E82"/>
    <w:rsid w:val="008B4A99"/>
    <w:rsid w:val="008B6607"/>
    <w:rsid w:val="008B6AA6"/>
    <w:rsid w:val="008B7D1B"/>
    <w:rsid w:val="008C491F"/>
    <w:rsid w:val="008C72B8"/>
    <w:rsid w:val="008D06BC"/>
    <w:rsid w:val="008D525B"/>
    <w:rsid w:val="008D5AEC"/>
    <w:rsid w:val="008E03D3"/>
    <w:rsid w:val="008E05CB"/>
    <w:rsid w:val="008E2DA0"/>
    <w:rsid w:val="008E3F84"/>
    <w:rsid w:val="008E4A5D"/>
    <w:rsid w:val="008E6D6B"/>
    <w:rsid w:val="008E7988"/>
    <w:rsid w:val="008F38B3"/>
    <w:rsid w:val="008F68FA"/>
    <w:rsid w:val="008F6B10"/>
    <w:rsid w:val="00903EF7"/>
    <w:rsid w:val="0090631D"/>
    <w:rsid w:val="00906C27"/>
    <w:rsid w:val="00907D51"/>
    <w:rsid w:val="00910848"/>
    <w:rsid w:val="009138D4"/>
    <w:rsid w:val="00913E52"/>
    <w:rsid w:val="00915AA2"/>
    <w:rsid w:val="009161B9"/>
    <w:rsid w:val="009171D2"/>
    <w:rsid w:val="00917D7F"/>
    <w:rsid w:val="00920E29"/>
    <w:rsid w:val="00922131"/>
    <w:rsid w:val="00925809"/>
    <w:rsid w:val="009272EB"/>
    <w:rsid w:val="009308E5"/>
    <w:rsid w:val="0093273B"/>
    <w:rsid w:val="00934F02"/>
    <w:rsid w:val="00935359"/>
    <w:rsid w:val="009402BE"/>
    <w:rsid w:val="009427B2"/>
    <w:rsid w:val="00942CFB"/>
    <w:rsid w:val="00943B1F"/>
    <w:rsid w:val="00945A65"/>
    <w:rsid w:val="00946ACD"/>
    <w:rsid w:val="00946E3E"/>
    <w:rsid w:val="00947949"/>
    <w:rsid w:val="00947D87"/>
    <w:rsid w:val="0095034F"/>
    <w:rsid w:val="00953A15"/>
    <w:rsid w:val="00954778"/>
    <w:rsid w:val="009547E1"/>
    <w:rsid w:val="00955546"/>
    <w:rsid w:val="009555FF"/>
    <w:rsid w:val="00956842"/>
    <w:rsid w:val="0095748C"/>
    <w:rsid w:val="009629C1"/>
    <w:rsid w:val="00963D6C"/>
    <w:rsid w:val="00964ECC"/>
    <w:rsid w:val="00971750"/>
    <w:rsid w:val="0097688E"/>
    <w:rsid w:val="009828D4"/>
    <w:rsid w:val="00983E83"/>
    <w:rsid w:val="009869E9"/>
    <w:rsid w:val="0099219B"/>
    <w:rsid w:val="00997754"/>
    <w:rsid w:val="009A7836"/>
    <w:rsid w:val="009B015E"/>
    <w:rsid w:val="009B0C50"/>
    <w:rsid w:val="009B1F8F"/>
    <w:rsid w:val="009B3A6C"/>
    <w:rsid w:val="009B45DB"/>
    <w:rsid w:val="009B48F9"/>
    <w:rsid w:val="009B532B"/>
    <w:rsid w:val="009B6EBD"/>
    <w:rsid w:val="009B7CE3"/>
    <w:rsid w:val="009C00C7"/>
    <w:rsid w:val="009C3F40"/>
    <w:rsid w:val="009C4E6D"/>
    <w:rsid w:val="009C68E7"/>
    <w:rsid w:val="009E44CB"/>
    <w:rsid w:val="009F049D"/>
    <w:rsid w:val="009F4CFD"/>
    <w:rsid w:val="00A01B67"/>
    <w:rsid w:val="00A03C34"/>
    <w:rsid w:val="00A04935"/>
    <w:rsid w:val="00A0733D"/>
    <w:rsid w:val="00A07BCA"/>
    <w:rsid w:val="00A07E54"/>
    <w:rsid w:val="00A250F0"/>
    <w:rsid w:val="00A3016C"/>
    <w:rsid w:val="00A302BB"/>
    <w:rsid w:val="00A353E3"/>
    <w:rsid w:val="00A3583C"/>
    <w:rsid w:val="00A3774A"/>
    <w:rsid w:val="00A42A7A"/>
    <w:rsid w:val="00A453F3"/>
    <w:rsid w:val="00A45556"/>
    <w:rsid w:val="00A5098A"/>
    <w:rsid w:val="00A51646"/>
    <w:rsid w:val="00A51F81"/>
    <w:rsid w:val="00A526C6"/>
    <w:rsid w:val="00A53C01"/>
    <w:rsid w:val="00A54B34"/>
    <w:rsid w:val="00A54CD4"/>
    <w:rsid w:val="00A6769F"/>
    <w:rsid w:val="00A67A11"/>
    <w:rsid w:val="00A71758"/>
    <w:rsid w:val="00A72BFD"/>
    <w:rsid w:val="00A733BE"/>
    <w:rsid w:val="00A738B0"/>
    <w:rsid w:val="00A805DF"/>
    <w:rsid w:val="00A80C50"/>
    <w:rsid w:val="00A829C9"/>
    <w:rsid w:val="00A83350"/>
    <w:rsid w:val="00A84CDD"/>
    <w:rsid w:val="00A86DF3"/>
    <w:rsid w:val="00A86E4F"/>
    <w:rsid w:val="00A901C4"/>
    <w:rsid w:val="00A93555"/>
    <w:rsid w:val="00A939AA"/>
    <w:rsid w:val="00A9610B"/>
    <w:rsid w:val="00AA4166"/>
    <w:rsid w:val="00AB02A6"/>
    <w:rsid w:val="00AB1CA5"/>
    <w:rsid w:val="00AB2C65"/>
    <w:rsid w:val="00AB3FAD"/>
    <w:rsid w:val="00AB5C21"/>
    <w:rsid w:val="00AC2F5C"/>
    <w:rsid w:val="00AC3B6C"/>
    <w:rsid w:val="00AC52AD"/>
    <w:rsid w:val="00AC7C12"/>
    <w:rsid w:val="00AD2D44"/>
    <w:rsid w:val="00AD4F02"/>
    <w:rsid w:val="00AD561F"/>
    <w:rsid w:val="00AE3544"/>
    <w:rsid w:val="00AF27E6"/>
    <w:rsid w:val="00AF6784"/>
    <w:rsid w:val="00AF733F"/>
    <w:rsid w:val="00B006ED"/>
    <w:rsid w:val="00B01999"/>
    <w:rsid w:val="00B0324F"/>
    <w:rsid w:val="00B11F42"/>
    <w:rsid w:val="00B21158"/>
    <w:rsid w:val="00B25DD0"/>
    <w:rsid w:val="00B30D73"/>
    <w:rsid w:val="00B317E2"/>
    <w:rsid w:val="00B32AC6"/>
    <w:rsid w:val="00B34A41"/>
    <w:rsid w:val="00B3604A"/>
    <w:rsid w:val="00B361D7"/>
    <w:rsid w:val="00B42533"/>
    <w:rsid w:val="00B50E13"/>
    <w:rsid w:val="00B52048"/>
    <w:rsid w:val="00B5508E"/>
    <w:rsid w:val="00B570EE"/>
    <w:rsid w:val="00B573B8"/>
    <w:rsid w:val="00B62AF2"/>
    <w:rsid w:val="00B62D8E"/>
    <w:rsid w:val="00B63172"/>
    <w:rsid w:val="00B64CA7"/>
    <w:rsid w:val="00B67A44"/>
    <w:rsid w:val="00B67F70"/>
    <w:rsid w:val="00B73D98"/>
    <w:rsid w:val="00B74176"/>
    <w:rsid w:val="00B75CD6"/>
    <w:rsid w:val="00B76C77"/>
    <w:rsid w:val="00B822F0"/>
    <w:rsid w:val="00B832E9"/>
    <w:rsid w:val="00B8634B"/>
    <w:rsid w:val="00B962D9"/>
    <w:rsid w:val="00B97C6C"/>
    <w:rsid w:val="00B97F47"/>
    <w:rsid w:val="00BB0F0D"/>
    <w:rsid w:val="00BB680D"/>
    <w:rsid w:val="00BB74C3"/>
    <w:rsid w:val="00BC0EA9"/>
    <w:rsid w:val="00BC6131"/>
    <w:rsid w:val="00BC7470"/>
    <w:rsid w:val="00BC7E38"/>
    <w:rsid w:val="00BD253B"/>
    <w:rsid w:val="00BD2F66"/>
    <w:rsid w:val="00BD7655"/>
    <w:rsid w:val="00BE26FA"/>
    <w:rsid w:val="00BE4640"/>
    <w:rsid w:val="00BE5010"/>
    <w:rsid w:val="00BE5037"/>
    <w:rsid w:val="00BE6002"/>
    <w:rsid w:val="00BE7022"/>
    <w:rsid w:val="00BF06C2"/>
    <w:rsid w:val="00BF0F84"/>
    <w:rsid w:val="00BF1D2C"/>
    <w:rsid w:val="00BF39FE"/>
    <w:rsid w:val="00BF6737"/>
    <w:rsid w:val="00C01766"/>
    <w:rsid w:val="00C0423E"/>
    <w:rsid w:val="00C07AA4"/>
    <w:rsid w:val="00C1270C"/>
    <w:rsid w:val="00C17D71"/>
    <w:rsid w:val="00C21A29"/>
    <w:rsid w:val="00C23317"/>
    <w:rsid w:val="00C24BD1"/>
    <w:rsid w:val="00C32844"/>
    <w:rsid w:val="00C3306F"/>
    <w:rsid w:val="00C3360E"/>
    <w:rsid w:val="00C377AE"/>
    <w:rsid w:val="00C406C6"/>
    <w:rsid w:val="00C41892"/>
    <w:rsid w:val="00C43530"/>
    <w:rsid w:val="00C523DA"/>
    <w:rsid w:val="00C60291"/>
    <w:rsid w:val="00C603C0"/>
    <w:rsid w:val="00C6170E"/>
    <w:rsid w:val="00C62344"/>
    <w:rsid w:val="00C639D2"/>
    <w:rsid w:val="00C65363"/>
    <w:rsid w:val="00C67A8E"/>
    <w:rsid w:val="00C70230"/>
    <w:rsid w:val="00C732E9"/>
    <w:rsid w:val="00C74BED"/>
    <w:rsid w:val="00C76517"/>
    <w:rsid w:val="00C804FF"/>
    <w:rsid w:val="00C83248"/>
    <w:rsid w:val="00C8536C"/>
    <w:rsid w:val="00C877C6"/>
    <w:rsid w:val="00C90575"/>
    <w:rsid w:val="00C94AF3"/>
    <w:rsid w:val="00CA3494"/>
    <w:rsid w:val="00CA7610"/>
    <w:rsid w:val="00CB0C58"/>
    <w:rsid w:val="00CB0CD6"/>
    <w:rsid w:val="00CB0F89"/>
    <w:rsid w:val="00CB6A9F"/>
    <w:rsid w:val="00CC18EF"/>
    <w:rsid w:val="00CC2BDE"/>
    <w:rsid w:val="00CC3525"/>
    <w:rsid w:val="00CC558E"/>
    <w:rsid w:val="00CC7978"/>
    <w:rsid w:val="00CC7AE0"/>
    <w:rsid w:val="00CD49B4"/>
    <w:rsid w:val="00CD4B0C"/>
    <w:rsid w:val="00CE0ECD"/>
    <w:rsid w:val="00CE343B"/>
    <w:rsid w:val="00CE43AC"/>
    <w:rsid w:val="00CE44BD"/>
    <w:rsid w:val="00CE5E0D"/>
    <w:rsid w:val="00CE5E0F"/>
    <w:rsid w:val="00CF0388"/>
    <w:rsid w:val="00CF57B3"/>
    <w:rsid w:val="00CF5B8C"/>
    <w:rsid w:val="00CF66B9"/>
    <w:rsid w:val="00CF6B68"/>
    <w:rsid w:val="00D00F2E"/>
    <w:rsid w:val="00D03B93"/>
    <w:rsid w:val="00D0447B"/>
    <w:rsid w:val="00D118C0"/>
    <w:rsid w:val="00D128DE"/>
    <w:rsid w:val="00D12F77"/>
    <w:rsid w:val="00D130C2"/>
    <w:rsid w:val="00D13D92"/>
    <w:rsid w:val="00D1495C"/>
    <w:rsid w:val="00D2065A"/>
    <w:rsid w:val="00D2178B"/>
    <w:rsid w:val="00D23E03"/>
    <w:rsid w:val="00D25050"/>
    <w:rsid w:val="00D25622"/>
    <w:rsid w:val="00D26104"/>
    <w:rsid w:val="00D30029"/>
    <w:rsid w:val="00D326F7"/>
    <w:rsid w:val="00D37A90"/>
    <w:rsid w:val="00D40BB2"/>
    <w:rsid w:val="00D45BF2"/>
    <w:rsid w:val="00D4769C"/>
    <w:rsid w:val="00D47701"/>
    <w:rsid w:val="00D508C6"/>
    <w:rsid w:val="00D5172D"/>
    <w:rsid w:val="00D51AFE"/>
    <w:rsid w:val="00D536A5"/>
    <w:rsid w:val="00D5546F"/>
    <w:rsid w:val="00D57E68"/>
    <w:rsid w:val="00D60642"/>
    <w:rsid w:val="00D63CCF"/>
    <w:rsid w:val="00D663C9"/>
    <w:rsid w:val="00D67ECC"/>
    <w:rsid w:val="00D7455E"/>
    <w:rsid w:val="00D745B3"/>
    <w:rsid w:val="00D7481A"/>
    <w:rsid w:val="00D75285"/>
    <w:rsid w:val="00D75DDF"/>
    <w:rsid w:val="00D80886"/>
    <w:rsid w:val="00D80E12"/>
    <w:rsid w:val="00D82E56"/>
    <w:rsid w:val="00D85ACF"/>
    <w:rsid w:val="00D93C67"/>
    <w:rsid w:val="00D94144"/>
    <w:rsid w:val="00D963B7"/>
    <w:rsid w:val="00DB528B"/>
    <w:rsid w:val="00DC174E"/>
    <w:rsid w:val="00DC3895"/>
    <w:rsid w:val="00DC6417"/>
    <w:rsid w:val="00DD158D"/>
    <w:rsid w:val="00DD2BB8"/>
    <w:rsid w:val="00DD30DA"/>
    <w:rsid w:val="00DE16FA"/>
    <w:rsid w:val="00DE3DE0"/>
    <w:rsid w:val="00DE4BF4"/>
    <w:rsid w:val="00DF1166"/>
    <w:rsid w:val="00DF3D64"/>
    <w:rsid w:val="00DF6BE1"/>
    <w:rsid w:val="00DF7DDD"/>
    <w:rsid w:val="00E00ECA"/>
    <w:rsid w:val="00E023DC"/>
    <w:rsid w:val="00E0647E"/>
    <w:rsid w:val="00E10A64"/>
    <w:rsid w:val="00E10C72"/>
    <w:rsid w:val="00E17C88"/>
    <w:rsid w:val="00E17E5E"/>
    <w:rsid w:val="00E21D14"/>
    <w:rsid w:val="00E2410A"/>
    <w:rsid w:val="00E277BC"/>
    <w:rsid w:val="00E32487"/>
    <w:rsid w:val="00E337ED"/>
    <w:rsid w:val="00E34F6F"/>
    <w:rsid w:val="00E360AE"/>
    <w:rsid w:val="00E36546"/>
    <w:rsid w:val="00E40175"/>
    <w:rsid w:val="00E41077"/>
    <w:rsid w:val="00E41BDA"/>
    <w:rsid w:val="00E42F6C"/>
    <w:rsid w:val="00E44DDA"/>
    <w:rsid w:val="00E4528D"/>
    <w:rsid w:val="00E46062"/>
    <w:rsid w:val="00E526FB"/>
    <w:rsid w:val="00E55D86"/>
    <w:rsid w:val="00E57744"/>
    <w:rsid w:val="00E64A69"/>
    <w:rsid w:val="00E650A8"/>
    <w:rsid w:val="00E66587"/>
    <w:rsid w:val="00E70829"/>
    <w:rsid w:val="00E7158B"/>
    <w:rsid w:val="00E73B0D"/>
    <w:rsid w:val="00E7642D"/>
    <w:rsid w:val="00E76A16"/>
    <w:rsid w:val="00E7730B"/>
    <w:rsid w:val="00E82A06"/>
    <w:rsid w:val="00E86166"/>
    <w:rsid w:val="00E873DA"/>
    <w:rsid w:val="00E912FC"/>
    <w:rsid w:val="00E92203"/>
    <w:rsid w:val="00E92B8B"/>
    <w:rsid w:val="00E942C0"/>
    <w:rsid w:val="00E960FC"/>
    <w:rsid w:val="00E97870"/>
    <w:rsid w:val="00EA24EE"/>
    <w:rsid w:val="00EA2E58"/>
    <w:rsid w:val="00EA3D8F"/>
    <w:rsid w:val="00EA5515"/>
    <w:rsid w:val="00EA5C96"/>
    <w:rsid w:val="00EA5F6C"/>
    <w:rsid w:val="00EA75A0"/>
    <w:rsid w:val="00EB2D44"/>
    <w:rsid w:val="00EB3B2A"/>
    <w:rsid w:val="00EB4B60"/>
    <w:rsid w:val="00EC1730"/>
    <w:rsid w:val="00EC6254"/>
    <w:rsid w:val="00ED26BC"/>
    <w:rsid w:val="00ED46E7"/>
    <w:rsid w:val="00ED4B78"/>
    <w:rsid w:val="00ED6B3D"/>
    <w:rsid w:val="00EE25BD"/>
    <w:rsid w:val="00EE3E09"/>
    <w:rsid w:val="00EE6178"/>
    <w:rsid w:val="00EE6387"/>
    <w:rsid w:val="00EE6851"/>
    <w:rsid w:val="00EF5F7E"/>
    <w:rsid w:val="00F000CC"/>
    <w:rsid w:val="00F00445"/>
    <w:rsid w:val="00F0121D"/>
    <w:rsid w:val="00F04B89"/>
    <w:rsid w:val="00F04C00"/>
    <w:rsid w:val="00F11059"/>
    <w:rsid w:val="00F11161"/>
    <w:rsid w:val="00F1180C"/>
    <w:rsid w:val="00F13615"/>
    <w:rsid w:val="00F14339"/>
    <w:rsid w:val="00F14E79"/>
    <w:rsid w:val="00F17AAE"/>
    <w:rsid w:val="00F24078"/>
    <w:rsid w:val="00F25133"/>
    <w:rsid w:val="00F25B66"/>
    <w:rsid w:val="00F33541"/>
    <w:rsid w:val="00F34EAD"/>
    <w:rsid w:val="00F37FAE"/>
    <w:rsid w:val="00F410ED"/>
    <w:rsid w:val="00F4565B"/>
    <w:rsid w:val="00F45722"/>
    <w:rsid w:val="00F50FED"/>
    <w:rsid w:val="00F604F7"/>
    <w:rsid w:val="00F61E75"/>
    <w:rsid w:val="00F62A0F"/>
    <w:rsid w:val="00F672DD"/>
    <w:rsid w:val="00F70586"/>
    <w:rsid w:val="00F72444"/>
    <w:rsid w:val="00F81B89"/>
    <w:rsid w:val="00F826E1"/>
    <w:rsid w:val="00F8345A"/>
    <w:rsid w:val="00F83747"/>
    <w:rsid w:val="00F83F87"/>
    <w:rsid w:val="00F86405"/>
    <w:rsid w:val="00F90590"/>
    <w:rsid w:val="00F91BC7"/>
    <w:rsid w:val="00F94927"/>
    <w:rsid w:val="00F955D5"/>
    <w:rsid w:val="00F966B1"/>
    <w:rsid w:val="00F96C08"/>
    <w:rsid w:val="00FA0587"/>
    <w:rsid w:val="00FA2B07"/>
    <w:rsid w:val="00FA2B3E"/>
    <w:rsid w:val="00FA2DE7"/>
    <w:rsid w:val="00FA60D9"/>
    <w:rsid w:val="00FB04B1"/>
    <w:rsid w:val="00FB0A9E"/>
    <w:rsid w:val="00FB0E28"/>
    <w:rsid w:val="00FB130A"/>
    <w:rsid w:val="00FB1F93"/>
    <w:rsid w:val="00FC17F4"/>
    <w:rsid w:val="00FC4007"/>
    <w:rsid w:val="00FD0450"/>
    <w:rsid w:val="00FD13C7"/>
    <w:rsid w:val="00FD4A66"/>
    <w:rsid w:val="00FE00D2"/>
    <w:rsid w:val="00FF0623"/>
    <w:rsid w:val="00FF268F"/>
    <w:rsid w:val="00FF4845"/>
    <w:rsid w:val="00FF5D12"/>
    <w:rsid w:val="00FF62B1"/>
    <w:rsid w:val="00FF6568"/>
    <w:rsid w:val="00FF6643"/>
    <w:rsid w:val="00FF79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805B1E"/>
  <w15:chartTrackingRefBased/>
  <w15:docId w15:val="{F76AFE76-E99D-490A-9E64-0BBD69CB2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69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69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69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69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69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69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69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69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69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69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69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69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69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69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69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69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69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69E9"/>
    <w:rPr>
      <w:rFonts w:eastAsiaTheme="majorEastAsia" w:cstheme="majorBidi"/>
      <w:color w:val="272727" w:themeColor="text1" w:themeTint="D8"/>
    </w:rPr>
  </w:style>
  <w:style w:type="paragraph" w:styleId="Title">
    <w:name w:val="Title"/>
    <w:basedOn w:val="Normal"/>
    <w:next w:val="Normal"/>
    <w:link w:val="TitleChar"/>
    <w:uiPriority w:val="10"/>
    <w:qFormat/>
    <w:rsid w:val="009869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69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69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69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69E9"/>
    <w:pPr>
      <w:spacing w:before="160"/>
      <w:jc w:val="center"/>
    </w:pPr>
    <w:rPr>
      <w:i/>
      <w:iCs/>
      <w:color w:val="404040" w:themeColor="text1" w:themeTint="BF"/>
    </w:rPr>
  </w:style>
  <w:style w:type="character" w:customStyle="1" w:styleId="QuoteChar">
    <w:name w:val="Quote Char"/>
    <w:basedOn w:val="DefaultParagraphFont"/>
    <w:link w:val="Quote"/>
    <w:uiPriority w:val="29"/>
    <w:rsid w:val="009869E9"/>
    <w:rPr>
      <w:i/>
      <w:iCs/>
      <w:color w:val="404040" w:themeColor="text1" w:themeTint="BF"/>
    </w:rPr>
  </w:style>
  <w:style w:type="paragraph" w:styleId="ListParagraph">
    <w:name w:val="List Paragraph"/>
    <w:basedOn w:val="Normal"/>
    <w:uiPriority w:val="34"/>
    <w:qFormat/>
    <w:rsid w:val="009869E9"/>
    <w:pPr>
      <w:ind w:left="720"/>
      <w:contextualSpacing/>
    </w:pPr>
  </w:style>
  <w:style w:type="character" w:styleId="IntenseEmphasis">
    <w:name w:val="Intense Emphasis"/>
    <w:basedOn w:val="DefaultParagraphFont"/>
    <w:uiPriority w:val="21"/>
    <w:qFormat/>
    <w:rsid w:val="009869E9"/>
    <w:rPr>
      <w:i/>
      <w:iCs/>
      <w:color w:val="0F4761" w:themeColor="accent1" w:themeShade="BF"/>
    </w:rPr>
  </w:style>
  <w:style w:type="paragraph" w:styleId="IntenseQuote">
    <w:name w:val="Intense Quote"/>
    <w:basedOn w:val="Normal"/>
    <w:next w:val="Normal"/>
    <w:link w:val="IntenseQuoteChar"/>
    <w:uiPriority w:val="30"/>
    <w:qFormat/>
    <w:rsid w:val="009869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69E9"/>
    <w:rPr>
      <w:i/>
      <w:iCs/>
      <w:color w:val="0F4761" w:themeColor="accent1" w:themeShade="BF"/>
    </w:rPr>
  </w:style>
  <w:style w:type="character" w:styleId="IntenseReference">
    <w:name w:val="Intense Reference"/>
    <w:basedOn w:val="DefaultParagraphFont"/>
    <w:uiPriority w:val="32"/>
    <w:qFormat/>
    <w:rsid w:val="009869E9"/>
    <w:rPr>
      <w:b/>
      <w:bCs/>
      <w:smallCaps/>
      <w:color w:val="0F4761" w:themeColor="accent1" w:themeShade="BF"/>
      <w:spacing w:val="5"/>
    </w:rPr>
  </w:style>
  <w:style w:type="character" w:styleId="Hyperlink">
    <w:name w:val="Hyperlink"/>
    <w:basedOn w:val="DefaultParagraphFont"/>
    <w:uiPriority w:val="99"/>
    <w:unhideWhenUsed/>
    <w:rsid w:val="00631D7D"/>
    <w:rPr>
      <w:color w:val="467886" w:themeColor="hyperlink"/>
      <w:u w:val="single"/>
    </w:rPr>
  </w:style>
  <w:style w:type="character" w:styleId="UnresolvedMention">
    <w:name w:val="Unresolved Mention"/>
    <w:basedOn w:val="DefaultParagraphFont"/>
    <w:uiPriority w:val="99"/>
    <w:semiHidden/>
    <w:unhideWhenUsed/>
    <w:rsid w:val="00631D7D"/>
    <w:rPr>
      <w:color w:val="605E5C"/>
      <w:shd w:val="clear" w:color="auto" w:fill="E1DFDD"/>
    </w:rPr>
  </w:style>
  <w:style w:type="paragraph" w:styleId="FootnoteText">
    <w:name w:val="footnote text"/>
    <w:basedOn w:val="Normal"/>
    <w:link w:val="FootnoteTextChar"/>
    <w:uiPriority w:val="99"/>
    <w:semiHidden/>
    <w:unhideWhenUsed/>
    <w:rsid w:val="00A0493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4935"/>
    <w:rPr>
      <w:sz w:val="20"/>
      <w:szCs w:val="20"/>
    </w:rPr>
  </w:style>
  <w:style w:type="character" w:styleId="FootnoteReference">
    <w:name w:val="footnote reference"/>
    <w:basedOn w:val="DefaultParagraphFont"/>
    <w:uiPriority w:val="99"/>
    <w:semiHidden/>
    <w:unhideWhenUsed/>
    <w:rsid w:val="00A04935"/>
    <w:rPr>
      <w:vertAlign w:val="superscript"/>
    </w:rPr>
  </w:style>
  <w:style w:type="paragraph" w:styleId="ListBullet">
    <w:name w:val="List Bullet"/>
    <w:basedOn w:val="Normal"/>
    <w:uiPriority w:val="99"/>
    <w:unhideWhenUsed/>
    <w:rsid w:val="00605899"/>
    <w:pPr>
      <w:numPr>
        <w:numId w:val="7"/>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636595">
      <w:bodyDiv w:val="1"/>
      <w:marLeft w:val="0"/>
      <w:marRight w:val="0"/>
      <w:marTop w:val="0"/>
      <w:marBottom w:val="0"/>
      <w:divBdr>
        <w:top w:val="none" w:sz="0" w:space="0" w:color="auto"/>
        <w:left w:val="none" w:sz="0" w:space="0" w:color="auto"/>
        <w:bottom w:val="none" w:sz="0" w:space="0" w:color="auto"/>
        <w:right w:val="none" w:sz="0" w:space="0" w:color="auto"/>
      </w:divBdr>
      <w:divsChild>
        <w:div w:id="2006282635">
          <w:marLeft w:val="0"/>
          <w:marRight w:val="0"/>
          <w:marTop w:val="0"/>
          <w:marBottom w:val="0"/>
          <w:divBdr>
            <w:top w:val="none" w:sz="0" w:space="0" w:color="auto"/>
            <w:left w:val="none" w:sz="0" w:space="0" w:color="auto"/>
            <w:bottom w:val="none" w:sz="0" w:space="0" w:color="auto"/>
            <w:right w:val="none" w:sz="0" w:space="0" w:color="auto"/>
          </w:divBdr>
          <w:divsChild>
            <w:div w:id="1138453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95489">
      <w:bodyDiv w:val="1"/>
      <w:marLeft w:val="0"/>
      <w:marRight w:val="0"/>
      <w:marTop w:val="0"/>
      <w:marBottom w:val="0"/>
      <w:divBdr>
        <w:top w:val="none" w:sz="0" w:space="0" w:color="auto"/>
        <w:left w:val="none" w:sz="0" w:space="0" w:color="auto"/>
        <w:bottom w:val="none" w:sz="0" w:space="0" w:color="auto"/>
        <w:right w:val="none" w:sz="0" w:space="0" w:color="auto"/>
      </w:divBdr>
    </w:div>
    <w:div w:id="419527781">
      <w:bodyDiv w:val="1"/>
      <w:marLeft w:val="0"/>
      <w:marRight w:val="0"/>
      <w:marTop w:val="0"/>
      <w:marBottom w:val="0"/>
      <w:divBdr>
        <w:top w:val="none" w:sz="0" w:space="0" w:color="auto"/>
        <w:left w:val="none" w:sz="0" w:space="0" w:color="auto"/>
        <w:bottom w:val="none" w:sz="0" w:space="0" w:color="auto"/>
        <w:right w:val="none" w:sz="0" w:space="0" w:color="auto"/>
      </w:divBdr>
    </w:div>
    <w:div w:id="619996730">
      <w:bodyDiv w:val="1"/>
      <w:marLeft w:val="0"/>
      <w:marRight w:val="0"/>
      <w:marTop w:val="0"/>
      <w:marBottom w:val="0"/>
      <w:divBdr>
        <w:top w:val="none" w:sz="0" w:space="0" w:color="auto"/>
        <w:left w:val="none" w:sz="0" w:space="0" w:color="auto"/>
        <w:bottom w:val="none" w:sz="0" w:space="0" w:color="auto"/>
        <w:right w:val="none" w:sz="0" w:space="0" w:color="auto"/>
      </w:divBdr>
    </w:div>
    <w:div w:id="1034766487">
      <w:bodyDiv w:val="1"/>
      <w:marLeft w:val="0"/>
      <w:marRight w:val="0"/>
      <w:marTop w:val="0"/>
      <w:marBottom w:val="0"/>
      <w:divBdr>
        <w:top w:val="none" w:sz="0" w:space="0" w:color="auto"/>
        <w:left w:val="none" w:sz="0" w:space="0" w:color="auto"/>
        <w:bottom w:val="none" w:sz="0" w:space="0" w:color="auto"/>
        <w:right w:val="none" w:sz="0" w:space="0" w:color="auto"/>
      </w:divBdr>
    </w:div>
    <w:div w:id="1497184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https:/doi.org/10.1016/B978-012373962-9.00264-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britannica.com/biography/Lewis-R-Binford" TargetMode="External"/><Relationship Id="rId2" Type="http://schemas.openxmlformats.org/officeDocument/2006/relationships/hyperlink" Target="https://doi.org/10.1177/13505084231198436" TargetMode="External"/><Relationship Id="rId1" Type="http://schemas.openxmlformats.org/officeDocument/2006/relationships/hyperlink" Target="https://www.britannica.com/topic/historical-materialism" TargetMode="External"/><Relationship Id="rId4" Type="http://schemas.openxmlformats.org/officeDocument/2006/relationships/hyperlink" Target="https://plato.stanford.edu/archives/sum2018/entries/phenomenolo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452ABFD-701C-446B-ABD4-27F3ADE89F59}">
  <we:reference id="wa200005983" version="2.3.0.0" store="en-GB" storeType="OMEX"/>
  <we:alternateReferences>
    <we:reference id="WA200005983" version="2.3.0.0" store="WA200005983"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B6455417-88B9-483C-90B0-7352A47BF7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2448</Words>
  <Characters>13954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Hough (staff)</dc:creator>
  <cp:keywords/>
  <dc:description/>
  <cp:lastModifiedBy>Olivia Hough (staff)</cp:lastModifiedBy>
  <cp:revision>2</cp:revision>
  <dcterms:created xsi:type="dcterms:W3CDTF">2025-11-13T23:53:00Z</dcterms:created>
  <dcterms:modified xsi:type="dcterms:W3CDTF">2025-11-13T23:53:00Z</dcterms:modified>
</cp:coreProperties>
</file>