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7461970"/>
        <w:docPartObj>
          <w:docPartGallery w:val="Cover Pages"/>
          <w:docPartUnique/>
        </w:docPartObj>
      </w:sdtPr>
      <w:sdtContent>
        <w:p w14:paraId="25008EBE" w14:textId="6CC40451" w:rsidR="0071040B" w:rsidRPr="0071040B" w:rsidRDefault="0071040B">
          <w:pPr>
            <w:rPr>
              <w:sz w:val="32"/>
              <w:szCs w:val="32"/>
            </w:rPr>
          </w:pPr>
          <w:r w:rsidRPr="0071040B">
            <w:rPr>
              <w:noProof/>
              <w:sz w:val="32"/>
              <w:szCs w:val="32"/>
            </w:rPr>
            <mc:AlternateContent>
              <mc:Choice Requires="wps">
                <w:drawing>
                  <wp:anchor distT="0" distB="0" distL="114300" distR="114300" simplePos="0" relativeHeight="251661312" behindDoc="0" locked="0" layoutInCell="1" allowOverlap="1" wp14:anchorId="2170CF77" wp14:editId="7FD3C3CB">
                    <wp:simplePos x="0" y="0"/>
                    <wp:positionH relativeFrom="page">
                      <wp:align>left</wp:align>
                    </wp:positionH>
                    <wp:positionV relativeFrom="page">
                      <wp:align>bottom</wp:align>
                    </wp:positionV>
                    <wp:extent cx="5534025" cy="2724912"/>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1855CFA" w14:textId="24B0B712" w:rsidR="0071040B" w:rsidRDefault="0071040B">
                                    <w:pPr>
                                      <w:pStyle w:val="NoSpacing"/>
                                      <w:spacing w:after="480"/>
                                      <w:rPr>
                                        <w:i/>
                                        <w:color w:val="262626" w:themeColor="text1" w:themeTint="D9"/>
                                        <w:sz w:val="32"/>
                                        <w:szCs w:val="32"/>
                                      </w:rPr>
                                    </w:pPr>
                                    <w:r>
                                      <w:rPr>
                                        <w:i/>
                                        <w:color w:val="262626" w:themeColor="text1" w:themeTint="D9"/>
                                        <w:sz w:val="32"/>
                                        <w:szCs w:val="32"/>
                                      </w:rPr>
                                      <w:t>Student: Costin-Alexandru Chirita (2210952)</w:t>
                                    </w:r>
                                  </w:p>
                                </w:sdtContent>
                              </w:sdt>
                              <w:p w14:paraId="644CA2CF" w14:textId="5A5AF732" w:rsidR="0071040B" w:rsidRDefault="0071040B">
                                <w:pPr>
                                  <w:pStyle w:val="NoSpacing"/>
                                  <w:rPr>
                                    <w:i/>
                                    <w:color w:val="262626" w:themeColor="text1" w:themeTint="D9"/>
                                    <w:sz w:val="26"/>
                                    <w:szCs w:val="26"/>
                                  </w:rPr>
                                </w:pPr>
                                <w:r>
                                  <w:rPr>
                                    <w:i/>
                                    <w:color w:val="262626" w:themeColor="text1" w:themeTint="D9"/>
                                    <w:sz w:val="26"/>
                                    <w:szCs w:val="26"/>
                                  </w:rPr>
                                  <w:t xml:space="preserve">Lecturer: Dennis </w:t>
                                </w:r>
                                <w:proofErr w:type="spellStart"/>
                                <w:r>
                                  <w:rPr>
                                    <w:i/>
                                    <w:color w:val="262626" w:themeColor="text1" w:themeTint="D9"/>
                                    <w:sz w:val="26"/>
                                    <w:szCs w:val="26"/>
                                  </w:rPr>
                                  <w:t>Pepple</w:t>
                                </w:r>
                                <w:proofErr w:type="spellEnd"/>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170CF77" id="_x0000_t202" coordsize="21600,21600" o:spt="202" path="m,l,21600r21600,l21600,xe">
                    <v:stroke joinstyle="miter"/>
                    <v:path gradientshapeok="t" o:connecttype="rect"/>
                  </v:shapetype>
                  <v:shape id="Text Box 42"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1855CFA" w14:textId="24B0B712" w:rsidR="0071040B" w:rsidRDefault="0071040B">
                              <w:pPr>
                                <w:pStyle w:val="NoSpacing"/>
                                <w:spacing w:after="480"/>
                                <w:rPr>
                                  <w:i/>
                                  <w:color w:val="262626" w:themeColor="text1" w:themeTint="D9"/>
                                  <w:sz w:val="32"/>
                                  <w:szCs w:val="32"/>
                                </w:rPr>
                              </w:pPr>
                              <w:r>
                                <w:rPr>
                                  <w:i/>
                                  <w:color w:val="262626" w:themeColor="text1" w:themeTint="D9"/>
                                  <w:sz w:val="32"/>
                                  <w:szCs w:val="32"/>
                                </w:rPr>
                                <w:t>Student: Costin-Alexandru Chirita (2210952)</w:t>
                              </w:r>
                            </w:p>
                          </w:sdtContent>
                        </w:sdt>
                        <w:p w14:paraId="644CA2CF" w14:textId="5A5AF732" w:rsidR="0071040B" w:rsidRDefault="0071040B">
                          <w:pPr>
                            <w:pStyle w:val="NoSpacing"/>
                            <w:rPr>
                              <w:i/>
                              <w:color w:val="262626" w:themeColor="text1" w:themeTint="D9"/>
                              <w:sz w:val="26"/>
                              <w:szCs w:val="26"/>
                            </w:rPr>
                          </w:pPr>
                          <w:r>
                            <w:rPr>
                              <w:i/>
                              <w:color w:val="262626" w:themeColor="text1" w:themeTint="D9"/>
                              <w:sz w:val="26"/>
                              <w:szCs w:val="26"/>
                            </w:rPr>
                            <w:t xml:space="preserve">Lecturer: Dennis </w:t>
                          </w:r>
                          <w:proofErr w:type="spellStart"/>
                          <w:r>
                            <w:rPr>
                              <w:i/>
                              <w:color w:val="262626" w:themeColor="text1" w:themeTint="D9"/>
                              <w:sz w:val="26"/>
                              <w:szCs w:val="26"/>
                            </w:rPr>
                            <w:t>Pepple</w:t>
                          </w:r>
                          <w:proofErr w:type="spellEnd"/>
                        </w:p>
                      </w:txbxContent>
                    </v:textbox>
                    <w10:wrap anchorx="page" anchory="page"/>
                  </v:shape>
                </w:pict>
              </mc:Fallback>
            </mc:AlternateContent>
          </w:r>
          <w:r w:rsidRPr="0071040B">
            <w:rPr>
              <w:noProof/>
              <w:sz w:val="32"/>
              <w:szCs w:val="32"/>
            </w:rPr>
            <mc:AlternateContent>
              <mc:Choice Requires="wps">
                <w:drawing>
                  <wp:anchor distT="0" distB="0" distL="114300" distR="114300" simplePos="0" relativeHeight="251660288" behindDoc="1" locked="0" layoutInCell="1" allowOverlap="1" wp14:anchorId="7A0B5275" wp14:editId="1F673B2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5FB3616"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71040B">
            <w:rPr>
              <w:noProof/>
              <w:sz w:val="32"/>
              <w:szCs w:val="32"/>
            </w:rPr>
            <mc:AlternateContent>
              <mc:Choice Requires="wps">
                <w:drawing>
                  <wp:anchor distT="0" distB="0" distL="114300" distR="114300" simplePos="0" relativeHeight="251659264" behindDoc="0" locked="0" layoutInCell="1" allowOverlap="1" wp14:anchorId="5656241C" wp14:editId="41B41C31">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F8FBE4A" w14:textId="791590CD" w:rsidR="0071040B" w:rsidRDefault="0071040B">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Managing People</w:t>
                                    </w:r>
                                  </w:p>
                                </w:sdtContent>
                              </w:sdt>
                              <w:p w14:paraId="3883DCF3" w14:textId="424492E6" w:rsidR="0071040B" w:rsidRDefault="0071040B">
                                <w:pPr>
                                  <w:pStyle w:val="NoSpacing"/>
                                  <w:rPr>
                                    <w:i/>
                                    <w:color w:val="262626" w:themeColor="text1" w:themeTint="D9"/>
                                    <w:sz w:val="36"/>
                                    <w:szCs w:val="36"/>
                                  </w:rPr>
                                </w:pPr>
                                <w:r>
                                  <w:rPr>
                                    <w:i/>
                                    <w:color w:val="262626" w:themeColor="text1" w:themeTint="D9"/>
                                    <w:sz w:val="36"/>
                                    <w:szCs w:val="36"/>
                                  </w:rPr>
                                  <w:t>Component 2</w:t>
                                </w:r>
                              </w:p>
                              <w:p w14:paraId="5B3368EB" w14:textId="6DE85D0B" w:rsidR="0071040B" w:rsidRDefault="0071040B">
                                <w:pPr>
                                  <w:pStyle w:val="NoSpacing"/>
                                  <w:rPr>
                                    <w:i/>
                                    <w:color w:val="262626" w:themeColor="text1" w:themeTint="D9"/>
                                    <w:sz w:val="36"/>
                                    <w:szCs w:val="36"/>
                                  </w:rPr>
                                </w:pPr>
                                <w:r>
                                  <w:rPr>
                                    <w:i/>
                                    <w:color w:val="262626" w:themeColor="text1" w:themeTint="D9"/>
                                    <w:sz w:val="36"/>
                                    <w:szCs w:val="36"/>
                                  </w:rPr>
                                  <w:t>LCBB5004</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656241C" id="Text Box 44"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2F8FBE4A" w14:textId="791590CD" w:rsidR="0071040B" w:rsidRDefault="0071040B">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Managing People</w:t>
                              </w:r>
                            </w:p>
                          </w:sdtContent>
                        </w:sdt>
                        <w:p w14:paraId="3883DCF3" w14:textId="424492E6" w:rsidR="0071040B" w:rsidRDefault="0071040B">
                          <w:pPr>
                            <w:pStyle w:val="NoSpacing"/>
                            <w:rPr>
                              <w:i/>
                              <w:color w:val="262626" w:themeColor="text1" w:themeTint="D9"/>
                              <w:sz w:val="36"/>
                              <w:szCs w:val="36"/>
                            </w:rPr>
                          </w:pPr>
                          <w:r>
                            <w:rPr>
                              <w:i/>
                              <w:color w:val="262626" w:themeColor="text1" w:themeTint="D9"/>
                              <w:sz w:val="36"/>
                              <w:szCs w:val="36"/>
                            </w:rPr>
                            <w:t>Component 2</w:t>
                          </w:r>
                        </w:p>
                        <w:p w14:paraId="5B3368EB" w14:textId="6DE85D0B" w:rsidR="0071040B" w:rsidRDefault="0071040B">
                          <w:pPr>
                            <w:pStyle w:val="NoSpacing"/>
                            <w:rPr>
                              <w:i/>
                              <w:color w:val="262626" w:themeColor="text1" w:themeTint="D9"/>
                              <w:sz w:val="36"/>
                              <w:szCs w:val="36"/>
                            </w:rPr>
                          </w:pPr>
                          <w:r>
                            <w:rPr>
                              <w:i/>
                              <w:color w:val="262626" w:themeColor="text1" w:themeTint="D9"/>
                              <w:sz w:val="36"/>
                              <w:szCs w:val="36"/>
                            </w:rPr>
                            <w:t>LCBB5004</w:t>
                          </w:r>
                        </w:p>
                      </w:txbxContent>
                    </v:textbox>
                    <w10:wrap anchorx="page" anchory="page"/>
                  </v:shape>
                </w:pict>
              </mc:Fallback>
            </mc:AlternateContent>
          </w:r>
          <w:r w:rsidRPr="0071040B">
            <w:rPr>
              <w:sz w:val="32"/>
              <w:szCs w:val="32"/>
            </w:rPr>
            <w:t>University of Wales Trinity Saint David</w:t>
          </w:r>
        </w:p>
        <w:p w14:paraId="38BDD19B" w14:textId="180FDEF3" w:rsidR="0071040B" w:rsidRDefault="0071040B">
          <w:pPr>
            <w:spacing w:after="0" w:line="240" w:lineRule="auto"/>
          </w:pPr>
          <w:r>
            <w:br w:type="page"/>
          </w:r>
        </w:p>
      </w:sdtContent>
    </w:sdt>
    <w:p w14:paraId="14266367" w14:textId="7C25BDCF" w:rsidR="0071040B" w:rsidRPr="00AA563F" w:rsidRDefault="0071040B" w:rsidP="00AA563F">
      <w:pPr>
        <w:pStyle w:val="Normal1"/>
        <w:rPr>
          <w:rFonts w:ascii="Times New Roman" w:eastAsia="Times New Roman" w:hAnsi="Times New Roman" w:cs="Times New Roman"/>
          <w:b/>
          <w:sz w:val="24"/>
          <w:szCs w:val="24"/>
        </w:rPr>
      </w:pPr>
      <w:r>
        <w:rPr>
          <w:color w:val="2E75B5"/>
          <w:sz w:val="32"/>
          <w:szCs w:val="32"/>
        </w:rPr>
        <w:lastRenderedPageBreak/>
        <w:t>Table of Contents</w:t>
      </w:r>
    </w:p>
    <w:sdt>
      <w:sdtPr>
        <w:id w:val="434364876"/>
        <w:docPartObj>
          <w:docPartGallery w:val="Table of Contents"/>
          <w:docPartUnique/>
        </w:docPartObj>
      </w:sdtPr>
      <w:sdtContent>
        <w:p w14:paraId="1FC02D01" w14:textId="77777777" w:rsidR="0071040B" w:rsidRDefault="0071040B" w:rsidP="0071040B">
          <w:pPr>
            <w:pStyle w:val="Normal1"/>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b/>
                <w:color w:val="000000"/>
              </w:rPr>
              <w:t>Introduction</w:t>
            </w:r>
          </w:hyperlink>
          <w:hyperlink w:anchor="_gjdgxs">
            <w:r>
              <w:rPr>
                <w:color w:val="000000"/>
              </w:rPr>
              <w:tab/>
              <w:t>2</w:t>
            </w:r>
          </w:hyperlink>
        </w:p>
        <w:p w14:paraId="2A8B36E3" w14:textId="77777777" w:rsidR="0071040B" w:rsidRDefault="00000000" w:rsidP="0071040B">
          <w:pPr>
            <w:pStyle w:val="Normal1"/>
            <w:pBdr>
              <w:top w:val="nil"/>
              <w:left w:val="nil"/>
              <w:bottom w:val="nil"/>
              <w:right w:val="nil"/>
              <w:between w:val="nil"/>
            </w:pBdr>
            <w:tabs>
              <w:tab w:val="right" w:leader="dot" w:pos="9016"/>
            </w:tabs>
            <w:spacing w:after="100"/>
            <w:rPr>
              <w:color w:val="000000"/>
            </w:rPr>
          </w:pPr>
          <w:hyperlink w:anchor="_30j0zll">
            <w:r w:rsidR="0071040B">
              <w:rPr>
                <w:rFonts w:ascii="Times New Roman" w:eastAsia="Times New Roman" w:hAnsi="Times New Roman" w:cs="Times New Roman"/>
                <w:b/>
                <w:color w:val="000000"/>
              </w:rPr>
              <w:t>Main Body</w:t>
            </w:r>
          </w:hyperlink>
          <w:hyperlink w:anchor="_30j0zll">
            <w:r w:rsidR="0071040B">
              <w:rPr>
                <w:color w:val="000000"/>
              </w:rPr>
              <w:tab/>
              <w:t>2</w:t>
            </w:r>
          </w:hyperlink>
        </w:p>
        <w:p w14:paraId="39C56CCB" w14:textId="77777777" w:rsidR="0071040B" w:rsidRDefault="00000000" w:rsidP="0071040B">
          <w:pPr>
            <w:pStyle w:val="Normal1"/>
            <w:pBdr>
              <w:top w:val="nil"/>
              <w:left w:val="nil"/>
              <w:bottom w:val="nil"/>
              <w:right w:val="nil"/>
              <w:between w:val="nil"/>
            </w:pBdr>
            <w:tabs>
              <w:tab w:val="right" w:leader="dot" w:pos="9016"/>
            </w:tabs>
            <w:spacing w:after="100"/>
            <w:ind w:left="220"/>
            <w:rPr>
              <w:color w:val="000000"/>
            </w:rPr>
          </w:pPr>
          <w:hyperlink w:anchor="_1fob9te">
            <w:r w:rsidR="0071040B">
              <w:rPr>
                <w:rFonts w:ascii="Times New Roman" w:eastAsia="Times New Roman" w:hAnsi="Times New Roman" w:cs="Times New Roman"/>
                <w:b/>
                <w:color w:val="000000"/>
              </w:rPr>
              <w:t>Benefits and Downsides of Flexible Working</w:t>
            </w:r>
          </w:hyperlink>
          <w:hyperlink w:anchor="_1fob9te">
            <w:r w:rsidR="0071040B">
              <w:rPr>
                <w:color w:val="000000"/>
              </w:rPr>
              <w:tab/>
              <w:t>2</w:t>
            </w:r>
          </w:hyperlink>
        </w:p>
        <w:p w14:paraId="65EB88C7" w14:textId="77777777" w:rsidR="0071040B" w:rsidRDefault="00000000" w:rsidP="0071040B">
          <w:pPr>
            <w:pStyle w:val="Normal1"/>
            <w:pBdr>
              <w:top w:val="nil"/>
              <w:left w:val="nil"/>
              <w:bottom w:val="nil"/>
              <w:right w:val="nil"/>
              <w:between w:val="nil"/>
            </w:pBdr>
            <w:tabs>
              <w:tab w:val="right" w:leader="dot" w:pos="9016"/>
            </w:tabs>
            <w:spacing w:after="100"/>
            <w:ind w:left="220"/>
            <w:rPr>
              <w:color w:val="000000"/>
            </w:rPr>
          </w:pPr>
          <w:hyperlink w:anchor="_3znysh7">
            <w:r w:rsidR="0071040B">
              <w:rPr>
                <w:rFonts w:ascii="Times New Roman" w:eastAsia="Times New Roman" w:hAnsi="Times New Roman" w:cs="Times New Roman"/>
                <w:b/>
                <w:color w:val="000000"/>
              </w:rPr>
              <w:t>Considerations for Implementation</w:t>
            </w:r>
          </w:hyperlink>
          <w:hyperlink w:anchor="_3znysh7">
            <w:r w:rsidR="0071040B">
              <w:rPr>
                <w:color w:val="000000"/>
              </w:rPr>
              <w:tab/>
              <w:t>3</w:t>
            </w:r>
          </w:hyperlink>
        </w:p>
        <w:p w14:paraId="17EB1CC0" w14:textId="77777777" w:rsidR="0071040B" w:rsidRDefault="00000000" w:rsidP="0071040B">
          <w:pPr>
            <w:pStyle w:val="Normal1"/>
            <w:pBdr>
              <w:top w:val="nil"/>
              <w:left w:val="nil"/>
              <w:bottom w:val="nil"/>
              <w:right w:val="nil"/>
              <w:between w:val="nil"/>
            </w:pBdr>
            <w:tabs>
              <w:tab w:val="right" w:leader="dot" w:pos="9016"/>
            </w:tabs>
            <w:spacing w:after="100"/>
            <w:ind w:left="220"/>
            <w:rPr>
              <w:color w:val="000000"/>
            </w:rPr>
          </w:pPr>
          <w:hyperlink w:anchor="_2et92p0">
            <w:r w:rsidR="0071040B">
              <w:rPr>
                <w:rFonts w:ascii="Times New Roman" w:eastAsia="Times New Roman" w:hAnsi="Times New Roman" w:cs="Times New Roman"/>
                <w:b/>
                <w:color w:val="000000"/>
              </w:rPr>
              <w:t>Reconfiguring Pay Structure</w:t>
            </w:r>
          </w:hyperlink>
          <w:hyperlink w:anchor="_2et92p0">
            <w:r w:rsidR="0071040B">
              <w:rPr>
                <w:color w:val="000000"/>
              </w:rPr>
              <w:tab/>
              <w:t>4</w:t>
            </w:r>
          </w:hyperlink>
        </w:p>
        <w:p w14:paraId="31BABF27" w14:textId="77777777" w:rsidR="0071040B" w:rsidRDefault="00000000" w:rsidP="0071040B">
          <w:pPr>
            <w:pStyle w:val="Normal1"/>
            <w:pBdr>
              <w:top w:val="nil"/>
              <w:left w:val="nil"/>
              <w:bottom w:val="nil"/>
              <w:right w:val="nil"/>
              <w:between w:val="nil"/>
            </w:pBdr>
            <w:tabs>
              <w:tab w:val="right" w:leader="dot" w:pos="9016"/>
            </w:tabs>
            <w:spacing w:after="100"/>
            <w:ind w:left="220"/>
            <w:rPr>
              <w:color w:val="000000"/>
            </w:rPr>
          </w:pPr>
          <w:hyperlink w:anchor="_tyjcwt">
            <w:r w:rsidR="0071040B">
              <w:rPr>
                <w:rFonts w:ascii="Times New Roman" w:eastAsia="Times New Roman" w:hAnsi="Times New Roman" w:cs="Times New Roman"/>
                <w:b/>
                <w:color w:val="000000"/>
              </w:rPr>
              <w:t>Strategies for Employee Engagement</w:t>
            </w:r>
          </w:hyperlink>
          <w:hyperlink w:anchor="_tyjcwt">
            <w:r w:rsidR="0071040B">
              <w:rPr>
                <w:color w:val="000000"/>
              </w:rPr>
              <w:tab/>
              <w:t>5</w:t>
            </w:r>
          </w:hyperlink>
        </w:p>
        <w:p w14:paraId="644406FE" w14:textId="77777777" w:rsidR="0071040B" w:rsidRDefault="00000000" w:rsidP="0071040B">
          <w:pPr>
            <w:pStyle w:val="Normal1"/>
            <w:pBdr>
              <w:top w:val="nil"/>
              <w:left w:val="nil"/>
              <w:bottom w:val="nil"/>
              <w:right w:val="nil"/>
              <w:between w:val="nil"/>
            </w:pBdr>
            <w:tabs>
              <w:tab w:val="right" w:leader="dot" w:pos="9016"/>
            </w:tabs>
            <w:spacing w:after="100"/>
            <w:ind w:left="220"/>
            <w:rPr>
              <w:color w:val="000000"/>
            </w:rPr>
          </w:pPr>
          <w:hyperlink w:anchor="_3dy6vkm">
            <w:r w:rsidR="0071040B">
              <w:rPr>
                <w:rFonts w:ascii="Times New Roman" w:eastAsia="Times New Roman" w:hAnsi="Times New Roman" w:cs="Times New Roman"/>
                <w:b/>
                <w:color w:val="000000"/>
              </w:rPr>
              <w:t>Case Studies and Academic Theories</w:t>
            </w:r>
          </w:hyperlink>
          <w:hyperlink w:anchor="_3dy6vkm">
            <w:r w:rsidR="0071040B">
              <w:rPr>
                <w:color w:val="000000"/>
              </w:rPr>
              <w:tab/>
              <w:t>6</w:t>
            </w:r>
          </w:hyperlink>
        </w:p>
        <w:p w14:paraId="20CD3796" w14:textId="77777777" w:rsidR="0071040B" w:rsidRDefault="00000000" w:rsidP="0071040B">
          <w:pPr>
            <w:pStyle w:val="Normal1"/>
            <w:pBdr>
              <w:top w:val="nil"/>
              <w:left w:val="nil"/>
              <w:bottom w:val="nil"/>
              <w:right w:val="nil"/>
              <w:between w:val="nil"/>
            </w:pBdr>
            <w:tabs>
              <w:tab w:val="right" w:leader="dot" w:pos="9016"/>
            </w:tabs>
            <w:spacing w:after="100"/>
            <w:ind w:left="220"/>
            <w:rPr>
              <w:color w:val="000000"/>
            </w:rPr>
          </w:pPr>
          <w:hyperlink w:anchor="_1t3h5sf">
            <w:r w:rsidR="0071040B">
              <w:rPr>
                <w:rFonts w:ascii="Times New Roman" w:eastAsia="Times New Roman" w:hAnsi="Times New Roman" w:cs="Times New Roman"/>
                <w:b/>
                <w:color w:val="000000"/>
              </w:rPr>
              <w:t>Recommendations</w:t>
            </w:r>
          </w:hyperlink>
          <w:hyperlink w:anchor="_1t3h5sf">
            <w:r w:rsidR="0071040B">
              <w:rPr>
                <w:color w:val="000000"/>
              </w:rPr>
              <w:tab/>
              <w:t>7</w:t>
            </w:r>
          </w:hyperlink>
        </w:p>
        <w:p w14:paraId="7BDA2BE3" w14:textId="77777777" w:rsidR="0071040B" w:rsidRDefault="00000000" w:rsidP="0071040B">
          <w:pPr>
            <w:pStyle w:val="Normal1"/>
            <w:pBdr>
              <w:top w:val="nil"/>
              <w:left w:val="nil"/>
              <w:bottom w:val="nil"/>
              <w:right w:val="nil"/>
              <w:between w:val="nil"/>
            </w:pBdr>
            <w:tabs>
              <w:tab w:val="right" w:leader="dot" w:pos="9016"/>
            </w:tabs>
            <w:spacing w:after="100"/>
            <w:rPr>
              <w:color w:val="000000"/>
            </w:rPr>
          </w:pPr>
          <w:hyperlink w:anchor="_4d34og8">
            <w:r w:rsidR="0071040B">
              <w:rPr>
                <w:rFonts w:ascii="Times New Roman" w:eastAsia="Times New Roman" w:hAnsi="Times New Roman" w:cs="Times New Roman"/>
                <w:b/>
                <w:color w:val="000000"/>
              </w:rPr>
              <w:t>Conclusion</w:t>
            </w:r>
          </w:hyperlink>
          <w:hyperlink w:anchor="_4d34og8">
            <w:r w:rsidR="0071040B">
              <w:rPr>
                <w:color w:val="000000"/>
              </w:rPr>
              <w:tab/>
              <w:t>7</w:t>
            </w:r>
          </w:hyperlink>
        </w:p>
        <w:p w14:paraId="7BD29EB8" w14:textId="77777777" w:rsidR="0071040B" w:rsidRDefault="00000000" w:rsidP="0071040B">
          <w:pPr>
            <w:pStyle w:val="Normal1"/>
            <w:pBdr>
              <w:top w:val="nil"/>
              <w:left w:val="nil"/>
              <w:bottom w:val="nil"/>
              <w:right w:val="nil"/>
              <w:between w:val="nil"/>
            </w:pBdr>
            <w:tabs>
              <w:tab w:val="right" w:leader="dot" w:pos="9016"/>
            </w:tabs>
            <w:spacing w:after="100"/>
            <w:rPr>
              <w:color w:val="000000"/>
            </w:rPr>
          </w:pPr>
          <w:hyperlink w:anchor="_2s8eyo1">
            <w:r w:rsidR="0071040B">
              <w:rPr>
                <w:rFonts w:ascii="Times New Roman" w:eastAsia="Times New Roman" w:hAnsi="Times New Roman" w:cs="Times New Roman"/>
                <w:b/>
                <w:color w:val="000000"/>
              </w:rPr>
              <w:t>References</w:t>
            </w:r>
          </w:hyperlink>
          <w:hyperlink w:anchor="_2s8eyo1">
            <w:r w:rsidR="0071040B">
              <w:rPr>
                <w:color w:val="000000"/>
              </w:rPr>
              <w:tab/>
              <w:t>8</w:t>
            </w:r>
          </w:hyperlink>
        </w:p>
        <w:p w14:paraId="5A1FF167" w14:textId="77777777" w:rsidR="0071040B" w:rsidRDefault="0071040B" w:rsidP="0071040B">
          <w:pPr>
            <w:pStyle w:val="Normal1"/>
          </w:pPr>
          <w:r>
            <w:fldChar w:fldCharType="end"/>
          </w:r>
        </w:p>
      </w:sdtContent>
    </w:sdt>
    <w:p w14:paraId="167CE04D" w14:textId="77777777" w:rsidR="0071040B" w:rsidRDefault="0071040B" w:rsidP="0071040B">
      <w:pPr>
        <w:pStyle w:val="Heading1"/>
        <w:spacing w:after="240"/>
        <w:jc w:val="both"/>
        <w:rPr>
          <w:rFonts w:ascii="Times New Roman" w:eastAsia="Times New Roman" w:hAnsi="Times New Roman" w:cs="Times New Roman"/>
          <w:b/>
          <w:color w:val="000000"/>
          <w:sz w:val="28"/>
          <w:szCs w:val="28"/>
        </w:rPr>
      </w:pPr>
    </w:p>
    <w:p w14:paraId="4FB5A251" w14:textId="77777777" w:rsidR="0071040B" w:rsidRDefault="0071040B" w:rsidP="0071040B">
      <w:pPr>
        <w:pStyle w:val="Normal1"/>
        <w:rPr>
          <w:rFonts w:ascii="Times New Roman" w:eastAsia="Times New Roman" w:hAnsi="Times New Roman" w:cs="Times New Roman"/>
          <w:b/>
          <w:color w:val="000000"/>
          <w:sz w:val="28"/>
          <w:szCs w:val="28"/>
        </w:rPr>
      </w:pPr>
      <w:bookmarkStart w:id="0" w:name="_gjdgxs" w:colFirst="0" w:colLast="0"/>
      <w:bookmarkEnd w:id="0"/>
      <w:r>
        <w:br w:type="page"/>
      </w:r>
    </w:p>
    <w:p w14:paraId="0620EE0C" w14:textId="77777777" w:rsidR="0071040B" w:rsidRDefault="0071040B" w:rsidP="0071040B">
      <w:pPr>
        <w:pStyle w:val="Heading1"/>
        <w:spacing w:after="24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Introduction</w:t>
      </w:r>
    </w:p>
    <w:p w14:paraId="3858F610" w14:textId="77777777" w:rsidR="0071040B" w:rsidRPr="00504F2C" w:rsidRDefault="0071040B" w:rsidP="0071040B">
      <w:r>
        <w:rPr>
          <w:rFonts w:ascii="Times New Roman" w:eastAsia="Times New Roman" w:hAnsi="Times New Roman" w:cs="Times New Roman"/>
          <w:sz w:val="24"/>
          <w:szCs w:val="24"/>
        </w:rPr>
        <w:t xml:space="preserve">Since the pandemic, there has been a change in the way people think about work. As a result, many people are now using hybrid and flexible work arrangements. As businesses adjust to this new environment, they need to carefully consider the pros and cons of flexible work plans. As the new Human Resource Manager at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xml:space="preserve">, a company that offers personalised fitness and nutrition services, this report is being written to explain the effects of implementing flexible work arrangements </w:t>
      </w:r>
      <w:r>
        <w:rPr>
          <w:rFonts w:ascii="Times New Roman" w:hAnsi="Times New Roman" w:cs="Times New Roman"/>
          <w:color w:val="222222"/>
          <w:sz w:val="24"/>
          <w:szCs w:val="24"/>
          <w:shd w:val="clear" w:color="auto" w:fill="FFFFFF"/>
        </w:rPr>
        <w:t xml:space="preserve">(Griffin, Phillips and Gully, </w:t>
      </w:r>
      <w:r w:rsidRPr="00504F2C">
        <w:rPr>
          <w:rFonts w:ascii="Times New Roman" w:hAnsi="Times New Roman" w:cs="Times New Roman"/>
          <w:color w:val="222222"/>
          <w:sz w:val="24"/>
          <w:szCs w:val="24"/>
          <w:shd w:val="clear" w:color="auto" w:fill="FFFFFF"/>
        </w:rPr>
        <w:t xml:space="preserve"> 2020</w:t>
      </w:r>
      <w:r>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xml:space="preserve">. Based on both academic theories and real-life examples from the business world, this report tries to give a full picture of the pros and cons of flexible working, as well as the most important things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xml:space="preserve"> and its HR department should think about before starting this journey, as well as possible changes to pay structures and ways to keep employees engaged throughout the process </w:t>
      </w:r>
      <w:r>
        <w:rPr>
          <w:rFonts w:ascii="Times New Roman" w:hAnsi="Times New Roman" w:cs="Times New Roman"/>
          <w:color w:val="222222"/>
          <w:sz w:val="24"/>
          <w:szCs w:val="24"/>
          <w:shd w:val="clear" w:color="auto" w:fill="FFFFFF"/>
        </w:rPr>
        <w:t xml:space="preserve">(Hoffman and </w:t>
      </w:r>
      <w:proofErr w:type="spellStart"/>
      <w:r>
        <w:rPr>
          <w:rFonts w:ascii="Times New Roman" w:hAnsi="Times New Roman" w:cs="Times New Roman"/>
          <w:color w:val="222222"/>
          <w:sz w:val="24"/>
          <w:szCs w:val="24"/>
          <w:shd w:val="clear" w:color="auto" w:fill="FFFFFF"/>
        </w:rPr>
        <w:t>Tadelis</w:t>
      </w:r>
      <w:proofErr w:type="spellEnd"/>
      <w:r>
        <w:rPr>
          <w:rFonts w:ascii="Times New Roman" w:hAnsi="Times New Roman" w:cs="Times New Roman"/>
          <w:color w:val="222222"/>
          <w:sz w:val="24"/>
          <w:szCs w:val="24"/>
          <w:shd w:val="clear" w:color="auto" w:fill="FFFFFF"/>
        </w:rPr>
        <w:t>,</w:t>
      </w:r>
      <w:r w:rsidRPr="00504F2C">
        <w:rPr>
          <w:rFonts w:ascii="Times New Roman" w:hAnsi="Times New Roman" w:cs="Times New Roman"/>
          <w:color w:val="222222"/>
          <w:sz w:val="24"/>
          <w:szCs w:val="24"/>
          <w:shd w:val="clear" w:color="auto" w:fill="FFFFFF"/>
        </w:rPr>
        <w:t xml:space="preserve"> 2021</w:t>
      </w:r>
      <w:r>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xml:space="preserve">. There are some suggestions and ideas in this article that are meant to give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xml:space="preserve"> the information it needs to make smart choices so that implementing flexible working fits perfectly with its overall goals, values, and corporate culture.</w:t>
      </w:r>
    </w:p>
    <w:p w14:paraId="47E48407" w14:textId="77777777" w:rsidR="0071040B" w:rsidRDefault="0071040B" w:rsidP="0071040B">
      <w:pPr>
        <w:pStyle w:val="Heading1"/>
        <w:spacing w:after="240"/>
        <w:jc w:val="both"/>
        <w:rPr>
          <w:rFonts w:ascii="Times New Roman" w:eastAsia="Times New Roman" w:hAnsi="Times New Roman" w:cs="Times New Roman"/>
          <w:b/>
          <w:color w:val="000000"/>
          <w:sz w:val="28"/>
          <w:szCs w:val="28"/>
        </w:rPr>
      </w:pPr>
      <w:bookmarkStart w:id="1" w:name="_30j0zll" w:colFirst="0" w:colLast="0"/>
      <w:bookmarkEnd w:id="1"/>
      <w:r>
        <w:rPr>
          <w:rFonts w:ascii="Times New Roman" w:eastAsia="Times New Roman" w:hAnsi="Times New Roman" w:cs="Times New Roman"/>
          <w:b/>
          <w:color w:val="000000"/>
          <w:sz w:val="28"/>
          <w:szCs w:val="28"/>
        </w:rPr>
        <w:t>Main Body</w:t>
      </w:r>
    </w:p>
    <w:p w14:paraId="24A9CD92" w14:textId="77777777" w:rsidR="0071040B" w:rsidRDefault="0071040B" w:rsidP="0071040B">
      <w:pPr>
        <w:pStyle w:val="Heading2"/>
        <w:spacing w:after="240"/>
        <w:rPr>
          <w:rFonts w:ascii="Times New Roman" w:eastAsia="Times New Roman" w:hAnsi="Times New Roman" w:cs="Times New Roman"/>
          <w:b/>
          <w:color w:val="000000"/>
          <w:sz w:val="24"/>
          <w:szCs w:val="24"/>
          <w:u w:val="single"/>
        </w:rPr>
      </w:pPr>
      <w:bookmarkStart w:id="2" w:name="_1fob9te" w:colFirst="0" w:colLast="0"/>
      <w:bookmarkEnd w:id="2"/>
      <w:r>
        <w:rPr>
          <w:rFonts w:ascii="Times New Roman" w:eastAsia="Times New Roman" w:hAnsi="Times New Roman" w:cs="Times New Roman"/>
          <w:b/>
          <w:color w:val="000000"/>
          <w:sz w:val="24"/>
          <w:szCs w:val="24"/>
          <w:u w:val="single"/>
        </w:rPr>
        <w:t>Benefits and Downsides of Flexible Working</w:t>
      </w:r>
    </w:p>
    <w:p w14:paraId="21402964" w14:textId="77777777" w:rsidR="0071040B" w:rsidRDefault="0071040B" w:rsidP="0071040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Flexible working arrangements have appeared as a game-changing paradigm shift in the current landscape of workforce dynamics.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xml:space="preserve"> needs to think about the pros and cons of adopting these practises before making a decision.</w:t>
      </w:r>
    </w:p>
    <w:p w14:paraId="3580A284" w14:textId="77777777" w:rsidR="0071040B" w:rsidRDefault="0071040B" w:rsidP="0071040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w:t>
      </w:r>
    </w:p>
    <w:p w14:paraId="22E77CD8" w14:textId="77777777" w:rsidR="0071040B" w:rsidRPr="00504F2C" w:rsidRDefault="0071040B" w:rsidP="0071040B">
      <w:pPr>
        <w:pStyle w:val="ListParagraph"/>
        <w:numPr>
          <w:ilvl w:val="0"/>
          <w:numId w:val="6"/>
        </w:numPr>
      </w:pPr>
      <w:r w:rsidRPr="00504F2C">
        <w:rPr>
          <w:rFonts w:ascii="Times New Roman" w:eastAsia="Times New Roman" w:hAnsi="Times New Roman" w:cs="Times New Roman"/>
          <w:color w:val="000000"/>
          <w:sz w:val="24"/>
          <w:szCs w:val="24"/>
        </w:rPr>
        <w:t xml:space="preserve">Improved Work-Life Balance: One of the best things about flexible working is that it helps workers have a better work-life balance. By letting employees set their own hours, companies can help their workers better balance their work duties with their personal, social, and family obligations </w:t>
      </w:r>
      <w:r w:rsidRPr="00504F2C">
        <w:rPr>
          <w:rFonts w:ascii="Times New Roman" w:hAnsi="Times New Roman" w:cs="Times New Roman"/>
          <w:color w:val="222222"/>
          <w:sz w:val="24"/>
          <w:szCs w:val="24"/>
          <w:shd w:val="clear" w:color="auto" w:fill="FFFFFF"/>
        </w:rPr>
        <w:t>(Snell and Morris, 2019)</w:t>
      </w:r>
      <w:r w:rsidRPr="00504F2C">
        <w:rPr>
          <w:rFonts w:ascii="Times New Roman" w:eastAsia="Times New Roman" w:hAnsi="Times New Roman" w:cs="Times New Roman"/>
          <w:color w:val="000000"/>
          <w:sz w:val="24"/>
          <w:szCs w:val="24"/>
        </w:rPr>
        <w:t>. This not only makes people happier with their jobs, but it also keeps them from getting burned out and stressed, which is good for keeping employees.</w:t>
      </w:r>
    </w:p>
    <w:p w14:paraId="25AD2A9C" w14:textId="77777777" w:rsidR="0071040B" w:rsidRPr="00504F2C" w:rsidRDefault="0071040B" w:rsidP="0071040B">
      <w:pPr>
        <w:pStyle w:val="ListParagraph"/>
        <w:numPr>
          <w:ilvl w:val="0"/>
          <w:numId w:val="6"/>
        </w:numPr>
      </w:pPr>
      <w:r w:rsidRPr="00504F2C">
        <w:rPr>
          <w:rFonts w:ascii="Times New Roman" w:eastAsia="Times New Roman" w:hAnsi="Times New Roman" w:cs="Times New Roman"/>
          <w:color w:val="000000"/>
          <w:sz w:val="24"/>
          <w:szCs w:val="24"/>
        </w:rPr>
        <w:t xml:space="preserve">Enhanced Productivity and Employee Well-being: Flexible work arrangements can make employees much more productive and improve their general health and happiness. When people don't have to work from 9 to 5, they can work when they're most efficient, which gives them a sense of independence </w:t>
      </w:r>
      <w:r w:rsidRPr="00504F2C">
        <w:rPr>
          <w:rFonts w:ascii="Times New Roman" w:hAnsi="Times New Roman" w:cs="Times New Roman"/>
          <w:color w:val="222222"/>
          <w:sz w:val="24"/>
          <w:szCs w:val="24"/>
          <w:shd w:val="clear" w:color="auto" w:fill="FFFFFF"/>
        </w:rPr>
        <w:t>(Wirtz  and Lovelock,  2021)</w:t>
      </w:r>
      <w:r w:rsidRPr="00504F2C">
        <w:rPr>
          <w:rFonts w:ascii="Times New Roman" w:eastAsia="Times New Roman" w:hAnsi="Times New Roman" w:cs="Times New Roman"/>
          <w:color w:val="000000"/>
          <w:sz w:val="24"/>
          <w:szCs w:val="24"/>
        </w:rPr>
        <w:t>. Also, less time spent travelling and the stress that comes with it is good for your physical and mental health.</w:t>
      </w:r>
    </w:p>
    <w:p w14:paraId="7F4868BA" w14:textId="77777777" w:rsidR="0071040B" w:rsidRPr="00504F2C" w:rsidRDefault="0071040B" w:rsidP="0071040B">
      <w:pPr>
        <w:pStyle w:val="ListParagraph"/>
        <w:numPr>
          <w:ilvl w:val="0"/>
          <w:numId w:val="6"/>
        </w:numPr>
      </w:pPr>
      <w:r w:rsidRPr="00504F2C">
        <w:rPr>
          <w:rFonts w:ascii="Times New Roman" w:eastAsia="Times New Roman" w:hAnsi="Times New Roman" w:cs="Times New Roman"/>
          <w:color w:val="000000"/>
          <w:sz w:val="24"/>
          <w:szCs w:val="24"/>
        </w:rPr>
        <w:t xml:space="preserve">Cost Savings: Using flexible working arrangements can also help both workers and the company save a lot of money. Less need for office space, lower energy costs, and lower transportation costs all add up to more economic efficiency </w:t>
      </w:r>
      <w:r w:rsidRPr="00504F2C">
        <w:rPr>
          <w:rFonts w:ascii="Times New Roman" w:hAnsi="Times New Roman" w:cs="Times New Roman"/>
          <w:color w:val="222222"/>
          <w:sz w:val="24"/>
          <w:szCs w:val="24"/>
          <w:shd w:val="clear" w:color="auto" w:fill="FFFFFF"/>
        </w:rPr>
        <w:t>(Stewart and Brown,  2019)</w:t>
      </w:r>
      <w:r w:rsidRPr="00504F2C">
        <w:rPr>
          <w:rFonts w:ascii="Times New Roman" w:eastAsia="Times New Roman" w:hAnsi="Times New Roman" w:cs="Times New Roman"/>
          <w:color w:val="000000"/>
          <w:sz w:val="24"/>
          <w:szCs w:val="24"/>
        </w:rPr>
        <w:t xml:space="preserve">. This fits well with </w:t>
      </w:r>
      <w:proofErr w:type="spellStart"/>
      <w:r w:rsidRPr="00504F2C">
        <w:rPr>
          <w:rFonts w:ascii="Times New Roman" w:eastAsia="Times New Roman" w:hAnsi="Times New Roman" w:cs="Times New Roman"/>
          <w:color w:val="000000"/>
          <w:sz w:val="24"/>
          <w:szCs w:val="24"/>
        </w:rPr>
        <w:t>FitLyfe's</w:t>
      </w:r>
      <w:proofErr w:type="spellEnd"/>
      <w:r w:rsidRPr="00504F2C">
        <w:rPr>
          <w:rFonts w:ascii="Times New Roman" w:eastAsia="Times New Roman" w:hAnsi="Times New Roman" w:cs="Times New Roman"/>
          <w:color w:val="000000"/>
          <w:sz w:val="24"/>
          <w:szCs w:val="24"/>
        </w:rPr>
        <w:t xml:space="preserve"> drive to being environmentally friendly and smart with money.</w:t>
      </w:r>
    </w:p>
    <w:p w14:paraId="17E6A168" w14:textId="77777777" w:rsidR="0071040B" w:rsidRDefault="0071040B" w:rsidP="0071040B">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Challenges:</w:t>
      </w:r>
    </w:p>
    <w:p w14:paraId="05CAD399" w14:textId="77777777" w:rsidR="0071040B" w:rsidRDefault="0071040B" w:rsidP="0071040B">
      <w:pPr>
        <w:pStyle w:val="Normal1"/>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lastRenderedPageBreak/>
        <w:t xml:space="preserve">Communication Problems: While flexible working creates new opportunities for teamwork using digital tools, it also creates communication problems. When people don't talk to each other in person, it can lead to misunderstandings, less teamwork, and feeling alone. To get past these problems,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needs to spend money on strong communication tools and training.</w:t>
      </w:r>
    </w:p>
    <w:p w14:paraId="51244CA1" w14:textId="2837C419" w:rsidR="0071040B" w:rsidRDefault="0071040B" w:rsidP="0071040B">
      <w:pPr>
        <w:pStyle w:val="Normal1"/>
        <w:numPr>
          <w:ilvl w:val="0"/>
          <w:numId w:val="1"/>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Monitoring Employee Performance: It can be hard to keep an eye on the work of </w:t>
      </w:r>
      <w:r w:rsidR="00AA563F">
        <w:rPr>
          <w:rFonts w:ascii="Times New Roman" w:eastAsia="Times New Roman" w:hAnsi="Times New Roman" w:cs="Times New Roman"/>
          <w:color w:val="000000"/>
          <w:sz w:val="24"/>
          <w:szCs w:val="24"/>
        </w:rPr>
        <w:t>employees that</w:t>
      </w:r>
      <w:r>
        <w:rPr>
          <w:rFonts w:ascii="Times New Roman" w:eastAsia="Times New Roman" w:hAnsi="Times New Roman" w:cs="Times New Roman"/>
          <w:color w:val="000000"/>
          <w:sz w:val="24"/>
          <w:szCs w:val="24"/>
        </w:rPr>
        <w:t xml:space="preserve"> work from home or in different ways. Employers need to be able to measure productivity in a useful way, which usually means moving away from standard performance metrics and towards methods that focus more on results. Setting clear goals for success is a key part of holding people accountable.</w:t>
      </w:r>
    </w:p>
    <w:p w14:paraId="789C913B" w14:textId="77777777" w:rsidR="0071040B" w:rsidRDefault="0071040B" w:rsidP="0071040B">
      <w:pPr>
        <w:pStyle w:val="Normal1"/>
        <w:numPr>
          <w:ilvl w:val="0"/>
          <w:numId w:val="1"/>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Potential for Unequal Treatment: If you start using flexible working hours without planning ahead, you might treat some workers differently. This could make people angry and cause problems at work.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needs to make its rules clear, make sure that everyone has the same amount of freedom, and keep an eye on things to make sure there is no favouritism.</w:t>
      </w:r>
    </w:p>
    <w:p w14:paraId="297C6EFC" w14:textId="77777777" w:rsidR="0071040B" w:rsidRDefault="0071040B" w:rsidP="0071040B">
      <w:pPr>
        <w:pStyle w:val="Heading2"/>
        <w:spacing w:after="240"/>
        <w:rPr>
          <w:rFonts w:ascii="Times New Roman" w:eastAsia="Times New Roman" w:hAnsi="Times New Roman" w:cs="Times New Roman"/>
          <w:sz w:val="24"/>
          <w:szCs w:val="24"/>
        </w:rPr>
      </w:pPr>
      <w:bookmarkStart w:id="3" w:name="_3znysh7" w:colFirst="0" w:colLast="0"/>
      <w:bookmarkEnd w:id="3"/>
      <w:r>
        <w:rPr>
          <w:rFonts w:ascii="Times New Roman" w:eastAsia="Times New Roman" w:hAnsi="Times New Roman" w:cs="Times New Roman"/>
          <w:b/>
          <w:color w:val="000000"/>
          <w:sz w:val="24"/>
          <w:szCs w:val="24"/>
          <w:u w:val="single"/>
        </w:rPr>
        <w:t>Considerations for Implementation</w:t>
      </w:r>
    </w:p>
    <w:p w14:paraId="25BA7844" w14:textId="77777777" w:rsidR="0071040B" w:rsidRPr="00504F2C" w:rsidRDefault="0071040B" w:rsidP="0071040B">
      <w:r>
        <w:rPr>
          <w:rFonts w:ascii="Times New Roman" w:eastAsia="Times New Roman" w:hAnsi="Times New Roman" w:cs="Times New Roman"/>
          <w:sz w:val="24"/>
          <w:szCs w:val="24"/>
        </w:rPr>
        <w:t xml:space="preserve">There are a number of important considerations that both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xml:space="preserve"> as a whole and its Human Resources (HR) department must carefully consider before taking the plunge into implementing flexible working practises </w:t>
      </w:r>
      <w:r>
        <w:rPr>
          <w:rFonts w:ascii="Times New Roman" w:hAnsi="Times New Roman" w:cs="Times New Roman"/>
          <w:color w:val="222222"/>
          <w:sz w:val="24"/>
          <w:szCs w:val="24"/>
          <w:shd w:val="clear" w:color="auto" w:fill="FFFFFF"/>
        </w:rPr>
        <w:t>(S</w:t>
      </w:r>
      <w:r w:rsidRPr="00504F2C">
        <w:rPr>
          <w:rFonts w:ascii="Times New Roman" w:hAnsi="Times New Roman" w:cs="Times New Roman"/>
          <w:color w:val="222222"/>
          <w:sz w:val="24"/>
          <w:szCs w:val="24"/>
          <w:shd w:val="clear" w:color="auto" w:fill="FFFFFF"/>
        </w:rPr>
        <w:t>un</w:t>
      </w:r>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Bunchapattanasakda</w:t>
      </w:r>
      <w:proofErr w:type="spellEnd"/>
      <w:r>
        <w:rPr>
          <w:rFonts w:ascii="Times New Roman" w:hAnsi="Times New Roman" w:cs="Times New Roman"/>
          <w:color w:val="222222"/>
          <w:sz w:val="24"/>
          <w:szCs w:val="24"/>
          <w:shd w:val="clear" w:color="auto" w:fill="FFFFFF"/>
        </w:rPr>
        <w:t>,</w:t>
      </w:r>
      <w:r w:rsidRPr="00504F2C">
        <w:rPr>
          <w:rFonts w:ascii="Times New Roman" w:hAnsi="Times New Roman" w:cs="Times New Roman"/>
          <w:color w:val="222222"/>
          <w:sz w:val="24"/>
          <w:szCs w:val="24"/>
          <w:shd w:val="clear" w:color="auto" w:fill="FFFFFF"/>
        </w:rPr>
        <w:t xml:space="preserve"> 2019</w:t>
      </w:r>
      <w:r>
        <w:rPr>
          <w:rFonts w:ascii="Times New Roman" w:hAnsi="Times New Roman" w:cs="Times New Roman"/>
          <w:color w:val="222222"/>
          <w:sz w:val="24"/>
          <w:szCs w:val="24"/>
          <w:shd w:val="clear" w:color="auto" w:fill="FFFFFF"/>
        </w:rPr>
        <w:t>)</w:t>
      </w:r>
      <w:r>
        <w:rPr>
          <w:rFonts w:ascii="Times New Roman" w:eastAsia="Times New Roman" w:hAnsi="Times New Roman" w:cs="Times New Roman"/>
          <w:sz w:val="24"/>
          <w:szCs w:val="24"/>
        </w:rPr>
        <w:t>. The alignment with the company's culture and values, adherence to legal and regulatory requirements, evaluation of employee preferences and roles suitable for flexibility, examination of the communication and technology infrastructure, and establishment of a framework for performance measurement and accountability are just a few of these considerations.</w:t>
      </w:r>
    </w:p>
    <w:p w14:paraId="7DA47D73" w14:textId="77777777" w:rsidR="0071040B" w:rsidRPr="00504F2C" w:rsidRDefault="0071040B" w:rsidP="0071040B">
      <w:pPr>
        <w:pStyle w:val="ListParagraph"/>
        <w:numPr>
          <w:ilvl w:val="0"/>
          <w:numId w:val="7"/>
        </w:numPr>
      </w:pPr>
      <w:r w:rsidRPr="00504F2C">
        <w:rPr>
          <w:rFonts w:ascii="Times New Roman" w:eastAsia="Times New Roman" w:hAnsi="Times New Roman" w:cs="Times New Roman"/>
          <w:color w:val="000000"/>
          <w:sz w:val="24"/>
          <w:szCs w:val="24"/>
        </w:rPr>
        <w:t xml:space="preserve">Company Culture and Values Alignment: One of the most important things to think about when putting in place flexible working options is making sure they fit with </w:t>
      </w:r>
      <w:proofErr w:type="spellStart"/>
      <w:r w:rsidRPr="00504F2C">
        <w:rPr>
          <w:rFonts w:ascii="Times New Roman" w:eastAsia="Times New Roman" w:hAnsi="Times New Roman" w:cs="Times New Roman"/>
          <w:color w:val="000000"/>
          <w:sz w:val="24"/>
          <w:szCs w:val="24"/>
        </w:rPr>
        <w:t>FitLyfe's</w:t>
      </w:r>
      <w:proofErr w:type="spellEnd"/>
      <w:r w:rsidRPr="00504F2C">
        <w:rPr>
          <w:rFonts w:ascii="Times New Roman" w:eastAsia="Times New Roman" w:hAnsi="Times New Roman" w:cs="Times New Roman"/>
          <w:color w:val="000000"/>
          <w:sz w:val="24"/>
          <w:szCs w:val="24"/>
        </w:rPr>
        <w:t xml:space="preserve"> existing company culture and core values. Any change from the regular way things are done can cause problems and errors in the workplace </w:t>
      </w:r>
      <w:r w:rsidRPr="00504F2C">
        <w:rPr>
          <w:rFonts w:ascii="Times New Roman" w:hAnsi="Times New Roman" w:cs="Times New Roman"/>
          <w:color w:val="222222"/>
          <w:sz w:val="24"/>
          <w:szCs w:val="24"/>
          <w:shd w:val="clear" w:color="auto" w:fill="FFFFFF"/>
        </w:rPr>
        <w:t>(Kwon and Kim, 2020)</w:t>
      </w:r>
      <w:r w:rsidRPr="00504F2C">
        <w:rPr>
          <w:rFonts w:ascii="Times New Roman" w:eastAsia="Times New Roman" w:hAnsi="Times New Roman" w:cs="Times New Roman"/>
          <w:color w:val="000000"/>
          <w:sz w:val="24"/>
          <w:szCs w:val="24"/>
        </w:rPr>
        <w:t xml:space="preserve">. It is important to see if flexible working fits with </w:t>
      </w:r>
      <w:proofErr w:type="spellStart"/>
      <w:r w:rsidRPr="00504F2C">
        <w:rPr>
          <w:rFonts w:ascii="Times New Roman" w:eastAsia="Times New Roman" w:hAnsi="Times New Roman" w:cs="Times New Roman"/>
          <w:color w:val="000000"/>
          <w:sz w:val="24"/>
          <w:szCs w:val="24"/>
        </w:rPr>
        <w:t>FitLyfe's</w:t>
      </w:r>
      <w:proofErr w:type="spellEnd"/>
      <w:r w:rsidRPr="00504F2C">
        <w:rPr>
          <w:rFonts w:ascii="Times New Roman" w:eastAsia="Times New Roman" w:hAnsi="Times New Roman" w:cs="Times New Roman"/>
          <w:color w:val="000000"/>
          <w:sz w:val="24"/>
          <w:szCs w:val="24"/>
        </w:rPr>
        <w:t xml:space="preserve"> overall corporate culture, mission, and vision.</w:t>
      </w:r>
    </w:p>
    <w:p w14:paraId="2A6DA030" w14:textId="77777777" w:rsidR="0071040B" w:rsidRDefault="0071040B" w:rsidP="0071040B">
      <w:pPr>
        <w:pStyle w:val="Normal1"/>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Legal and Regulatory Compliance: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must strictly follow the legal and regulatory rules that come with flexible working. This means following rules about things like labour, taxes, health and safety, and data protection, among other things. Not doing so can get you into trouble with the law and hurt your image.</w:t>
      </w:r>
    </w:p>
    <w:p w14:paraId="4AA70B35" w14:textId="77777777" w:rsidR="0071040B" w:rsidRDefault="0071040B" w:rsidP="0071040B">
      <w:pPr>
        <w:pStyle w:val="Normal1"/>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Employee Preferences and Roles Suitable for Flexibility: It's possible that not all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jobs will allow for flexible hours. Because of this, it is very important to find </w:t>
      </w:r>
      <w:r>
        <w:rPr>
          <w:rFonts w:ascii="Times New Roman" w:eastAsia="Times New Roman" w:hAnsi="Times New Roman" w:cs="Times New Roman"/>
          <w:color w:val="000000"/>
          <w:sz w:val="24"/>
          <w:szCs w:val="24"/>
        </w:rPr>
        <w:lastRenderedPageBreak/>
        <w:t>jobs that can be done from home or with flexible hours, and to also take into account what each employee wants. A thorough study of roles and a survey of employees can help figure out which roles can be changed the most.</w:t>
      </w:r>
    </w:p>
    <w:p w14:paraId="0565CBD2" w14:textId="77777777" w:rsidR="0071040B" w:rsidRDefault="0071040B" w:rsidP="0071040B">
      <w:pPr>
        <w:pStyle w:val="Normal1"/>
        <w:numPr>
          <w:ilvl w:val="0"/>
          <w:numId w:val="2"/>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Communication and Technology Infrastructure: A strong communication and technology infrastructure is essential for putting flexible working into action.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needs to make sure that its workers have access to the tools, software, and help they need to do their jobs well from home. This includes safe ways to send data, hold virtual meetings, and get help with any technical problems that might come up.</w:t>
      </w:r>
    </w:p>
    <w:p w14:paraId="2D48E96B" w14:textId="77777777" w:rsidR="0071040B" w:rsidRDefault="0071040B" w:rsidP="0071040B">
      <w:pPr>
        <w:pStyle w:val="Normal1"/>
        <w:numPr>
          <w:ilvl w:val="0"/>
          <w:numId w:val="2"/>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 xml:space="preserve">Performance Measurement and Accountability: Setting clear performance measurement measures and making sure people are accountable is a key part of implementing flexible working successfully.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needs to decide how to evaluate employee success, come up with key performance indicators, and make clear what needs to be done. Set up ways for employees to get feedback and check in on a regular basis to make sure they stay on track and are responsible for their job.</w:t>
      </w:r>
    </w:p>
    <w:p w14:paraId="612F7533" w14:textId="77777777" w:rsidR="0071040B" w:rsidRDefault="0071040B" w:rsidP="0071040B">
      <w:pPr>
        <w:pStyle w:val="Heading2"/>
        <w:spacing w:after="240"/>
        <w:rPr>
          <w:rFonts w:ascii="Times New Roman" w:eastAsia="Times New Roman" w:hAnsi="Times New Roman" w:cs="Times New Roman"/>
          <w:b/>
          <w:color w:val="000000"/>
          <w:sz w:val="24"/>
          <w:szCs w:val="24"/>
          <w:u w:val="single"/>
        </w:rPr>
      </w:pPr>
      <w:bookmarkStart w:id="4" w:name="_2et92p0" w:colFirst="0" w:colLast="0"/>
      <w:bookmarkEnd w:id="4"/>
      <w:r>
        <w:rPr>
          <w:rFonts w:ascii="Times New Roman" w:eastAsia="Times New Roman" w:hAnsi="Times New Roman" w:cs="Times New Roman"/>
          <w:b/>
          <w:color w:val="000000"/>
          <w:sz w:val="24"/>
          <w:szCs w:val="24"/>
          <w:u w:val="single"/>
        </w:rPr>
        <w:t>Reconfiguring Pay Structure</w:t>
      </w:r>
    </w:p>
    <w:p w14:paraId="74B022BB" w14:textId="77777777" w:rsidR="0071040B" w:rsidRDefault="0071040B" w:rsidP="0071040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xml:space="preserve"> is now offering flexible work hours, the company's pay structure needs to be carefully looked at to make sure it fits with the new way of working. This reorganisation is necessary to keep the organisation fair and equitable, motivate workers, and show appreciation for their work.</w:t>
      </w:r>
    </w:p>
    <w:p w14:paraId="24314DC8" w14:textId="77777777" w:rsidR="0071040B" w:rsidRPr="00504F2C" w:rsidRDefault="0071040B" w:rsidP="0071040B">
      <w:pPr>
        <w:pStyle w:val="ListParagraph"/>
        <w:numPr>
          <w:ilvl w:val="0"/>
          <w:numId w:val="7"/>
        </w:numPr>
      </w:pPr>
      <w:r w:rsidRPr="00504F2C">
        <w:rPr>
          <w:rFonts w:ascii="Times New Roman" w:eastAsia="Times New Roman" w:hAnsi="Times New Roman" w:cs="Times New Roman"/>
          <w:color w:val="000000"/>
          <w:sz w:val="24"/>
          <w:szCs w:val="24"/>
        </w:rPr>
        <w:t xml:space="preserve">Market-Based Compensation: Since </w:t>
      </w:r>
      <w:proofErr w:type="spellStart"/>
      <w:r w:rsidRPr="00504F2C">
        <w:rPr>
          <w:rFonts w:ascii="Times New Roman" w:eastAsia="Times New Roman" w:hAnsi="Times New Roman" w:cs="Times New Roman"/>
          <w:color w:val="000000"/>
          <w:sz w:val="24"/>
          <w:szCs w:val="24"/>
        </w:rPr>
        <w:t>FitLyfe</w:t>
      </w:r>
      <w:proofErr w:type="spellEnd"/>
      <w:r w:rsidRPr="00504F2C">
        <w:rPr>
          <w:rFonts w:ascii="Times New Roman" w:eastAsia="Times New Roman" w:hAnsi="Times New Roman" w:cs="Times New Roman"/>
          <w:color w:val="000000"/>
          <w:sz w:val="24"/>
          <w:szCs w:val="24"/>
        </w:rPr>
        <w:t xml:space="preserve"> offers flexible work, they should think about using a market-based pay method. This means paying workers based on normal rates in the industry and the local market for their jobs </w:t>
      </w:r>
      <w:r w:rsidRPr="00504F2C">
        <w:rPr>
          <w:rFonts w:ascii="Times New Roman" w:hAnsi="Times New Roman" w:cs="Times New Roman"/>
          <w:color w:val="222222"/>
          <w:sz w:val="24"/>
          <w:szCs w:val="24"/>
          <w:shd w:val="clear" w:color="auto" w:fill="FFFFFF"/>
        </w:rPr>
        <w:t>(Saks,  2019)</w:t>
      </w:r>
      <w:r w:rsidRPr="00504F2C">
        <w:rPr>
          <w:rFonts w:ascii="Times New Roman" w:eastAsia="Times New Roman" w:hAnsi="Times New Roman" w:cs="Times New Roman"/>
          <w:color w:val="000000"/>
          <w:sz w:val="24"/>
          <w:szCs w:val="24"/>
        </w:rPr>
        <w:t xml:space="preserve">. Market-based pay helps get and keep good employees, especially in a competitive field like nutrition and exercise services. </w:t>
      </w:r>
      <w:proofErr w:type="spellStart"/>
      <w:r w:rsidRPr="00504F2C">
        <w:rPr>
          <w:rFonts w:ascii="Times New Roman" w:eastAsia="Times New Roman" w:hAnsi="Times New Roman" w:cs="Times New Roman"/>
          <w:color w:val="000000"/>
          <w:sz w:val="24"/>
          <w:szCs w:val="24"/>
        </w:rPr>
        <w:t>FitLyfe</w:t>
      </w:r>
      <w:proofErr w:type="spellEnd"/>
      <w:r w:rsidRPr="00504F2C">
        <w:rPr>
          <w:rFonts w:ascii="Times New Roman" w:eastAsia="Times New Roman" w:hAnsi="Times New Roman" w:cs="Times New Roman"/>
          <w:color w:val="000000"/>
          <w:sz w:val="24"/>
          <w:szCs w:val="24"/>
        </w:rPr>
        <w:t xml:space="preserve"> should do compensation benchmarking on a daily basis to make sure that its pay rates stay competitive.</w:t>
      </w:r>
    </w:p>
    <w:p w14:paraId="1281B013" w14:textId="77777777" w:rsidR="0071040B" w:rsidRDefault="0071040B" w:rsidP="0071040B">
      <w:pPr>
        <w:pStyle w:val="Normal1"/>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Pay-for-Performance Models: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might want to use pay-for-performance models to reward and encourage workers for their hard work. In these types of systems, workers are paid based on how well they do their job, which could include KPIs and goals that are set to support the business's overall goals. Pay-for-performance models encourage a sense of ownership, responsibility, and a clear link between work and benefits.</w:t>
      </w:r>
    </w:p>
    <w:p w14:paraId="144C8825" w14:textId="77777777" w:rsidR="0071040B" w:rsidRDefault="0071040B" w:rsidP="0071040B">
      <w:pPr>
        <w:pStyle w:val="Normal1"/>
        <w:numPr>
          <w:ilvl w:val="0"/>
          <w:numId w:val="3"/>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Bonuses and incentives: In the world of flexible work, it's important to keep the things that keep workers motivated and interested.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can add performance-based bonuses and other incentives that are tied to certain goals and successes. These bonuses </w:t>
      </w:r>
      <w:r>
        <w:rPr>
          <w:rFonts w:ascii="Times New Roman" w:eastAsia="Times New Roman" w:hAnsi="Times New Roman" w:cs="Times New Roman"/>
          <w:color w:val="000000"/>
          <w:sz w:val="24"/>
          <w:szCs w:val="24"/>
        </w:rPr>
        <w:lastRenderedPageBreak/>
        <w:t>can be very effective ways to keep employees committed to the company's goals, boost morale, and push them to do their best work.</w:t>
      </w:r>
    </w:p>
    <w:p w14:paraId="570FB29B" w14:textId="77777777" w:rsidR="0071040B" w:rsidRDefault="0071040B" w:rsidP="0071040B">
      <w:pPr>
        <w:pStyle w:val="Normal1"/>
        <w:numPr>
          <w:ilvl w:val="0"/>
          <w:numId w:val="3"/>
        </w:numPr>
        <w:pBdr>
          <w:top w:val="nil"/>
          <w:left w:val="nil"/>
          <w:bottom w:val="nil"/>
          <w:right w:val="nil"/>
          <w:between w:val="nil"/>
        </w:pBdr>
        <w:spacing w:line="360" w:lineRule="auto"/>
        <w:jc w:val="both"/>
        <w:rPr>
          <w:color w:val="000000"/>
          <w:sz w:val="24"/>
          <w:szCs w:val="24"/>
        </w:rPr>
      </w:pPr>
      <w:bookmarkStart w:id="5" w:name="_17dp8vu" w:colFirst="0" w:colLast="0"/>
      <w:bookmarkEnd w:id="5"/>
      <w:r>
        <w:rPr>
          <w:rFonts w:ascii="Times New Roman" w:eastAsia="Times New Roman" w:hAnsi="Times New Roman" w:cs="Times New Roman"/>
          <w:color w:val="000000"/>
          <w:sz w:val="24"/>
          <w:szCs w:val="24"/>
        </w:rPr>
        <w:t xml:space="preserve">Equity and Fairness: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needs to be careful about equity and fairness as it changes its pay structure. Pay gaps or favouritism shouldn't result from flexible working arrangements. The HR staff should make it clear who is eligible for incentives, bonuses, and pay raises based on how much they contribute and how well they meet performance standards. </w:t>
      </w:r>
    </w:p>
    <w:p w14:paraId="1043C2DF" w14:textId="77777777" w:rsidR="0071040B" w:rsidRDefault="0071040B" w:rsidP="0071040B">
      <w:pPr>
        <w:pStyle w:val="Heading2"/>
        <w:spacing w:after="240"/>
        <w:rPr>
          <w:rFonts w:ascii="Times New Roman" w:eastAsia="Times New Roman" w:hAnsi="Times New Roman" w:cs="Times New Roman"/>
          <w:b/>
          <w:color w:val="000000"/>
          <w:sz w:val="24"/>
          <w:szCs w:val="24"/>
          <w:u w:val="single"/>
        </w:rPr>
      </w:pPr>
      <w:bookmarkStart w:id="6" w:name="_tyjcwt" w:colFirst="0" w:colLast="0"/>
      <w:bookmarkEnd w:id="6"/>
      <w:r>
        <w:rPr>
          <w:rFonts w:ascii="Times New Roman" w:eastAsia="Times New Roman" w:hAnsi="Times New Roman" w:cs="Times New Roman"/>
          <w:b/>
          <w:color w:val="000000"/>
          <w:sz w:val="24"/>
          <w:szCs w:val="24"/>
          <w:u w:val="single"/>
        </w:rPr>
        <w:t>Strategies for Employee Engagement</w:t>
      </w:r>
    </w:p>
    <w:p w14:paraId="1297A155" w14:textId="77777777" w:rsidR="0071040B" w:rsidRDefault="0071040B" w:rsidP="0071040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era of lean work schedules, promoting employee engagement is a key goal for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To maintain a motivated and engaged workforce, HR needs to consider engagement and development strategies when implementing flexible work practices.</w:t>
      </w:r>
    </w:p>
    <w:p w14:paraId="5E14F5D2" w14:textId="77777777" w:rsidR="0071040B" w:rsidRDefault="0071040B" w:rsidP="0071040B">
      <w:pPr>
        <w:pStyle w:val="Normal1"/>
        <w:numPr>
          <w:ilvl w:val="0"/>
          <w:numId w:val="4"/>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Regular Communication and Feedback Channels: Effective communication is the foundation of engagement.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needs to ensure that its employees can talk to each other regularly, openly and transparently so that everyone stays updated and connected. We can do this through regular team meetings, one-on-one check-ins and talking to people via email, chat rooms and video calls. Employees can voice concerns, share ideas, and remain aligned with project goals and objectives while being provided with open and consistent feedback.</w:t>
      </w:r>
    </w:p>
    <w:p w14:paraId="65275F1D" w14:textId="77777777" w:rsidR="0071040B" w:rsidRPr="007F015D" w:rsidRDefault="0071040B" w:rsidP="0071040B">
      <w:pPr>
        <w:pStyle w:val="ListParagraph"/>
        <w:numPr>
          <w:ilvl w:val="0"/>
          <w:numId w:val="4"/>
        </w:numPr>
      </w:pPr>
      <w:r w:rsidRPr="007F015D">
        <w:rPr>
          <w:rFonts w:ascii="Times New Roman" w:eastAsia="Times New Roman" w:hAnsi="Times New Roman" w:cs="Times New Roman"/>
          <w:color w:val="000000"/>
          <w:sz w:val="24"/>
          <w:szCs w:val="24"/>
        </w:rPr>
        <w:t xml:space="preserve">Training and Development Opportunities: </w:t>
      </w:r>
      <w:proofErr w:type="spellStart"/>
      <w:r w:rsidRPr="007F015D">
        <w:rPr>
          <w:rFonts w:ascii="Times New Roman" w:eastAsia="Times New Roman" w:hAnsi="Times New Roman" w:cs="Times New Roman"/>
          <w:color w:val="000000"/>
          <w:sz w:val="24"/>
          <w:szCs w:val="24"/>
        </w:rPr>
        <w:t>FitLyfe</w:t>
      </w:r>
      <w:proofErr w:type="spellEnd"/>
      <w:r w:rsidRPr="007F015D">
        <w:rPr>
          <w:rFonts w:ascii="Times New Roman" w:eastAsia="Times New Roman" w:hAnsi="Times New Roman" w:cs="Times New Roman"/>
          <w:color w:val="000000"/>
          <w:sz w:val="24"/>
          <w:szCs w:val="24"/>
        </w:rPr>
        <w:t xml:space="preserve"> should provide opportunities for training and development to keep staff members motivated and growing in their positions. In addition to improving workers' abilities, ongoing education shows a company's dedication to their development </w:t>
      </w:r>
      <w:r w:rsidRPr="007F015D">
        <w:rPr>
          <w:rFonts w:ascii="Times New Roman" w:hAnsi="Times New Roman" w:cs="Times New Roman"/>
          <w:color w:val="222222"/>
          <w:sz w:val="24"/>
          <w:szCs w:val="24"/>
          <w:shd w:val="clear" w:color="auto" w:fill="FFFFFF"/>
        </w:rPr>
        <w:t>(Saks, 2022)</w:t>
      </w:r>
      <w:r w:rsidRPr="007F015D">
        <w:rPr>
          <w:rFonts w:ascii="Times New Roman" w:eastAsia="Times New Roman" w:hAnsi="Times New Roman" w:cs="Times New Roman"/>
          <w:color w:val="000000"/>
          <w:sz w:val="24"/>
          <w:szCs w:val="24"/>
        </w:rPr>
        <w:t>. This can involve giving staff members the tools they need to succeed in a fast-paced workplace through online courses, workshops, certifications, and mentoring programmes.</w:t>
      </w:r>
    </w:p>
    <w:p w14:paraId="3278D5F8" w14:textId="77777777" w:rsidR="0071040B" w:rsidRDefault="0071040B" w:rsidP="0071040B">
      <w:pPr>
        <w:pStyle w:val="Normal1"/>
        <w:numPr>
          <w:ilvl w:val="0"/>
          <w:numId w:val="4"/>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Recognition and Rewards: In the context of flexible working, it is critical to acknowledge and incentivize employee accomplishments.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is able to put in place an official recognition programme to honour both individual and group accomplishments. This may entail rewards, commendation, or even financial incentives. Even while working remotely, praising colleagues' accomplishments increases their enthusiasm, morale, and sense of community.</w:t>
      </w:r>
    </w:p>
    <w:p w14:paraId="60B55D4A" w14:textId="77777777" w:rsidR="0071040B" w:rsidRDefault="0071040B" w:rsidP="0071040B">
      <w:pPr>
        <w:pStyle w:val="Normal1"/>
        <w:numPr>
          <w:ilvl w:val="0"/>
          <w:numId w:val="4"/>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Team-Building Activities: While remote work may cause physical separation between team members, emotional separation shouldn't result from it either. Whether they are conducted virtually or in person, team-building exercises can promote a feeling of unity.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can plan frequent team-building activities, seminars, and social </w:t>
      </w:r>
      <w:r>
        <w:rPr>
          <w:rFonts w:ascii="Times New Roman" w:eastAsia="Times New Roman" w:hAnsi="Times New Roman" w:cs="Times New Roman"/>
          <w:color w:val="000000"/>
          <w:sz w:val="24"/>
          <w:szCs w:val="24"/>
        </w:rPr>
        <w:lastRenderedPageBreak/>
        <w:t>gatherings to foster camaraderie, fortify bonds, and encourage cooperation among staff members.</w:t>
      </w:r>
    </w:p>
    <w:p w14:paraId="28C8C3B0" w14:textId="77777777" w:rsidR="0071040B" w:rsidRPr="007F015D" w:rsidRDefault="0071040B" w:rsidP="0071040B">
      <w:pPr>
        <w:pStyle w:val="ListParagraph"/>
        <w:numPr>
          <w:ilvl w:val="0"/>
          <w:numId w:val="4"/>
        </w:numPr>
      </w:pPr>
      <w:r w:rsidRPr="007F015D">
        <w:rPr>
          <w:rFonts w:ascii="Times New Roman" w:eastAsia="Times New Roman" w:hAnsi="Times New Roman" w:cs="Times New Roman"/>
          <w:color w:val="000000"/>
          <w:sz w:val="24"/>
          <w:szCs w:val="24"/>
        </w:rPr>
        <w:t xml:space="preserve">Monitoring and Addressing Potential Issues: The HR division must keep a close eye on and promptly handle any possible problems that might result from flexible work schedules </w:t>
      </w:r>
      <w:r w:rsidRPr="007F015D">
        <w:rPr>
          <w:rFonts w:ascii="Times New Roman" w:hAnsi="Times New Roman" w:cs="Times New Roman"/>
          <w:color w:val="222222"/>
          <w:sz w:val="24"/>
          <w:szCs w:val="24"/>
          <w:shd w:val="clear" w:color="auto" w:fill="FFFFFF"/>
        </w:rPr>
        <w:t>(</w:t>
      </w:r>
      <w:proofErr w:type="spellStart"/>
      <w:r w:rsidRPr="007F015D">
        <w:rPr>
          <w:rFonts w:ascii="Times New Roman" w:hAnsi="Times New Roman" w:cs="Times New Roman"/>
          <w:color w:val="222222"/>
          <w:sz w:val="24"/>
          <w:szCs w:val="24"/>
          <w:shd w:val="clear" w:color="auto" w:fill="FFFFFF"/>
        </w:rPr>
        <w:t>Ababneh</w:t>
      </w:r>
      <w:proofErr w:type="spellEnd"/>
      <w:r w:rsidRPr="007F015D">
        <w:rPr>
          <w:rFonts w:ascii="Times New Roman" w:hAnsi="Times New Roman" w:cs="Times New Roman"/>
          <w:color w:val="222222"/>
          <w:sz w:val="24"/>
          <w:szCs w:val="24"/>
          <w:shd w:val="clear" w:color="auto" w:fill="FFFFFF"/>
        </w:rPr>
        <w:t>, 2021)</w:t>
      </w:r>
      <w:r w:rsidRPr="007F015D">
        <w:rPr>
          <w:rFonts w:ascii="Times New Roman" w:eastAsia="Times New Roman" w:hAnsi="Times New Roman" w:cs="Times New Roman"/>
          <w:color w:val="000000"/>
          <w:sz w:val="24"/>
          <w:szCs w:val="24"/>
        </w:rPr>
        <w:t>. Frequent employee check-ins can aid in identifying issues with burnout, isolation, and work-life balance. Ensuring that employees feel valued and cared for is ensured by swiftly addressing these issues and offering the appropriate support.</w:t>
      </w:r>
    </w:p>
    <w:p w14:paraId="39080EAE" w14:textId="77777777" w:rsidR="0071040B" w:rsidRDefault="0071040B" w:rsidP="0071040B">
      <w:pPr>
        <w:pStyle w:val="Heading2"/>
        <w:spacing w:after="240"/>
        <w:rPr>
          <w:rFonts w:ascii="Times New Roman" w:eastAsia="Times New Roman" w:hAnsi="Times New Roman" w:cs="Times New Roman"/>
          <w:b/>
          <w:color w:val="000000"/>
          <w:sz w:val="24"/>
          <w:szCs w:val="24"/>
          <w:u w:val="single"/>
        </w:rPr>
      </w:pPr>
      <w:bookmarkStart w:id="7" w:name="_3dy6vkm" w:colFirst="0" w:colLast="0"/>
      <w:bookmarkEnd w:id="7"/>
      <w:r>
        <w:rPr>
          <w:rFonts w:ascii="Times New Roman" w:eastAsia="Times New Roman" w:hAnsi="Times New Roman" w:cs="Times New Roman"/>
          <w:b/>
          <w:color w:val="000000"/>
          <w:sz w:val="24"/>
          <w:szCs w:val="24"/>
          <w:u w:val="single"/>
        </w:rPr>
        <w:t>Case Studies and Academic Theories</w:t>
      </w:r>
    </w:p>
    <w:p w14:paraId="0527F797" w14:textId="77777777" w:rsidR="0071040B" w:rsidRDefault="0071040B" w:rsidP="0071040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businesses have adopted flexible working successfully. Global technological behemoths such as Google and Microsoft, for example, have implemented flexible work arrangements that let workers pick where they work, which has increased worker happiness and output. IBM's move to remote work resulted in a 40% boost in productivity and a $100 million real estate cost savings. Academically speaking, theories such as Maslow's Hierarchy of Needs are relevant since they emphasise the significance of meeting psychological and </w:t>
      </w:r>
      <w:proofErr w:type="spellStart"/>
      <w:r>
        <w:rPr>
          <w:rFonts w:ascii="Times New Roman" w:eastAsia="Times New Roman" w:hAnsi="Times New Roman" w:cs="Times New Roman"/>
          <w:sz w:val="24"/>
          <w:szCs w:val="24"/>
        </w:rPr>
        <w:t>self-fulfillment</w:t>
      </w:r>
      <w:proofErr w:type="spellEnd"/>
      <w:r>
        <w:rPr>
          <w:rFonts w:ascii="Times New Roman" w:eastAsia="Times New Roman" w:hAnsi="Times New Roman" w:cs="Times New Roman"/>
          <w:sz w:val="24"/>
          <w:szCs w:val="24"/>
        </w:rPr>
        <w:t xml:space="preserve"> needs, which can be supported by flexible working arrangements by offering a sense of autonomy and a balance between work and life. According to Herzberg's Two-Factor Theory, flexible working can serve as both a "hygiene factor" and a "motivator" by lowering potential causes of unhappiness including lengthy commutes and strict timetables. Flexible working can also improve job satisfaction and performance. These theories support </w:t>
      </w:r>
      <w:proofErr w:type="spellStart"/>
      <w:r>
        <w:rPr>
          <w:rFonts w:ascii="Times New Roman" w:eastAsia="Times New Roman" w:hAnsi="Times New Roman" w:cs="Times New Roman"/>
          <w:sz w:val="24"/>
          <w:szCs w:val="24"/>
        </w:rPr>
        <w:t>FitLyfe's</w:t>
      </w:r>
      <w:proofErr w:type="spellEnd"/>
      <w:r>
        <w:rPr>
          <w:rFonts w:ascii="Times New Roman" w:eastAsia="Times New Roman" w:hAnsi="Times New Roman" w:cs="Times New Roman"/>
          <w:sz w:val="24"/>
          <w:szCs w:val="24"/>
        </w:rPr>
        <w:t xml:space="preserve"> goals of developing a flexible and driven workforce by highlighting the importance of flexible working arrangements for both organisational performance and employee well-being.</w:t>
      </w:r>
    </w:p>
    <w:p w14:paraId="69520F2E" w14:textId="77777777" w:rsidR="0071040B" w:rsidRDefault="0071040B" w:rsidP="0071040B">
      <w:pPr>
        <w:pStyle w:val="Heading2"/>
        <w:spacing w:after="240"/>
        <w:rPr>
          <w:rFonts w:ascii="Times New Roman" w:eastAsia="Times New Roman" w:hAnsi="Times New Roman" w:cs="Times New Roman"/>
          <w:b/>
          <w:color w:val="000000"/>
          <w:sz w:val="24"/>
          <w:szCs w:val="24"/>
          <w:u w:val="single"/>
        </w:rPr>
      </w:pPr>
      <w:bookmarkStart w:id="8" w:name="_1t3h5sf" w:colFirst="0" w:colLast="0"/>
      <w:bookmarkEnd w:id="8"/>
      <w:r>
        <w:rPr>
          <w:rFonts w:ascii="Times New Roman" w:eastAsia="Times New Roman" w:hAnsi="Times New Roman" w:cs="Times New Roman"/>
          <w:b/>
          <w:color w:val="000000"/>
          <w:sz w:val="24"/>
          <w:szCs w:val="24"/>
          <w:u w:val="single"/>
        </w:rPr>
        <w:t>Recommendations</w:t>
      </w:r>
    </w:p>
    <w:p w14:paraId="0C1D41D0" w14:textId="77777777" w:rsidR="0071040B" w:rsidRDefault="0071040B" w:rsidP="0071040B">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FitLyfe's</w:t>
      </w:r>
      <w:proofErr w:type="spellEnd"/>
      <w:r>
        <w:rPr>
          <w:rFonts w:ascii="Times New Roman" w:eastAsia="Times New Roman" w:hAnsi="Times New Roman" w:cs="Times New Roman"/>
          <w:sz w:val="24"/>
          <w:szCs w:val="24"/>
        </w:rPr>
        <w:t xml:space="preserve"> HR department must employ flexible working solutions with intentional purpose in light of the thorough analysis provided in this report. We provide the following crucial recommendations in order to guarantee the effective integration of these practises:</w:t>
      </w:r>
    </w:p>
    <w:p w14:paraId="597283D4" w14:textId="77777777" w:rsidR="0071040B" w:rsidRDefault="0071040B" w:rsidP="0071040B">
      <w:pPr>
        <w:pStyle w:val="Normal1"/>
        <w:numPr>
          <w:ilvl w:val="0"/>
          <w:numId w:val="5"/>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 xml:space="preserve">Align with corporate Culture: In order to promote uniformity across the entire organisation, </w:t>
      </w:r>
      <w:proofErr w:type="spellStart"/>
      <w:r>
        <w:rPr>
          <w:rFonts w:ascii="Times New Roman" w:eastAsia="Times New Roman" w:hAnsi="Times New Roman" w:cs="Times New Roman"/>
          <w:color w:val="000000"/>
          <w:sz w:val="24"/>
          <w:szCs w:val="24"/>
        </w:rPr>
        <w:t>FitLyfe</w:t>
      </w:r>
      <w:proofErr w:type="spellEnd"/>
      <w:r>
        <w:rPr>
          <w:rFonts w:ascii="Times New Roman" w:eastAsia="Times New Roman" w:hAnsi="Times New Roman" w:cs="Times New Roman"/>
          <w:color w:val="000000"/>
          <w:sz w:val="24"/>
          <w:szCs w:val="24"/>
        </w:rPr>
        <w:t xml:space="preserve"> should make sure that the implementation of flexible working hours is consistent with its established corporate culture and core values.</w:t>
      </w:r>
    </w:p>
    <w:p w14:paraId="19384FDC" w14:textId="77777777" w:rsidR="0071040B" w:rsidRDefault="0071040B" w:rsidP="0071040B">
      <w:pPr>
        <w:pStyle w:val="Normal1"/>
        <w:numPr>
          <w:ilvl w:val="0"/>
          <w:numId w:val="5"/>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t>Frequent Communication and Feedback: To keep staff members involved and connected, maintain open and transparent channels of communication. You can also encourage regular check-ins and transparent feedback channels.</w:t>
      </w:r>
    </w:p>
    <w:p w14:paraId="205C575B" w14:textId="77777777" w:rsidR="0071040B" w:rsidRDefault="0071040B" w:rsidP="0071040B">
      <w:pPr>
        <w:pStyle w:val="Normal1"/>
        <w:numPr>
          <w:ilvl w:val="0"/>
          <w:numId w:val="5"/>
        </w:numPr>
        <w:pBdr>
          <w:top w:val="nil"/>
          <w:left w:val="nil"/>
          <w:bottom w:val="nil"/>
          <w:right w:val="nil"/>
          <w:between w:val="nil"/>
        </w:pBdr>
        <w:spacing w:after="0" w:line="360" w:lineRule="auto"/>
        <w:jc w:val="both"/>
        <w:rPr>
          <w:color w:val="000000"/>
          <w:sz w:val="24"/>
          <w:szCs w:val="24"/>
        </w:rPr>
      </w:pPr>
      <w:r>
        <w:rPr>
          <w:rFonts w:ascii="Times New Roman" w:eastAsia="Times New Roman" w:hAnsi="Times New Roman" w:cs="Times New Roman"/>
          <w:color w:val="000000"/>
          <w:sz w:val="24"/>
          <w:szCs w:val="24"/>
        </w:rPr>
        <w:lastRenderedPageBreak/>
        <w:t>Performance Metrics and Accountability: To assess worker productivity and contributions, clearly define performance metrics, expectations, and accountability procedures.</w:t>
      </w:r>
    </w:p>
    <w:p w14:paraId="11900CE3" w14:textId="77777777" w:rsidR="0071040B" w:rsidRPr="007F015D" w:rsidRDefault="0071040B" w:rsidP="0071040B">
      <w:pPr>
        <w:pStyle w:val="ListParagraph"/>
        <w:numPr>
          <w:ilvl w:val="0"/>
          <w:numId w:val="5"/>
        </w:numPr>
      </w:pPr>
      <w:r w:rsidRPr="007F015D">
        <w:rPr>
          <w:rFonts w:ascii="Times New Roman" w:eastAsia="Times New Roman" w:hAnsi="Times New Roman" w:cs="Times New Roman"/>
          <w:color w:val="000000"/>
          <w:sz w:val="24"/>
          <w:szCs w:val="24"/>
        </w:rPr>
        <w:t xml:space="preserve">Training and Development: Make an investment in training and development programmes to enable staff members to flourish in their positions and promote ongoing development and adaptability </w:t>
      </w:r>
      <w:r w:rsidRPr="007F015D">
        <w:rPr>
          <w:rFonts w:ascii="Times New Roman" w:hAnsi="Times New Roman" w:cs="Times New Roman"/>
          <w:color w:val="222222"/>
          <w:sz w:val="24"/>
          <w:szCs w:val="24"/>
          <w:shd w:val="clear" w:color="auto" w:fill="FFFFFF"/>
        </w:rPr>
        <w:t>(Li and et.al.,2021)</w:t>
      </w:r>
      <w:r w:rsidRPr="007F015D">
        <w:rPr>
          <w:rFonts w:ascii="Times New Roman" w:eastAsia="Times New Roman" w:hAnsi="Times New Roman" w:cs="Times New Roman"/>
          <w:color w:val="000000"/>
          <w:sz w:val="24"/>
          <w:szCs w:val="24"/>
        </w:rPr>
        <w:t>.</w:t>
      </w:r>
    </w:p>
    <w:p w14:paraId="5E4B173C" w14:textId="77777777" w:rsidR="0071040B" w:rsidRDefault="0071040B" w:rsidP="0071040B">
      <w:pPr>
        <w:pStyle w:val="Normal1"/>
        <w:numPr>
          <w:ilvl w:val="0"/>
          <w:numId w:val="5"/>
        </w:numPr>
        <w:pBdr>
          <w:top w:val="nil"/>
          <w:left w:val="nil"/>
          <w:bottom w:val="nil"/>
          <w:right w:val="nil"/>
          <w:between w:val="nil"/>
        </w:pBdr>
        <w:spacing w:line="360" w:lineRule="auto"/>
        <w:jc w:val="both"/>
        <w:rPr>
          <w:color w:val="000000"/>
          <w:sz w:val="24"/>
          <w:szCs w:val="24"/>
        </w:rPr>
      </w:pPr>
      <w:r>
        <w:rPr>
          <w:rFonts w:ascii="Times New Roman" w:eastAsia="Times New Roman" w:hAnsi="Times New Roman" w:cs="Times New Roman"/>
          <w:color w:val="000000"/>
          <w:sz w:val="24"/>
          <w:szCs w:val="24"/>
        </w:rPr>
        <w:t>Acknowledgment and Incentives: Establish an official recognition programme that honours both individual and group accomplishments while praising staff members for their valuable services.</w:t>
      </w:r>
    </w:p>
    <w:p w14:paraId="01C75089" w14:textId="77777777" w:rsidR="0071040B" w:rsidRDefault="0071040B" w:rsidP="0071040B">
      <w:pPr>
        <w:pStyle w:val="Heading1"/>
        <w:spacing w:after="240"/>
        <w:jc w:val="both"/>
        <w:rPr>
          <w:rFonts w:ascii="Times New Roman" w:eastAsia="Times New Roman" w:hAnsi="Times New Roman" w:cs="Times New Roman"/>
          <w:b/>
          <w:color w:val="000000"/>
          <w:sz w:val="28"/>
          <w:szCs w:val="28"/>
        </w:rPr>
      </w:pPr>
      <w:bookmarkStart w:id="9" w:name="_4d34og8" w:colFirst="0" w:colLast="0"/>
      <w:bookmarkEnd w:id="9"/>
      <w:r>
        <w:rPr>
          <w:rFonts w:ascii="Times New Roman" w:eastAsia="Times New Roman" w:hAnsi="Times New Roman" w:cs="Times New Roman"/>
          <w:b/>
          <w:color w:val="000000"/>
          <w:sz w:val="28"/>
          <w:szCs w:val="28"/>
        </w:rPr>
        <w:t>Conclusion</w:t>
      </w:r>
    </w:p>
    <w:p w14:paraId="56695549" w14:textId="77777777" w:rsidR="0071040B" w:rsidRDefault="0071040B" w:rsidP="0071040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from the above report that in the post-pandemic period, flexible working has become a key paradigm shift that offers numerous advantages to organisations and people alike.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xml:space="preserve"> sees it as a chance to improve worker happiness, productivity, and well-being while also cutting costs and creating a more sustainable workplace. Adopting these tactics is essential for maintaining competitiveness in a changing corporate environment, not just a choice. </w:t>
      </w:r>
      <w:proofErr w:type="spellStart"/>
      <w:r>
        <w:rPr>
          <w:rFonts w:ascii="Times New Roman" w:eastAsia="Times New Roman" w:hAnsi="Times New Roman" w:cs="Times New Roman"/>
          <w:sz w:val="24"/>
          <w:szCs w:val="24"/>
        </w:rPr>
        <w:t>FitLyfe</w:t>
      </w:r>
      <w:proofErr w:type="spellEnd"/>
      <w:r>
        <w:rPr>
          <w:rFonts w:ascii="Times New Roman" w:eastAsia="Times New Roman" w:hAnsi="Times New Roman" w:cs="Times New Roman"/>
          <w:sz w:val="24"/>
          <w:szCs w:val="24"/>
        </w:rPr>
        <w:t xml:space="preserve"> can position itself as a leader in the fitness and nutrition services industry and help its workforce reach their full potential by aligning with the company's culture, optimising communication channels, prioritising employee development, and establishing fair and transparent performance metrics. In the contemporary workplace, flexible work arrangements are essential to success and advancement rather than only being a choice.</w:t>
      </w:r>
    </w:p>
    <w:p w14:paraId="60A93DE6" w14:textId="77777777" w:rsidR="00AA563F" w:rsidRDefault="00AA563F" w:rsidP="0071040B">
      <w:pPr>
        <w:pStyle w:val="Heading1"/>
        <w:spacing w:after="240"/>
        <w:jc w:val="both"/>
        <w:rPr>
          <w:rFonts w:ascii="Times New Roman" w:eastAsia="Times New Roman" w:hAnsi="Times New Roman" w:cs="Times New Roman"/>
          <w:b/>
          <w:color w:val="000000"/>
          <w:sz w:val="28"/>
          <w:szCs w:val="28"/>
        </w:rPr>
      </w:pPr>
      <w:bookmarkStart w:id="10" w:name="_2s8eyo1" w:colFirst="0" w:colLast="0"/>
      <w:bookmarkEnd w:id="10"/>
    </w:p>
    <w:p w14:paraId="5D41AF15" w14:textId="77777777" w:rsidR="00AA563F" w:rsidRDefault="00AA563F" w:rsidP="0071040B">
      <w:pPr>
        <w:pStyle w:val="Heading1"/>
        <w:spacing w:after="240"/>
        <w:jc w:val="both"/>
        <w:rPr>
          <w:rFonts w:ascii="Times New Roman" w:eastAsia="Times New Roman" w:hAnsi="Times New Roman" w:cs="Times New Roman"/>
          <w:b/>
          <w:color w:val="000000"/>
          <w:sz w:val="28"/>
          <w:szCs w:val="28"/>
        </w:rPr>
      </w:pPr>
    </w:p>
    <w:p w14:paraId="1B4DEC13" w14:textId="77777777" w:rsidR="00AA563F" w:rsidRDefault="00AA563F" w:rsidP="0071040B">
      <w:pPr>
        <w:pStyle w:val="Heading1"/>
        <w:spacing w:after="240"/>
        <w:jc w:val="both"/>
        <w:rPr>
          <w:rFonts w:ascii="Times New Roman" w:eastAsia="Times New Roman" w:hAnsi="Times New Roman" w:cs="Times New Roman"/>
          <w:b/>
          <w:color w:val="000000"/>
          <w:sz w:val="28"/>
          <w:szCs w:val="28"/>
        </w:rPr>
      </w:pPr>
    </w:p>
    <w:p w14:paraId="4A947BAB" w14:textId="77777777" w:rsidR="00AA563F" w:rsidRDefault="00AA563F" w:rsidP="0071040B">
      <w:pPr>
        <w:pStyle w:val="Heading1"/>
        <w:spacing w:after="240"/>
        <w:jc w:val="both"/>
        <w:rPr>
          <w:rFonts w:ascii="Times New Roman" w:eastAsia="Times New Roman" w:hAnsi="Times New Roman" w:cs="Times New Roman"/>
          <w:b/>
          <w:color w:val="000000"/>
          <w:sz w:val="28"/>
          <w:szCs w:val="28"/>
        </w:rPr>
      </w:pPr>
    </w:p>
    <w:p w14:paraId="205CF8DA" w14:textId="77777777" w:rsidR="00AA563F" w:rsidRDefault="00AA563F" w:rsidP="0071040B">
      <w:pPr>
        <w:pStyle w:val="Heading1"/>
        <w:spacing w:after="240"/>
        <w:jc w:val="both"/>
        <w:rPr>
          <w:rFonts w:ascii="Times New Roman" w:eastAsia="Times New Roman" w:hAnsi="Times New Roman" w:cs="Times New Roman"/>
          <w:b/>
          <w:color w:val="000000"/>
          <w:sz w:val="28"/>
          <w:szCs w:val="28"/>
        </w:rPr>
      </w:pPr>
    </w:p>
    <w:p w14:paraId="5A6A65B4" w14:textId="77777777" w:rsidR="00AA563F" w:rsidRPr="00AA563F" w:rsidRDefault="00AA563F" w:rsidP="00AA563F">
      <w:pPr>
        <w:pStyle w:val="Normal1"/>
      </w:pPr>
    </w:p>
    <w:p w14:paraId="2C08FEBD" w14:textId="77777777" w:rsidR="00AA563F" w:rsidRDefault="00AA563F" w:rsidP="0071040B">
      <w:pPr>
        <w:pStyle w:val="Heading1"/>
        <w:spacing w:after="240"/>
        <w:jc w:val="both"/>
        <w:rPr>
          <w:rFonts w:ascii="Times New Roman" w:eastAsia="Times New Roman" w:hAnsi="Times New Roman" w:cs="Times New Roman"/>
          <w:b/>
          <w:color w:val="000000"/>
          <w:sz w:val="28"/>
          <w:szCs w:val="28"/>
        </w:rPr>
      </w:pPr>
    </w:p>
    <w:p w14:paraId="21F9B03C" w14:textId="2F7B661C" w:rsidR="0071040B" w:rsidRDefault="0071040B" w:rsidP="0071040B">
      <w:pPr>
        <w:pStyle w:val="Heading1"/>
        <w:spacing w:after="24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References</w:t>
      </w:r>
    </w:p>
    <w:p w14:paraId="02EAA8B2"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Griffin, R.W., Phillips, J.M. and Gully, S.M., 2020. </w:t>
      </w:r>
      <w:r w:rsidRPr="00504F2C">
        <w:rPr>
          <w:rFonts w:ascii="Times New Roman" w:hAnsi="Times New Roman" w:cs="Times New Roman"/>
          <w:i/>
          <w:iCs/>
          <w:color w:val="222222"/>
          <w:sz w:val="24"/>
          <w:szCs w:val="24"/>
          <w:shd w:val="clear" w:color="auto" w:fill="FFFFFF"/>
        </w:rPr>
        <w:t xml:space="preserve">Organizational </w:t>
      </w:r>
      <w:proofErr w:type="spellStart"/>
      <w:r w:rsidRPr="00504F2C">
        <w:rPr>
          <w:rFonts w:ascii="Times New Roman" w:hAnsi="Times New Roman" w:cs="Times New Roman"/>
          <w:i/>
          <w:iCs/>
          <w:color w:val="222222"/>
          <w:sz w:val="24"/>
          <w:szCs w:val="24"/>
          <w:shd w:val="clear" w:color="auto" w:fill="FFFFFF"/>
        </w:rPr>
        <w:t>behavior</w:t>
      </w:r>
      <w:proofErr w:type="spellEnd"/>
      <w:r w:rsidRPr="00504F2C">
        <w:rPr>
          <w:rFonts w:ascii="Times New Roman" w:hAnsi="Times New Roman" w:cs="Times New Roman"/>
          <w:i/>
          <w:iCs/>
          <w:color w:val="222222"/>
          <w:sz w:val="24"/>
          <w:szCs w:val="24"/>
          <w:shd w:val="clear" w:color="auto" w:fill="FFFFFF"/>
        </w:rPr>
        <w:t>: Managing people and organizations</w:t>
      </w:r>
      <w:r w:rsidRPr="00504F2C">
        <w:rPr>
          <w:rFonts w:ascii="Times New Roman" w:hAnsi="Times New Roman" w:cs="Times New Roman"/>
          <w:color w:val="222222"/>
          <w:sz w:val="24"/>
          <w:szCs w:val="24"/>
          <w:shd w:val="clear" w:color="auto" w:fill="FFFFFF"/>
        </w:rPr>
        <w:t>. CENGAGE learning.</w:t>
      </w:r>
    </w:p>
    <w:p w14:paraId="7F565F4B"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 xml:space="preserve">Hoffman, M. and </w:t>
      </w:r>
      <w:proofErr w:type="spellStart"/>
      <w:r w:rsidRPr="00504F2C">
        <w:rPr>
          <w:rFonts w:ascii="Times New Roman" w:hAnsi="Times New Roman" w:cs="Times New Roman"/>
          <w:color w:val="222222"/>
          <w:sz w:val="24"/>
          <w:szCs w:val="24"/>
          <w:shd w:val="clear" w:color="auto" w:fill="FFFFFF"/>
        </w:rPr>
        <w:t>Tadelis</w:t>
      </w:r>
      <w:proofErr w:type="spellEnd"/>
      <w:r w:rsidRPr="00504F2C">
        <w:rPr>
          <w:rFonts w:ascii="Times New Roman" w:hAnsi="Times New Roman" w:cs="Times New Roman"/>
          <w:color w:val="222222"/>
          <w:sz w:val="24"/>
          <w:szCs w:val="24"/>
          <w:shd w:val="clear" w:color="auto" w:fill="FFFFFF"/>
        </w:rPr>
        <w:t>, S., 2021. People management skills, employee attrition, and manager rewards: An empirical analysis. </w:t>
      </w:r>
      <w:r w:rsidRPr="00504F2C">
        <w:rPr>
          <w:rFonts w:ascii="Times New Roman" w:hAnsi="Times New Roman" w:cs="Times New Roman"/>
          <w:i/>
          <w:iCs/>
          <w:color w:val="222222"/>
          <w:sz w:val="24"/>
          <w:szCs w:val="24"/>
          <w:shd w:val="clear" w:color="auto" w:fill="FFFFFF"/>
        </w:rPr>
        <w:t>Journal of Political Economy</w:t>
      </w:r>
      <w:r w:rsidRPr="00504F2C">
        <w:rPr>
          <w:rFonts w:ascii="Times New Roman" w:hAnsi="Times New Roman" w:cs="Times New Roman"/>
          <w:color w:val="222222"/>
          <w:sz w:val="24"/>
          <w:szCs w:val="24"/>
          <w:shd w:val="clear" w:color="auto" w:fill="FFFFFF"/>
        </w:rPr>
        <w:t>, </w:t>
      </w:r>
      <w:r w:rsidRPr="00504F2C">
        <w:rPr>
          <w:rFonts w:ascii="Times New Roman" w:hAnsi="Times New Roman" w:cs="Times New Roman"/>
          <w:i/>
          <w:iCs/>
          <w:color w:val="222222"/>
          <w:sz w:val="24"/>
          <w:szCs w:val="24"/>
          <w:shd w:val="clear" w:color="auto" w:fill="FFFFFF"/>
        </w:rPr>
        <w:t>129</w:t>
      </w:r>
      <w:r w:rsidRPr="00504F2C">
        <w:rPr>
          <w:rFonts w:ascii="Times New Roman" w:hAnsi="Times New Roman" w:cs="Times New Roman"/>
          <w:color w:val="222222"/>
          <w:sz w:val="24"/>
          <w:szCs w:val="24"/>
          <w:shd w:val="clear" w:color="auto" w:fill="FFFFFF"/>
        </w:rPr>
        <w:t>(1), pp.243-285.</w:t>
      </w:r>
    </w:p>
    <w:p w14:paraId="2F92CE04"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Snell, S. and Morris, S., 2019. </w:t>
      </w:r>
      <w:r w:rsidRPr="00504F2C">
        <w:rPr>
          <w:rFonts w:ascii="Times New Roman" w:hAnsi="Times New Roman" w:cs="Times New Roman"/>
          <w:i/>
          <w:iCs/>
          <w:color w:val="222222"/>
          <w:sz w:val="24"/>
          <w:szCs w:val="24"/>
          <w:shd w:val="clear" w:color="auto" w:fill="FFFFFF"/>
        </w:rPr>
        <w:t>Managing human resources</w:t>
      </w:r>
      <w:r w:rsidRPr="00504F2C">
        <w:rPr>
          <w:rFonts w:ascii="Times New Roman" w:hAnsi="Times New Roman" w:cs="Times New Roman"/>
          <w:color w:val="222222"/>
          <w:sz w:val="24"/>
          <w:szCs w:val="24"/>
          <w:shd w:val="clear" w:color="auto" w:fill="FFFFFF"/>
        </w:rPr>
        <w:t>. Cengage Learning.</w:t>
      </w:r>
    </w:p>
    <w:p w14:paraId="2DF62CF8"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Wirtz, J. and Lovelock, C., 2021. </w:t>
      </w:r>
      <w:r w:rsidRPr="00504F2C">
        <w:rPr>
          <w:rFonts w:ascii="Times New Roman" w:hAnsi="Times New Roman" w:cs="Times New Roman"/>
          <w:i/>
          <w:iCs/>
          <w:color w:val="222222"/>
          <w:sz w:val="24"/>
          <w:szCs w:val="24"/>
          <w:shd w:val="clear" w:color="auto" w:fill="FFFFFF"/>
        </w:rPr>
        <w:t>Services marketing: People, technology, strategy</w:t>
      </w:r>
      <w:r w:rsidRPr="00504F2C">
        <w:rPr>
          <w:rFonts w:ascii="Times New Roman" w:hAnsi="Times New Roman" w:cs="Times New Roman"/>
          <w:color w:val="222222"/>
          <w:sz w:val="24"/>
          <w:szCs w:val="24"/>
          <w:shd w:val="clear" w:color="auto" w:fill="FFFFFF"/>
        </w:rPr>
        <w:t>. World Scientific.</w:t>
      </w:r>
    </w:p>
    <w:p w14:paraId="582804CD"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Stewart, G.L. and Brown, K.G., 2019. </w:t>
      </w:r>
      <w:r w:rsidRPr="00504F2C">
        <w:rPr>
          <w:rFonts w:ascii="Times New Roman" w:hAnsi="Times New Roman" w:cs="Times New Roman"/>
          <w:i/>
          <w:iCs/>
          <w:color w:val="222222"/>
          <w:sz w:val="24"/>
          <w:szCs w:val="24"/>
          <w:shd w:val="clear" w:color="auto" w:fill="FFFFFF"/>
        </w:rPr>
        <w:t>Human resource management</w:t>
      </w:r>
      <w:r w:rsidRPr="00504F2C">
        <w:rPr>
          <w:rFonts w:ascii="Times New Roman" w:hAnsi="Times New Roman" w:cs="Times New Roman"/>
          <w:color w:val="222222"/>
          <w:sz w:val="24"/>
          <w:szCs w:val="24"/>
          <w:shd w:val="clear" w:color="auto" w:fill="FFFFFF"/>
        </w:rPr>
        <w:t>. John Wiley &amp; Sons.</w:t>
      </w:r>
    </w:p>
    <w:p w14:paraId="124D1D18"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 xml:space="preserve">Sun, L. and </w:t>
      </w:r>
      <w:proofErr w:type="spellStart"/>
      <w:r w:rsidRPr="00504F2C">
        <w:rPr>
          <w:rFonts w:ascii="Times New Roman" w:hAnsi="Times New Roman" w:cs="Times New Roman"/>
          <w:color w:val="222222"/>
          <w:sz w:val="24"/>
          <w:szCs w:val="24"/>
          <w:shd w:val="clear" w:color="auto" w:fill="FFFFFF"/>
        </w:rPr>
        <w:t>Bunchapattanasakda</w:t>
      </w:r>
      <w:proofErr w:type="spellEnd"/>
      <w:r w:rsidRPr="00504F2C">
        <w:rPr>
          <w:rFonts w:ascii="Times New Roman" w:hAnsi="Times New Roman" w:cs="Times New Roman"/>
          <w:color w:val="222222"/>
          <w:sz w:val="24"/>
          <w:szCs w:val="24"/>
          <w:shd w:val="clear" w:color="auto" w:fill="FFFFFF"/>
        </w:rPr>
        <w:t>, C., 2019. Employee engagement: A literature review. </w:t>
      </w:r>
      <w:r w:rsidRPr="00504F2C">
        <w:rPr>
          <w:rFonts w:ascii="Times New Roman" w:hAnsi="Times New Roman" w:cs="Times New Roman"/>
          <w:i/>
          <w:iCs/>
          <w:color w:val="222222"/>
          <w:sz w:val="24"/>
          <w:szCs w:val="24"/>
          <w:shd w:val="clear" w:color="auto" w:fill="FFFFFF"/>
        </w:rPr>
        <w:t>International Journal of Human Resource Studies</w:t>
      </w:r>
      <w:r w:rsidRPr="00504F2C">
        <w:rPr>
          <w:rFonts w:ascii="Times New Roman" w:hAnsi="Times New Roman" w:cs="Times New Roman"/>
          <w:color w:val="222222"/>
          <w:sz w:val="24"/>
          <w:szCs w:val="24"/>
          <w:shd w:val="clear" w:color="auto" w:fill="FFFFFF"/>
        </w:rPr>
        <w:t>, </w:t>
      </w:r>
      <w:r w:rsidRPr="00504F2C">
        <w:rPr>
          <w:rFonts w:ascii="Times New Roman" w:hAnsi="Times New Roman" w:cs="Times New Roman"/>
          <w:i/>
          <w:iCs/>
          <w:color w:val="222222"/>
          <w:sz w:val="24"/>
          <w:szCs w:val="24"/>
          <w:shd w:val="clear" w:color="auto" w:fill="FFFFFF"/>
        </w:rPr>
        <w:t>9</w:t>
      </w:r>
      <w:r w:rsidRPr="00504F2C">
        <w:rPr>
          <w:rFonts w:ascii="Times New Roman" w:hAnsi="Times New Roman" w:cs="Times New Roman"/>
          <w:color w:val="222222"/>
          <w:sz w:val="24"/>
          <w:szCs w:val="24"/>
          <w:shd w:val="clear" w:color="auto" w:fill="FFFFFF"/>
        </w:rPr>
        <w:t>(1), pp.63-80.</w:t>
      </w:r>
    </w:p>
    <w:p w14:paraId="3361D56C"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 xml:space="preserve">Kwon, K. and Kim, T., 2020. An integrative literature review of employee engagement and innovative </w:t>
      </w:r>
      <w:proofErr w:type="spellStart"/>
      <w:r w:rsidRPr="00504F2C">
        <w:rPr>
          <w:rFonts w:ascii="Times New Roman" w:hAnsi="Times New Roman" w:cs="Times New Roman"/>
          <w:color w:val="222222"/>
          <w:sz w:val="24"/>
          <w:szCs w:val="24"/>
          <w:shd w:val="clear" w:color="auto" w:fill="FFFFFF"/>
        </w:rPr>
        <w:t>behavior</w:t>
      </w:r>
      <w:proofErr w:type="spellEnd"/>
      <w:r w:rsidRPr="00504F2C">
        <w:rPr>
          <w:rFonts w:ascii="Times New Roman" w:hAnsi="Times New Roman" w:cs="Times New Roman"/>
          <w:color w:val="222222"/>
          <w:sz w:val="24"/>
          <w:szCs w:val="24"/>
          <w:shd w:val="clear" w:color="auto" w:fill="FFFFFF"/>
        </w:rPr>
        <w:t>: Revisiting the JD-R model. </w:t>
      </w:r>
      <w:r w:rsidRPr="00504F2C">
        <w:rPr>
          <w:rFonts w:ascii="Times New Roman" w:hAnsi="Times New Roman" w:cs="Times New Roman"/>
          <w:i/>
          <w:iCs/>
          <w:color w:val="222222"/>
          <w:sz w:val="24"/>
          <w:szCs w:val="24"/>
          <w:shd w:val="clear" w:color="auto" w:fill="FFFFFF"/>
        </w:rPr>
        <w:t>Human Resource Management Review</w:t>
      </w:r>
      <w:r w:rsidRPr="00504F2C">
        <w:rPr>
          <w:rFonts w:ascii="Times New Roman" w:hAnsi="Times New Roman" w:cs="Times New Roman"/>
          <w:color w:val="222222"/>
          <w:sz w:val="24"/>
          <w:szCs w:val="24"/>
          <w:shd w:val="clear" w:color="auto" w:fill="FFFFFF"/>
        </w:rPr>
        <w:t>, </w:t>
      </w:r>
      <w:r w:rsidRPr="00504F2C">
        <w:rPr>
          <w:rFonts w:ascii="Times New Roman" w:hAnsi="Times New Roman" w:cs="Times New Roman"/>
          <w:i/>
          <w:iCs/>
          <w:color w:val="222222"/>
          <w:sz w:val="24"/>
          <w:szCs w:val="24"/>
          <w:shd w:val="clear" w:color="auto" w:fill="FFFFFF"/>
        </w:rPr>
        <w:t>30</w:t>
      </w:r>
      <w:r w:rsidRPr="00504F2C">
        <w:rPr>
          <w:rFonts w:ascii="Times New Roman" w:hAnsi="Times New Roman" w:cs="Times New Roman"/>
          <w:color w:val="222222"/>
          <w:sz w:val="24"/>
          <w:szCs w:val="24"/>
          <w:shd w:val="clear" w:color="auto" w:fill="FFFFFF"/>
        </w:rPr>
        <w:t>(2), p.100704.</w:t>
      </w:r>
    </w:p>
    <w:p w14:paraId="4B455073"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Saks, A.M., 2019. Antecedents and consequences of employee engagement revisited. </w:t>
      </w:r>
      <w:r w:rsidRPr="00504F2C">
        <w:rPr>
          <w:rFonts w:ascii="Times New Roman" w:hAnsi="Times New Roman" w:cs="Times New Roman"/>
          <w:i/>
          <w:iCs/>
          <w:color w:val="222222"/>
          <w:sz w:val="24"/>
          <w:szCs w:val="24"/>
          <w:shd w:val="clear" w:color="auto" w:fill="FFFFFF"/>
        </w:rPr>
        <w:t>Journal of Organizational Effectiveness: People and Performance</w:t>
      </w:r>
      <w:r w:rsidRPr="00504F2C">
        <w:rPr>
          <w:rFonts w:ascii="Times New Roman" w:hAnsi="Times New Roman" w:cs="Times New Roman"/>
          <w:color w:val="222222"/>
          <w:sz w:val="24"/>
          <w:szCs w:val="24"/>
          <w:shd w:val="clear" w:color="auto" w:fill="FFFFFF"/>
        </w:rPr>
        <w:t>, </w:t>
      </w:r>
      <w:r w:rsidRPr="00504F2C">
        <w:rPr>
          <w:rFonts w:ascii="Times New Roman" w:hAnsi="Times New Roman" w:cs="Times New Roman"/>
          <w:i/>
          <w:iCs/>
          <w:color w:val="222222"/>
          <w:sz w:val="24"/>
          <w:szCs w:val="24"/>
          <w:shd w:val="clear" w:color="auto" w:fill="FFFFFF"/>
        </w:rPr>
        <w:t>6</w:t>
      </w:r>
      <w:r w:rsidRPr="00504F2C">
        <w:rPr>
          <w:rFonts w:ascii="Times New Roman" w:hAnsi="Times New Roman" w:cs="Times New Roman"/>
          <w:color w:val="222222"/>
          <w:sz w:val="24"/>
          <w:szCs w:val="24"/>
          <w:shd w:val="clear" w:color="auto" w:fill="FFFFFF"/>
        </w:rPr>
        <w:t>(1), pp.19-38.</w:t>
      </w:r>
    </w:p>
    <w:p w14:paraId="3D2C18CE"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Saks, A.M., 2022. Caring human resources management and employee engagement. </w:t>
      </w:r>
      <w:r w:rsidRPr="00504F2C">
        <w:rPr>
          <w:rFonts w:ascii="Times New Roman" w:hAnsi="Times New Roman" w:cs="Times New Roman"/>
          <w:i/>
          <w:iCs/>
          <w:color w:val="222222"/>
          <w:sz w:val="24"/>
          <w:szCs w:val="24"/>
          <w:shd w:val="clear" w:color="auto" w:fill="FFFFFF"/>
        </w:rPr>
        <w:t>Human Resource Management Review</w:t>
      </w:r>
      <w:r w:rsidRPr="00504F2C">
        <w:rPr>
          <w:rFonts w:ascii="Times New Roman" w:hAnsi="Times New Roman" w:cs="Times New Roman"/>
          <w:color w:val="222222"/>
          <w:sz w:val="24"/>
          <w:szCs w:val="24"/>
          <w:shd w:val="clear" w:color="auto" w:fill="FFFFFF"/>
        </w:rPr>
        <w:t>, </w:t>
      </w:r>
      <w:r w:rsidRPr="00504F2C">
        <w:rPr>
          <w:rFonts w:ascii="Times New Roman" w:hAnsi="Times New Roman" w:cs="Times New Roman"/>
          <w:i/>
          <w:iCs/>
          <w:color w:val="222222"/>
          <w:sz w:val="24"/>
          <w:szCs w:val="24"/>
          <w:shd w:val="clear" w:color="auto" w:fill="FFFFFF"/>
        </w:rPr>
        <w:t>32</w:t>
      </w:r>
      <w:r w:rsidRPr="00504F2C">
        <w:rPr>
          <w:rFonts w:ascii="Times New Roman" w:hAnsi="Times New Roman" w:cs="Times New Roman"/>
          <w:color w:val="222222"/>
          <w:sz w:val="24"/>
          <w:szCs w:val="24"/>
          <w:shd w:val="clear" w:color="auto" w:fill="FFFFFF"/>
        </w:rPr>
        <w:t>(3), p.100835.</w:t>
      </w:r>
    </w:p>
    <w:p w14:paraId="5FC0662F" w14:textId="77777777" w:rsidR="0071040B" w:rsidRPr="00504F2C" w:rsidRDefault="0071040B" w:rsidP="0071040B">
      <w:pPr>
        <w:pStyle w:val="Normal1"/>
        <w:rPr>
          <w:rFonts w:ascii="Times New Roman" w:hAnsi="Times New Roman" w:cs="Times New Roman"/>
          <w:color w:val="222222"/>
          <w:sz w:val="24"/>
          <w:szCs w:val="24"/>
          <w:shd w:val="clear" w:color="auto" w:fill="FFFFFF"/>
        </w:rPr>
      </w:pPr>
      <w:proofErr w:type="spellStart"/>
      <w:r w:rsidRPr="00504F2C">
        <w:rPr>
          <w:rFonts w:ascii="Times New Roman" w:hAnsi="Times New Roman" w:cs="Times New Roman"/>
          <w:color w:val="222222"/>
          <w:sz w:val="24"/>
          <w:szCs w:val="24"/>
          <w:shd w:val="clear" w:color="auto" w:fill="FFFFFF"/>
        </w:rPr>
        <w:t>Ababneh</w:t>
      </w:r>
      <w:proofErr w:type="spellEnd"/>
      <w:r w:rsidRPr="00504F2C">
        <w:rPr>
          <w:rFonts w:ascii="Times New Roman" w:hAnsi="Times New Roman" w:cs="Times New Roman"/>
          <w:color w:val="222222"/>
          <w:sz w:val="24"/>
          <w:szCs w:val="24"/>
          <w:shd w:val="clear" w:color="auto" w:fill="FFFFFF"/>
        </w:rPr>
        <w:t xml:space="preserve">, O.M.A., 2021. How do green HRM practices affect employees’ green </w:t>
      </w:r>
      <w:proofErr w:type="spellStart"/>
      <w:r w:rsidRPr="00504F2C">
        <w:rPr>
          <w:rFonts w:ascii="Times New Roman" w:hAnsi="Times New Roman" w:cs="Times New Roman"/>
          <w:color w:val="222222"/>
          <w:sz w:val="24"/>
          <w:szCs w:val="24"/>
          <w:shd w:val="clear" w:color="auto" w:fill="FFFFFF"/>
        </w:rPr>
        <w:t>behaviors</w:t>
      </w:r>
      <w:proofErr w:type="spellEnd"/>
      <w:r w:rsidRPr="00504F2C">
        <w:rPr>
          <w:rFonts w:ascii="Times New Roman" w:hAnsi="Times New Roman" w:cs="Times New Roman"/>
          <w:color w:val="222222"/>
          <w:sz w:val="24"/>
          <w:szCs w:val="24"/>
          <w:shd w:val="clear" w:color="auto" w:fill="FFFFFF"/>
        </w:rPr>
        <w:t>? The role of employee engagement and personality attributes. </w:t>
      </w:r>
      <w:r w:rsidRPr="00504F2C">
        <w:rPr>
          <w:rFonts w:ascii="Times New Roman" w:hAnsi="Times New Roman" w:cs="Times New Roman"/>
          <w:i/>
          <w:iCs/>
          <w:color w:val="222222"/>
          <w:sz w:val="24"/>
          <w:szCs w:val="24"/>
          <w:shd w:val="clear" w:color="auto" w:fill="FFFFFF"/>
        </w:rPr>
        <w:t>Journal of Environmental Planning and Management</w:t>
      </w:r>
      <w:r w:rsidRPr="00504F2C">
        <w:rPr>
          <w:rFonts w:ascii="Times New Roman" w:hAnsi="Times New Roman" w:cs="Times New Roman"/>
          <w:color w:val="222222"/>
          <w:sz w:val="24"/>
          <w:szCs w:val="24"/>
          <w:shd w:val="clear" w:color="auto" w:fill="FFFFFF"/>
        </w:rPr>
        <w:t>, </w:t>
      </w:r>
      <w:r w:rsidRPr="00504F2C">
        <w:rPr>
          <w:rFonts w:ascii="Times New Roman" w:hAnsi="Times New Roman" w:cs="Times New Roman"/>
          <w:i/>
          <w:iCs/>
          <w:color w:val="222222"/>
          <w:sz w:val="24"/>
          <w:szCs w:val="24"/>
          <w:shd w:val="clear" w:color="auto" w:fill="FFFFFF"/>
        </w:rPr>
        <w:t>64</w:t>
      </w:r>
      <w:r w:rsidRPr="00504F2C">
        <w:rPr>
          <w:rFonts w:ascii="Times New Roman" w:hAnsi="Times New Roman" w:cs="Times New Roman"/>
          <w:color w:val="222222"/>
          <w:sz w:val="24"/>
          <w:szCs w:val="24"/>
          <w:shd w:val="clear" w:color="auto" w:fill="FFFFFF"/>
        </w:rPr>
        <w:t>(7), pp.1204-1226.</w:t>
      </w:r>
    </w:p>
    <w:p w14:paraId="731D009F" w14:textId="77777777" w:rsidR="0071040B" w:rsidRDefault="0071040B" w:rsidP="0071040B">
      <w:pPr>
        <w:pStyle w:val="Normal1"/>
        <w:rPr>
          <w:rFonts w:ascii="Times New Roman" w:hAnsi="Times New Roman" w:cs="Times New Roman"/>
          <w:color w:val="222222"/>
          <w:sz w:val="24"/>
          <w:szCs w:val="24"/>
          <w:shd w:val="clear" w:color="auto" w:fill="FFFFFF"/>
        </w:rPr>
      </w:pPr>
      <w:r w:rsidRPr="00504F2C">
        <w:rPr>
          <w:rFonts w:ascii="Times New Roman" w:hAnsi="Times New Roman" w:cs="Times New Roman"/>
          <w:color w:val="222222"/>
          <w:sz w:val="24"/>
          <w:szCs w:val="24"/>
          <w:shd w:val="clear" w:color="auto" w:fill="FFFFFF"/>
        </w:rPr>
        <w:t xml:space="preserve">Li, P., Sun, J.M., Taris, T.W., Xing, L. and </w:t>
      </w:r>
      <w:proofErr w:type="spellStart"/>
      <w:r w:rsidRPr="00504F2C">
        <w:rPr>
          <w:rFonts w:ascii="Times New Roman" w:hAnsi="Times New Roman" w:cs="Times New Roman"/>
          <w:color w:val="222222"/>
          <w:sz w:val="24"/>
          <w:szCs w:val="24"/>
          <w:shd w:val="clear" w:color="auto" w:fill="FFFFFF"/>
        </w:rPr>
        <w:t>Peeters</w:t>
      </w:r>
      <w:proofErr w:type="spellEnd"/>
      <w:r w:rsidRPr="00504F2C">
        <w:rPr>
          <w:rFonts w:ascii="Times New Roman" w:hAnsi="Times New Roman" w:cs="Times New Roman"/>
          <w:color w:val="222222"/>
          <w:sz w:val="24"/>
          <w:szCs w:val="24"/>
          <w:shd w:val="clear" w:color="auto" w:fill="FFFFFF"/>
        </w:rPr>
        <w:t>, M.C., 2021. Country differences in the relationship between leadership and employee engagement: A meta-analysis. </w:t>
      </w:r>
      <w:r w:rsidRPr="00504F2C">
        <w:rPr>
          <w:rFonts w:ascii="Times New Roman" w:hAnsi="Times New Roman" w:cs="Times New Roman"/>
          <w:i/>
          <w:iCs/>
          <w:color w:val="222222"/>
          <w:sz w:val="24"/>
          <w:szCs w:val="24"/>
          <w:shd w:val="clear" w:color="auto" w:fill="FFFFFF"/>
        </w:rPr>
        <w:t>The Leadership Quarterly</w:t>
      </w:r>
      <w:r w:rsidRPr="00504F2C">
        <w:rPr>
          <w:rFonts w:ascii="Times New Roman" w:hAnsi="Times New Roman" w:cs="Times New Roman"/>
          <w:color w:val="222222"/>
          <w:sz w:val="24"/>
          <w:szCs w:val="24"/>
          <w:shd w:val="clear" w:color="auto" w:fill="FFFFFF"/>
        </w:rPr>
        <w:t>, </w:t>
      </w:r>
      <w:r w:rsidRPr="00504F2C">
        <w:rPr>
          <w:rFonts w:ascii="Times New Roman" w:hAnsi="Times New Roman" w:cs="Times New Roman"/>
          <w:i/>
          <w:iCs/>
          <w:color w:val="222222"/>
          <w:sz w:val="24"/>
          <w:szCs w:val="24"/>
          <w:shd w:val="clear" w:color="auto" w:fill="FFFFFF"/>
        </w:rPr>
        <w:t>32</w:t>
      </w:r>
      <w:r w:rsidRPr="00504F2C">
        <w:rPr>
          <w:rFonts w:ascii="Times New Roman" w:hAnsi="Times New Roman" w:cs="Times New Roman"/>
          <w:color w:val="222222"/>
          <w:sz w:val="24"/>
          <w:szCs w:val="24"/>
          <w:shd w:val="clear" w:color="auto" w:fill="FFFFFF"/>
        </w:rPr>
        <w:t>(1), p.101458.</w:t>
      </w:r>
    </w:p>
    <w:p w14:paraId="256EC35C" w14:textId="77777777" w:rsidR="005F45EB" w:rsidRDefault="005F45EB"/>
    <w:sectPr w:rsidR="005F45EB" w:rsidSect="0071040B">
      <w:pgSz w:w="11906" w:h="16838"/>
      <w:pgMar w:top="1440" w:right="1440" w:bottom="1440" w:left="1440" w:header="708" w:footer="708"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2162"/>
    <w:multiLevelType w:val="multilevel"/>
    <w:tmpl w:val="B7328B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EB60EE"/>
    <w:multiLevelType w:val="hybridMultilevel"/>
    <w:tmpl w:val="CEF2B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3E7734"/>
    <w:multiLevelType w:val="multilevel"/>
    <w:tmpl w:val="B8BECC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F93951"/>
    <w:multiLevelType w:val="multilevel"/>
    <w:tmpl w:val="397CDA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6D0661"/>
    <w:multiLevelType w:val="multilevel"/>
    <w:tmpl w:val="E52C64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48203AA"/>
    <w:multiLevelType w:val="hybridMultilevel"/>
    <w:tmpl w:val="9B12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7A3A8F"/>
    <w:multiLevelType w:val="multilevel"/>
    <w:tmpl w:val="C0EA4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59488717">
    <w:abstractNumId w:val="6"/>
  </w:num>
  <w:num w:numId="2" w16cid:durableId="204031067">
    <w:abstractNumId w:val="2"/>
  </w:num>
  <w:num w:numId="3" w16cid:durableId="1461024438">
    <w:abstractNumId w:val="3"/>
  </w:num>
  <w:num w:numId="4" w16cid:durableId="27796899">
    <w:abstractNumId w:val="0"/>
  </w:num>
  <w:num w:numId="5" w16cid:durableId="2100710974">
    <w:abstractNumId w:val="4"/>
  </w:num>
  <w:num w:numId="6" w16cid:durableId="630326355">
    <w:abstractNumId w:val="5"/>
  </w:num>
  <w:num w:numId="7" w16cid:durableId="371272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B2"/>
    <w:rsid w:val="000051E9"/>
    <w:rsid w:val="001B69B2"/>
    <w:rsid w:val="004E1A69"/>
    <w:rsid w:val="005F45EB"/>
    <w:rsid w:val="0071040B"/>
    <w:rsid w:val="00915615"/>
    <w:rsid w:val="009F2A36"/>
    <w:rsid w:val="00AA563F"/>
    <w:rsid w:val="00C41B77"/>
    <w:rsid w:val="00FF1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4F11"/>
  <w15:chartTrackingRefBased/>
  <w15:docId w15:val="{97072A92-CA6A-6F4B-914D-9C07A217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40B"/>
    <w:pPr>
      <w:spacing w:after="160" w:line="259" w:lineRule="auto"/>
    </w:pPr>
    <w:rPr>
      <w:rFonts w:ascii="Calibri" w:eastAsia="Calibri" w:hAnsi="Calibri" w:cs="Calibri"/>
      <w:kern w:val="0"/>
      <w:sz w:val="22"/>
      <w:szCs w:val="22"/>
      <w:lang w:val="en-IN"/>
      <w14:ligatures w14:val="none"/>
    </w:rPr>
  </w:style>
  <w:style w:type="paragraph" w:styleId="Heading1">
    <w:name w:val="heading 1"/>
    <w:basedOn w:val="Normal1"/>
    <w:next w:val="Normal1"/>
    <w:link w:val="Heading1Char"/>
    <w:rsid w:val="0071040B"/>
    <w:pPr>
      <w:keepNext/>
      <w:keepLines/>
      <w:spacing w:before="240" w:after="0"/>
      <w:outlineLvl w:val="0"/>
    </w:pPr>
    <w:rPr>
      <w:color w:val="2E75B5"/>
      <w:sz w:val="32"/>
      <w:szCs w:val="32"/>
    </w:rPr>
  </w:style>
  <w:style w:type="paragraph" w:styleId="Heading2">
    <w:name w:val="heading 2"/>
    <w:basedOn w:val="Normal1"/>
    <w:next w:val="Normal1"/>
    <w:link w:val="Heading2Char"/>
    <w:rsid w:val="0071040B"/>
    <w:pPr>
      <w:keepNext/>
      <w:keepLines/>
      <w:spacing w:before="40" w:after="0"/>
      <w:outlineLvl w:val="1"/>
    </w:pPr>
    <w:rPr>
      <w:color w:val="2E75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040B"/>
    <w:rPr>
      <w:rFonts w:ascii="Calibri" w:eastAsia="Calibri" w:hAnsi="Calibri" w:cs="Calibri"/>
      <w:color w:val="2E75B5"/>
      <w:kern w:val="0"/>
      <w:sz w:val="32"/>
      <w:szCs w:val="32"/>
      <w:lang w:val="en-IN"/>
      <w14:ligatures w14:val="none"/>
    </w:rPr>
  </w:style>
  <w:style w:type="character" w:customStyle="1" w:styleId="Heading2Char">
    <w:name w:val="Heading 2 Char"/>
    <w:basedOn w:val="DefaultParagraphFont"/>
    <w:link w:val="Heading2"/>
    <w:rsid w:val="0071040B"/>
    <w:rPr>
      <w:rFonts w:ascii="Calibri" w:eastAsia="Calibri" w:hAnsi="Calibri" w:cs="Calibri"/>
      <w:color w:val="2E75B5"/>
      <w:kern w:val="0"/>
      <w:sz w:val="26"/>
      <w:szCs w:val="26"/>
      <w:lang w:val="en-IN"/>
      <w14:ligatures w14:val="none"/>
    </w:rPr>
  </w:style>
  <w:style w:type="paragraph" w:customStyle="1" w:styleId="Normal1">
    <w:name w:val="Normal1"/>
    <w:rsid w:val="0071040B"/>
    <w:pPr>
      <w:spacing w:after="160" w:line="259" w:lineRule="auto"/>
    </w:pPr>
    <w:rPr>
      <w:rFonts w:ascii="Calibri" w:eastAsia="Calibri" w:hAnsi="Calibri" w:cs="Calibri"/>
      <w:kern w:val="0"/>
      <w:sz w:val="22"/>
      <w:szCs w:val="22"/>
      <w:lang w:val="en-IN"/>
      <w14:ligatures w14:val="none"/>
    </w:rPr>
  </w:style>
  <w:style w:type="paragraph" w:styleId="ListParagraph">
    <w:name w:val="List Paragraph"/>
    <w:basedOn w:val="Normal"/>
    <w:uiPriority w:val="34"/>
    <w:qFormat/>
    <w:rsid w:val="0071040B"/>
    <w:pPr>
      <w:ind w:left="720"/>
      <w:contextualSpacing/>
    </w:pPr>
  </w:style>
  <w:style w:type="paragraph" w:styleId="NoSpacing">
    <w:name w:val="No Spacing"/>
    <w:link w:val="NoSpacingChar"/>
    <w:uiPriority w:val="1"/>
    <w:qFormat/>
    <w:rsid w:val="0071040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1040B"/>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9</Pages>
  <Words>2551</Words>
  <Characters>14543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Managing People</vt:lpstr>
    </vt:vector>
  </TitlesOfParts>
  <Manager/>
  <Company/>
  <LinksUpToDate>false</LinksUpToDate>
  <CharactersWithSpaces>17060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
  <dc:creator>Student: Costin-Alexandru Chirita (2210952)</dc:creator>
  <cp:keywords/>
  <dc:description/>
  <cp:lastModifiedBy>Costin-Alexandru Chirita (2210952)</cp:lastModifiedBy>
  <cp:revision>8</cp:revision>
  <dcterms:created xsi:type="dcterms:W3CDTF">2023-11-11T14:06:00Z</dcterms:created>
  <dcterms:modified xsi:type="dcterms:W3CDTF">2023-11-12T14:01:00Z</dcterms:modified>
  <cp:category/>
</cp:coreProperties>
</file>