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EE81C" w14:textId="77777777" w:rsidR="00552034" w:rsidRPr="00CE45B8" w:rsidRDefault="00552034" w:rsidP="00BE0D6F">
      <w:pPr>
        <w:spacing w:line="360" w:lineRule="auto"/>
        <w:contextualSpacing/>
        <w:rPr>
          <w:b/>
        </w:rPr>
      </w:pPr>
    </w:p>
    <w:p w14:paraId="132B74FB" w14:textId="77777777" w:rsidR="00552034" w:rsidRPr="00CE45B8" w:rsidRDefault="00552034" w:rsidP="00BE0D6F">
      <w:pPr>
        <w:spacing w:line="360" w:lineRule="auto"/>
        <w:contextualSpacing/>
        <w:rPr>
          <w:b/>
        </w:rPr>
      </w:pPr>
    </w:p>
    <w:p w14:paraId="05338FDD" w14:textId="77777777" w:rsidR="00552034" w:rsidRPr="00CE45B8" w:rsidRDefault="00552034" w:rsidP="00BE0D6F">
      <w:pPr>
        <w:spacing w:line="360" w:lineRule="auto"/>
        <w:contextualSpacing/>
        <w:rPr>
          <w:b/>
        </w:rPr>
      </w:pPr>
    </w:p>
    <w:p w14:paraId="2622BA1F" w14:textId="77777777" w:rsidR="00552034" w:rsidRPr="00CE45B8" w:rsidRDefault="00552034" w:rsidP="00BE0D6F">
      <w:pPr>
        <w:spacing w:line="360" w:lineRule="auto"/>
        <w:contextualSpacing/>
        <w:rPr>
          <w:b/>
        </w:rPr>
      </w:pPr>
    </w:p>
    <w:p w14:paraId="1D4B10E1" w14:textId="77777777" w:rsidR="00552034" w:rsidRPr="00CE45B8" w:rsidRDefault="00552034" w:rsidP="00BE0D6F">
      <w:pPr>
        <w:spacing w:line="360" w:lineRule="auto"/>
        <w:contextualSpacing/>
        <w:rPr>
          <w:b/>
        </w:rPr>
      </w:pPr>
    </w:p>
    <w:p w14:paraId="63D34481" w14:textId="77777777" w:rsidR="00552034" w:rsidRPr="00CE45B8" w:rsidRDefault="00552034" w:rsidP="00BE0D6F">
      <w:pPr>
        <w:spacing w:line="360" w:lineRule="auto"/>
        <w:contextualSpacing/>
        <w:rPr>
          <w:b/>
        </w:rPr>
      </w:pPr>
    </w:p>
    <w:p w14:paraId="3AF7EE9E" w14:textId="77777777" w:rsidR="00552034" w:rsidRPr="00CE45B8" w:rsidRDefault="00552034" w:rsidP="00BE0D6F">
      <w:pPr>
        <w:spacing w:line="360" w:lineRule="auto"/>
        <w:contextualSpacing/>
        <w:rPr>
          <w:b/>
        </w:rPr>
      </w:pPr>
    </w:p>
    <w:p w14:paraId="5489F080" w14:textId="77777777" w:rsidR="00552034" w:rsidRPr="00CE45B8" w:rsidRDefault="00552034" w:rsidP="00BE0D6F">
      <w:pPr>
        <w:spacing w:line="360" w:lineRule="auto"/>
        <w:contextualSpacing/>
        <w:rPr>
          <w:b/>
        </w:rPr>
      </w:pPr>
    </w:p>
    <w:p w14:paraId="4ADC34D1" w14:textId="77777777" w:rsidR="00552034" w:rsidRPr="00CE45B8" w:rsidRDefault="00552034" w:rsidP="00BE0D6F">
      <w:pPr>
        <w:spacing w:line="360" w:lineRule="auto"/>
        <w:contextualSpacing/>
        <w:rPr>
          <w:b/>
        </w:rPr>
      </w:pPr>
    </w:p>
    <w:p w14:paraId="7CE3195A" w14:textId="251099BA" w:rsidR="00552034" w:rsidRPr="000B2F07" w:rsidRDefault="00DF312F" w:rsidP="00BE0D6F">
      <w:pPr>
        <w:spacing w:line="360" w:lineRule="auto"/>
        <w:contextualSpacing/>
        <w:jc w:val="center"/>
        <w:rPr>
          <w:b/>
          <w:sz w:val="36"/>
          <w:szCs w:val="36"/>
        </w:rPr>
      </w:pPr>
      <w:r w:rsidRPr="000B2F07">
        <w:rPr>
          <w:b/>
          <w:sz w:val="36"/>
          <w:szCs w:val="36"/>
        </w:rPr>
        <w:t xml:space="preserve">Task 2: Supporting Paper </w:t>
      </w:r>
      <w:r w:rsidR="00CA1AF9" w:rsidRPr="000B2F07">
        <w:rPr>
          <w:b/>
          <w:sz w:val="36"/>
          <w:szCs w:val="36"/>
        </w:rPr>
        <w:t xml:space="preserve"> </w:t>
      </w:r>
    </w:p>
    <w:p w14:paraId="08E6347D" w14:textId="3245E5AD" w:rsidR="000B2F07" w:rsidRPr="000B2F07" w:rsidRDefault="000B2F07" w:rsidP="00BE0D6F">
      <w:pPr>
        <w:spacing w:line="360" w:lineRule="auto"/>
        <w:contextualSpacing/>
        <w:jc w:val="center"/>
        <w:rPr>
          <w:b/>
          <w:sz w:val="36"/>
          <w:szCs w:val="36"/>
        </w:rPr>
      </w:pPr>
      <w:r w:rsidRPr="000B2F07">
        <w:rPr>
          <w:b/>
          <w:sz w:val="36"/>
          <w:szCs w:val="36"/>
        </w:rPr>
        <w:t>BMHP5004</w:t>
      </w:r>
    </w:p>
    <w:p w14:paraId="3E88ED59" w14:textId="07D67F46" w:rsidR="000B2F07" w:rsidRPr="000B2F07" w:rsidRDefault="000B2F07" w:rsidP="00BE0D6F">
      <w:pPr>
        <w:spacing w:line="360" w:lineRule="auto"/>
        <w:contextualSpacing/>
        <w:jc w:val="center"/>
        <w:rPr>
          <w:b/>
          <w:sz w:val="36"/>
          <w:szCs w:val="36"/>
        </w:rPr>
      </w:pPr>
      <w:r w:rsidRPr="000B2F07">
        <w:rPr>
          <w:b/>
          <w:sz w:val="36"/>
          <w:szCs w:val="36"/>
        </w:rPr>
        <w:t>TABITHA KALYAN 2020004</w:t>
      </w:r>
    </w:p>
    <w:p w14:paraId="4ADD57BA" w14:textId="0B009F11" w:rsidR="000B2F07" w:rsidRPr="000B2F07" w:rsidRDefault="000B2F07" w:rsidP="00BE0D6F">
      <w:pPr>
        <w:spacing w:line="360" w:lineRule="auto"/>
        <w:contextualSpacing/>
        <w:jc w:val="center"/>
        <w:rPr>
          <w:b/>
          <w:sz w:val="36"/>
          <w:szCs w:val="36"/>
        </w:rPr>
      </w:pPr>
      <w:r w:rsidRPr="000B2F07">
        <w:rPr>
          <w:b/>
          <w:sz w:val="36"/>
          <w:szCs w:val="36"/>
        </w:rPr>
        <w:t>DR. CRISFORD CHOGUGUDZA</w:t>
      </w:r>
    </w:p>
    <w:p w14:paraId="2F509353" w14:textId="77777777" w:rsidR="00552034" w:rsidRPr="000B2F07" w:rsidRDefault="00CA1AF9" w:rsidP="00BE0D6F">
      <w:pPr>
        <w:spacing w:line="360" w:lineRule="auto"/>
        <w:contextualSpacing/>
        <w:rPr>
          <w:b/>
          <w:sz w:val="36"/>
          <w:szCs w:val="36"/>
        </w:rPr>
      </w:pPr>
      <w:r w:rsidRPr="000B2F07">
        <w:rPr>
          <w:b/>
          <w:sz w:val="36"/>
          <w:szCs w:val="36"/>
        </w:rPr>
        <w:br w:type="page"/>
      </w:r>
    </w:p>
    <w:p w14:paraId="413093EB" w14:textId="77777777" w:rsidR="00E04BB1" w:rsidRPr="00CE45B8" w:rsidRDefault="00CA1AF9" w:rsidP="00BE0D6F">
      <w:pPr>
        <w:spacing w:line="360" w:lineRule="auto"/>
        <w:contextualSpacing/>
        <w:rPr>
          <w:b/>
        </w:rPr>
      </w:pPr>
      <w:r w:rsidRPr="00CE45B8">
        <w:rPr>
          <w:b/>
        </w:rPr>
        <w:lastRenderedPageBreak/>
        <w:t>Table of Contents</w:t>
      </w:r>
    </w:p>
    <w:sdt>
      <w:sdtPr>
        <w:rPr>
          <w:rFonts w:ascii="Times New Roman" w:eastAsiaTheme="minorHAnsi" w:hAnsi="Times New Roman" w:cs="Times New Roman"/>
          <w:b w:val="0"/>
          <w:bCs w:val="0"/>
          <w:color w:val="auto"/>
          <w:szCs w:val="22"/>
          <w:lang w:val="en-GB" w:eastAsia="en-US"/>
        </w:rPr>
        <w:id w:val="-817721638"/>
        <w:docPartObj>
          <w:docPartGallery w:val="Table of Contents"/>
          <w:docPartUnique/>
        </w:docPartObj>
      </w:sdtPr>
      <w:sdtEndPr>
        <w:rPr>
          <w:rFonts w:eastAsia="Times New Roman"/>
          <w:noProof/>
          <w:szCs w:val="24"/>
          <w:lang w:eastAsia="en-GB"/>
        </w:rPr>
      </w:sdtEndPr>
      <w:sdtContent>
        <w:p w14:paraId="7FA7841F" w14:textId="77777777" w:rsidR="00E04BB1" w:rsidRPr="00CE45B8" w:rsidRDefault="00E04BB1" w:rsidP="00BE0D6F">
          <w:pPr>
            <w:pStyle w:val="TOCHeading"/>
            <w:spacing w:before="0" w:line="360" w:lineRule="auto"/>
            <w:contextualSpacing/>
            <w:rPr>
              <w:rFonts w:ascii="Times New Roman" w:hAnsi="Times New Roman" w:cs="Times New Roman"/>
              <w:szCs w:val="22"/>
              <w:lang w:val="en-GB"/>
            </w:rPr>
          </w:pPr>
        </w:p>
        <w:p w14:paraId="58848CBA" w14:textId="77777777" w:rsidR="00BE0D6F" w:rsidRDefault="00CA1AF9" w:rsidP="00BE0D6F">
          <w:pPr>
            <w:pStyle w:val="TOC1"/>
            <w:tabs>
              <w:tab w:val="right" w:leader="dot" w:pos="9350"/>
            </w:tabs>
            <w:spacing w:after="0" w:line="360" w:lineRule="auto"/>
            <w:rPr>
              <w:rFonts w:asciiTheme="minorHAnsi" w:eastAsiaTheme="minorEastAsia" w:hAnsiTheme="minorHAnsi"/>
              <w:noProof/>
              <w:lang w:val="en-US"/>
            </w:rPr>
          </w:pPr>
          <w:r w:rsidRPr="00CE45B8">
            <w:fldChar w:fldCharType="begin"/>
          </w:r>
          <w:r w:rsidRPr="00CE45B8">
            <w:instrText xml:space="preserve"> TOC \o "1-3" \h \z \u </w:instrText>
          </w:r>
          <w:r w:rsidRPr="00CE45B8">
            <w:fldChar w:fldCharType="separate"/>
          </w:r>
          <w:hyperlink w:anchor="_Toc109511781" w:history="1">
            <w:r w:rsidR="00BE0D6F" w:rsidRPr="006754DA">
              <w:rPr>
                <w:rStyle w:val="Hyperlink"/>
                <w:noProof/>
              </w:rPr>
              <w:t>Introduction</w:t>
            </w:r>
            <w:r w:rsidR="00BE0D6F">
              <w:rPr>
                <w:noProof/>
                <w:webHidden/>
              </w:rPr>
              <w:tab/>
            </w:r>
            <w:r w:rsidR="00BE0D6F">
              <w:rPr>
                <w:noProof/>
                <w:webHidden/>
              </w:rPr>
              <w:fldChar w:fldCharType="begin"/>
            </w:r>
            <w:r w:rsidR="00BE0D6F">
              <w:rPr>
                <w:noProof/>
                <w:webHidden/>
              </w:rPr>
              <w:instrText xml:space="preserve"> PAGEREF _Toc109511781 \h </w:instrText>
            </w:r>
            <w:r w:rsidR="00BE0D6F">
              <w:rPr>
                <w:noProof/>
                <w:webHidden/>
              </w:rPr>
            </w:r>
            <w:r w:rsidR="00BE0D6F">
              <w:rPr>
                <w:noProof/>
                <w:webHidden/>
              </w:rPr>
              <w:fldChar w:fldCharType="separate"/>
            </w:r>
            <w:r w:rsidR="00BE0D6F">
              <w:rPr>
                <w:noProof/>
                <w:webHidden/>
              </w:rPr>
              <w:t>3</w:t>
            </w:r>
            <w:r w:rsidR="00BE0D6F">
              <w:rPr>
                <w:noProof/>
                <w:webHidden/>
              </w:rPr>
              <w:fldChar w:fldCharType="end"/>
            </w:r>
          </w:hyperlink>
        </w:p>
        <w:p w14:paraId="701791F6" w14:textId="77777777" w:rsidR="00BE0D6F" w:rsidRDefault="00000000" w:rsidP="00BE0D6F">
          <w:pPr>
            <w:pStyle w:val="TOC1"/>
            <w:tabs>
              <w:tab w:val="right" w:leader="dot" w:pos="9350"/>
            </w:tabs>
            <w:spacing w:after="0" w:line="360" w:lineRule="auto"/>
            <w:rPr>
              <w:rFonts w:asciiTheme="minorHAnsi" w:eastAsiaTheme="minorEastAsia" w:hAnsiTheme="minorHAnsi"/>
              <w:noProof/>
              <w:lang w:val="en-US"/>
            </w:rPr>
          </w:pPr>
          <w:hyperlink w:anchor="_Toc109511782" w:history="1">
            <w:r w:rsidR="00BE0D6F" w:rsidRPr="006754DA">
              <w:rPr>
                <w:rStyle w:val="Hyperlink"/>
                <w:noProof/>
              </w:rPr>
              <w:t>Analysing the perception of well-being of children, young people and families</w:t>
            </w:r>
            <w:r w:rsidR="00BE0D6F">
              <w:rPr>
                <w:noProof/>
                <w:webHidden/>
              </w:rPr>
              <w:tab/>
            </w:r>
            <w:r w:rsidR="00BE0D6F">
              <w:rPr>
                <w:noProof/>
                <w:webHidden/>
              </w:rPr>
              <w:fldChar w:fldCharType="begin"/>
            </w:r>
            <w:r w:rsidR="00BE0D6F">
              <w:rPr>
                <w:noProof/>
                <w:webHidden/>
              </w:rPr>
              <w:instrText xml:space="preserve"> PAGEREF _Toc109511782 \h </w:instrText>
            </w:r>
            <w:r w:rsidR="00BE0D6F">
              <w:rPr>
                <w:noProof/>
                <w:webHidden/>
              </w:rPr>
            </w:r>
            <w:r w:rsidR="00BE0D6F">
              <w:rPr>
                <w:noProof/>
                <w:webHidden/>
              </w:rPr>
              <w:fldChar w:fldCharType="separate"/>
            </w:r>
            <w:r w:rsidR="00BE0D6F">
              <w:rPr>
                <w:noProof/>
                <w:webHidden/>
              </w:rPr>
              <w:t>3</w:t>
            </w:r>
            <w:r w:rsidR="00BE0D6F">
              <w:rPr>
                <w:noProof/>
                <w:webHidden/>
              </w:rPr>
              <w:fldChar w:fldCharType="end"/>
            </w:r>
          </w:hyperlink>
        </w:p>
        <w:p w14:paraId="534774C4" w14:textId="77777777" w:rsidR="00BE0D6F" w:rsidRDefault="00000000" w:rsidP="00BE0D6F">
          <w:pPr>
            <w:pStyle w:val="TOC1"/>
            <w:tabs>
              <w:tab w:val="right" w:leader="dot" w:pos="9350"/>
            </w:tabs>
            <w:spacing w:after="0" w:line="360" w:lineRule="auto"/>
            <w:rPr>
              <w:rFonts w:asciiTheme="minorHAnsi" w:eastAsiaTheme="minorEastAsia" w:hAnsiTheme="minorHAnsi"/>
              <w:noProof/>
              <w:lang w:val="en-US"/>
            </w:rPr>
          </w:pPr>
          <w:hyperlink w:anchor="_Toc109511783" w:history="1">
            <w:r w:rsidR="00BE0D6F" w:rsidRPr="006754DA">
              <w:rPr>
                <w:rStyle w:val="Hyperlink"/>
                <w:noProof/>
              </w:rPr>
              <w:t>Domains of Well-being as per the Care Act 2014</w:t>
            </w:r>
            <w:r w:rsidR="00BE0D6F">
              <w:rPr>
                <w:noProof/>
                <w:webHidden/>
              </w:rPr>
              <w:tab/>
            </w:r>
            <w:r w:rsidR="00BE0D6F">
              <w:rPr>
                <w:noProof/>
                <w:webHidden/>
              </w:rPr>
              <w:fldChar w:fldCharType="begin"/>
            </w:r>
            <w:r w:rsidR="00BE0D6F">
              <w:rPr>
                <w:noProof/>
                <w:webHidden/>
              </w:rPr>
              <w:instrText xml:space="preserve"> PAGEREF _Toc109511783 \h </w:instrText>
            </w:r>
            <w:r w:rsidR="00BE0D6F">
              <w:rPr>
                <w:noProof/>
                <w:webHidden/>
              </w:rPr>
            </w:r>
            <w:r w:rsidR="00BE0D6F">
              <w:rPr>
                <w:noProof/>
                <w:webHidden/>
              </w:rPr>
              <w:fldChar w:fldCharType="separate"/>
            </w:r>
            <w:r w:rsidR="00BE0D6F">
              <w:rPr>
                <w:noProof/>
                <w:webHidden/>
              </w:rPr>
              <w:t>4</w:t>
            </w:r>
            <w:r w:rsidR="00BE0D6F">
              <w:rPr>
                <w:noProof/>
                <w:webHidden/>
              </w:rPr>
              <w:fldChar w:fldCharType="end"/>
            </w:r>
          </w:hyperlink>
        </w:p>
        <w:p w14:paraId="77575A57" w14:textId="77777777" w:rsidR="00BE0D6F" w:rsidRDefault="00000000" w:rsidP="00BE0D6F">
          <w:pPr>
            <w:pStyle w:val="TOC1"/>
            <w:tabs>
              <w:tab w:val="right" w:leader="dot" w:pos="9350"/>
            </w:tabs>
            <w:spacing w:after="0" w:line="360" w:lineRule="auto"/>
            <w:rPr>
              <w:rFonts w:asciiTheme="minorHAnsi" w:eastAsiaTheme="minorEastAsia" w:hAnsiTheme="minorHAnsi"/>
              <w:noProof/>
              <w:lang w:val="en-US"/>
            </w:rPr>
          </w:pPr>
          <w:hyperlink w:anchor="_Toc109511784" w:history="1">
            <w:r w:rsidR="00BE0D6F" w:rsidRPr="006754DA">
              <w:rPr>
                <w:rStyle w:val="Hyperlink"/>
                <w:noProof/>
              </w:rPr>
              <w:t>Analysis of Key Bullying and Feeling of Isolation</w:t>
            </w:r>
            <w:r w:rsidR="00BE0D6F">
              <w:rPr>
                <w:noProof/>
                <w:webHidden/>
              </w:rPr>
              <w:tab/>
            </w:r>
            <w:r w:rsidR="00BE0D6F">
              <w:rPr>
                <w:noProof/>
                <w:webHidden/>
              </w:rPr>
              <w:fldChar w:fldCharType="begin"/>
            </w:r>
            <w:r w:rsidR="00BE0D6F">
              <w:rPr>
                <w:noProof/>
                <w:webHidden/>
              </w:rPr>
              <w:instrText xml:space="preserve"> PAGEREF _Toc109511784 \h </w:instrText>
            </w:r>
            <w:r w:rsidR="00BE0D6F">
              <w:rPr>
                <w:noProof/>
                <w:webHidden/>
              </w:rPr>
            </w:r>
            <w:r w:rsidR="00BE0D6F">
              <w:rPr>
                <w:noProof/>
                <w:webHidden/>
              </w:rPr>
              <w:fldChar w:fldCharType="separate"/>
            </w:r>
            <w:r w:rsidR="00BE0D6F">
              <w:rPr>
                <w:noProof/>
                <w:webHidden/>
              </w:rPr>
              <w:t>4</w:t>
            </w:r>
            <w:r w:rsidR="00BE0D6F">
              <w:rPr>
                <w:noProof/>
                <w:webHidden/>
              </w:rPr>
              <w:fldChar w:fldCharType="end"/>
            </w:r>
          </w:hyperlink>
        </w:p>
        <w:p w14:paraId="6D31C552" w14:textId="77777777" w:rsidR="00BE0D6F" w:rsidRDefault="00000000" w:rsidP="00BE0D6F">
          <w:pPr>
            <w:pStyle w:val="TOC1"/>
            <w:tabs>
              <w:tab w:val="right" w:leader="dot" w:pos="9350"/>
            </w:tabs>
            <w:spacing w:after="0" w:line="360" w:lineRule="auto"/>
            <w:rPr>
              <w:rFonts w:asciiTheme="minorHAnsi" w:eastAsiaTheme="minorEastAsia" w:hAnsiTheme="minorHAnsi"/>
              <w:noProof/>
              <w:lang w:val="en-US"/>
            </w:rPr>
          </w:pPr>
          <w:hyperlink w:anchor="_Toc109511785" w:history="1">
            <w:r w:rsidR="00BE0D6F" w:rsidRPr="006754DA">
              <w:rPr>
                <w:rStyle w:val="Hyperlink"/>
                <w:noProof/>
              </w:rPr>
              <w:t>Policies and Interventions</w:t>
            </w:r>
            <w:r w:rsidR="00BE0D6F">
              <w:rPr>
                <w:noProof/>
                <w:webHidden/>
              </w:rPr>
              <w:tab/>
            </w:r>
            <w:r w:rsidR="00BE0D6F">
              <w:rPr>
                <w:noProof/>
                <w:webHidden/>
              </w:rPr>
              <w:fldChar w:fldCharType="begin"/>
            </w:r>
            <w:r w:rsidR="00BE0D6F">
              <w:rPr>
                <w:noProof/>
                <w:webHidden/>
              </w:rPr>
              <w:instrText xml:space="preserve"> PAGEREF _Toc109511785 \h </w:instrText>
            </w:r>
            <w:r w:rsidR="00BE0D6F">
              <w:rPr>
                <w:noProof/>
                <w:webHidden/>
              </w:rPr>
            </w:r>
            <w:r w:rsidR="00BE0D6F">
              <w:rPr>
                <w:noProof/>
                <w:webHidden/>
              </w:rPr>
              <w:fldChar w:fldCharType="separate"/>
            </w:r>
            <w:r w:rsidR="00BE0D6F">
              <w:rPr>
                <w:noProof/>
                <w:webHidden/>
              </w:rPr>
              <w:t>5</w:t>
            </w:r>
            <w:r w:rsidR="00BE0D6F">
              <w:rPr>
                <w:noProof/>
                <w:webHidden/>
              </w:rPr>
              <w:fldChar w:fldCharType="end"/>
            </w:r>
          </w:hyperlink>
        </w:p>
        <w:p w14:paraId="296BD599" w14:textId="77777777" w:rsidR="00BE0D6F" w:rsidRDefault="00000000" w:rsidP="00BE0D6F">
          <w:pPr>
            <w:pStyle w:val="TOC1"/>
            <w:tabs>
              <w:tab w:val="right" w:leader="dot" w:pos="9350"/>
            </w:tabs>
            <w:spacing w:after="0" w:line="360" w:lineRule="auto"/>
            <w:rPr>
              <w:rFonts w:asciiTheme="minorHAnsi" w:eastAsiaTheme="minorEastAsia" w:hAnsiTheme="minorHAnsi"/>
              <w:noProof/>
              <w:lang w:val="en-US"/>
            </w:rPr>
          </w:pPr>
          <w:hyperlink w:anchor="_Toc109511786" w:history="1">
            <w:r w:rsidR="00BE0D6F" w:rsidRPr="006754DA">
              <w:rPr>
                <w:rStyle w:val="Hyperlink"/>
                <w:noProof/>
              </w:rPr>
              <w:t>Reflection</w:t>
            </w:r>
            <w:r w:rsidR="00BE0D6F">
              <w:rPr>
                <w:noProof/>
                <w:webHidden/>
              </w:rPr>
              <w:tab/>
            </w:r>
            <w:r w:rsidR="00BE0D6F">
              <w:rPr>
                <w:noProof/>
                <w:webHidden/>
              </w:rPr>
              <w:fldChar w:fldCharType="begin"/>
            </w:r>
            <w:r w:rsidR="00BE0D6F">
              <w:rPr>
                <w:noProof/>
                <w:webHidden/>
              </w:rPr>
              <w:instrText xml:space="preserve"> PAGEREF _Toc109511786 \h </w:instrText>
            </w:r>
            <w:r w:rsidR="00BE0D6F">
              <w:rPr>
                <w:noProof/>
                <w:webHidden/>
              </w:rPr>
            </w:r>
            <w:r w:rsidR="00BE0D6F">
              <w:rPr>
                <w:noProof/>
                <w:webHidden/>
              </w:rPr>
              <w:fldChar w:fldCharType="separate"/>
            </w:r>
            <w:r w:rsidR="00BE0D6F">
              <w:rPr>
                <w:noProof/>
                <w:webHidden/>
              </w:rPr>
              <w:t>5</w:t>
            </w:r>
            <w:r w:rsidR="00BE0D6F">
              <w:rPr>
                <w:noProof/>
                <w:webHidden/>
              </w:rPr>
              <w:fldChar w:fldCharType="end"/>
            </w:r>
          </w:hyperlink>
        </w:p>
        <w:p w14:paraId="28EE1D55" w14:textId="77777777" w:rsidR="00BE0D6F" w:rsidRDefault="00000000" w:rsidP="00BE0D6F">
          <w:pPr>
            <w:pStyle w:val="TOC1"/>
            <w:tabs>
              <w:tab w:val="right" w:leader="dot" w:pos="9350"/>
            </w:tabs>
            <w:spacing w:after="0" w:line="360" w:lineRule="auto"/>
            <w:rPr>
              <w:rFonts w:asciiTheme="minorHAnsi" w:eastAsiaTheme="minorEastAsia" w:hAnsiTheme="minorHAnsi"/>
              <w:noProof/>
              <w:lang w:val="en-US"/>
            </w:rPr>
          </w:pPr>
          <w:hyperlink w:anchor="_Toc109511787" w:history="1">
            <w:r w:rsidR="00BE0D6F" w:rsidRPr="006754DA">
              <w:rPr>
                <w:rStyle w:val="Hyperlink"/>
                <w:noProof/>
              </w:rPr>
              <w:t>Conclusion</w:t>
            </w:r>
            <w:r w:rsidR="00BE0D6F">
              <w:rPr>
                <w:noProof/>
                <w:webHidden/>
              </w:rPr>
              <w:tab/>
            </w:r>
            <w:r w:rsidR="00BE0D6F">
              <w:rPr>
                <w:noProof/>
                <w:webHidden/>
              </w:rPr>
              <w:fldChar w:fldCharType="begin"/>
            </w:r>
            <w:r w:rsidR="00BE0D6F">
              <w:rPr>
                <w:noProof/>
                <w:webHidden/>
              </w:rPr>
              <w:instrText xml:space="preserve"> PAGEREF _Toc109511787 \h </w:instrText>
            </w:r>
            <w:r w:rsidR="00BE0D6F">
              <w:rPr>
                <w:noProof/>
                <w:webHidden/>
              </w:rPr>
            </w:r>
            <w:r w:rsidR="00BE0D6F">
              <w:rPr>
                <w:noProof/>
                <w:webHidden/>
              </w:rPr>
              <w:fldChar w:fldCharType="separate"/>
            </w:r>
            <w:r w:rsidR="00BE0D6F">
              <w:rPr>
                <w:noProof/>
                <w:webHidden/>
              </w:rPr>
              <w:t>6</w:t>
            </w:r>
            <w:r w:rsidR="00BE0D6F">
              <w:rPr>
                <w:noProof/>
                <w:webHidden/>
              </w:rPr>
              <w:fldChar w:fldCharType="end"/>
            </w:r>
          </w:hyperlink>
        </w:p>
        <w:p w14:paraId="51E81C0C" w14:textId="77777777" w:rsidR="00BE0D6F" w:rsidRDefault="00000000" w:rsidP="00BE0D6F">
          <w:pPr>
            <w:pStyle w:val="TOC1"/>
            <w:tabs>
              <w:tab w:val="right" w:leader="dot" w:pos="9350"/>
            </w:tabs>
            <w:spacing w:after="0" w:line="360" w:lineRule="auto"/>
            <w:rPr>
              <w:rFonts w:asciiTheme="minorHAnsi" w:eastAsiaTheme="minorEastAsia" w:hAnsiTheme="minorHAnsi"/>
              <w:noProof/>
              <w:lang w:val="en-US"/>
            </w:rPr>
          </w:pPr>
          <w:hyperlink w:anchor="_Toc109511788" w:history="1">
            <w:r w:rsidR="00BE0D6F" w:rsidRPr="006754DA">
              <w:rPr>
                <w:rStyle w:val="Hyperlink"/>
                <w:noProof/>
              </w:rPr>
              <w:t>References</w:t>
            </w:r>
            <w:r w:rsidR="00BE0D6F">
              <w:rPr>
                <w:noProof/>
                <w:webHidden/>
              </w:rPr>
              <w:tab/>
            </w:r>
            <w:r w:rsidR="00BE0D6F">
              <w:rPr>
                <w:noProof/>
                <w:webHidden/>
              </w:rPr>
              <w:fldChar w:fldCharType="begin"/>
            </w:r>
            <w:r w:rsidR="00BE0D6F">
              <w:rPr>
                <w:noProof/>
                <w:webHidden/>
              </w:rPr>
              <w:instrText xml:space="preserve"> PAGEREF _Toc109511788 \h </w:instrText>
            </w:r>
            <w:r w:rsidR="00BE0D6F">
              <w:rPr>
                <w:noProof/>
                <w:webHidden/>
              </w:rPr>
            </w:r>
            <w:r w:rsidR="00BE0D6F">
              <w:rPr>
                <w:noProof/>
                <w:webHidden/>
              </w:rPr>
              <w:fldChar w:fldCharType="separate"/>
            </w:r>
            <w:r w:rsidR="00BE0D6F">
              <w:rPr>
                <w:noProof/>
                <w:webHidden/>
              </w:rPr>
              <w:t>7</w:t>
            </w:r>
            <w:r w:rsidR="00BE0D6F">
              <w:rPr>
                <w:noProof/>
                <w:webHidden/>
              </w:rPr>
              <w:fldChar w:fldCharType="end"/>
            </w:r>
          </w:hyperlink>
        </w:p>
        <w:p w14:paraId="5088CDDA" w14:textId="77777777" w:rsidR="00E04BB1" w:rsidRPr="00CE45B8" w:rsidRDefault="00CA1AF9" w:rsidP="00BE0D6F">
          <w:pPr>
            <w:spacing w:line="360" w:lineRule="auto"/>
            <w:contextualSpacing/>
          </w:pPr>
          <w:r w:rsidRPr="00CE45B8">
            <w:rPr>
              <w:b/>
              <w:bCs/>
              <w:noProof/>
            </w:rPr>
            <w:fldChar w:fldCharType="end"/>
          </w:r>
        </w:p>
      </w:sdtContent>
    </w:sdt>
    <w:p w14:paraId="2B4E07B4" w14:textId="77777777" w:rsidR="00E04BB1" w:rsidRPr="00CE45B8" w:rsidRDefault="00E04BB1" w:rsidP="00BE0D6F">
      <w:pPr>
        <w:spacing w:line="360" w:lineRule="auto"/>
        <w:contextualSpacing/>
        <w:rPr>
          <w:b/>
        </w:rPr>
      </w:pPr>
    </w:p>
    <w:p w14:paraId="6B8A4042" w14:textId="77777777" w:rsidR="00E04BB1" w:rsidRPr="00CE45B8" w:rsidRDefault="00E04BB1" w:rsidP="00BE0D6F">
      <w:pPr>
        <w:spacing w:line="360" w:lineRule="auto"/>
        <w:contextualSpacing/>
      </w:pPr>
    </w:p>
    <w:p w14:paraId="31D002D6" w14:textId="31E30221" w:rsidR="00E04BB1" w:rsidRPr="00CE45B8" w:rsidRDefault="00CA1AF9" w:rsidP="00BE0D6F">
      <w:pPr>
        <w:spacing w:line="360" w:lineRule="auto"/>
        <w:contextualSpacing/>
        <w:rPr>
          <w:b/>
        </w:rPr>
      </w:pPr>
      <w:r w:rsidRPr="00CE45B8">
        <w:rPr>
          <w:b/>
        </w:rPr>
        <w:br w:type="page"/>
      </w:r>
    </w:p>
    <w:p w14:paraId="1409A416" w14:textId="163D8F98" w:rsidR="000A6929" w:rsidRPr="00CE45B8" w:rsidRDefault="00CA1AF9" w:rsidP="00BE0D6F">
      <w:pPr>
        <w:pStyle w:val="Heading1"/>
        <w:spacing w:before="0" w:line="360" w:lineRule="auto"/>
        <w:contextualSpacing/>
        <w:rPr>
          <w:rFonts w:cs="Times New Roman"/>
          <w:szCs w:val="22"/>
        </w:rPr>
      </w:pPr>
      <w:bookmarkStart w:id="0" w:name="_Toc109511781"/>
      <w:r w:rsidRPr="00CE45B8">
        <w:rPr>
          <w:rFonts w:cs="Times New Roman"/>
          <w:szCs w:val="22"/>
        </w:rPr>
        <w:lastRenderedPageBreak/>
        <w:t>Introduction</w:t>
      </w:r>
      <w:bookmarkEnd w:id="0"/>
    </w:p>
    <w:p w14:paraId="50E89963" w14:textId="77777777" w:rsidR="00980D70" w:rsidRPr="00CE45B8" w:rsidRDefault="00980D70" w:rsidP="00BE0D6F">
      <w:pPr>
        <w:spacing w:line="360" w:lineRule="auto"/>
      </w:pPr>
      <w:r w:rsidRPr="00CE45B8">
        <w:tab/>
        <w:t xml:space="preserve">In this supporting paper, the discussion will be based on analysing the case study as well as approach undertaken by group to the delivery and production of the presentation. In relation to this, the goal of this case study is to examine and explore the well-being concept or considering the issue of family E; it is found or assumed in the case study that the family has alcoholic mother and two boys and the abusive step father that affects the entire stability within family. The primary aim of this case study was to analyse the idea of well-being that surrounds the issue of family E in order to facilitate the policies and interventions. In support of this, this paper will also analyse and evaluate the interventions and polices utilised via multi-disciplinary services ultimately to meet the distinct requirements of people who are in need of support. </w:t>
      </w:r>
      <w:r w:rsidR="00833622">
        <w:t xml:space="preserve"> </w:t>
      </w:r>
    </w:p>
    <w:p w14:paraId="747E62D2" w14:textId="77777777" w:rsidR="000B2F07" w:rsidRDefault="000B2F07" w:rsidP="00BE0D6F">
      <w:pPr>
        <w:pStyle w:val="Heading1"/>
        <w:spacing w:before="0" w:line="360" w:lineRule="auto"/>
        <w:rPr>
          <w:szCs w:val="22"/>
        </w:rPr>
      </w:pPr>
      <w:bookmarkStart w:id="1" w:name="_Toc109511782"/>
    </w:p>
    <w:p w14:paraId="06514A0D" w14:textId="0FF7263C" w:rsidR="00DF312F" w:rsidRPr="00CE45B8" w:rsidRDefault="00980D70" w:rsidP="00BE0D6F">
      <w:pPr>
        <w:pStyle w:val="Heading1"/>
        <w:spacing w:before="0" w:line="360" w:lineRule="auto"/>
        <w:rPr>
          <w:szCs w:val="22"/>
        </w:rPr>
      </w:pPr>
      <w:r w:rsidRPr="00CE45B8">
        <w:rPr>
          <w:szCs w:val="22"/>
        </w:rPr>
        <w:t xml:space="preserve">Analysing the perception of well-being of children, young </w:t>
      </w:r>
      <w:r w:rsidR="008F11F5" w:rsidRPr="00CE45B8">
        <w:rPr>
          <w:szCs w:val="22"/>
        </w:rPr>
        <w:t>people,</w:t>
      </w:r>
      <w:r w:rsidRPr="00CE45B8">
        <w:rPr>
          <w:szCs w:val="22"/>
        </w:rPr>
        <w:t xml:space="preserve"> and families</w:t>
      </w:r>
      <w:bookmarkEnd w:id="1"/>
      <w:r w:rsidRPr="00CE45B8">
        <w:rPr>
          <w:szCs w:val="22"/>
        </w:rPr>
        <w:t xml:space="preserve"> </w:t>
      </w:r>
    </w:p>
    <w:p w14:paraId="77929B74" w14:textId="77777777" w:rsidR="005A1B23" w:rsidRPr="00CE45B8" w:rsidRDefault="005A1B23" w:rsidP="00BE0D6F">
      <w:pPr>
        <w:spacing w:line="360" w:lineRule="auto"/>
      </w:pPr>
      <w:r w:rsidRPr="00CE45B8">
        <w:tab/>
        <w:t>The measures related human well-being can facilitate insight into the living standard within society. It</w:t>
      </w:r>
      <w:r w:rsidR="00AC16B1" w:rsidRPr="00CE45B8">
        <w:t xml:space="preserve"> is also explored by </w:t>
      </w:r>
      <w:r w:rsidR="00AC16B1" w:rsidRPr="00CE45B8">
        <w:rPr>
          <w:lang w:val="en"/>
        </w:rPr>
        <w:t>Haq and Zia (2013)</w:t>
      </w:r>
      <w:r w:rsidRPr="00CE45B8">
        <w:t xml:space="preserve"> in which both suggested that health, education, conditions of living and financial conditions are the elements in which well-being of an individual is considered. The well-being of an individual can be determined by analysing such elements.</w:t>
      </w:r>
      <w:r w:rsidR="005743B5" w:rsidRPr="00CE45B8">
        <w:t xml:space="preserve"> It is important for an individual to consider the importance of well-being of young people, children and families. In the childhood phase, children are more likely to develop their mental and physical abilities as childhood is considered as foundation age phase</w:t>
      </w:r>
      <w:r w:rsidR="00AC16B1" w:rsidRPr="00CE45B8">
        <w:t xml:space="preserve"> (</w:t>
      </w:r>
      <w:r w:rsidR="00AC16B1" w:rsidRPr="00CE45B8">
        <w:rPr>
          <w:lang w:val="en"/>
        </w:rPr>
        <w:t>Haq and Zia, 2013</w:t>
      </w:r>
      <w:r w:rsidR="00AC16B1" w:rsidRPr="00CE45B8">
        <w:t>)</w:t>
      </w:r>
      <w:r w:rsidR="005743B5" w:rsidRPr="00CE45B8">
        <w:t>. Therefore, it is essential for an individual or family members to take a proper care of aspects that can negatively influence the mental stability or physical ability of children in their foundation age. Moreover, it is also mentioned in the Care Act 2014 that facilitates a complete concept of different aspects of well-being related to statutory leadership</w:t>
      </w:r>
      <w:r w:rsidR="00AC16B1" w:rsidRPr="00CE45B8">
        <w:t xml:space="preserve"> (</w:t>
      </w:r>
      <w:r w:rsidR="00AC16B1" w:rsidRPr="00CE45B8">
        <w:rPr>
          <w:lang w:val="en"/>
        </w:rPr>
        <w:t>Broward County, 2021</w:t>
      </w:r>
      <w:r w:rsidR="00AC16B1" w:rsidRPr="00CE45B8">
        <w:t>)</w:t>
      </w:r>
      <w:r w:rsidR="005743B5" w:rsidRPr="00CE45B8">
        <w:t xml:space="preserve">. </w:t>
      </w:r>
    </w:p>
    <w:p w14:paraId="4E629CF6" w14:textId="77777777" w:rsidR="005A1B23" w:rsidRPr="00CE45B8" w:rsidRDefault="005743B5" w:rsidP="00BE0D6F">
      <w:pPr>
        <w:spacing w:line="360" w:lineRule="auto"/>
      </w:pPr>
      <w:r w:rsidRPr="00CE45B8">
        <w:tab/>
        <w:t>In a similar context, the health and well-being of children is a basic human right that should be considered; but in the case of family E, the abusive step father affects the entire stability within family. Therefore, it is essential to control and reduce the abusive conversation with two boys as they are in their learning phase and it could negatively impact their future</w:t>
      </w:r>
      <w:r w:rsidR="00AC16B1" w:rsidRPr="00CE45B8">
        <w:t xml:space="preserve"> (</w:t>
      </w:r>
      <w:r w:rsidR="00AC16B1" w:rsidRPr="00CE45B8">
        <w:rPr>
          <w:lang w:val="en"/>
        </w:rPr>
        <w:t>Broward County, 2021</w:t>
      </w:r>
      <w:r w:rsidR="00AC16B1" w:rsidRPr="00CE45B8">
        <w:t>)</w:t>
      </w:r>
      <w:r w:rsidRPr="00CE45B8">
        <w:t>.</w:t>
      </w:r>
    </w:p>
    <w:p w14:paraId="7758E158" w14:textId="77777777" w:rsidR="000B2F07" w:rsidRDefault="000B2F07" w:rsidP="00BE0D6F">
      <w:pPr>
        <w:pStyle w:val="Heading1"/>
        <w:spacing w:before="0" w:line="360" w:lineRule="auto"/>
        <w:rPr>
          <w:szCs w:val="22"/>
        </w:rPr>
      </w:pPr>
      <w:bookmarkStart w:id="2" w:name="_Toc109511783"/>
    </w:p>
    <w:p w14:paraId="382C71E5" w14:textId="2FA21052" w:rsidR="00980D70" w:rsidRPr="00CE45B8" w:rsidRDefault="005743B5" w:rsidP="00BE0D6F">
      <w:pPr>
        <w:pStyle w:val="Heading1"/>
        <w:spacing w:before="0" w:line="360" w:lineRule="auto"/>
        <w:rPr>
          <w:szCs w:val="22"/>
        </w:rPr>
      </w:pPr>
      <w:r w:rsidRPr="00CE45B8">
        <w:rPr>
          <w:szCs w:val="22"/>
        </w:rPr>
        <w:t xml:space="preserve">Domains of Well-being as per the </w:t>
      </w:r>
      <w:r w:rsidR="00980D70" w:rsidRPr="00CE45B8">
        <w:rPr>
          <w:szCs w:val="22"/>
        </w:rPr>
        <w:t>Care Act 2014</w:t>
      </w:r>
      <w:bookmarkEnd w:id="2"/>
    </w:p>
    <w:p w14:paraId="1C1A2095" w14:textId="77777777" w:rsidR="009857E0" w:rsidRPr="00CE45B8" w:rsidRDefault="005743B5" w:rsidP="00BE0D6F">
      <w:pPr>
        <w:spacing w:line="360" w:lineRule="auto"/>
      </w:pPr>
      <w:r w:rsidRPr="00CE45B8">
        <w:tab/>
        <w:t>It is well-evident that term well-being and health is quite important for an individual regardless of considering age. It is found that well-being is associated with different areas such as personal dignity that include treating individual with respect. In addition to this,</w:t>
      </w:r>
      <w:r w:rsidR="00020A1A" w:rsidRPr="00CE45B8">
        <w:t xml:space="preserve"> well-being also includes emotional well-being, mental health and physical health along with protection from neglect and abuse.</w:t>
      </w:r>
      <w:r w:rsidR="00EC3419" w:rsidRPr="00CE45B8">
        <w:t xml:space="preserve"> The well-being is also related to control by individual over daily activities and this involves the provision of care as well as support along with its application. The participation in education, work, training and recreation is also a part of well-being and it is important to manage economic or social well-being</w:t>
      </w:r>
      <w:r w:rsidR="00C52B9C" w:rsidRPr="00CE45B8">
        <w:t>. Personal domains, family and domestic domains are also referred to well-being</w:t>
      </w:r>
      <w:r w:rsidR="00EC3419" w:rsidRPr="00CE45B8">
        <w:t xml:space="preserve"> </w:t>
      </w:r>
      <w:r w:rsidR="00C52B9C" w:rsidRPr="00CE45B8">
        <w:t>and the suitability of an individual in terms of living accommodation determines well-being. Furthermore, the contribution of an individual to the society is also included in the list or domain of well-being</w:t>
      </w:r>
      <w:r w:rsidR="00AC16B1" w:rsidRPr="00CE45B8">
        <w:t xml:space="preserve"> (</w:t>
      </w:r>
      <w:r w:rsidR="00AC16B1" w:rsidRPr="00CE45B8">
        <w:rPr>
          <w:lang w:val="en"/>
        </w:rPr>
        <w:t>Department of Health, 2014</w:t>
      </w:r>
      <w:r w:rsidR="00AC16B1" w:rsidRPr="00CE45B8">
        <w:t>)</w:t>
      </w:r>
      <w:r w:rsidR="00C52B9C" w:rsidRPr="00CE45B8">
        <w:t>.</w:t>
      </w:r>
    </w:p>
    <w:p w14:paraId="3160A50F" w14:textId="77777777" w:rsidR="009857E0" w:rsidRPr="00CE45B8" w:rsidRDefault="009857E0" w:rsidP="00BE0D6F">
      <w:pPr>
        <w:spacing w:line="360" w:lineRule="auto"/>
      </w:pPr>
      <w:r w:rsidRPr="00CE45B8">
        <w:tab/>
        <w:t xml:space="preserve">It is stated by local authority that promoting well-being is not a specific method that is utilised the manner people are being managed. In relation to this, the objectives, needs and wishes of an individual or other aspects influence well-being. The Care Act (2014) promotes some aspects related to well-being such as it is important when performing personalised roles of support an care to foster well-being at every stage; for instance, to facilitating information to advice related to care. The </w:t>
      </w:r>
      <w:r w:rsidR="002129FB" w:rsidRPr="00CE45B8">
        <w:t>Act also shows a shift from the obligations to facilitate particular services in order to fulfil the requirement of compensation. The local authority support and care system should be pervaded with idea of promoting well-being. The concept of acknowledging and addressing needs of every person is vital as varied people have different needs that are individualised and unique at the same time</w:t>
      </w:r>
      <w:r w:rsidR="00AC16B1" w:rsidRPr="00CE45B8">
        <w:t xml:space="preserve"> (</w:t>
      </w:r>
      <w:r w:rsidR="00AC16B1" w:rsidRPr="00CE45B8">
        <w:rPr>
          <w:lang w:val="en"/>
        </w:rPr>
        <w:t>Social Care Institute for Excellence, 2020</w:t>
      </w:r>
      <w:r w:rsidR="00AC16B1" w:rsidRPr="00CE45B8">
        <w:t>)</w:t>
      </w:r>
      <w:r w:rsidR="002129FB" w:rsidRPr="00CE45B8">
        <w:t>.</w:t>
      </w:r>
    </w:p>
    <w:p w14:paraId="058BC61E" w14:textId="77777777" w:rsidR="000B2F07" w:rsidRDefault="000B2F07" w:rsidP="00BE0D6F">
      <w:pPr>
        <w:pStyle w:val="Heading1"/>
        <w:spacing w:before="0" w:line="360" w:lineRule="auto"/>
        <w:rPr>
          <w:szCs w:val="22"/>
        </w:rPr>
      </w:pPr>
      <w:bookmarkStart w:id="3" w:name="_Toc109511784"/>
    </w:p>
    <w:p w14:paraId="63A8FB60" w14:textId="27C9D8B8" w:rsidR="00980D70" w:rsidRPr="00CE45B8" w:rsidRDefault="00980D70" w:rsidP="00BE0D6F">
      <w:pPr>
        <w:pStyle w:val="Heading1"/>
        <w:spacing w:before="0" w:line="360" w:lineRule="auto"/>
        <w:rPr>
          <w:szCs w:val="22"/>
        </w:rPr>
      </w:pPr>
      <w:r w:rsidRPr="00CE45B8">
        <w:rPr>
          <w:szCs w:val="22"/>
        </w:rPr>
        <w:t>Analysis of Key Bullying and Feeling of Isolation</w:t>
      </w:r>
      <w:bookmarkEnd w:id="3"/>
      <w:r w:rsidRPr="00CE45B8">
        <w:rPr>
          <w:szCs w:val="22"/>
        </w:rPr>
        <w:t xml:space="preserve"> </w:t>
      </w:r>
    </w:p>
    <w:p w14:paraId="64C0844A" w14:textId="77777777" w:rsidR="002129FB" w:rsidRPr="00CE45B8" w:rsidRDefault="002129FB" w:rsidP="00BE0D6F">
      <w:pPr>
        <w:spacing w:line="360" w:lineRule="auto"/>
      </w:pPr>
      <w:r w:rsidRPr="00CE45B8">
        <w:tab/>
        <w:t>It is found in the case study mentioned in presentation that the entire case is based on feeling isolated and bullying as of the main domains in relation to the children and young people well-being.</w:t>
      </w:r>
      <w:r w:rsidR="00AC27E8" w:rsidRPr="00CE45B8">
        <w:t xml:space="preserve"> It is found in the case of family E that children who stands out as different may suffer from harmful and negative impacts of stigma; generally, kids often encounter bullying due to differences from others. In relation to this, the absence of children and anti-social behaviour at school could be possibly an outcome of being bullied at the school or feeling of isolation.</w:t>
      </w:r>
      <w:r w:rsidRPr="00CE45B8">
        <w:tab/>
      </w:r>
      <w:r w:rsidR="00AC27E8" w:rsidRPr="00CE45B8">
        <w:t xml:space="preserve">It is </w:t>
      </w:r>
      <w:r w:rsidR="00AC27E8" w:rsidRPr="00CE45B8">
        <w:lastRenderedPageBreak/>
        <w:t>important to focus on the health and well-being of children in such phase of life as it shapes their future</w:t>
      </w:r>
      <w:r w:rsidR="00AC16B1" w:rsidRPr="00CE45B8">
        <w:t xml:space="preserve"> (Fong, Katelaris and Wainstein, 2017)</w:t>
      </w:r>
      <w:r w:rsidR="00AC27E8" w:rsidRPr="00CE45B8">
        <w:t>.</w:t>
      </w:r>
      <w:r w:rsidRPr="00CE45B8">
        <w:t xml:space="preserve"> </w:t>
      </w:r>
    </w:p>
    <w:p w14:paraId="41D889E3" w14:textId="77777777" w:rsidR="000B2F07" w:rsidRDefault="000B2F07" w:rsidP="00BE0D6F">
      <w:pPr>
        <w:pStyle w:val="Heading1"/>
        <w:spacing w:before="0" w:line="360" w:lineRule="auto"/>
        <w:rPr>
          <w:szCs w:val="22"/>
        </w:rPr>
      </w:pPr>
      <w:bookmarkStart w:id="4" w:name="_Toc109511785"/>
    </w:p>
    <w:p w14:paraId="489FF2BC" w14:textId="5E3C1402" w:rsidR="00980D70" w:rsidRPr="00CE45B8" w:rsidRDefault="00980D70" w:rsidP="00BE0D6F">
      <w:pPr>
        <w:pStyle w:val="Heading1"/>
        <w:spacing w:before="0" w:line="360" w:lineRule="auto"/>
        <w:rPr>
          <w:szCs w:val="22"/>
        </w:rPr>
      </w:pPr>
      <w:r w:rsidRPr="00CE45B8">
        <w:rPr>
          <w:szCs w:val="22"/>
        </w:rPr>
        <w:t>Policies and Interventions</w:t>
      </w:r>
      <w:bookmarkEnd w:id="4"/>
    </w:p>
    <w:p w14:paraId="3B2FE6B2" w14:textId="77777777" w:rsidR="00AC27E8" w:rsidRDefault="00AC27E8" w:rsidP="00BE0D6F">
      <w:pPr>
        <w:spacing w:line="360" w:lineRule="auto"/>
      </w:pPr>
      <w:r w:rsidRPr="00CE45B8">
        <w:tab/>
        <w:t>In the process of creating policies, it is important to consider the aspects which really matters and foster the quality of life. In support of this, programme known as Measuring What Matters</w:t>
      </w:r>
      <w:r w:rsidR="00FF4C78" w:rsidRPr="00CE45B8">
        <w:t xml:space="preserve"> came in the year 2010 to 2011 that help people to overcome the fear related to particular health condition by supporting them emotionally. In relation to this, there are various policies that helps in measuring the circumstances of the involved family in order to enhance their quality of life such as Safeguarding Policy, Social Welfare Policy, School Policy, Health and Well-being Policy and Promoting Mental Health Policy. In the case of family E, it is quite important to focus on safeguarding policy and health and well-being policy. In addition to this, the policies can administer the family in terms of assessing their relationships, economic support they require and accommodations related requirement. The policies are quite helpful in terms of resolving cognitive and behavioural impairment of the entire family</w:t>
      </w:r>
      <w:r w:rsidR="00AC16B1" w:rsidRPr="00CE45B8">
        <w:t xml:space="preserve"> (ONS, 2011)</w:t>
      </w:r>
      <w:r w:rsidR="00FF4C78" w:rsidRPr="00CE45B8">
        <w:t>.</w:t>
      </w:r>
    </w:p>
    <w:p w14:paraId="35952C05" w14:textId="77777777" w:rsidR="000B2F07" w:rsidRDefault="000B2F07" w:rsidP="00BE0D6F">
      <w:pPr>
        <w:pStyle w:val="Heading1"/>
        <w:spacing w:before="0" w:line="360" w:lineRule="auto"/>
      </w:pPr>
      <w:bookmarkStart w:id="5" w:name="_Toc109511786"/>
    </w:p>
    <w:p w14:paraId="37B210AF" w14:textId="2B2E984A" w:rsidR="00CE45B8" w:rsidRDefault="00CE45B8" w:rsidP="00BE0D6F">
      <w:pPr>
        <w:pStyle w:val="Heading1"/>
        <w:spacing w:before="0" w:line="360" w:lineRule="auto"/>
      </w:pPr>
      <w:r>
        <w:t>Reflection</w:t>
      </w:r>
      <w:bookmarkEnd w:id="5"/>
      <w:r>
        <w:t xml:space="preserve"> </w:t>
      </w:r>
    </w:p>
    <w:p w14:paraId="4536D121" w14:textId="1BDBB137" w:rsidR="00CE45B8" w:rsidRPr="00CE45B8" w:rsidRDefault="00CE45B8" w:rsidP="00BE0D6F">
      <w:pPr>
        <w:spacing w:line="360" w:lineRule="auto"/>
      </w:pPr>
      <w:r>
        <w:tab/>
      </w:r>
      <w:r w:rsidR="00061B17" w:rsidRPr="00061B17">
        <w:t xml:space="preserve">In my opinion, the interventions undertaken for the family </w:t>
      </w:r>
      <w:r w:rsidR="00061B17" w:rsidRPr="00061B17">
        <w:t>matters</w:t>
      </w:r>
      <w:r w:rsidR="00061B17" w:rsidRPr="00061B17">
        <w:t xml:space="preserve">, were the correct manners to put into practice a resolution, the only reason is because of the approach that was applied. In fact, the </w:t>
      </w:r>
      <w:r w:rsidR="00061B17" w:rsidRPr="00061B17">
        <w:t>Behavior</w:t>
      </w:r>
      <w:r w:rsidR="00061B17" w:rsidRPr="00061B17">
        <w:t xml:space="preserve"> and the individuality of the family was considered while applying and putting into practice the policies which are necessary to lead to a successful result. I believe that the policies that were considered were the right ones to help every member of the family overcome their hardships. To help the children </w:t>
      </w:r>
      <w:r w:rsidR="00061B17" w:rsidRPr="00061B17">
        <w:t>Behavior</w:t>
      </w:r>
      <w:r w:rsidR="00061B17" w:rsidRPr="00061B17">
        <w:t>, which might be due to being bullied is very important. To discuss these aspects of analysis the group held video all meetings to help each other research as well as giving opinions on each other’s work.</w:t>
      </w:r>
      <w:r w:rsidR="00520BD7">
        <w:t xml:space="preserve"> </w:t>
      </w:r>
      <w:r w:rsidR="00061B17">
        <w:t xml:space="preserve"> </w:t>
      </w:r>
      <w:r w:rsidR="00EA56BA">
        <w:t>However, I have learned from the case which is based on family E and the way to protect the rights of children and the importance of mental health and well-being of children.</w:t>
      </w:r>
    </w:p>
    <w:p w14:paraId="6301CABC" w14:textId="77777777" w:rsidR="00CE45B8" w:rsidRPr="00CE45B8" w:rsidRDefault="00CE45B8" w:rsidP="00BE0D6F">
      <w:pPr>
        <w:pStyle w:val="Heading1"/>
        <w:spacing w:before="0" w:line="360" w:lineRule="auto"/>
        <w:rPr>
          <w:szCs w:val="22"/>
        </w:rPr>
      </w:pPr>
      <w:bookmarkStart w:id="6" w:name="_Toc109511787"/>
      <w:r w:rsidRPr="00CE45B8">
        <w:rPr>
          <w:szCs w:val="22"/>
        </w:rPr>
        <w:t>Conclusion</w:t>
      </w:r>
      <w:bookmarkEnd w:id="6"/>
    </w:p>
    <w:p w14:paraId="558C0B32" w14:textId="68B3849A" w:rsidR="00AC16B1" w:rsidRPr="00CE45B8" w:rsidRDefault="00CE45B8" w:rsidP="00061B17">
      <w:pPr>
        <w:spacing w:line="360" w:lineRule="auto"/>
      </w:pPr>
      <w:r w:rsidRPr="00CE45B8">
        <w:tab/>
      </w:r>
      <w:r w:rsidR="00061B17" w:rsidRPr="00061B17">
        <w:t xml:space="preserve">To conclude it is imperative to admit that being part of a team has positive sides but also challenged ones. The case study that we were given was very interesting and I put into practice my academic analytical capabilities as well as workplace developed skills such as teamwork and </w:t>
      </w:r>
      <w:r w:rsidR="00061B17" w:rsidRPr="00061B17">
        <w:lastRenderedPageBreak/>
        <w:t xml:space="preserve">collaboration. The discussion was very detailed as it focused on a specific case, therefore the use of several policies to intervene and resolve the family struggles were necessary. In this paper the discussion the presentation was </w:t>
      </w:r>
      <w:r w:rsidR="00061B17" w:rsidRPr="00061B17">
        <w:t>specific and</w:t>
      </w:r>
      <w:r w:rsidR="00061B17" w:rsidRPr="00061B17">
        <w:t xml:space="preserve"> working in a team was a new experience.</w:t>
      </w:r>
      <w:r w:rsidR="00061B17">
        <w:t xml:space="preserve"> </w:t>
      </w:r>
    </w:p>
    <w:p w14:paraId="78965833" w14:textId="77777777" w:rsidR="00FF4C78" w:rsidRPr="00CE45B8" w:rsidRDefault="00FF4C78" w:rsidP="00BE0D6F">
      <w:pPr>
        <w:spacing w:line="360" w:lineRule="auto"/>
      </w:pPr>
      <w:r w:rsidRPr="00CE45B8">
        <w:tab/>
      </w:r>
    </w:p>
    <w:p w14:paraId="3AC290F7" w14:textId="77777777" w:rsidR="00F86A13" w:rsidRPr="00CE45B8" w:rsidRDefault="003F22CE" w:rsidP="00BE0D6F">
      <w:pPr>
        <w:spacing w:line="360" w:lineRule="auto"/>
        <w:contextualSpacing/>
      </w:pPr>
      <w:r w:rsidRPr="00CE45B8">
        <w:t xml:space="preserve"> </w:t>
      </w:r>
    </w:p>
    <w:p w14:paraId="5540380F" w14:textId="77777777" w:rsidR="00F86A13" w:rsidRPr="00CE45B8" w:rsidRDefault="00CA1AF9" w:rsidP="00BE0D6F">
      <w:pPr>
        <w:spacing w:line="360" w:lineRule="auto"/>
        <w:contextualSpacing/>
      </w:pPr>
      <w:r w:rsidRPr="00CE45B8">
        <w:br w:type="page"/>
      </w:r>
    </w:p>
    <w:p w14:paraId="1BB3799C" w14:textId="77777777" w:rsidR="00F86A13" w:rsidRPr="00CE45B8" w:rsidRDefault="00CA1AF9" w:rsidP="00BE0D6F">
      <w:pPr>
        <w:pStyle w:val="Heading1"/>
        <w:spacing w:before="0" w:line="360" w:lineRule="auto"/>
        <w:contextualSpacing/>
        <w:rPr>
          <w:rFonts w:cs="Times New Roman"/>
          <w:szCs w:val="22"/>
        </w:rPr>
      </w:pPr>
      <w:bookmarkStart w:id="7" w:name="_Toc109511788"/>
      <w:r w:rsidRPr="00CE45B8">
        <w:rPr>
          <w:rFonts w:cs="Times New Roman"/>
          <w:szCs w:val="22"/>
        </w:rPr>
        <w:lastRenderedPageBreak/>
        <w:t>References</w:t>
      </w:r>
      <w:bookmarkEnd w:id="7"/>
    </w:p>
    <w:p w14:paraId="4F4D0733" w14:textId="085BD528" w:rsidR="00AC16B1" w:rsidRDefault="00AC16B1" w:rsidP="00BE0D6F">
      <w:pPr>
        <w:spacing w:line="360" w:lineRule="auto"/>
        <w:ind w:left="720" w:hanging="720"/>
        <w:contextualSpacing/>
        <w:rPr>
          <w:lang w:val="en"/>
        </w:rPr>
      </w:pPr>
      <w:r w:rsidRPr="00CE45B8">
        <w:rPr>
          <w:lang w:val="en"/>
        </w:rPr>
        <w:t xml:space="preserve">Broward County (2021). WellBeing Program. Available at: </w:t>
      </w:r>
      <w:hyperlink r:id="rId8" w:history="1">
        <w:r w:rsidRPr="00CE45B8">
          <w:rPr>
            <w:rStyle w:val="Hyperlink"/>
            <w:lang w:val="en"/>
          </w:rPr>
          <w:t>https://www.broward.org/WellBeing/Pages/default.aspx</w:t>
        </w:r>
      </w:hyperlink>
      <w:r w:rsidRPr="00CE45B8">
        <w:rPr>
          <w:lang w:val="en"/>
        </w:rPr>
        <w:t xml:space="preserve"> (Accessed: 13 July 2022)</w:t>
      </w:r>
    </w:p>
    <w:p w14:paraId="194FF654" w14:textId="77777777" w:rsidR="002A4419" w:rsidRDefault="002A4419" w:rsidP="002A4419">
      <w:pPr>
        <w:rPr>
          <w:rFonts w:ascii="Arial" w:hAnsi="Arial" w:cs="Arial"/>
          <w:color w:val="222222"/>
          <w:sz w:val="22"/>
          <w:szCs w:val="22"/>
          <w:shd w:val="clear" w:color="auto" w:fill="FFFFFF"/>
        </w:rPr>
      </w:pPr>
    </w:p>
    <w:p w14:paraId="7E375759" w14:textId="26F4D304" w:rsidR="002A4419" w:rsidRPr="002A4419" w:rsidRDefault="002A4419" w:rsidP="002A4419">
      <w:pPr>
        <w:rPr>
          <w:sz w:val="32"/>
          <w:szCs w:val="32"/>
        </w:rPr>
      </w:pPr>
      <w:proofErr w:type="spellStart"/>
      <w:r w:rsidRPr="002A4419">
        <w:rPr>
          <w:rFonts w:ascii="Arial" w:hAnsi="Arial" w:cs="Arial"/>
          <w:color w:val="222222"/>
          <w:sz w:val="22"/>
          <w:szCs w:val="22"/>
          <w:shd w:val="clear" w:color="auto" w:fill="FFFFFF"/>
        </w:rPr>
        <w:t>Berguno</w:t>
      </w:r>
      <w:proofErr w:type="spellEnd"/>
      <w:r w:rsidRPr="002A4419">
        <w:rPr>
          <w:rFonts w:ascii="Arial" w:hAnsi="Arial" w:cs="Arial"/>
          <w:color w:val="222222"/>
          <w:sz w:val="22"/>
          <w:szCs w:val="22"/>
          <w:shd w:val="clear" w:color="auto" w:fill="FFFFFF"/>
        </w:rPr>
        <w:t xml:space="preserve">, G., Leroux, P., </w:t>
      </w:r>
      <w:proofErr w:type="spellStart"/>
      <w:r w:rsidRPr="002A4419">
        <w:rPr>
          <w:rFonts w:ascii="Arial" w:hAnsi="Arial" w:cs="Arial"/>
          <w:color w:val="222222"/>
          <w:sz w:val="22"/>
          <w:szCs w:val="22"/>
          <w:shd w:val="clear" w:color="auto" w:fill="FFFFFF"/>
        </w:rPr>
        <w:t>McAinsh</w:t>
      </w:r>
      <w:proofErr w:type="spellEnd"/>
      <w:r w:rsidRPr="002A4419">
        <w:rPr>
          <w:rFonts w:ascii="Arial" w:hAnsi="Arial" w:cs="Arial"/>
          <w:color w:val="222222"/>
          <w:sz w:val="22"/>
          <w:szCs w:val="22"/>
          <w:shd w:val="clear" w:color="auto" w:fill="FFFFFF"/>
        </w:rPr>
        <w:t>, K. and Shaikh, S., 2004. Children's experience of loneliness at school and its relation to bullying and the quality of teacher interventions. </w:t>
      </w:r>
      <w:r w:rsidRPr="002A4419">
        <w:rPr>
          <w:rFonts w:ascii="Arial" w:hAnsi="Arial" w:cs="Arial"/>
          <w:i/>
          <w:iCs/>
          <w:color w:val="222222"/>
          <w:sz w:val="22"/>
          <w:szCs w:val="22"/>
          <w:shd w:val="clear" w:color="auto" w:fill="FFFFFF"/>
        </w:rPr>
        <w:t>The qualitative report</w:t>
      </w:r>
      <w:r w:rsidRPr="002A4419">
        <w:rPr>
          <w:rFonts w:ascii="Arial" w:hAnsi="Arial" w:cs="Arial"/>
          <w:color w:val="222222"/>
          <w:sz w:val="22"/>
          <w:szCs w:val="22"/>
          <w:shd w:val="clear" w:color="auto" w:fill="FFFFFF"/>
        </w:rPr>
        <w:t>, </w:t>
      </w:r>
      <w:r w:rsidRPr="002A4419">
        <w:rPr>
          <w:rFonts w:ascii="Arial" w:hAnsi="Arial" w:cs="Arial"/>
          <w:i/>
          <w:iCs/>
          <w:color w:val="222222"/>
          <w:sz w:val="22"/>
          <w:szCs w:val="22"/>
          <w:shd w:val="clear" w:color="auto" w:fill="FFFFFF"/>
        </w:rPr>
        <w:t>9</w:t>
      </w:r>
      <w:r w:rsidRPr="002A4419">
        <w:rPr>
          <w:rFonts w:ascii="Arial" w:hAnsi="Arial" w:cs="Arial"/>
          <w:color w:val="222222"/>
          <w:sz w:val="22"/>
          <w:szCs w:val="22"/>
          <w:shd w:val="clear" w:color="auto" w:fill="FFFFFF"/>
        </w:rPr>
        <w:t>(3), pp.483-500.</w:t>
      </w:r>
    </w:p>
    <w:p w14:paraId="7BAA6110" w14:textId="77777777" w:rsidR="002A4419" w:rsidRPr="00CE45B8" w:rsidRDefault="002A4419" w:rsidP="002A4419">
      <w:pPr>
        <w:spacing w:line="360" w:lineRule="auto"/>
        <w:contextualSpacing/>
        <w:rPr>
          <w:lang w:val="en-US"/>
        </w:rPr>
      </w:pPr>
    </w:p>
    <w:p w14:paraId="591A0BD6" w14:textId="77777777" w:rsidR="00AC16B1" w:rsidRPr="00CE45B8" w:rsidRDefault="00AC16B1" w:rsidP="00BE0D6F">
      <w:pPr>
        <w:spacing w:line="360" w:lineRule="auto"/>
        <w:ind w:left="720" w:hanging="720"/>
        <w:contextualSpacing/>
        <w:rPr>
          <w:lang w:val="en-US"/>
        </w:rPr>
      </w:pPr>
      <w:r w:rsidRPr="00CE45B8">
        <w:rPr>
          <w:lang w:val="en"/>
        </w:rPr>
        <w:t xml:space="preserve">Department of Health, (2014). ‘Care and Support Statutory’, </w:t>
      </w:r>
      <w:r w:rsidRPr="00CE45B8">
        <w:rPr>
          <w:i/>
          <w:iCs/>
          <w:lang w:val="en"/>
        </w:rPr>
        <w:t>Issued under the Care Act 2014</w:t>
      </w:r>
      <w:r w:rsidRPr="00CE45B8">
        <w:rPr>
          <w:lang w:val="en"/>
        </w:rPr>
        <w:t xml:space="preserve"> Available at: </w:t>
      </w:r>
      <w:hyperlink r:id="rId9" w:history="1">
        <w:r w:rsidRPr="00CE45B8">
          <w:rPr>
            <w:rStyle w:val="Hyperlink"/>
            <w:lang w:val="en"/>
          </w:rPr>
          <w:t>https://assets.publishing.service.gov.uk/government/uploads/system/uploads/attachment_data/file/315993/Care-Act-Guidance.pdf</w:t>
        </w:r>
      </w:hyperlink>
      <w:r w:rsidRPr="00CE45B8">
        <w:rPr>
          <w:lang w:val="en"/>
        </w:rPr>
        <w:t>(Accessed: 10 July 2022)</w:t>
      </w:r>
    </w:p>
    <w:p w14:paraId="03F071E9" w14:textId="77777777" w:rsidR="00AE74FD" w:rsidRDefault="00AE74FD" w:rsidP="00BE0D6F">
      <w:pPr>
        <w:spacing w:line="360" w:lineRule="auto"/>
        <w:ind w:left="720" w:hanging="720"/>
        <w:contextualSpacing/>
      </w:pPr>
    </w:p>
    <w:p w14:paraId="5745088D" w14:textId="0CFDE96B" w:rsidR="00AC16B1" w:rsidRPr="00CE45B8" w:rsidRDefault="00AC16B1" w:rsidP="00BE0D6F">
      <w:pPr>
        <w:spacing w:line="360" w:lineRule="auto"/>
        <w:ind w:left="720" w:hanging="720"/>
        <w:contextualSpacing/>
        <w:rPr>
          <w:lang w:val="en-US"/>
        </w:rPr>
      </w:pPr>
      <w:r w:rsidRPr="00CE45B8">
        <w:t>Fong, A.T., Katelaris, C.H. and Wainstein, B. (2017). Bullying and quality of life in children and adolescents with food allergy. </w:t>
      </w:r>
      <w:r w:rsidRPr="00CE45B8">
        <w:rPr>
          <w:i/>
          <w:iCs/>
        </w:rPr>
        <w:t>Journal of paediatrics and child health</w:t>
      </w:r>
      <w:r w:rsidRPr="00CE45B8">
        <w:t> </w:t>
      </w:r>
      <w:r w:rsidRPr="00CE45B8">
        <w:rPr>
          <w:iCs/>
        </w:rPr>
        <w:t>53</w:t>
      </w:r>
      <w:r w:rsidRPr="00CE45B8">
        <w:t>(7), pp. 630-635.</w:t>
      </w:r>
    </w:p>
    <w:p w14:paraId="536962BE" w14:textId="77777777" w:rsidR="00AE74FD" w:rsidRDefault="00AE74FD" w:rsidP="00BE0D6F">
      <w:pPr>
        <w:spacing w:line="360" w:lineRule="auto"/>
        <w:ind w:left="720" w:hanging="720"/>
        <w:contextualSpacing/>
        <w:rPr>
          <w:lang w:val="en"/>
        </w:rPr>
      </w:pPr>
    </w:p>
    <w:p w14:paraId="0E65F413" w14:textId="3217BAE3" w:rsidR="00AC16B1" w:rsidRPr="00CE45B8" w:rsidRDefault="00AC16B1" w:rsidP="00BE0D6F">
      <w:pPr>
        <w:spacing w:line="360" w:lineRule="auto"/>
        <w:ind w:left="720" w:hanging="720"/>
        <w:contextualSpacing/>
        <w:rPr>
          <w:lang w:val="en-US"/>
        </w:rPr>
      </w:pPr>
      <w:r w:rsidRPr="00CE45B8">
        <w:rPr>
          <w:lang w:val="en"/>
        </w:rPr>
        <w:t xml:space="preserve">Haq, R., Zia, U., (2013). Multidimensional Wellbeing: An Index of Quality of Life in a Developing Economy. </w:t>
      </w:r>
      <w:r w:rsidRPr="00CE45B8">
        <w:rPr>
          <w:i/>
          <w:iCs/>
          <w:lang w:val="en"/>
        </w:rPr>
        <w:t xml:space="preserve">Soc Indic Res </w:t>
      </w:r>
      <w:r w:rsidRPr="00CE45B8">
        <w:rPr>
          <w:lang w:val="en"/>
        </w:rPr>
        <w:t xml:space="preserve">114, pp.997–1012. </w:t>
      </w:r>
      <w:hyperlink r:id="rId10" w:history="1">
        <w:r w:rsidRPr="00CE45B8">
          <w:rPr>
            <w:rStyle w:val="Hyperlink"/>
            <w:lang w:val="en"/>
          </w:rPr>
          <w:t>https://doi.org/10.1007/s11205-012-0186-6</w:t>
        </w:r>
      </w:hyperlink>
    </w:p>
    <w:p w14:paraId="3D70F946" w14:textId="77777777" w:rsidR="00AE74FD" w:rsidRDefault="00AE74FD" w:rsidP="00BE0D6F">
      <w:pPr>
        <w:spacing w:line="360" w:lineRule="auto"/>
        <w:ind w:left="720" w:hanging="720"/>
        <w:contextualSpacing/>
      </w:pPr>
    </w:p>
    <w:p w14:paraId="78513120" w14:textId="6E333479" w:rsidR="00AC16B1" w:rsidRPr="00CE45B8" w:rsidRDefault="00AC16B1" w:rsidP="00BE0D6F">
      <w:pPr>
        <w:spacing w:line="360" w:lineRule="auto"/>
        <w:ind w:left="720" w:hanging="720"/>
        <w:contextualSpacing/>
        <w:rPr>
          <w:lang w:val="en-US"/>
        </w:rPr>
      </w:pPr>
      <w:r w:rsidRPr="00CE45B8">
        <w:t xml:space="preserve">ONS (2011). ‘Measuring National Wellbeing’, </w:t>
      </w:r>
      <w:r w:rsidRPr="00CE45B8">
        <w:rPr>
          <w:i/>
          <w:iCs/>
        </w:rPr>
        <w:t>Measuring what matters</w:t>
      </w:r>
      <w:r w:rsidRPr="00CE45B8">
        <w:t>. London: Office for National Statistics.</w:t>
      </w:r>
    </w:p>
    <w:p w14:paraId="0AE42A30" w14:textId="77777777" w:rsidR="00AE74FD" w:rsidRDefault="00AE74FD" w:rsidP="00BE0D6F">
      <w:pPr>
        <w:spacing w:line="360" w:lineRule="auto"/>
        <w:ind w:left="720" w:hanging="720"/>
        <w:contextualSpacing/>
        <w:rPr>
          <w:lang w:val="en"/>
        </w:rPr>
      </w:pPr>
    </w:p>
    <w:p w14:paraId="5DD6899E" w14:textId="6446CAEF" w:rsidR="00AC16B1" w:rsidRDefault="00AC16B1" w:rsidP="00BE0D6F">
      <w:pPr>
        <w:spacing w:line="360" w:lineRule="auto"/>
        <w:ind w:left="720" w:hanging="720"/>
        <w:contextualSpacing/>
        <w:rPr>
          <w:lang w:val="en"/>
        </w:rPr>
      </w:pPr>
      <w:r w:rsidRPr="00CE45B8">
        <w:rPr>
          <w:lang w:val="en"/>
        </w:rPr>
        <w:t>Social Care Institute for Excellence (2020). 'Eligibility determination for the Care Act 2014',</w:t>
      </w:r>
      <w:r w:rsidRPr="00CE45B8">
        <w:rPr>
          <w:i/>
          <w:iCs/>
          <w:lang w:val="en"/>
        </w:rPr>
        <w:t xml:space="preserve"> How is wellbeing understood under the Care Act?</w:t>
      </w:r>
      <w:r w:rsidRPr="00CE45B8">
        <w:rPr>
          <w:lang w:val="en"/>
        </w:rPr>
        <w:t xml:space="preserve"> </w:t>
      </w:r>
      <w:hyperlink r:id="rId11" w:history="1">
        <w:r w:rsidRPr="00CE45B8">
          <w:rPr>
            <w:rStyle w:val="Hyperlink"/>
            <w:lang w:val="en"/>
          </w:rPr>
          <w:t>https://www.scie.org.uk/care-act-2014/assessment-and-eligibility/eligibility/wellbeing</w:t>
        </w:r>
      </w:hyperlink>
      <w:r w:rsidRPr="00CE45B8">
        <w:rPr>
          <w:lang w:val="en"/>
        </w:rPr>
        <w:t xml:space="preserve"> (Accessed: 12 July 2022).</w:t>
      </w:r>
    </w:p>
    <w:p w14:paraId="5F15D986" w14:textId="77777777" w:rsidR="00AE74FD" w:rsidRDefault="00AE74FD" w:rsidP="00F54F4A">
      <w:pPr>
        <w:rPr>
          <w:rFonts w:cs="Arial"/>
          <w:color w:val="222222"/>
          <w:shd w:val="clear" w:color="auto" w:fill="FFFFFF"/>
        </w:rPr>
      </w:pPr>
    </w:p>
    <w:p w14:paraId="7040CF16" w14:textId="693987A6" w:rsidR="00F54F4A" w:rsidRPr="00F54F4A" w:rsidRDefault="00F54F4A" w:rsidP="00F54F4A">
      <w:pPr>
        <w:rPr>
          <w:color w:val="000000" w:themeColor="text1"/>
          <w:sz w:val="32"/>
          <w:szCs w:val="32"/>
        </w:rPr>
      </w:pPr>
      <w:r w:rsidRPr="00F54F4A">
        <w:rPr>
          <w:rFonts w:cs="Arial"/>
          <w:color w:val="000000" w:themeColor="text1"/>
          <w:sz w:val="22"/>
          <w:szCs w:val="22"/>
          <w:shd w:val="clear" w:color="auto" w:fill="FFFFFF"/>
        </w:rPr>
        <w:t xml:space="preserve">Welsh, J., </w:t>
      </w:r>
      <w:proofErr w:type="spellStart"/>
      <w:r w:rsidRPr="00F54F4A">
        <w:rPr>
          <w:rFonts w:cs="Arial"/>
          <w:color w:val="000000" w:themeColor="text1"/>
          <w:sz w:val="22"/>
          <w:szCs w:val="22"/>
          <w:shd w:val="clear" w:color="auto" w:fill="FFFFFF"/>
        </w:rPr>
        <w:t>Strazdins</w:t>
      </w:r>
      <w:proofErr w:type="spellEnd"/>
      <w:r w:rsidRPr="00F54F4A">
        <w:rPr>
          <w:rFonts w:cs="Arial"/>
          <w:color w:val="000000" w:themeColor="text1"/>
          <w:sz w:val="22"/>
          <w:szCs w:val="22"/>
          <w:shd w:val="clear" w:color="auto" w:fill="FFFFFF"/>
        </w:rPr>
        <w:t xml:space="preserve">, L., Ford, L., Friel, S., O'Rourke, K., Carbone, S. and </w:t>
      </w:r>
      <w:proofErr w:type="spellStart"/>
      <w:r w:rsidRPr="00F54F4A">
        <w:rPr>
          <w:rFonts w:cs="Arial"/>
          <w:color w:val="000000" w:themeColor="text1"/>
          <w:sz w:val="22"/>
          <w:szCs w:val="22"/>
          <w:shd w:val="clear" w:color="auto" w:fill="FFFFFF"/>
        </w:rPr>
        <w:t>Carlon</w:t>
      </w:r>
      <w:proofErr w:type="spellEnd"/>
      <w:r w:rsidRPr="00F54F4A">
        <w:rPr>
          <w:rFonts w:cs="Arial"/>
          <w:color w:val="000000" w:themeColor="text1"/>
          <w:sz w:val="22"/>
          <w:szCs w:val="22"/>
          <w:shd w:val="clear" w:color="auto" w:fill="FFFFFF"/>
        </w:rPr>
        <w:t>, L., 2015. Promoting equity in the mental wellbeing of children and young people: a scoping review. </w:t>
      </w:r>
      <w:r w:rsidRPr="00F54F4A">
        <w:rPr>
          <w:rFonts w:cs="Arial"/>
          <w:i/>
          <w:iCs/>
          <w:color w:val="000000" w:themeColor="text1"/>
          <w:sz w:val="22"/>
          <w:szCs w:val="22"/>
          <w:shd w:val="clear" w:color="auto" w:fill="FFFFFF"/>
        </w:rPr>
        <w:t>Health promotion international</w:t>
      </w:r>
      <w:r w:rsidRPr="00F54F4A">
        <w:rPr>
          <w:rFonts w:cs="Arial"/>
          <w:color w:val="000000" w:themeColor="text1"/>
          <w:sz w:val="22"/>
          <w:szCs w:val="22"/>
          <w:shd w:val="clear" w:color="auto" w:fill="FFFFFF"/>
        </w:rPr>
        <w:t>, </w:t>
      </w:r>
      <w:r w:rsidRPr="00F54F4A">
        <w:rPr>
          <w:rFonts w:cs="Arial"/>
          <w:i/>
          <w:iCs/>
          <w:color w:val="000000" w:themeColor="text1"/>
          <w:sz w:val="22"/>
          <w:szCs w:val="22"/>
          <w:shd w:val="clear" w:color="auto" w:fill="FFFFFF"/>
        </w:rPr>
        <w:t>30</w:t>
      </w:r>
      <w:r w:rsidRPr="00F54F4A">
        <w:rPr>
          <w:rFonts w:cs="Arial"/>
          <w:color w:val="000000" w:themeColor="text1"/>
          <w:sz w:val="22"/>
          <w:szCs w:val="22"/>
          <w:shd w:val="clear" w:color="auto" w:fill="FFFFFF"/>
        </w:rPr>
        <w:t xml:space="preserve">(suppl_2), </w:t>
      </w:r>
      <w:proofErr w:type="gramStart"/>
      <w:r w:rsidRPr="00F54F4A">
        <w:rPr>
          <w:rFonts w:cs="Arial"/>
          <w:color w:val="000000" w:themeColor="text1"/>
          <w:sz w:val="22"/>
          <w:szCs w:val="22"/>
          <w:shd w:val="clear" w:color="auto" w:fill="FFFFFF"/>
        </w:rPr>
        <w:t>pp.ii</w:t>
      </w:r>
      <w:proofErr w:type="gramEnd"/>
      <w:r w:rsidRPr="00F54F4A">
        <w:rPr>
          <w:rFonts w:cs="Arial"/>
          <w:color w:val="000000" w:themeColor="text1"/>
          <w:sz w:val="22"/>
          <w:szCs w:val="22"/>
          <w:shd w:val="clear" w:color="auto" w:fill="FFFFFF"/>
        </w:rPr>
        <w:t>36-ii76.</w:t>
      </w:r>
    </w:p>
    <w:p w14:paraId="3617C803" w14:textId="77777777" w:rsidR="00F54F4A" w:rsidRPr="00AE74FD" w:rsidRDefault="00F54F4A" w:rsidP="00BE0D6F">
      <w:pPr>
        <w:spacing w:line="360" w:lineRule="auto"/>
        <w:ind w:left="720" w:hanging="720"/>
        <w:contextualSpacing/>
        <w:rPr>
          <w:color w:val="000000" w:themeColor="text1"/>
          <w:sz w:val="28"/>
          <w:szCs w:val="28"/>
          <w:lang w:val="en"/>
        </w:rPr>
      </w:pPr>
    </w:p>
    <w:p w14:paraId="2A7D1786" w14:textId="77777777" w:rsidR="00552034" w:rsidRPr="00CE45B8" w:rsidRDefault="00552034" w:rsidP="00AE74FD">
      <w:pPr>
        <w:spacing w:line="360" w:lineRule="auto"/>
        <w:contextualSpacing/>
      </w:pPr>
    </w:p>
    <w:sectPr w:rsidR="00552034" w:rsidRPr="00CE45B8">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695A3" w14:textId="77777777" w:rsidR="00E516F2" w:rsidRDefault="00E516F2">
      <w:r>
        <w:separator/>
      </w:r>
    </w:p>
  </w:endnote>
  <w:endnote w:type="continuationSeparator" w:id="0">
    <w:p w14:paraId="70F2F860" w14:textId="77777777" w:rsidR="00E516F2" w:rsidRDefault="00E516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Symbol">
    <w:panose1 w:val="020B0502040204020203"/>
    <w:charset w:val="00"/>
    <w:family w:val="swiss"/>
    <w:pitch w:val="variable"/>
    <w:sig w:usb0="800001E3" w:usb1="1200FFEF" w:usb2="0064C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9506147"/>
      <w:docPartObj>
        <w:docPartGallery w:val="Page Numbers (Bottom of Page)"/>
        <w:docPartUnique/>
      </w:docPartObj>
    </w:sdtPr>
    <w:sdtEndPr>
      <w:rPr>
        <w:noProof/>
      </w:rPr>
    </w:sdtEndPr>
    <w:sdtContent>
      <w:p w14:paraId="2E4B7ACA" w14:textId="77777777" w:rsidR="002D5F94" w:rsidRDefault="002D5F94">
        <w:pPr>
          <w:pStyle w:val="Footer"/>
          <w:jc w:val="right"/>
        </w:pPr>
        <w:r>
          <w:fldChar w:fldCharType="begin"/>
        </w:r>
        <w:r>
          <w:instrText xml:space="preserve"> PAGE   \* MERGEFORMAT </w:instrText>
        </w:r>
        <w:r>
          <w:fldChar w:fldCharType="separate"/>
        </w:r>
        <w:r w:rsidR="00833622">
          <w:rPr>
            <w:noProof/>
          </w:rPr>
          <w:t>6</w:t>
        </w:r>
        <w:r>
          <w:rPr>
            <w:noProof/>
          </w:rPr>
          <w:fldChar w:fldCharType="end"/>
        </w:r>
      </w:p>
    </w:sdtContent>
  </w:sdt>
  <w:p w14:paraId="20B26C94" w14:textId="77777777" w:rsidR="002D5F94" w:rsidRDefault="002D5F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342474" w14:textId="77777777" w:rsidR="00E516F2" w:rsidRDefault="00E516F2">
      <w:r>
        <w:separator/>
      </w:r>
    </w:p>
  </w:footnote>
  <w:footnote w:type="continuationSeparator" w:id="0">
    <w:p w14:paraId="39245384" w14:textId="77777777" w:rsidR="00E516F2" w:rsidRDefault="00E516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F2485"/>
    <w:multiLevelType w:val="hybridMultilevel"/>
    <w:tmpl w:val="8906231C"/>
    <w:lvl w:ilvl="0" w:tplc="5D40E1B0">
      <w:start w:val="1"/>
      <w:numFmt w:val="bullet"/>
      <w:lvlText w:val="╺"/>
      <w:lvlJc w:val="left"/>
      <w:pPr>
        <w:tabs>
          <w:tab w:val="num" w:pos="720"/>
        </w:tabs>
        <w:ind w:left="720" w:hanging="360"/>
      </w:pPr>
      <w:rPr>
        <w:rFonts w:ascii="Segoe UI Symbol" w:hAnsi="Segoe UI Symbol" w:hint="default"/>
      </w:rPr>
    </w:lvl>
    <w:lvl w:ilvl="1" w:tplc="B0CC29D0" w:tentative="1">
      <w:start w:val="1"/>
      <w:numFmt w:val="bullet"/>
      <w:lvlText w:val="╺"/>
      <w:lvlJc w:val="left"/>
      <w:pPr>
        <w:tabs>
          <w:tab w:val="num" w:pos="1440"/>
        </w:tabs>
        <w:ind w:left="1440" w:hanging="360"/>
      </w:pPr>
      <w:rPr>
        <w:rFonts w:ascii="Segoe UI Symbol" w:hAnsi="Segoe UI Symbol" w:hint="default"/>
      </w:rPr>
    </w:lvl>
    <w:lvl w:ilvl="2" w:tplc="812865F2" w:tentative="1">
      <w:start w:val="1"/>
      <w:numFmt w:val="bullet"/>
      <w:lvlText w:val="╺"/>
      <w:lvlJc w:val="left"/>
      <w:pPr>
        <w:tabs>
          <w:tab w:val="num" w:pos="2160"/>
        </w:tabs>
        <w:ind w:left="2160" w:hanging="360"/>
      </w:pPr>
      <w:rPr>
        <w:rFonts w:ascii="Segoe UI Symbol" w:hAnsi="Segoe UI Symbol" w:hint="default"/>
      </w:rPr>
    </w:lvl>
    <w:lvl w:ilvl="3" w:tplc="8FD66CF6" w:tentative="1">
      <w:start w:val="1"/>
      <w:numFmt w:val="bullet"/>
      <w:lvlText w:val="╺"/>
      <w:lvlJc w:val="left"/>
      <w:pPr>
        <w:tabs>
          <w:tab w:val="num" w:pos="2880"/>
        </w:tabs>
        <w:ind w:left="2880" w:hanging="360"/>
      </w:pPr>
      <w:rPr>
        <w:rFonts w:ascii="Segoe UI Symbol" w:hAnsi="Segoe UI Symbol" w:hint="default"/>
      </w:rPr>
    </w:lvl>
    <w:lvl w:ilvl="4" w:tplc="BA2A5C72" w:tentative="1">
      <w:start w:val="1"/>
      <w:numFmt w:val="bullet"/>
      <w:lvlText w:val="╺"/>
      <w:lvlJc w:val="left"/>
      <w:pPr>
        <w:tabs>
          <w:tab w:val="num" w:pos="3600"/>
        </w:tabs>
        <w:ind w:left="3600" w:hanging="360"/>
      </w:pPr>
      <w:rPr>
        <w:rFonts w:ascii="Segoe UI Symbol" w:hAnsi="Segoe UI Symbol" w:hint="default"/>
      </w:rPr>
    </w:lvl>
    <w:lvl w:ilvl="5" w:tplc="EB5838F6" w:tentative="1">
      <w:start w:val="1"/>
      <w:numFmt w:val="bullet"/>
      <w:lvlText w:val="╺"/>
      <w:lvlJc w:val="left"/>
      <w:pPr>
        <w:tabs>
          <w:tab w:val="num" w:pos="4320"/>
        </w:tabs>
        <w:ind w:left="4320" w:hanging="360"/>
      </w:pPr>
      <w:rPr>
        <w:rFonts w:ascii="Segoe UI Symbol" w:hAnsi="Segoe UI Symbol" w:hint="default"/>
      </w:rPr>
    </w:lvl>
    <w:lvl w:ilvl="6" w:tplc="C1FC9D14" w:tentative="1">
      <w:start w:val="1"/>
      <w:numFmt w:val="bullet"/>
      <w:lvlText w:val="╺"/>
      <w:lvlJc w:val="left"/>
      <w:pPr>
        <w:tabs>
          <w:tab w:val="num" w:pos="5040"/>
        </w:tabs>
        <w:ind w:left="5040" w:hanging="360"/>
      </w:pPr>
      <w:rPr>
        <w:rFonts w:ascii="Segoe UI Symbol" w:hAnsi="Segoe UI Symbol" w:hint="default"/>
      </w:rPr>
    </w:lvl>
    <w:lvl w:ilvl="7" w:tplc="84AEACE8" w:tentative="1">
      <w:start w:val="1"/>
      <w:numFmt w:val="bullet"/>
      <w:lvlText w:val="╺"/>
      <w:lvlJc w:val="left"/>
      <w:pPr>
        <w:tabs>
          <w:tab w:val="num" w:pos="5760"/>
        </w:tabs>
        <w:ind w:left="5760" w:hanging="360"/>
      </w:pPr>
      <w:rPr>
        <w:rFonts w:ascii="Segoe UI Symbol" w:hAnsi="Segoe UI Symbol" w:hint="default"/>
      </w:rPr>
    </w:lvl>
    <w:lvl w:ilvl="8" w:tplc="BB02D79E" w:tentative="1">
      <w:start w:val="1"/>
      <w:numFmt w:val="bullet"/>
      <w:lvlText w:val="╺"/>
      <w:lvlJc w:val="left"/>
      <w:pPr>
        <w:tabs>
          <w:tab w:val="num" w:pos="6480"/>
        </w:tabs>
        <w:ind w:left="6480" w:hanging="360"/>
      </w:pPr>
      <w:rPr>
        <w:rFonts w:ascii="Segoe UI Symbol" w:hAnsi="Segoe UI Symbol" w:hint="default"/>
      </w:rPr>
    </w:lvl>
  </w:abstractNum>
  <w:abstractNum w:abstractNumId="1" w15:restartNumberingAfterBreak="0">
    <w:nsid w:val="233428E8"/>
    <w:multiLevelType w:val="hybridMultilevel"/>
    <w:tmpl w:val="04FA5DB6"/>
    <w:lvl w:ilvl="0" w:tplc="620E2BE6">
      <w:start w:val="1"/>
      <w:numFmt w:val="bullet"/>
      <w:lvlText w:val="╺"/>
      <w:lvlJc w:val="left"/>
      <w:pPr>
        <w:tabs>
          <w:tab w:val="num" w:pos="720"/>
        </w:tabs>
        <w:ind w:left="720" w:hanging="360"/>
      </w:pPr>
      <w:rPr>
        <w:rFonts w:ascii="Segoe UI Symbol" w:hAnsi="Segoe UI Symbol" w:hint="default"/>
      </w:rPr>
    </w:lvl>
    <w:lvl w:ilvl="1" w:tplc="771A872E" w:tentative="1">
      <w:start w:val="1"/>
      <w:numFmt w:val="bullet"/>
      <w:lvlText w:val="╺"/>
      <w:lvlJc w:val="left"/>
      <w:pPr>
        <w:tabs>
          <w:tab w:val="num" w:pos="1440"/>
        </w:tabs>
        <w:ind w:left="1440" w:hanging="360"/>
      </w:pPr>
      <w:rPr>
        <w:rFonts w:ascii="Segoe UI Symbol" w:hAnsi="Segoe UI Symbol" w:hint="default"/>
      </w:rPr>
    </w:lvl>
    <w:lvl w:ilvl="2" w:tplc="77384580" w:tentative="1">
      <w:start w:val="1"/>
      <w:numFmt w:val="bullet"/>
      <w:lvlText w:val="╺"/>
      <w:lvlJc w:val="left"/>
      <w:pPr>
        <w:tabs>
          <w:tab w:val="num" w:pos="2160"/>
        </w:tabs>
        <w:ind w:left="2160" w:hanging="360"/>
      </w:pPr>
      <w:rPr>
        <w:rFonts w:ascii="Segoe UI Symbol" w:hAnsi="Segoe UI Symbol" w:hint="default"/>
      </w:rPr>
    </w:lvl>
    <w:lvl w:ilvl="3" w:tplc="B67E7EEC" w:tentative="1">
      <w:start w:val="1"/>
      <w:numFmt w:val="bullet"/>
      <w:lvlText w:val="╺"/>
      <w:lvlJc w:val="left"/>
      <w:pPr>
        <w:tabs>
          <w:tab w:val="num" w:pos="2880"/>
        </w:tabs>
        <w:ind w:left="2880" w:hanging="360"/>
      </w:pPr>
      <w:rPr>
        <w:rFonts w:ascii="Segoe UI Symbol" w:hAnsi="Segoe UI Symbol" w:hint="default"/>
      </w:rPr>
    </w:lvl>
    <w:lvl w:ilvl="4" w:tplc="B8005616" w:tentative="1">
      <w:start w:val="1"/>
      <w:numFmt w:val="bullet"/>
      <w:lvlText w:val="╺"/>
      <w:lvlJc w:val="left"/>
      <w:pPr>
        <w:tabs>
          <w:tab w:val="num" w:pos="3600"/>
        </w:tabs>
        <w:ind w:left="3600" w:hanging="360"/>
      </w:pPr>
      <w:rPr>
        <w:rFonts w:ascii="Segoe UI Symbol" w:hAnsi="Segoe UI Symbol" w:hint="default"/>
      </w:rPr>
    </w:lvl>
    <w:lvl w:ilvl="5" w:tplc="F58EE56E" w:tentative="1">
      <w:start w:val="1"/>
      <w:numFmt w:val="bullet"/>
      <w:lvlText w:val="╺"/>
      <w:lvlJc w:val="left"/>
      <w:pPr>
        <w:tabs>
          <w:tab w:val="num" w:pos="4320"/>
        </w:tabs>
        <w:ind w:left="4320" w:hanging="360"/>
      </w:pPr>
      <w:rPr>
        <w:rFonts w:ascii="Segoe UI Symbol" w:hAnsi="Segoe UI Symbol" w:hint="default"/>
      </w:rPr>
    </w:lvl>
    <w:lvl w:ilvl="6" w:tplc="3E66516A" w:tentative="1">
      <w:start w:val="1"/>
      <w:numFmt w:val="bullet"/>
      <w:lvlText w:val="╺"/>
      <w:lvlJc w:val="left"/>
      <w:pPr>
        <w:tabs>
          <w:tab w:val="num" w:pos="5040"/>
        </w:tabs>
        <w:ind w:left="5040" w:hanging="360"/>
      </w:pPr>
      <w:rPr>
        <w:rFonts w:ascii="Segoe UI Symbol" w:hAnsi="Segoe UI Symbol" w:hint="default"/>
      </w:rPr>
    </w:lvl>
    <w:lvl w:ilvl="7" w:tplc="C1F088D8" w:tentative="1">
      <w:start w:val="1"/>
      <w:numFmt w:val="bullet"/>
      <w:lvlText w:val="╺"/>
      <w:lvlJc w:val="left"/>
      <w:pPr>
        <w:tabs>
          <w:tab w:val="num" w:pos="5760"/>
        </w:tabs>
        <w:ind w:left="5760" w:hanging="360"/>
      </w:pPr>
      <w:rPr>
        <w:rFonts w:ascii="Segoe UI Symbol" w:hAnsi="Segoe UI Symbol" w:hint="default"/>
      </w:rPr>
    </w:lvl>
    <w:lvl w:ilvl="8" w:tplc="31DE9D9E" w:tentative="1">
      <w:start w:val="1"/>
      <w:numFmt w:val="bullet"/>
      <w:lvlText w:val="╺"/>
      <w:lvlJc w:val="left"/>
      <w:pPr>
        <w:tabs>
          <w:tab w:val="num" w:pos="6480"/>
        </w:tabs>
        <w:ind w:left="6480" w:hanging="360"/>
      </w:pPr>
      <w:rPr>
        <w:rFonts w:ascii="Segoe UI Symbol" w:hAnsi="Segoe UI Symbol" w:hint="default"/>
      </w:rPr>
    </w:lvl>
  </w:abstractNum>
  <w:abstractNum w:abstractNumId="2" w15:restartNumberingAfterBreak="0">
    <w:nsid w:val="27FC1A9D"/>
    <w:multiLevelType w:val="hybridMultilevel"/>
    <w:tmpl w:val="5A141B80"/>
    <w:lvl w:ilvl="0" w:tplc="5C6AAB30">
      <w:start w:val="1"/>
      <w:numFmt w:val="bullet"/>
      <w:lvlText w:val="╺"/>
      <w:lvlJc w:val="left"/>
      <w:pPr>
        <w:tabs>
          <w:tab w:val="num" w:pos="720"/>
        </w:tabs>
        <w:ind w:left="720" w:hanging="360"/>
      </w:pPr>
      <w:rPr>
        <w:rFonts w:ascii="Segoe UI Symbol" w:hAnsi="Segoe UI Symbol" w:hint="default"/>
      </w:rPr>
    </w:lvl>
    <w:lvl w:ilvl="1" w:tplc="04C450EA" w:tentative="1">
      <w:start w:val="1"/>
      <w:numFmt w:val="bullet"/>
      <w:lvlText w:val="╺"/>
      <w:lvlJc w:val="left"/>
      <w:pPr>
        <w:tabs>
          <w:tab w:val="num" w:pos="1440"/>
        </w:tabs>
        <w:ind w:left="1440" w:hanging="360"/>
      </w:pPr>
      <w:rPr>
        <w:rFonts w:ascii="Segoe UI Symbol" w:hAnsi="Segoe UI Symbol" w:hint="default"/>
      </w:rPr>
    </w:lvl>
    <w:lvl w:ilvl="2" w:tplc="719E5D50" w:tentative="1">
      <w:start w:val="1"/>
      <w:numFmt w:val="bullet"/>
      <w:lvlText w:val="╺"/>
      <w:lvlJc w:val="left"/>
      <w:pPr>
        <w:tabs>
          <w:tab w:val="num" w:pos="2160"/>
        </w:tabs>
        <w:ind w:left="2160" w:hanging="360"/>
      </w:pPr>
      <w:rPr>
        <w:rFonts w:ascii="Segoe UI Symbol" w:hAnsi="Segoe UI Symbol" w:hint="default"/>
      </w:rPr>
    </w:lvl>
    <w:lvl w:ilvl="3" w:tplc="454255B6" w:tentative="1">
      <w:start w:val="1"/>
      <w:numFmt w:val="bullet"/>
      <w:lvlText w:val="╺"/>
      <w:lvlJc w:val="left"/>
      <w:pPr>
        <w:tabs>
          <w:tab w:val="num" w:pos="2880"/>
        </w:tabs>
        <w:ind w:left="2880" w:hanging="360"/>
      </w:pPr>
      <w:rPr>
        <w:rFonts w:ascii="Segoe UI Symbol" w:hAnsi="Segoe UI Symbol" w:hint="default"/>
      </w:rPr>
    </w:lvl>
    <w:lvl w:ilvl="4" w:tplc="B2E0B8C8" w:tentative="1">
      <w:start w:val="1"/>
      <w:numFmt w:val="bullet"/>
      <w:lvlText w:val="╺"/>
      <w:lvlJc w:val="left"/>
      <w:pPr>
        <w:tabs>
          <w:tab w:val="num" w:pos="3600"/>
        </w:tabs>
        <w:ind w:left="3600" w:hanging="360"/>
      </w:pPr>
      <w:rPr>
        <w:rFonts w:ascii="Segoe UI Symbol" w:hAnsi="Segoe UI Symbol" w:hint="default"/>
      </w:rPr>
    </w:lvl>
    <w:lvl w:ilvl="5" w:tplc="45C04930" w:tentative="1">
      <w:start w:val="1"/>
      <w:numFmt w:val="bullet"/>
      <w:lvlText w:val="╺"/>
      <w:lvlJc w:val="left"/>
      <w:pPr>
        <w:tabs>
          <w:tab w:val="num" w:pos="4320"/>
        </w:tabs>
        <w:ind w:left="4320" w:hanging="360"/>
      </w:pPr>
      <w:rPr>
        <w:rFonts w:ascii="Segoe UI Symbol" w:hAnsi="Segoe UI Symbol" w:hint="default"/>
      </w:rPr>
    </w:lvl>
    <w:lvl w:ilvl="6" w:tplc="33E8B2E6" w:tentative="1">
      <w:start w:val="1"/>
      <w:numFmt w:val="bullet"/>
      <w:lvlText w:val="╺"/>
      <w:lvlJc w:val="left"/>
      <w:pPr>
        <w:tabs>
          <w:tab w:val="num" w:pos="5040"/>
        </w:tabs>
        <w:ind w:left="5040" w:hanging="360"/>
      </w:pPr>
      <w:rPr>
        <w:rFonts w:ascii="Segoe UI Symbol" w:hAnsi="Segoe UI Symbol" w:hint="default"/>
      </w:rPr>
    </w:lvl>
    <w:lvl w:ilvl="7" w:tplc="D6BEEB5C" w:tentative="1">
      <w:start w:val="1"/>
      <w:numFmt w:val="bullet"/>
      <w:lvlText w:val="╺"/>
      <w:lvlJc w:val="left"/>
      <w:pPr>
        <w:tabs>
          <w:tab w:val="num" w:pos="5760"/>
        </w:tabs>
        <w:ind w:left="5760" w:hanging="360"/>
      </w:pPr>
      <w:rPr>
        <w:rFonts w:ascii="Segoe UI Symbol" w:hAnsi="Segoe UI Symbol" w:hint="default"/>
      </w:rPr>
    </w:lvl>
    <w:lvl w:ilvl="8" w:tplc="EEEA4208" w:tentative="1">
      <w:start w:val="1"/>
      <w:numFmt w:val="bullet"/>
      <w:lvlText w:val="╺"/>
      <w:lvlJc w:val="left"/>
      <w:pPr>
        <w:tabs>
          <w:tab w:val="num" w:pos="6480"/>
        </w:tabs>
        <w:ind w:left="6480" w:hanging="360"/>
      </w:pPr>
      <w:rPr>
        <w:rFonts w:ascii="Segoe UI Symbol" w:hAnsi="Segoe UI Symbol" w:hint="default"/>
      </w:rPr>
    </w:lvl>
  </w:abstractNum>
  <w:num w:numId="1" w16cid:durableId="54284247">
    <w:abstractNumId w:val="1"/>
  </w:num>
  <w:num w:numId="2" w16cid:durableId="221256642">
    <w:abstractNumId w:val="0"/>
  </w:num>
  <w:num w:numId="3" w16cid:durableId="173886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647"/>
    <w:rsid w:val="00020A1A"/>
    <w:rsid w:val="00061B17"/>
    <w:rsid w:val="00063770"/>
    <w:rsid w:val="000A6929"/>
    <w:rsid w:val="000B2F07"/>
    <w:rsid w:val="000C6D94"/>
    <w:rsid w:val="0011156A"/>
    <w:rsid w:val="00145988"/>
    <w:rsid w:val="00184426"/>
    <w:rsid w:val="001A520C"/>
    <w:rsid w:val="001B3591"/>
    <w:rsid w:val="001B549F"/>
    <w:rsid w:val="001D7F5B"/>
    <w:rsid w:val="002129FB"/>
    <w:rsid w:val="0027735D"/>
    <w:rsid w:val="00294531"/>
    <w:rsid w:val="002A024F"/>
    <w:rsid w:val="002A4419"/>
    <w:rsid w:val="002A6B25"/>
    <w:rsid w:val="002D5F94"/>
    <w:rsid w:val="002E4160"/>
    <w:rsid w:val="002F6F68"/>
    <w:rsid w:val="00311860"/>
    <w:rsid w:val="00374E59"/>
    <w:rsid w:val="003B6B48"/>
    <w:rsid w:val="003F22CE"/>
    <w:rsid w:val="004114B1"/>
    <w:rsid w:val="00416825"/>
    <w:rsid w:val="00464E35"/>
    <w:rsid w:val="004963A1"/>
    <w:rsid w:val="004D2115"/>
    <w:rsid w:val="00520BD7"/>
    <w:rsid w:val="00552034"/>
    <w:rsid w:val="00555465"/>
    <w:rsid w:val="00566B53"/>
    <w:rsid w:val="005673F3"/>
    <w:rsid w:val="005743B5"/>
    <w:rsid w:val="005A1B23"/>
    <w:rsid w:val="00624671"/>
    <w:rsid w:val="006607F9"/>
    <w:rsid w:val="006A7CCF"/>
    <w:rsid w:val="00730683"/>
    <w:rsid w:val="0073310B"/>
    <w:rsid w:val="00822995"/>
    <w:rsid w:val="00830E2B"/>
    <w:rsid w:val="00833622"/>
    <w:rsid w:val="008461B4"/>
    <w:rsid w:val="008575C4"/>
    <w:rsid w:val="008D5F14"/>
    <w:rsid w:val="008F11F5"/>
    <w:rsid w:val="008F2A5E"/>
    <w:rsid w:val="009054FC"/>
    <w:rsid w:val="0091680D"/>
    <w:rsid w:val="00917C18"/>
    <w:rsid w:val="00934EA6"/>
    <w:rsid w:val="00980D70"/>
    <w:rsid w:val="009857E0"/>
    <w:rsid w:val="00997779"/>
    <w:rsid w:val="009C3647"/>
    <w:rsid w:val="009D6028"/>
    <w:rsid w:val="009E53BF"/>
    <w:rsid w:val="00A209C8"/>
    <w:rsid w:val="00A25A63"/>
    <w:rsid w:val="00A54E8C"/>
    <w:rsid w:val="00A6041C"/>
    <w:rsid w:val="00A73284"/>
    <w:rsid w:val="00AA5386"/>
    <w:rsid w:val="00AC16B1"/>
    <w:rsid w:val="00AC27E8"/>
    <w:rsid w:val="00AE74FD"/>
    <w:rsid w:val="00B1490D"/>
    <w:rsid w:val="00B660AD"/>
    <w:rsid w:val="00BB2F5D"/>
    <w:rsid w:val="00BD6733"/>
    <w:rsid w:val="00BE0D6F"/>
    <w:rsid w:val="00C2511C"/>
    <w:rsid w:val="00C52B9C"/>
    <w:rsid w:val="00C60BDF"/>
    <w:rsid w:val="00C64ED1"/>
    <w:rsid w:val="00CA0EA3"/>
    <w:rsid w:val="00CA1AF9"/>
    <w:rsid w:val="00CA609C"/>
    <w:rsid w:val="00CD006E"/>
    <w:rsid w:val="00CE45B8"/>
    <w:rsid w:val="00D45776"/>
    <w:rsid w:val="00D9068D"/>
    <w:rsid w:val="00DB2886"/>
    <w:rsid w:val="00DC24D5"/>
    <w:rsid w:val="00DD51AE"/>
    <w:rsid w:val="00DE3717"/>
    <w:rsid w:val="00DF312F"/>
    <w:rsid w:val="00E04BB1"/>
    <w:rsid w:val="00E20379"/>
    <w:rsid w:val="00E516F2"/>
    <w:rsid w:val="00E83261"/>
    <w:rsid w:val="00EA56BA"/>
    <w:rsid w:val="00EB496D"/>
    <w:rsid w:val="00EC3419"/>
    <w:rsid w:val="00EE6CC1"/>
    <w:rsid w:val="00F54F4A"/>
    <w:rsid w:val="00F84321"/>
    <w:rsid w:val="00F86A13"/>
    <w:rsid w:val="00F91BC3"/>
    <w:rsid w:val="00FF4C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F643A"/>
  <w15:docId w15:val="{F4762CBA-FF38-475B-9DE2-E0F98D877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419"/>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DF312F"/>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BB2F5D"/>
    <w:pPr>
      <w:keepNext/>
      <w:keepLines/>
      <w:spacing w:before="200"/>
      <w:outlineLvl w:val="1"/>
    </w:pPr>
    <w:rPr>
      <w:rFonts w:eastAsiaTheme="majorEastAsia" w:cstheme="majorBidi"/>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312F"/>
    <w:rPr>
      <w:rFonts w:ascii="Arial" w:eastAsiaTheme="majorEastAsia" w:hAnsi="Arial" w:cstheme="majorBidi"/>
      <w:b/>
      <w:bCs/>
      <w:szCs w:val="28"/>
      <w:lang w:val="en-GB"/>
    </w:rPr>
  </w:style>
  <w:style w:type="character" w:customStyle="1" w:styleId="Heading2Char">
    <w:name w:val="Heading 2 Char"/>
    <w:basedOn w:val="DefaultParagraphFont"/>
    <w:link w:val="Heading2"/>
    <w:uiPriority w:val="9"/>
    <w:rsid w:val="00BB2F5D"/>
    <w:rPr>
      <w:rFonts w:ascii="Times New Roman" w:eastAsiaTheme="majorEastAsia" w:hAnsi="Times New Roman" w:cstheme="majorBidi"/>
      <w:b/>
      <w:bCs/>
      <w:sz w:val="26"/>
      <w:szCs w:val="26"/>
    </w:rPr>
  </w:style>
  <w:style w:type="paragraph" w:styleId="Title">
    <w:name w:val="Title"/>
    <w:basedOn w:val="Normal"/>
    <w:next w:val="Normal"/>
    <w:link w:val="TitleChar"/>
    <w:uiPriority w:val="10"/>
    <w:qFormat/>
    <w:rsid w:val="00F84321"/>
    <w:pPr>
      <w:pBdr>
        <w:bottom w:val="single" w:sz="8" w:space="4" w:color="4F81BD" w:themeColor="accent1"/>
      </w:pBdr>
      <w:spacing w:after="300"/>
      <w:contextualSpacing/>
      <w:jc w:val="center"/>
    </w:pPr>
    <w:rPr>
      <w:rFonts w:eastAsiaTheme="majorEastAsia" w:cstheme="majorBidi"/>
      <w:b/>
      <w:spacing w:val="5"/>
      <w:kern w:val="28"/>
      <w:sz w:val="52"/>
      <w:szCs w:val="52"/>
    </w:rPr>
  </w:style>
  <w:style w:type="character" w:customStyle="1" w:styleId="TitleChar">
    <w:name w:val="Title Char"/>
    <w:basedOn w:val="DefaultParagraphFont"/>
    <w:link w:val="Title"/>
    <w:uiPriority w:val="10"/>
    <w:rsid w:val="00F84321"/>
    <w:rPr>
      <w:rFonts w:ascii="Times New Roman" w:eastAsiaTheme="majorEastAsia" w:hAnsi="Times New Roman" w:cstheme="majorBidi"/>
      <w:b/>
      <w:spacing w:val="5"/>
      <w:kern w:val="28"/>
      <w:sz w:val="52"/>
      <w:szCs w:val="52"/>
    </w:rPr>
  </w:style>
  <w:style w:type="paragraph" w:styleId="Header">
    <w:name w:val="header"/>
    <w:basedOn w:val="Normal"/>
    <w:link w:val="HeaderChar"/>
    <w:uiPriority w:val="99"/>
    <w:unhideWhenUsed/>
    <w:rsid w:val="00F86A13"/>
    <w:pPr>
      <w:tabs>
        <w:tab w:val="center" w:pos="4680"/>
        <w:tab w:val="right" w:pos="9360"/>
      </w:tabs>
    </w:pPr>
  </w:style>
  <w:style w:type="character" w:customStyle="1" w:styleId="HeaderChar">
    <w:name w:val="Header Char"/>
    <w:basedOn w:val="DefaultParagraphFont"/>
    <w:link w:val="Header"/>
    <w:uiPriority w:val="99"/>
    <w:rsid w:val="00F86A13"/>
    <w:rPr>
      <w:sz w:val="24"/>
      <w:lang w:val="en-GB"/>
    </w:rPr>
  </w:style>
  <w:style w:type="paragraph" w:styleId="Footer">
    <w:name w:val="footer"/>
    <w:basedOn w:val="Normal"/>
    <w:link w:val="FooterChar"/>
    <w:uiPriority w:val="99"/>
    <w:unhideWhenUsed/>
    <w:rsid w:val="00F86A13"/>
    <w:pPr>
      <w:tabs>
        <w:tab w:val="center" w:pos="4680"/>
        <w:tab w:val="right" w:pos="9360"/>
      </w:tabs>
    </w:pPr>
  </w:style>
  <w:style w:type="character" w:customStyle="1" w:styleId="FooterChar">
    <w:name w:val="Footer Char"/>
    <w:basedOn w:val="DefaultParagraphFont"/>
    <w:link w:val="Footer"/>
    <w:uiPriority w:val="99"/>
    <w:rsid w:val="00F86A13"/>
    <w:rPr>
      <w:sz w:val="24"/>
      <w:lang w:val="en-GB"/>
    </w:rPr>
  </w:style>
  <w:style w:type="character" w:styleId="Hyperlink">
    <w:name w:val="Hyperlink"/>
    <w:basedOn w:val="DefaultParagraphFont"/>
    <w:uiPriority w:val="99"/>
    <w:unhideWhenUsed/>
    <w:rsid w:val="00D9068D"/>
    <w:rPr>
      <w:color w:val="0000FF" w:themeColor="hyperlink"/>
      <w:u w:val="single"/>
    </w:rPr>
  </w:style>
  <w:style w:type="paragraph" w:styleId="TOCHeading">
    <w:name w:val="TOC Heading"/>
    <w:basedOn w:val="Heading1"/>
    <w:next w:val="Normal"/>
    <w:uiPriority w:val="39"/>
    <w:unhideWhenUsed/>
    <w:qFormat/>
    <w:rsid w:val="00E04BB1"/>
    <w:pPr>
      <w:spacing w:line="276" w:lineRule="auto"/>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E04BB1"/>
    <w:pPr>
      <w:spacing w:after="100"/>
    </w:pPr>
  </w:style>
  <w:style w:type="paragraph" w:styleId="BalloonText">
    <w:name w:val="Balloon Text"/>
    <w:basedOn w:val="Normal"/>
    <w:link w:val="BalloonTextChar"/>
    <w:uiPriority w:val="99"/>
    <w:semiHidden/>
    <w:unhideWhenUsed/>
    <w:rsid w:val="00E04BB1"/>
    <w:rPr>
      <w:rFonts w:ascii="Tahoma" w:hAnsi="Tahoma" w:cs="Tahoma"/>
      <w:sz w:val="16"/>
      <w:szCs w:val="16"/>
    </w:rPr>
  </w:style>
  <w:style w:type="character" w:customStyle="1" w:styleId="BalloonTextChar">
    <w:name w:val="Balloon Text Char"/>
    <w:basedOn w:val="DefaultParagraphFont"/>
    <w:link w:val="BalloonText"/>
    <w:uiPriority w:val="99"/>
    <w:semiHidden/>
    <w:rsid w:val="00E04BB1"/>
    <w:rPr>
      <w:rFonts w:ascii="Tahoma" w:hAnsi="Tahoma" w:cs="Tahoma"/>
      <w:sz w:val="16"/>
      <w:szCs w:val="16"/>
      <w:lang w:val="en-GB"/>
    </w:rPr>
  </w:style>
  <w:style w:type="paragraph" w:styleId="NormalWeb">
    <w:name w:val="Normal (Web)"/>
    <w:basedOn w:val="Normal"/>
    <w:uiPriority w:val="99"/>
    <w:semiHidden/>
    <w:unhideWhenUsed/>
    <w:rsid w:val="002129FB"/>
    <w:pPr>
      <w:spacing w:before="100" w:beforeAutospacing="1" w:after="100" w:afterAutospacing="1"/>
    </w:pPr>
    <w:rPr>
      <w:lang w:val="en-US"/>
    </w:rPr>
  </w:style>
  <w:style w:type="character" w:customStyle="1" w:styleId="apple-converted-space">
    <w:name w:val="apple-converted-space"/>
    <w:basedOn w:val="DefaultParagraphFont"/>
    <w:rsid w:val="002A4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42115">
      <w:bodyDiv w:val="1"/>
      <w:marLeft w:val="0"/>
      <w:marRight w:val="0"/>
      <w:marTop w:val="0"/>
      <w:marBottom w:val="0"/>
      <w:divBdr>
        <w:top w:val="none" w:sz="0" w:space="0" w:color="auto"/>
        <w:left w:val="none" w:sz="0" w:space="0" w:color="auto"/>
        <w:bottom w:val="none" w:sz="0" w:space="0" w:color="auto"/>
        <w:right w:val="none" w:sz="0" w:space="0" w:color="auto"/>
      </w:divBdr>
    </w:div>
    <w:div w:id="109907042">
      <w:bodyDiv w:val="1"/>
      <w:marLeft w:val="0"/>
      <w:marRight w:val="0"/>
      <w:marTop w:val="0"/>
      <w:marBottom w:val="0"/>
      <w:divBdr>
        <w:top w:val="none" w:sz="0" w:space="0" w:color="auto"/>
        <w:left w:val="none" w:sz="0" w:space="0" w:color="auto"/>
        <w:bottom w:val="none" w:sz="0" w:space="0" w:color="auto"/>
        <w:right w:val="none" w:sz="0" w:space="0" w:color="auto"/>
      </w:divBdr>
    </w:div>
    <w:div w:id="139616200">
      <w:bodyDiv w:val="1"/>
      <w:marLeft w:val="0"/>
      <w:marRight w:val="0"/>
      <w:marTop w:val="0"/>
      <w:marBottom w:val="0"/>
      <w:divBdr>
        <w:top w:val="none" w:sz="0" w:space="0" w:color="auto"/>
        <w:left w:val="none" w:sz="0" w:space="0" w:color="auto"/>
        <w:bottom w:val="none" w:sz="0" w:space="0" w:color="auto"/>
        <w:right w:val="none" w:sz="0" w:space="0" w:color="auto"/>
      </w:divBdr>
    </w:div>
    <w:div w:id="706220653">
      <w:bodyDiv w:val="1"/>
      <w:marLeft w:val="0"/>
      <w:marRight w:val="0"/>
      <w:marTop w:val="0"/>
      <w:marBottom w:val="0"/>
      <w:divBdr>
        <w:top w:val="none" w:sz="0" w:space="0" w:color="auto"/>
        <w:left w:val="none" w:sz="0" w:space="0" w:color="auto"/>
        <w:bottom w:val="none" w:sz="0" w:space="0" w:color="auto"/>
        <w:right w:val="none" w:sz="0" w:space="0" w:color="auto"/>
      </w:divBdr>
      <w:divsChild>
        <w:div w:id="81224932">
          <w:marLeft w:val="720"/>
          <w:marRight w:val="0"/>
          <w:marTop w:val="120"/>
          <w:marBottom w:val="0"/>
          <w:divBdr>
            <w:top w:val="none" w:sz="0" w:space="0" w:color="auto"/>
            <w:left w:val="none" w:sz="0" w:space="0" w:color="auto"/>
            <w:bottom w:val="none" w:sz="0" w:space="0" w:color="auto"/>
            <w:right w:val="none" w:sz="0" w:space="0" w:color="auto"/>
          </w:divBdr>
        </w:div>
        <w:div w:id="1097756119">
          <w:marLeft w:val="720"/>
          <w:marRight w:val="0"/>
          <w:marTop w:val="120"/>
          <w:marBottom w:val="0"/>
          <w:divBdr>
            <w:top w:val="none" w:sz="0" w:space="0" w:color="auto"/>
            <w:left w:val="none" w:sz="0" w:space="0" w:color="auto"/>
            <w:bottom w:val="none" w:sz="0" w:space="0" w:color="auto"/>
            <w:right w:val="none" w:sz="0" w:space="0" w:color="auto"/>
          </w:divBdr>
        </w:div>
        <w:div w:id="516044347">
          <w:marLeft w:val="720"/>
          <w:marRight w:val="0"/>
          <w:marTop w:val="0"/>
          <w:marBottom w:val="0"/>
          <w:divBdr>
            <w:top w:val="none" w:sz="0" w:space="0" w:color="auto"/>
            <w:left w:val="none" w:sz="0" w:space="0" w:color="auto"/>
            <w:bottom w:val="none" w:sz="0" w:space="0" w:color="auto"/>
            <w:right w:val="none" w:sz="0" w:space="0" w:color="auto"/>
          </w:divBdr>
        </w:div>
        <w:div w:id="896165733">
          <w:marLeft w:val="720"/>
          <w:marRight w:val="0"/>
          <w:marTop w:val="0"/>
          <w:marBottom w:val="0"/>
          <w:divBdr>
            <w:top w:val="none" w:sz="0" w:space="0" w:color="auto"/>
            <w:left w:val="none" w:sz="0" w:space="0" w:color="auto"/>
            <w:bottom w:val="none" w:sz="0" w:space="0" w:color="auto"/>
            <w:right w:val="none" w:sz="0" w:space="0" w:color="auto"/>
          </w:divBdr>
        </w:div>
      </w:divsChild>
    </w:div>
    <w:div w:id="843663610">
      <w:bodyDiv w:val="1"/>
      <w:marLeft w:val="0"/>
      <w:marRight w:val="0"/>
      <w:marTop w:val="0"/>
      <w:marBottom w:val="0"/>
      <w:divBdr>
        <w:top w:val="none" w:sz="0" w:space="0" w:color="auto"/>
        <w:left w:val="none" w:sz="0" w:space="0" w:color="auto"/>
        <w:bottom w:val="none" w:sz="0" w:space="0" w:color="auto"/>
        <w:right w:val="none" w:sz="0" w:space="0" w:color="auto"/>
      </w:divBdr>
      <w:divsChild>
        <w:div w:id="2067757940">
          <w:marLeft w:val="720"/>
          <w:marRight w:val="0"/>
          <w:marTop w:val="0"/>
          <w:marBottom w:val="0"/>
          <w:divBdr>
            <w:top w:val="none" w:sz="0" w:space="0" w:color="auto"/>
            <w:left w:val="none" w:sz="0" w:space="0" w:color="auto"/>
            <w:bottom w:val="none" w:sz="0" w:space="0" w:color="auto"/>
            <w:right w:val="none" w:sz="0" w:space="0" w:color="auto"/>
          </w:divBdr>
        </w:div>
        <w:div w:id="1012880102">
          <w:marLeft w:val="720"/>
          <w:marRight w:val="0"/>
          <w:marTop w:val="0"/>
          <w:marBottom w:val="0"/>
          <w:divBdr>
            <w:top w:val="none" w:sz="0" w:space="0" w:color="auto"/>
            <w:left w:val="none" w:sz="0" w:space="0" w:color="auto"/>
            <w:bottom w:val="none" w:sz="0" w:space="0" w:color="auto"/>
            <w:right w:val="none" w:sz="0" w:space="0" w:color="auto"/>
          </w:divBdr>
        </w:div>
        <w:div w:id="994262356">
          <w:marLeft w:val="720"/>
          <w:marRight w:val="0"/>
          <w:marTop w:val="0"/>
          <w:marBottom w:val="0"/>
          <w:divBdr>
            <w:top w:val="none" w:sz="0" w:space="0" w:color="auto"/>
            <w:left w:val="none" w:sz="0" w:space="0" w:color="auto"/>
            <w:bottom w:val="none" w:sz="0" w:space="0" w:color="auto"/>
            <w:right w:val="none" w:sz="0" w:space="0" w:color="auto"/>
          </w:divBdr>
        </w:div>
        <w:div w:id="1392388865">
          <w:marLeft w:val="720"/>
          <w:marRight w:val="0"/>
          <w:marTop w:val="0"/>
          <w:marBottom w:val="0"/>
          <w:divBdr>
            <w:top w:val="none" w:sz="0" w:space="0" w:color="auto"/>
            <w:left w:val="none" w:sz="0" w:space="0" w:color="auto"/>
            <w:bottom w:val="none" w:sz="0" w:space="0" w:color="auto"/>
            <w:right w:val="none" w:sz="0" w:space="0" w:color="auto"/>
          </w:divBdr>
        </w:div>
        <w:div w:id="1176575153">
          <w:marLeft w:val="720"/>
          <w:marRight w:val="0"/>
          <w:marTop w:val="0"/>
          <w:marBottom w:val="0"/>
          <w:divBdr>
            <w:top w:val="none" w:sz="0" w:space="0" w:color="auto"/>
            <w:left w:val="none" w:sz="0" w:space="0" w:color="auto"/>
            <w:bottom w:val="none" w:sz="0" w:space="0" w:color="auto"/>
            <w:right w:val="none" w:sz="0" w:space="0" w:color="auto"/>
          </w:divBdr>
        </w:div>
      </w:divsChild>
    </w:div>
    <w:div w:id="919754549">
      <w:bodyDiv w:val="1"/>
      <w:marLeft w:val="0"/>
      <w:marRight w:val="0"/>
      <w:marTop w:val="0"/>
      <w:marBottom w:val="0"/>
      <w:divBdr>
        <w:top w:val="none" w:sz="0" w:space="0" w:color="auto"/>
        <w:left w:val="none" w:sz="0" w:space="0" w:color="auto"/>
        <w:bottom w:val="none" w:sz="0" w:space="0" w:color="auto"/>
        <w:right w:val="none" w:sz="0" w:space="0" w:color="auto"/>
      </w:divBdr>
      <w:divsChild>
        <w:div w:id="1553343061">
          <w:marLeft w:val="720"/>
          <w:marRight w:val="0"/>
          <w:marTop w:val="0"/>
          <w:marBottom w:val="0"/>
          <w:divBdr>
            <w:top w:val="none" w:sz="0" w:space="0" w:color="auto"/>
            <w:left w:val="none" w:sz="0" w:space="0" w:color="auto"/>
            <w:bottom w:val="none" w:sz="0" w:space="0" w:color="auto"/>
            <w:right w:val="none" w:sz="0" w:space="0" w:color="auto"/>
          </w:divBdr>
        </w:div>
        <w:div w:id="931162505">
          <w:marLeft w:val="720"/>
          <w:marRight w:val="0"/>
          <w:marTop w:val="0"/>
          <w:marBottom w:val="0"/>
          <w:divBdr>
            <w:top w:val="none" w:sz="0" w:space="0" w:color="auto"/>
            <w:left w:val="none" w:sz="0" w:space="0" w:color="auto"/>
            <w:bottom w:val="none" w:sz="0" w:space="0" w:color="auto"/>
            <w:right w:val="none" w:sz="0" w:space="0" w:color="auto"/>
          </w:divBdr>
        </w:div>
        <w:div w:id="295453733">
          <w:marLeft w:val="720"/>
          <w:marRight w:val="0"/>
          <w:marTop w:val="0"/>
          <w:marBottom w:val="0"/>
          <w:divBdr>
            <w:top w:val="none" w:sz="0" w:space="0" w:color="auto"/>
            <w:left w:val="none" w:sz="0" w:space="0" w:color="auto"/>
            <w:bottom w:val="none" w:sz="0" w:space="0" w:color="auto"/>
            <w:right w:val="none" w:sz="0" w:space="0" w:color="auto"/>
          </w:divBdr>
        </w:div>
        <w:div w:id="1270702501">
          <w:marLeft w:val="720"/>
          <w:marRight w:val="0"/>
          <w:marTop w:val="0"/>
          <w:marBottom w:val="0"/>
          <w:divBdr>
            <w:top w:val="none" w:sz="0" w:space="0" w:color="auto"/>
            <w:left w:val="none" w:sz="0" w:space="0" w:color="auto"/>
            <w:bottom w:val="none" w:sz="0" w:space="0" w:color="auto"/>
            <w:right w:val="none" w:sz="0" w:space="0" w:color="auto"/>
          </w:divBdr>
        </w:div>
        <w:div w:id="632562651">
          <w:marLeft w:val="720"/>
          <w:marRight w:val="0"/>
          <w:marTop w:val="0"/>
          <w:marBottom w:val="0"/>
          <w:divBdr>
            <w:top w:val="none" w:sz="0" w:space="0" w:color="auto"/>
            <w:left w:val="none" w:sz="0" w:space="0" w:color="auto"/>
            <w:bottom w:val="none" w:sz="0" w:space="0" w:color="auto"/>
            <w:right w:val="none" w:sz="0" w:space="0" w:color="auto"/>
          </w:divBdr>
        </w:div>
        <w:div w:id="2126266985">
          <w:marLeft w:val="720"/>
          <w:marRight w:val="0"/>
          <w:marTop w:val="0"/>
          <w:marBottom w:val="0"/>
          <w:divBdr>
            <w:top w:val="none" w:sz="0" w:space="0" w:color="auto"/>
            <w:left w:val="none" w:sz="0" w:space="0" w:color="auto"/>
            <w:bottom w:val="none" w:sz="0" w:space="0" w:color="auto"/>
            <w:right w:val="none" w:sz="0" w:space="0" w:color="auto"/>
          </w:divBdr>
        </w:div>
        <w:div w:id="498928030">
          <w:marLeft w:val="720"/>
          <w:marRight w:val="0"/>
          <w:marTop w:val="0"/>
          <w:marBottom w:val="0"/>
          <w:divBdr>
            <w:top w:val="none" w:sz="0" w:space="0" w:color="auto"/>
            <w:left w:val="none" w:sz="0" w:space="0" w:color="auto"/>
            <w:bottom w:val="none" w:sz="0" w:space="0" w:color="auto"/>
            <w:right w:val="none" w:sz="0" w:space="0" w:color="auto"/>
          </w:divBdr>
        </w:div>
        <w:div w:id="1462459812">
          <w:marLeft w:val="720"/>
          <w:marRight w:val="0"/>
          <w:marTop w:val="0"/>
          <w:marBottom w:val="0"/>
          <w:divBdr>
            <w:top w:val="none" w:sz="0" w:space="0" w:color="auto"/>
            <w:left w:val="none" w:sz="0" w:space="0" w:color="auto"/>
            <w:bottom w:val="none" w:sz="0" w:space="0" w:color="auto"/>
            <w:right w:val="none" w:sz="0" w:space="0" w:color="auto"/>
          </w:divBdr>
        </w:div>
        <w:div w:id="37050986">
          <w:marLeft w:val="720"/>
          <w:marRight w:val="0"/>
          <w:marTop w:val="0"/>
          <w:marBottom w:val="0"/>
          <w:divBdr>
            <w:top w:val="none" w:sz="0" w:space="0" w:color="auto"/>
            <w:left w:val="none" w:sz="0" w:space="0" w:color="auto"/>
            <w:bottom w:val="none" w:sz="0" w:space="0" w:color="auto"/>
            <w:right w:val="none" w:sz="0" w:space="0" w:color="auto"/>
          </w:divBdr>
        </w:div>
      </w:divsChild>
    </w:div>
    <w:div w:id="1007096900">
      <w:bodyDiv w:val="1"/>
      <w:marLeft w:val="0"/>
      <w:marRight w:val="0"/>
      <w:marTop w:val="0"/>
      <w:marBottom w:val="0"/>
      <w:divBdr>
        <w:top w:val="none" w:sz="0" w:space="0" w:color="auto"/>
        <w:left w:val="none" w:sz="0" w:space="0" w:color="auto"/>
        <w:bottom w:val="none" w:sz="0" w:space="0" w:color="auto"/>
        <w:right w:val="none" w:sz="0" w:space="0" w:color="auto"/>
      </w:divBdr>
    </w:div>
    <w:div w:id="1080713387">
      <w:bodyDiv w:val="1"/>
      <w:marLeft w:val="0"/>
      <w:marRight w:val="0"/>
      <w:marTop w:val="0"/>
      <w:marBottom w:val="0"/>
      <w:divBdr>
        <w:top w:val="none" w:sz="0" w:space="0" w:color="auto"/>
        <w:left w:val="none" w:sz="0" w:space="0" w:color="auto"/>
        <w:bottom w:val="none" w:sz="0" w:space="0" w:color="auto"/>
        <w:right w:val="none" w:sz="0" w:space="0" w:color="auto"/>
      </w:divBdr>
    </w:div>
    <w:div w:id="1084835652">
      <w:bodyDiv w:val="1"/>
      <w:marLeft w:val="0"/>
      <w:marRight w:val="0"/>
      <w:marTop w:val="0"/>
      <w:marBottom w:val="0"/>
      <w:divBdr>
        <w:top w:val="none" w:sz="0" w:space="0" w:color="auto"/>
        <w:left w:val="none" w:sz="0" w:space="0" w:color="auto"/>
        <w:bottom w:val="none" w:sz="0" w:space="0" w:color="auto"/>
        <w:right w:val="none" w:sz="0" w:space="0" w:color="auto"/>
      </w:divBdr>
      <w:divsChild>
        <w:div w:id="912474654">
          <w:marLeft w:val="720"/>
          <w:marRight w:val="0"/>
          <w:marTop w:val="120"/>
          <w:marBottom w:val="0"/>
          <w:divBdr>
            <w:top w:val="none" w:sz="0" w:space="0" w:color="auto"/>
            <w:left w:val="none" w:sz="0" w:space="0" w:color="auto"/>
            <w:bottom w:val="none" w:sz="0" w:space="0" w:color="auto"/>
            <w:right w:val="none" w:sz="0" w:space="0" w:color="auto"/>
          </w:divBdr>
        </w:div>
        <w:div w:id="1777364613">
          <w:marLeft w:val="720"/>
          <w:marRight w:val="0"/>
          <w:marTop w:val="120"/>
          <w:marBottom w:val="0"/>
          <w:divBdr>
            <w:top w:val="none" w:sz="0" w:space="0" w:color="auto"/>
            <w:left w:val="none" w:sz="0" w:space="0" w:color="auto"/>
            <w:bottom w:val="none" w:sz="0" w:space="0" w:color="auto"/>
            <w:right w:val="none" w:sz="0" w:space="0" w:color="auto"/>
          </w:divBdr>
        </w:div>
        <w:div w:id="1511405911">
          <w:marLeft w:val="720"/>
          <w:marRight w:val="0"/>
          <w:marTop w:val="0"/>
          <w:marBottom w:val="0"/>
          <w:divBdr>
            <w:top w:val="none" w:sz="0" w:space="0" w:color="auto"/>
            <w:left w:val="none" w:sz="0" w:space="0" w:color="auto"/>
            <w:bottom w:val="none" w:sz="0" w:space="0" w:color="auto"/>
            <w:right w:val="none" w:sz="0" w:space="0" w:color="auto"/>
          </w:divBdr>
        </w:div>
        <w:div w:id="294918958">
          <w:marLeft w:val="720"/>
          <w:marRight w:val="0"/>
          <w:marTop w:val="0"/>
          <w:marBottom w:val="0"/>
          <w:divBdr>
            <w:top w:val="none" w:sz="0" w:space="0" w:color="auto"/>
            <w:left w:val="none" w:sz="0" w:space="0" w:color="auto"/>
            <w:bottom w:val="none" w:sz="0" w:space="0" w:color="auto"/>
            <w:right w:val="none" w:sz="0" w:space="0" w:color="auto"/>
          </w:divBdr>
        </w:div>
      </w:divsChild>
    </w:div>
    <w:div w:id="1204097905">
      <w:bodyDiv w:val="1"/>
      <w:marLeft w:val="0"/>
      <w:marRight w:val="0"/>
      <w:marTop w:val="0"/>
      <w:marBottom w:val="0"/>
      <w:divBdr>
        <w:top w:val="none" w:sz="0" w:space="0" w:color="auto"/>
        <w:left w:val="none" w:sz="0" w:space="0" w:color="auto"/>
        <w:bottom w:val="none" w:sz="0" w:space="0" w:color="auto"/>
        <w:right w:val="none" w:sz="0" w:space="0" w:color="auto"/>
      </w:divBdr>
    </w:div>
    <w:div w:id="1464931597">
      <w:bodyDiv w:val="1"/>
      <w:marLeft w:val="0"/>
      <w:marRight w:val="0"/>
      <w:marTop w:val="0"/>
      <w:marBottom w:val="0"/>
      <w:divBdr>
        <w:top w:val="none" w:sz="0" w:space="0" w:color="auto"/>
        <w:left w:val="none" w:sz="0" w:space="0" w:color="auto"/>
        <w:bottom w:val="none" w:sz="0" w:space="0" w:color="auto"/>
        <w:right w:val="none" w:sz="0" w:space="0" w:color="auto"/>
      </w:divBdr>
    </w:div>
    <w:div w:id="1543788068">
      <w:bodyDiv w:val="1"/>
      <w:marLeft w:val="0"/>
      <w:marRight w:val="0"/>
      <w:marTop w:val="0"/>
      <w:marBottom w:val="0"/>
      <w:divBdr>
        <w:top w:val="none" w:sz="0" w:space="0" w:color="auto"/>
        <w:left w:val="none" w:sz="0" w:space="0" w:color="auto"/>
        <w:bottom w:val="none" w:sz="0" w:space="0" w:color="auto"/>
        <w:right w:val="none" w:sz="0" w:space="0" w:color="auto"/>
      </w:divBdr>
    </w:div>
    <w:div w:id="1643383469">
      <w:bodyDiv w:val="1"/>
      <w:marLeft w:val="0"/>
      <w:marRight w:val="0"/>
      <w:marTop w:val="0"/>
      <w:marBottom w:val="0"/>
      <w:divBdr>
        <w:top w:val="none" w:sz="0" w:space="0" w:color="auto"/>
        <w:left w:val="none" w:sz="0" w:space="0" w:color="auto"/>
        <w:bottom w:val="none" w:sz="0" w:space="0" w:color="auto"/>
        <w:right w:val="none" w:sz="0" w:space="0" w:color="auto"/>
      </w:divBdr>
    </w:div>
    <w:div w:id="1675452705">
      <w:bodyDiv w:val="1"/>
      <w:marLeft w:val="0"/>
      <w:marRight w:val="0"/>
      <w:marTop w:val="0"/>
      <w:marBottom w:val="0"/>
      <w:divBdr>
        <w:top w:val="none" w:sz="0" w:space="0" w:color="auto"/>
        <w:left w:val="none" w:sz="0" w:space="0" w:color="auto"/>
        <w:bottom w:val="none" w:sz="0" w:space="0" w:color="auto"/>
        <w:right w:val="none" w:sz="0" w:space="0" w:color="auto"/>
      </w:divBdr>
    </w:div>
    <w:div w:id="1692101907">
      <w:bodyDiv w:val="1"/>
      <w:marLeft w:val="0"/>
      <w:marRight w:val="0"/>
      <w:marTop w:val="0"/>
      <w:marBottom w:val="0"/>
      <w:divBdr>
        <w:top w:val="none" w:sz="0" w:space="0" w:color="auto"/>
        <w:left w:val="none" w:sz="0" w:space="0" w:color="auto"/>
        <w:bottom w:val="none" w:sz="0" w:space="0" w:color="auto"/>
        <w:right w:val="none" w:sz="0" w:space="0" w:color="auto"/>
      </w:divBdr>
    </w:div>
    <w:div w:id="1734082982">
      <w:bodyDiv w:val="1"/>
      <w:marLeft w:val="0"/>
      <w:marRight w:val="0"/>
      <w:marTop w:val="0"/>
      <w:marBottom w:val="0"/>
      <w:divBdr>
        <w:top w:val="none" w:sz="0" w:space="0" w:color="auto"/>
        <w:left w:val="none" w:sz="0" w:space="0" w:color="auto"/>
        <w:bottom w:val="none" w:sz="0" w:space="0" w:color="auto"/>
        <w:right w:val="none" w:sz="0" w:space="0" w:color="auto"/>
      </w:divBdr>
    </w:div>
    <w:div w:id="1752459245">
      <w:bodyDiv w:val="1"/>
      <w:marLeft w:val="0"/>
      <w:marRight w:val="0"/>
      <w:marTop w:val="0"/>
      <w:marBottom w:val="0"/>
      <w:divBdr>
        <w:top w:val="none" w:sz="0" w:space="0" w:color="auto"/>
        <w:left w:val="none" w:sz="0" w:space="0" w:color="auto"/>
        <w:bottom w:val="none" w:sz="0" w:space="0" w:color="auto"/>
        <w:right w:val="none" w:sz="0" w:space="0" w:color="auto"/>
      </w:divBdr>
    </w:div>
    <w:div w:id="1777946173">
      <w:bodyDiv w:val="1"/>
      <w:marLeft w:val="0"/>
      <w:marRight w:val="0"/>
      <w:marTop w:val="0"/>
      <w:marBottom w:val="0"/>
      <w:divBdr>
        <w:top w:val="none" w:sz="0" w:space="0" w:color="auto"/>
        <w:left w:val="none" w:sz="0" w:space="0" w:color="auto"/>
        <w:bottom w:val="none" w:sz="0" w:space="0" w:color="auto"/>
        <w:right w:val="none" w:sz="0" w:space="0" w:color="auto"/>
      </w:divBdr>
    </w:div>
    <w:div w:id="1839005745">
      <w:bodyDiv w:val="1"/>
      <w:marLeft w:val="0"/>
      <w:marRight w:val="0"/>
      <w:marTop w:val="0"/>
      <w:marBottom w:val="0"/>
      <w:divBdr>
        <w:top w:val="none" w:sz="0" w:space="0" w:color="auto"/>
        <w:left w:val="none" w:sz="0" w:space="0" w:color="auto"/>
        <w:bottom w:val="none" w:sz="0" w:space="0" w:color="auto"/>
        <w:right w:val="none" w:sz="0" w:space="0" w:color="auto"/>
      </w:divBdr>
    </w:div>
    <w:div w:id="2042850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oward.org/WellBeing/Pages/default.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org.uk/care-act-2014/assessment-and-eligibility/eligibility/wellbeing" TargetMode="External"/><Relationship Id="rId5" Type="http://schemas.openxmlformats.org/officeDocument/2006/relationships/webSettings" Target="webSettings.xml"/><Relationship Id="rId10" Type="http://schemas.openxmlformats.org/officeDocument/2006/relationships/hyperlink" Target="https://doi.org/10.1007/s11205-012-0186-6"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315993/Care-Act-Guidance.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0C847-36A6-44A5-B874-9A80F7279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1592</Words>
  <Characters>9076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kaltabu tabitha</cp:lastModifiedBy>
  <cp:revision>2</cp:revision>
  <dcterms:created xsi:type="dcterms:W3CDTF">2022-07-29T11:38:00Z</dcterms:created>
  <dcterms:modified xsi:type="dcterms:W3CDTF">2022-07-29T11:38:00Z</dcterms:modified>
</cp:coreProperties>
</file>