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55D72" w14:textId="77777777" w:rsidR="00E1230C" w:rsidRDefault="00E1230C" w:rsidP="00E1230C">
      <w:pPr>
        <w:spacing w:line="360" w:lineRule="auto"/>
        <w:ind w:left="720" w:hanging="360"/>
      </w:pPr>
    </w:p>
    <w:p w14:paraId="44A625DB" w14:textId="77777777" w:rsidR="00E1230C" w:rsidRDefault="00E1230C" w:rsidP="00E1230C">
      <w:pPr>
        <w:spacing w:line="360" w:lineRule="auto"/>
      </w:pPr>
      <w:r>
        <w:t xml:space="preserve">Aim: Evaluate the public perception of children and young people involved in county lines and the role that stereotyping plays in the outcomes of children who are criminally exploited. </w:t>
      </w:r>
    </w:p>
    <w:p w14:paraId="35070E03" w14:textId="77777777" w:rsidR="00E1230C" w:rsidRDefault="00E1230C" w:rsidP="00E1230C">
      <w:pPr>
        <w:spacing w:line="360" w:lineRule="auto"/>
      </w:pPr>
      <w:r>
        <w:t xml:space="preserve">Objective 1: Explore existing literature to identify existing stereotypes surrounding children who have been criminally exploited.  </w:t>
      </w:r>
    </w:p>
    <w:p w14:paraId="6AB15F8E" w14:textId="77777777" w:rsidR="00E1230C" w:rsidRDefault="00E1230C" w:rsidP="00E1230C">
      <w:pPr>
        <w:spacing w:line="360" w:lineRule="auto"/>
      </w:pPr>
      <w:r>
        <w:t xml:space="preserve">Objective 2: Assess the impact of stereotypes surrounding child criminal exploitation and the potential these stereotypes have in terms of responses to children and young people who are involved in county lines.  </w:t>
      </w:r>
    </w:p>
    <w:p w14:paraId="31ABBBF4" w14:textId="77777777" w:rsidR="00E1230C" w:rsidRDefault="00E1230C" w:rsidP="00E1230C">
      <w:pPr>
        <w:spacing w:line="360" w:lineRule="auto"/>
      </w:pPr>
      <w:r>
        <w:t xml:space="preserve">Objective 3: Evaluate public perception of children and young people who became involved in county lines in the UK.   </w:t>
      </w:r>
    </w:p>
    <w:p w14:paraId="497A288A" w14:textId="3A33408C" w:rsidR="00E1230C" w:rsidRDefault="00E1230C" w:rsidP="00E1230C">
      <w:pPr>
        <w:pStyle w:val="Heading1"/>
        <w:numPr>
          <w:ilvl w:val="0"/>
          <w:numId w:val="1"/>
        </w:numPr>
        <w:spacing w:line="360" w:lineRule="auto"/>
      </w:pPr>
      <w:r>
        <w:t xml:space="preserve">Literature Review </w:t>
      </w:r>
    </w:p>
    <w:p w14:paraId="6E721E35" w14:textId="77777777" w:rsidR="00E1230C" w:rsidRDefault="00E1230C" w:rsidP="00E1230C">
      <w:pPr>
        <w:pStyle w:val="Heading2"/>
        <w:spacing w:line="360" w:lineRule="auto"/>
      </w:pPr>
      <w:bookmarkStart w:id="0" w:name="_heading=h.i2w9v7di3kc6" w:colFirst="0" w:colLast="0"/>
      <w:bookmarkEnd w:id="0"/>
      <w:r>
        <w:t xml:space="preserve">2.1 Introduction </w:t>
      </w:r>
    </w:p>
    <w:p w14:paraId="2AFDBC8F" w14:textId="77777777" w:rsidR="00E1230C" w:rsidRDefault="00E1230C" w:rsidP="00E1230C">
      <w:pPr>
        <w:spacing w:line="360" w:lineRule="auto"/>
      </w:pPr>
      <w:r>
        <w:t xml:space="preserve">Child criminal exploitation is a complicated issue in the UK. The complexity can be influenced by many harmful stereotypes and bias that can impact identification and safeguarding of victims. Children who are criminally exploited and involved in crimes within gangs such as county lines are often labelled as willing participants of crime rather than victims of criminal exploitation, with the perception being that it is their personal lifestyle choice (Maxwell et al., 2019). In addition to this, despite having legal framework such as the Modern Slavery Act (2015) the distinction between being a victim and an offender remains unclear (Atkinson-Sheppard et al., 2023). There are difficulties with defining these as it creates a “loophole” for offenders to get out of prison time by claiming they are a victim. Gender can be a stereotype with young boys frequently being viewed as offenders and girls being disregarded as victims of criminal exploitation (The Children’s Society, 2022). Furthermore, racial and socio-economic stereotypes often view children from ethnic minorities or disadvantaged backgrounds are viewed as offenders rather than victims (MacFarlane, 2024). These stereotypes and bias can affect police and safeguarding responses allowing many children not getting access to the help they need.  </w:t>
      </w:r>
    </w:p>
    <w:p w14:paraId="6337839A" w14:textId="77777777" w:rsidR="00E1230C" w:rsidRDefault="00E1230C" w:rsidP="00E1230C">
      <w:pPr>
        <w:spacing w:line="360" w:lineRule="auto"/>
      </w:pPr>
      <w:r>
        <w:lastRenderedPageBreak/>
        <w:t xml:space="preserve">This literature review will examine existing stereotypes surrounding child criminal exploitation. Then using the existing stereotypes assess the impact on responses by police, social services and the government. By exploring the way stereotypes influence responses and professional practices, this literature review aims to offer considerations to change the way children who are criminally exploited are viewed and therefore supported as victims rather than offenders. In addition to this, the main focus of this literature review is of criminal exploitation in county lines gangs. </w:t>
      </w:r>
    </w:p>
    <w:p w14:paraId="63C099FD" w14:textId="77777777" w:rsidR="00E1230C" w:rsidRDefault="00E1230C" w:rsidP="00E1230C">
      <w:pPr>
        <w:pStyle w:val="Heading2"/>
        <w:spacing w:line="360" w:lineRule="auto"/>
      </w:pPr>
      <w:r>
        <w:t xml:space="preserve">2.2 Objective 1 </w:t>
      </w:r>
    </w:p>
    <w:p w14:paraId="6EE06017" w14:textId="77777777" w:rsidR="00E1230C" w:rsidRDefault="00E1230C" w:rsidP="00E1230C">
      <w:pPr>
        <w:pStyle w:val="Heading3"/>
        <w:spacing w:line="360" w:lineRule="auto"/>
      </w:pPr>
      <w:r>
        <w:t xml:space="preserve">2.2.1 Willing Participation </w:t>
      </w:r>
    </w:p>
    <w:p w14:paraId="30D342C0" w14:textId="77777777" w:rsidR="00E1230C" w:rsidRDefault="00E1230C" w:rsidP="00E1230C">
      <w:pPr>
        <w:spacing w:line="360" w:lineRule="auto"/>
      </w:pPr>
      <w:r>
        <w:t xml:space="preserve">There is an idea amongst people that children involved in crime involving county lines do so willingly. NSPCC (2019) highlights that children may join a gang due to family connections or where they live. In addition to this, there are factors such as “being bad” and to “chase status” which may entice children and young people to be involved in a gang (Hesketh, 2019). These ideas can create the perception that children willingly participate in criminal activity for their own gain, such as social power and disregards the idea of children being criminally exploited. While these could be some of the reasons why children can become involved in county lines, there are other reasons also. In the case of “Nicole” before being recruited to be a “drug-runner” she was sleeping on a mattress on the floor. The gang promised her new clothes and promised to help her mother pay the bills (Kendall and Cooke, 2022). This specific case shows how a big factor in joining gangs is vulnerability. The gangs prey on vulnerability and will make promises which often would leave children with no choice but to join so they can help their family. </w:t>
      </w:r>
    </w:p>
    <w:p w14:paraId="33B484E9" w14:textId="77777777" w:rsidR="00E1230C" w:rsidRDefault="00E1230C" w:rsidP="00E1230C">
      <w:pPr>
        <w:spacing w:line="360" w:lineRule="auto"/>
      </w:pPr>
      <w:r>
        <w:t xml:space="preserve">Furthermore, there is a stereotype that older children are usually the children who do become involved in criminal activity and that it is perceived as a lifestyle choice and not a safeguarding issue (Maxwell et al., 2019). The Home Office (2023a), says that the most common age of young people's involvement in county lines gangs is 15-17, however it is also suggested that children in primary school are known to be targeted. This can further show that there is a stigma attached to children who end up involved with county lines. This stigma being that the children who do become involved in county lines are doing so for their personal gains and that they are viewed negatively by people. It can be suggested that rather than becoming involved </w:t>
      </w:r>
      <w:r>
        <w:lastRenderedPageBreak/>
        <w:t xml:space="preserve">in county lines due to choice it is down to issues such as financial hardship and a lack of education (Maxwell, 2024).  </w:t>
      </w:r>
    </w:p>
    <w:p w14:paraId="2F5BAB39" w14:textId="77777777" w:rsidR="00E1230C" w:rsidRDefault="00E1230C" w:rsidP="00E1230C">
      <w:pPr>
        <w:pStyle w:val="Heading2"/>
        <w:spacing w:before="0" w:after="160" w:line="360" w:lineRule="auto"/>
        <w:rPr>
          <w:sz w:val="24"/>
          <w:szCs w:val="24"/>
        </w:rPr>
      </w:pPr>
      <w:r>
        <w:rPr>
          <w:sz w:val="24"/>
          <w:szCs w:val="24"/>
        </w:rPr>
        <w:t xml:space="preserve"> </w:t>
      </w:r>
    </w:p>
    <w:p w14:paraId="6AC4759B" w14:textId="77777777" w:rsidR="00E1230C" w:rsidRDefault="00E1230C" w:rsidP="00E1230C">
      <w:pPr>
        <w:pStyle w:val="Heading3"/>
        <w:spacing w:line="360" w:lineRule="auto"/>
      </w:pPr>
      <w:r>
        <w:t xml:space="preserve">2.2.2 Victim vs Offender  </w:t>
      </w:r>
    </w:p>
    <w:p w14:paraId="0DE0BB97" w14:textId="77777777" w:rsidR="00E1230C" w:rsidRDefault="00E1230C" w:rsidP="00E1230C">
      <w:pPr>
        <w:spacing w:line="360" w:lineRule="auto"/>
      </w:pPr>
      <w:r>
        <w:t xml:space="preserve">There is uncertainty in the UK on the “victim status” of children who are criminally exploited, sparking debates between whether a child is a victim of crime or labelled as an offender (Shaw, 2023). This can create the stereotype that children who face criminal exploitation are criminals and not victims. With the introduction of the Modern Slavery Act (2015), it was thought to offer more protection to children facing criminal exploitation by labelling them as victims of modern slavery. However, Ogunniyi and </w:t>
      </w:r>
      <w:proofErr w:type="spellStart"/>
      <w:r>
        <w:t>Shirgholami</w:t>
      </w:r>
      <w:proofErr w:type="spellEnd"/>
      <w:r>
        <w:t xml:space="preserve"> (2023) identified that the Modern Slavery Act (2015) focuses on cross-border trafficking while looking past the wider topic of modern slavery. In addition to this, even professionals struggle to differentiate between victim and offender status (Atkinson-Sheppard et al., 2023). Therefore, adopting a clear distinction between offender and victim status is essential to offer children who are criminally exploited help. In addition, the children need to be viewed as victims and not as criminals as the stereotype suggests.  </w:t>
      </w:r>
    </w:p>
    <w:p w14:paraId="01894223" w14:textId="77777777" w:rsidR="00E1230C" w:rsidRDefault="00E1230C" w:rsidP="00E1230C">
      <w:pPr>
        <w:pStyle w:val="Heading3"/>
        <w:spacing w:line="360" w:lineRule="auto"/>
      </w:pPr>
      <w:r>
        <w:t xml:space="preserve">2.2.3 Gender </w:t>
      </w:r>
    </w:p>
    <w:p w14:paraId="09BAE7A0" w14:textId="77777777" w:rsidR="00E1230C" w:rsidRDefault="00E1230C" w:rsidP="00E1230C">
      <w:pPr>
        <w:spacing w:line="360" w:lineRule="auto"/>
      </w:pPr>
      <w:r>
        <w:t xml:space="preserve">Another existing stereotype of children who are criminally exploited is the gender stereotype. It is a common misconception that only males are criminally exploited and that females cannot be criminally exploited, and their experiences are always sexual (The Children’s Society, 2022). To support this assumption, the Office for National Statistics (2022) found that males who received a positive reasonable grounds decision were most likely victims of criminal exploitation and females were most likely victims of sexual exploitation. However, this does not mean that females cannot be criminally exploited. The Home Office (2023a), states that all genders are targeted by county lines gangs but the roles the girls play may be different. Havard et al (2021), explains the roles young women acquire in county lines gangs. They would often be used to transport drugs and hold onto drugs as young females are less likely going to be subject to searches by authorities such as the police. Also, in addition to this, girls are recruited through means of coercive control (Havard et al., 2021). Furthermore, female statutory sector professional’s, who participated in this </w:t>
      </w:r>
      <w:r>
        <w:lastRenderedPageBreak/>
        <w:t xml:space="preserve">study, highlighted that the use of young women can go under the radar and therefore they exploit girls so the avoid being caught by police (Havard et al., 2021). Therefore, to protect these young women from being criminally exploited more education needs to be given to police and members of the public to disregard the stereotype that females cannot be victims of criminal exploitation.  </w:t>
      </w:r>
    </w:p>
    <w:p w14:paraId="62548D5C" w14:textId="77777777" w:rsidR="00E1230C" w:rsidRDefault="00E1230C" w:rsidP="00E1230C">
      <w:pPr>
        <w:pStyle w:val="Heading3"/>
        <w:spacing w:line="360" w:lineRule="auto"/>
      </w:pPr>
      <w:r>
        <w:t xml:space="preserve">2.2.4 Socio-economic/racial </w:t>
      </w:r>
    </w:p>
    <w:p w14:paraId="60BFFC84" w14:textId="77777777" w:rsidR="00E1230C" w:rsidRDefault="00E1230C" w:rsidP="00E1230C">
      <w:pPr>
        <w:spacing w:line="360" w:lineRule="auto"/>
      </w:pPr>
      <w:r>
        <w:t xml:space="preserve">There is a stereotype that a child's social status or race can give a profile of someone involved in county lines. Certain reasons to why this stereotype exists is due to the idea that living in an area with gang activity can be a factor in to why a child may join a county lines gang (NSPCC, 2019). However, in a study done by Olver and </w:t>
      </w:r>
      <w:proofErr w:type="spellStart"/>
      <w:r>
        <w:t>Cockbain</w:t>
      </w:r>
      <w:proofErr w:type="spellEnd"/>
      <w:r>
        <w:t xml:space="preserve"> (2021) it was found that coming from a deprived background is not a concluding factor into who is considered a victim of criminal exploitation. One participant in this study mentioned how some victims they worked with were from “good schools” and had “professional families”, further emphasising that anyone can be vulnerable, and anyone can be a victim (Olver and </w:t>
      </w:r>
      <w:proofErr w:type="spellStart"/>
      <w:r>
        <w:t>Cockbain</w:t>
      </w:r>
      <w:proofErr w:type="spellEnd"/>
      <w:r>
        <w:t xml:space="preserve">, 2021). Furthermore, MacFarlane (2024) mentions that boys who are of an ethnic minority background are often treated as adults in the safeguarding system. This can suggest that children from an ethnic minority background are treated as less vulnerable than other children their age (MacFarlane, 2024). </w:t>
      </w:r>
    </w:p>
    <w:p w14:paraId="4047404D" w14:textId="77777777" w:rsidR="00E1230C" w:rsidRDefault="00E1230C" w:rsidP="00E1230C">
      <w:pPr>
        <w:pStyle w:val="Heading2"/>
        <w:spacing w:line="360" w:lineRule="auto"/>
      </w:pPr>
      <w:r>
        <w:t xml:space="preserve">2.3 Objective 2  </w:t>
      </w:r>
    </w:p>
    <w:p w14:paraId="087A967A" w14:textId="77777777" w:rsidR="00E1230C" w:rsidRDefault="00E1230C" w:rsidP="00E1230C">
      <w:pPr>
        <w:pStyle w:val="Heading3"/>
        <w:spacing w:line="360" w:lineRule="auto"/>
      </w:pPr>
      <w:r>
        <w:t xml:space="preserve">2.3.1 Impact on responses </w:t>
      </w:r>
    </w:p>
    <w:p w14:paraId="61EB8B41" w14:textId="77777777" w:rsidR="00E1230C" w:rsidRDefault="00E1230C" w:rsidP="00E1230C">
      <w:pPr>
        <w:spacing w:line="360" w:lineRule="auto"/>
      </w:pPr>
      <w:r>
        <w:t xml:space="preserve">The response to children who are criminally exploited is critical in stopping that child committing crime. Therefore, stereotypes and misconceptions can hinder this in terms of response by authorities such as police. One of the main ways in which children can often be neglected and not offered any support is victim status. When identifying the victimhood of a child it is down to people such as the police who have the powers to use discretion and the guidance given to not arrest a child who is criminally exploited (Ministry of Justice, 2019). In addition to this, the status of being a victim has great potential in not criminalising a child which can have harmful impacts (Marshall, 2024). One of these main impacts is the impact of “labelling theory”, a theory made by Becker (1963). This theory suggests that having a “label” </w:t>
      </w:r>
      <w:r>
        <w:lastRenderedPageBreak/>
        <w:t>associated with deviance, for example criminality, a person would live up to that “label” and carry-on committing crime as it has taken over the person's identity (Nickerson, 2023). Therefore, by not labelling the child as a victim, they can have the potential to make that child continue offending later on in their lives. By ensuring the victim status of a child promotes a “children first, offenders second” approach</w:t>
      </w:r>
      <w:r>
        <w:rPr>
          <w:b/>
        </w:rPr>
        <w:t xml:space="preserve"> </w:t>
      </w:r>
      <w:r>
        <w:t xml:space="preserve">(Youth Justice Board, 2019). </w:t>
      </w:r>
    </w:p>
    <w:p w14:paraId="244A1AA6" w14:textId="77777777" w:rsidR="00E1230C" w:rsidRDefault="00E1230C" w:rsidP="00E1230C">
      <w:pPr>
        <w:spacing w:line="360" w:lineRule="auto"/>
      </w:pPr>
      <w:r>
        <w:t xml:space="preserve">The responses by police can often be </w:t>
      </w:r>
      <w:proofErr w:type="spellStart"/>
      <w:r>
        <w:t>fueled</w:t>
      </w:r>
      <w:proofErr w:type="spellEnd"/>
      <w:r>
        <w:t xml:space="preserve"> by racial profiling. In the whole of the UK, ethnic minorities are overrepresented on the stop and search records, with it being 92 stop and searches for every 1,000 people from the “black- other” category compared to the “white” category being 5.9 per 1000 (Home Office, 2023). This shows how race can have an impact on the polices decision making when deciding whether to stop and search someone. In addition to this, Koch, Williams and Wroe (2023), suggests that the racialised parts of the “Ending Gangs and Youth Violence strategy” in 2011 has been modified to legitimise the targeting of young black men when looking at the government's response to county lines. This further shows how stereotypes, specifically the association of black males to gangs can often impact the decision making of the responses of police officers and government responses.  </w:t>
      </w:r>
    </w:p>
    <w:p w14:paraId="49ED2A92" w14:textId="77777777" w:rsidR="00E1230C" w:rsidRDefault="00E1230C" w:rsidP="00E1230C">
      <w:pPr>
        <w:spacing w:line="360" w:lineRule="auto"/>
      </w:pPr>
      <w:r>
        <w:t xml:space="preserve">A further example of how bias and stereotypes can create inadequate responses is overlooking victims due to gender. Maxwell and Wallace (2021) found that due to the stereotype that girls are sexually exploited, and boys are criminally exploited, many girls can go under the radar and therefore not identified as victims of criminal exploitation. This can show that responses are often done with underlying bias and stereotypes. One thing which may challenge the ability to identify the girls as victims is the fact that many girls do reject the term of being “vulnerable” (Ellis, 2018). This may show why many responders do not view girls as victims. However, it further highlights how responses need to keep bias and stereotypes out of their mind, treating every child the same regardless of gender.  </w:t>
      </w:r>
    </w:p>
    <w:p w14:paraId="2A86FBD5" w14:textId="77777777" w:rsidR="00E1230C" w:rsidRDefault="00E1230C" w:rsidP="00E1230C">
      <w:pPr>
        <w:pStyle w:val="Heading3"/>
        <w:spacing w:line="360" w:lineRule="auto"/>
      </w:pPr>
      <w:r>
        <w:t xml:space="preserve">2.3.2 Considerations for policy and practice  </w:t>
      </w:r>
    </w:p>
    <w:p w14:paraId="1777D739" w14:textId="77777777" w:rsidR="00E1230C" w:rsidRDefault="00E1230C" w:rsidP="00E1230C">
      <w:pPr>
        <w:spacing w:line="360" w:lineRule="auto"/>
      </w:pPr>
      <w:r>
        <w:t xml:space="preserve">In terms of practice, a consideration to enhance frontline responses to calls regarding children who are criminally exploited is necessary. An understanding of trauma could greatly improve the possible outcomes for the child. The main reasons why an understanding of trauma can significantly help children who are criminally </w:t>
      </w:r>
      <w:r>
        <w:lastRenderedPageBreak/>
        <w:t xml:space="preserve">exploited is that understanding trauma can create a more trusting relationship with the victim (Office for Health Improvement &amp; Disparities, 2022). In terms of child criminal exploitation this is helpful as it can improve communication with frontline staff and the child which can allow the staff to easily acknowledge that the child is a victim of criminal exploitation. One youth offending team did further training on trauma informed practice and found that having more awareness on bias helped practitioners create safer environments for victims (HM Inspectorate of Probation, 2023a).  </w:t>
      </w:r>
    </w:p>
    <w:p w14:paraId="6B886C10" w14:textId="77777777" w:rsidR="00E1230C" w:rsidRDefault="00E1230C" w:rsidP="00E1230C">
      <w:pPr>
        <w:spacing w:line="360" w:lineRule="auto"/>
      </w:pPr>
      <w:r>
        <w:t xml:space="preserve">Another way the response to child criminal exploitation can improve is by strengthening relationships and adopting multi-agency approaches. To support this, (Department for Education (2023) highlights that effective multi-agency approaches ensure that more effective safeguarding decisions are made. In addition to this, HM Inspectorate of Probation (2023b) mentions that agencies such as youth justice services and children’s services should plan their approach to child criminal exploitation effectively by using intelligence they have in terms of specific vulnerabilities. This links back to having a trauma informed response, using intelligence to create safe and trustworthy environments for children (Office for Health Improvement &amp; Disparities, 2022). Therefore, ensuring agencies work together in collaboration using their intelligence will ensure that children are offered safeguarding and are given support they need. However, to ensure that multi-agency collaboration works effectively there must be clear communication between agencies to improve information and intelligence sharing between agencies and communicate concerns and make logs of everything in writing (NSPCC, 2024). Using more resources that are transferred from organisations can allow quicker identification of children at risk, avoiding underlying stereotypes.  </w:t>
      </w:r>
    </w:p>
    <w:p w14:paraId="6BA69127" w14:textId="77777777" w:rsidR="00E1230C" w:rsidRDefault="00E1230C" w:rsidP="00E1230C">
      <w:pPr>
        <w:spacing w:line="360" w:lineRule="auto"/>
      </w:pPr>
      <w:r>
        <w:t xml:space="preserve">Safeguarding can be a great response to help children who are criminally exploited. However, many organisations such as social services are constantly challenged in their response to children who are criminally exploited. One of the main challenges faced is the current policy. There is no statutory definition of child criminal exploitation and the need to treat these children as victims is compromised by legal framework (Lloyd, Manister and Wroe, 2023). According to The Children's Society (2021), a clear definition of child criminal exploitation would ensure that children are referred to safeguarding earlier in the grooming stage, making it more likely that they </w:t>
      </w:r>
      <w:r>
        <w:lastRenderedPageBreak/>
        <w:t xml:space="preserve">get help they need. The clear definition would make sure that all professionals have a greater understanding of child criminal exploitation and an ability to identify the signs that a child is getting criminally exploited. </w:t>
      </w:r>
    </w:p>
    <w:p w14:paraId="701B825F" w14:textId="77777777" w:rsidR="00E1230C" w:rsidRDefault="00E1230C" w:rsidP="00E1230C">
      <w:pPr>
        <w:pStyle w:val="Heading2"/>
        <w:spacing w:before="0" w:after="160" w:line="360" w:lineRule="auto"/>
        <w:rPr>
          <w:sz w:val="24"/>
          <w:szCs w:val="24"/>
        </w:rPr>
      </w:pPr>
      <w:r>
        <w:rPr>
          <w:sz w:val="24"/>
          <w:szCs w:val="24"/>
        </w:rPr>
        <w:t xml:space="preserve"> </w:t>
      </w:r>
    </w:p>
    <w:p w14:paraId="6A65646E" w14:textId="77777777" w:rsidR="00E1230C" w:rsidRDefault="00E1230C" w:rsidP="00E1230C">
      <w:pPr>
        <w:pStyle w:val="Heading2"/>
        <w:spacing w:line="360" w:lineRule="auto"/>
      </w:pPr>
      <w:r>
        <w:t xml:space="preserve">2.4 Conclusion </w:t>
      </w:r>
    </w:p>
    <w:p w14:paraId="4ECABBC8" w14:textId="77777777" w:rsidR="00E1230C" w:rsidRDefault="00E1230C" w:rsidP="00E1230C">
      <w:pPr>
        <w:spacing w:line="360" w:lineRule="auto"/>
      </w:pPr>
      <w:r>
        <w:t xml:space="preserve">To conclude, identifying stereotypes surrounding child criminal exploitation is important for improving responses such as police and safeguarding. Stereotypes such as the perception that children are willingly joining county lines gangs for personal gain can create problems when identifying and offering help to the victims (Hesketh, 2019). Also, gender influences can make girls who are involved in county lines do not get identified by police or safeguarding agencies (Havard et al., 2021). This emphasises the need for multi-agency approaches to ensure that all information is shared to all organisations utilising effective communication (NSPCC, 2024). In addition to this the lack of statutory definition of child criminal exploitation proves to be a challenge when dictating a child’s victim status (Lloyd, Manister and Wroe, 2023). This risks the child from </w:t>
      </w:r>
      <w:proofErr w:type="spellStart"/>
      <w:r>
        <w:t>recieving</w:t>
      </w:r>
      <w:proofErr w:type="spellEnd"/>
      <w:r>
        <w:t xml:space="preserve"> the label of a “criminal” which in line with Becker (1963) will increase the likelihood of the child re-offending and living up to their label (Nickerson, 2023).  </w:t>
      </w:r>
    </w:p>
    <w:p w14:paraId="5292D01B" w14:textId="77777777" w:rsidR="00E1230C" w:rsidRDefault="00E1230C" w:rsidP="00E1230C">
      <w:pPr>
        <w:spacing w:line="360" w:lineRule="auto"/>
      </w:pPr>
      <w:r>
        <w:t xml:space="preserve">To effectively eliminate these stereotypes and improve responses to children who are criminally exploited it is essential to improve multi-agency collaboration, increase training and to raise awareness to the public. Training frontline officers to use trauma-based approaches and understanding underlying bias can help gai more trust between victims and police (Office for Health Improvement &amp; Disparities, 2022). Also, public awareness such as media coverage can help eliminate stigma and stereotypes of children who are criminally exploited.  </w:t>
      </w:r>
    </w:p>
    <w:p w14:paraId="65467D97" w14:textId="77777777" w:rsidR="00E1230C" w:rsidRDefault="00E1230C" w:rsidP="00E1230C">
      <w:pPr>
        <w:pStyle w:val="Heading2"/>
        <w:spacing w:before="0" w:after="160" w:line="360" w:lineRule="auto"/>
        <w:rPr>
          <w:sz w:val="24"/>
          <w:szCs w:val="24"/>
        </w:rPr>
      </w:pPr>
      <w:r>
        <w:rPr>
          <w:sz w:val="24"/>
          <w:szCs w:val="24"/>
        </w:rPr>
        <w:t xml:space="preserve"> </w:t>
      </w:r>
    </w:p>
    <w:p w14:paraId="5C4CE544" w14:textId="77777777" w:rsidR="00E1230C" w:rsidRDefault="00E1230C" w:rsidP="00E1230C">
      <w:pPr>
        <w:pStyle w:val="Heading2"/>
        <w:spacing w:before="0" w:after="160" w:line="360" w:lineRule="auto"/>
        <w:rPr>
          <w:sz w:val="24"/>
          <w:szCs w:val="24"/>
        </w:rPr>
      </w:pPr>
      <w:r>
        <w:rPr>
          <w:sz w:val="24"/>
          <w:szCs w:val="24"/>
        </w:rPr>
        <w:t xml:space="preserve"> </w:t>
      </w:r>
    </w:p>
    <w:p w14:paraId="330D21EA" w14:textId="77777777" w:rsidR="00850F90" w:rsidRDefault="00850F90"/>
    <w:sectPr w:rsidR="00850F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E6631" w14:textId="77777777" w:rsidR="00E1230C" w:rsidRDefault="00E1230C" w:rsidP="00E1230C">
      <w:pPr>
        <w:spacing w:after="0" w:line="240" w:lineRule="auto"/>
      </w:pPr>
      <w:r>
        <w:separator/>
      </w:r>
    </w:p>
  </w:endnote>
  <w:endnote w:type="continuationSeparator" w:id="0">
    <w:p w14:paraId="374714DD" w14:textId="77777777" w:rsidR="00E1230C" w:rsidRDefault="00E1230C" w:rsidP="00E12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A0445" w14:textId="77777777" w:rsidR="00E1230C" w:rsidRDefault="00E1230C" w:rsidP="00E1230C">
      <w:pPr>
        <w:spacing w:after="0" w:line="240" w:lineRule="auto"/>
      </w:pPr>
      <w:r>
        <w:separator/>
      </w:r>
    </w:p>
  </w:footnote>
  <w:footnote w:type="continuationSeparator" w:id="0">
    <w:p w14:paraId="3808DC0A" w14:textId="77777777" w:rsidR="00E1230C" w:rsidRDefault="00E1230C" w:rsidP="00E123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A627E8"/>
    <w:multiLevelType w:val="multilevel"/>
    <w:tmpl w:val="35EACE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99864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30C"/>
    <w:rsid w:val="00587DEE"/>
    <w:rsid w:val="00850F90"/>
    <w:rsid w:val="00C40CB7"/>
    <w:rsid w:val="00E1230C"/>
    <w:rsid w:val="00E343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11BE9"/>
  <w15:chartTrackingRefBased/>
  <w15:docId w15:val="{2EA85B55-9A77-4A83-AC5E-4CDB775D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30C"/>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59" w:lineRule="auto"/>
    </w:pPr>
    <w:rPr>
      <w:rFonts w:ascii="Arial" w:eastAsia="Arial" w:hAnsi="Arial" w:cs="Arial"/>
      <w:kern w:val="0"/>
      <w14:ligatures w14:val="none"/>
    </w:rPr>
  </w:style>
  <w:style w:type="paragraph" w:styleId="Heading1">
    <w:name w:val="heading 1"/>
    <w:basedOn w:val="Normal"/>
    <w:next w:val="Normal"/>
    <w:link w:val="Heading1Char"/>
    <w:uiPriority w:val="9"/>
    <w:qFormat/>
    <w:rsid w:val="00E123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3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3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0C"/>
    <w:rPr>
      <w:rFonts w:eastAsiaTheme="majorEastAsia" w:cstheme="majorBidi"/>
      <w:color w:val="272727" w:themeColor="text1" w:themeTint="D8"/>
    </w:rPr>
  </w:style>
  <w:style w:type="paragraph" w:styleId="Title">
    <w:name w:val="Title"/>
    <w:basedOn w:val="Normal"/>
    <w:next w:val="Normal"/>
    <w:link w:val="TitleChar"/>
    <w:uiPriority w:val="10"/>
    <w:qFormat/>
    <w:rsid w:val="00E123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3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3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3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0C"/>
    <w:pPr>
      <w:spacing w:before="160"/>
      <w:jc w:val="center"/>
    </w:pPr>
    <w:rPr>
      <w:i/>
      <w:iCs/>
      <w:color w:val="404040" w:themeColor="text1" w:themeTint="BF"/>
    </w:rPr>
  </w:style>
  <w:style w:type="character" w:customStyle="1" w:styleId="QuoteChar">
    <w:name w:val="Quote Char"/>
    <w:basedOn w:val="DefaultParagraphFont"/>
    <w:link w:val="Quote"/>
    <w:uiPriority w:val="29"/>
    <w:rsid w:val="00E1230C"/>
    <w:rPr>
      <w:i/>
      <w:iCs/>
      <w:color w:val="404040" w:themeColor="text1" w:themeTint="BF"/>
    </w:rPr>
  </w:style>
  <w:style w:type="paragraph" w:styleId="ListParagraph">
    <w:name w:val="List Paragraph"/>
    <w:basedOn w:val="Normal"/>
    <w:uiPriority w:val="34"/>
    <w:qFormat/>
    <w:rsid w:val="00E1230C"/>
    <w:pPr>
      <w:ind w:left="720"/>
      <w:contextualSpacing/>
    </w:pPr>
  </w:style>
  <w:style w:type="character" w:styleId="IntenseEmphasis">
    <w:name w:val="Intense Emphasis"/>
    <w:basedOn w:val="DefaultParagraphFont"/>
    <w:uiPriority w:val="21"/>
    <w:qFormat/>
    <w:rsid w:val="00E1230C"/>
    <w:rPr>
      <w:i/>
      <w:iCs/>
      <w:color w:val="0F4761" w:themeColor="accent1" w:themeShade="BF"/>
    </w:rPr>
  </w:style>
  <w:style w:type="paragraph" w:styleId="IntenseQuote">
    <w:name w:val="Intense Quote"/>
    <w:basedOn w:val="Normal"/>
    <w:next w:val="Normal"/>
    <w:link w:val="IntenseQuoteChar"/>
    <w:uiPriority w:val="30"/>
    <w:qFormat/>
    <w:rsid w:val="00E123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0C"/>
    <w:rPr>
      <w:i/>
      <w:iCs/>
      <w:color w:val="0F4761" w:themeColor="accent1" w:themeShade="BF"/>
    </w:rPr>
  </w:style>
  <w:style w:type="character" w:styleId="IntenseReference">
    <w:name w:val="Intense Reference"/>
    <w:basedOn w:val="DefaultParagraphFont"/>
    <w:uiPriority w:val="32"/>
    <w:qFormat/>
    <w:rsid w:val="00E1230C"/>
    <w:rPr>
      <w:b/>
      <w:bCs/>
      <w:smallCaps/>
      <w:color w:val="0F4761" w:themeColor="accent1" w:themeShade="BF"/>
      <w:spacing w:val="5"/>
    </w:rPr>
  </w:style>
  <w:style w:type="paragraph" w:styleId="Header">
    <w:name w:val="header"/>
    <w:basedOn w:val="Normal"/>
    <w:link w:val="HeaderChar"/>
    <w:uiPriority w:val="99"/>
    <w:unhideWhenUsed/>
    <w:rsid w:val="00E123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30C"/>
  </w:style>
  <w:style w:type="paragraph" w:styleId="Footer">
    <w:name w:val="footer"/>
    <w:basedOn w:val="Normal"/>
    <w:link w:val="FooterChar"/>
    <w:uiPriority w:val="99"/>
    <w:unhideWhenUsed/>
    <w:rsid w:val="00E123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2416</Words>
  <Characters>13774</Characters>
  <Application>Microsoft Office Word</Application>
  <DocSecurity>0</DocSecurity>
  <Lines>114</Lines>
  <Paragraphs>32</Paragraphs>
  <ScaleCrop>false</ScaleCrop>
  <Company>University of Wales Trinity Saint David</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2025-10-30T12:47:00Z</dcterms:created>
  <dcterms:modified xsi:type="dcterms:W3CDTF">2025-10-30T12:50:00Z</dcterms:modified>
</cp:coreProperties>
</file>