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043D4" w:rsidRDefault="002043D4">
      <w:pPr>
        <w:pStyle w:val="Heading1"/>
        <w:spacing w:before="200" w:after="200"/>
      </w:pPr>
      <w:bookmarkStart w:id="0" w:name="_heading=h.gjdgxs" w:colFirst="0" w:colLast="0"/>
      <w:bookmarkEnd w:id="0"/>
    </w:p>
    <w:p w14:paraId="056539DB" w14:textId="77FD36E7" w:rsidR="00CD3531" w:rsidRPr="005A348A" w:rsidRDefault="00CD3531" w:rsidP="00CD3531">
      <w:pPr>
        <w:spacing w:before="240"/>
        <w:jc w:val="center"/>
        <w:rPr>
          <w:b/>
          <w:color w:val="000000" w:themeColor="text1"/>
          <w:sz w:val="36"/>
          <w:szCs w:val="36"/>
        </w:rPr>
      </w:pPr>
      <w:bookmarkStart w:id="1" w:name="_heading=h.30j0zll" w:colFirst="0" w:colLast="0"/>
      <w:bookmarkEnd w:id="1"/>
      <w:r w:rsidRPr="005A348A">
        <w:rPr>
          <w:b/>
          <w:color w:val="000000" w:themeColor="text1"/>
          <w:sz w:val="36"/>
          <w:szCs w:val="36"/>
        </w:rPr>
        <w:t>Module Code: BMIH500</w:t>
      </w:r>
      <w:r>
        <w:rPr>
          <w:b/>
          <w:color w:val="000000" w:themeColor="text1"/>
          <w:sz w:val="36"/>
          <w:szCs w:val="36"/>
        </w:rPr>
        <w:t>6</w:t>
      </w:r>
    </w:p>
    <w:p w14:paraId="1769377D" w14:textId="77777777" w:rsidR="00CD3531" w:rsidRPr="005A348A" w:rsidRDefault="00CD3531" w:rsidP="00CD3531">
      <w:pPr>
        <w:spacing w:before="240"/>
        <w:jc w:val="center"/>
        <w:rPr>
          <w:b/>
          <w:color w:val="000000" w:themeColor="text1"/>
          <w:sz w:val="36"/>
          <w:szCs w:val="36"/>
        </w:rPr>
      </w:pPr>
      <w:r w:rsidRPr="005A348A">
        <w:rPr>
          <w:b/>
          <w:color w:val="000000" w:themeColor="text1"/>
          <w:sz w:val="36"/>
          <w:szCs w:val="36"/>
        </w:rPr>
        <w:t>Student Name:</w:t>
      </w:r>
      <w:r>
        <w:rPr>
          <w:b/>
          <w:color w:val="000000" w:themeColor="text1"/>
          <w:sz w:val="36"/>
          <w:szCs w:val="36"/>
        </w:rPr>
        <w:t xml:space="preserve"> Christopher </w:t>
      </w:r>
      <w:proofErr w:type="spellStart"/>
      <w:r>
        <w:rPr>
          <w:b/>
          <w:color w:val="000000" w:themeColor="text1"/>
          <w:sz w:val="36"/>
          <w:szCs w:val="36"/>
        </w:rPr>
        <w:t>Setalsingh</w:t>
      </w:r>
      <w:proofErr w:type="spellEnd"/>
    </w:p>
    <w:p w14:paraId="3A828157" w14:textId="77777777" w:rsidR="00CD3531" w:rsidRDefault="00CD3531" w:rsidP="00CD3531">
      <w:pPr>
        <w:spacing w:before="240"/>
        <w:jc w:val="center"/>
        <w:rPr>
          <w:b/>
          <w:color w:val="000000" w:themeColor="text1"/>
          <w:sz w:val="36"/>
          <w:szCs w:val="36"/>
        </w:rPr>
      </w:pPr>
      <w:r w:rsidRPr="005A348A">
        <w:rPr>
          <w:b/>
          <w:color w:val="000000" w:themeColor="text1"/>
          <w:sz w:val="36"/>
          <w:szCs w:val="36"/>
        </w:rPr>
        <w:t>Student ID:</w:t>
      </w:r>
      <w:r>
        <w:rPr>
          <w:b/>
          <w:color w:val="000000" w:themeColor="text1"/>
          <w:sz w:val="36"/>
          <w:szCs w:val="36"/>
        </w:rPr>
        <w:t xml:space="preserve"> 2127114</w:t>
      </w:r>
    </w:p>
    <w:p w14:paraId="00000002" w14:textId="24C5706C" w:rsidR="002043D4" w:rsidRDefault="00CD3531" w:rsidP="00CD3531">
      <w:pPr>
        <w:pStyle w:val="Title"/>
        <w:spacing w:before="200" w:after="200" w:line="360" w:lineRule="auto"/>
        <w:jc w:val="center"/>
        <w:rPr>
          <w:rFonts w:ascii="Times New Roman" w:eastAsia="Times New Roman" w:hAnsi="Times New Roman" w:cs="Times New Roman"/>
          <w:b/>
          <w:sz w:val="32"/>
          <w:szCs w:val="32"/>
        </w:rPr>
      </w:pPr>
      <w:r>
        <w:rPr>
          <w:b/>
          <w:color w:val="000000" w:themeColor="text1"/>
          <w:sz w:val="36"/>
          <w:szCs w:val="36"/>
        </w:rPr>
        <w:t>Lecturer:</w:t>
      </w:r>
      <w:r w:rsidR="00E57919">
        <w:rPr>
          <w:b/>
          <w:color w:val="000000" w:themeColor="text1"/>
          <w:sz w:val="36"/>
          <w:szCs w:val="36"/>
        </w:rPr>
        <w:t xml:space="preserve"> Kathryn Roberts</w:t>
      </w:r>
    </w:p>
    <w:p w14:paraId="00000003" w14:textId="77777777" w:rsidR="002043D4" w:rsidRDefault="002043D4">
      <w:pPr>
        <w:pStyle w:val="Title"/>
        <w:spacing w:before="200" w:after="200" w:line="360" w:lineRule="auto"/>
        <w:jc w:val="center"/>
        <w:rPr>
          <w:rFonts w:ascii="Times New Roman" w:eastAsia="Times New Roman" w:hAnsi="Times New Roman" w:cs="Times New Roman"/>
          <w:b/>
          <w:sz w:val="32"/>
          <w:szCs w:val="32"/>
        </w:rPr>
      </w:pPr>
      <w:bookmarkStart w:id="2" w:name="_heading=h.1fob9te" w:colFirst="0" w:colLast="0"/>
      <w:bookmarkEnd w:id="2"/>
    </w:p>
    <w:p w14:paraId="00000006" w14:textId="77777777" w:rsidR="002043D4" w:rsidRDefault="002043D4" w:rsidP="00CD3531">
      <w:pPr>
        <w:pStyle w:val="Title"/>
        <w:spacing w:before="200" w:after="200" w:line="360" w:lineRule="auto"/>
        <w:rPr>
          <w:rFonts w:ascii="Times New Roman" w:eastAsia="Times New Roman" w:hAnsi="Times New Roman" w:cs="Times New Roman"/>
          <w:b/>
          <w:sz w:val="32"/>
          <w:szCs w:val="32"/>
        </w:rPr>
      </w:pPr>
      <w:bookmarkStart w:id="3" w:name="_heading=h.3znysh7" w:colFirst="0" w:colLast="0"/>
      <w:bookmarkStart w:id="4" w:name="_heading=h.2et92p0" w:colFirst="0" w:colLast="0"/>
      <w:bookmarkStart w:id="5" w:name="_heading=h.tyjcwt" w:colFirst="0" w:colLast="0"/>
      <w:bookmarkEnd w:id="3"/>
      <w:bookmarkEnd w:id="4"/>
      <w:bookmarkEnd w:id="5"/>
    </w:p>
    <w:p w14:paraId="00000007" w14:textId="77777777" w:rsidR="002043D4" w:rsidRDefault="002043D4">
      <w:pPr>
        <w:pStyle w:val="Title"/>
        <w:spacing w:before="200" w:after="200" w:line="360" w:lineRule="auto"/>
        <w:jc w:val="center"/>
        <w:rPr>
          <w:rFonts w:ascii="Times New Roman" w:eastAsia="Times New Roman" w:hAnsi="Times New Roman" w:cs="Times New Roman"/>
          <w:b/>
          <w:sz w:val="32"/>
          <w:szCs w:val="32"/>
        </w:rPr>
      </w:pPr>
      <w:bookmarkStart w:id="6" w:name="_heading=h.3dy6vkm" w:colFirst="0" w:colLast="0"/>
      <w:bookmarkEnd w:id="6"/>
    </w:p>
    <w:p w14:paraId="00000008" w14:textId="77777777" w:rsidR="002043D4" w:rsidRDefault="002043D4">
      <w:pPr>
        <w:pStyle w:val="Title"/>
        <w:spacing w:before="200" w:after="200" w:line="360" w:lineRule="auto"/>
        <w:jc w:val="center"/>
        <w:rPr>
          <w:rFonts w:ascii="Times New Roman" w:eastAsia="Times New Roman" w:hAnsi="Times New Roman" w:cs="Times New Roman"/>
          <w:b/>
          <w:sz w:val="32"/>
          <w:szCs w:val="32"/>
        </w:rPr>
      </w:pPr>
      <w:bookmarkStart w:id="7" w:name="_heading=h.1t3h5sf" w:colFirst="0" w:colLast="0"/>
      <w:bookmarkEnd w:id="7"/>
    </w:p>
    <w:p w14:paraId="00000009" w14:textId="77777777" w:rsidR="002043D4" w:rsidRDefault="002043D4">
      <w:pPr>
        <w:pStyle w:val="Title"/>
        <w:spacing w:before="200" w:after="200" w:line="360" w:lineRule="auto"/>
        <w:jc w:val="center"/>
        <w:rPr>
          <w:rFonts w:ascii="Times New Roman" w:eastAsia="Times New Roman" w:hAnsi="Times New Roman" w:cs="Times New Roman"/>
          <w:b/>
          <w:sz w:val="32"/>
          <w:szCs w:val="32"/>
        </w:rPr>
      </w:pPr>
      <w:bookmarkStart w:id="8" w:name="_heading=h.4d34og8" w:colFirst="0" w:colLast="0"/>
      <w:bookmarkEnd w:id="8"/>
    </w:p>
    <w:p w14:paraId="0000000A" w14:textId="77777777" w:rsidR="002043D4" w:rsidRDefault="00D41D1D">
      <w:pPr>
        <w:pStyle w:val="Title"/>
        <w:spacing w:before="200" w:after="200" w:line="360" w:lineRule="auto"/>
        <w:jc w:val="center"/>
        <w:rPr>
          <w:rFonts w:ascii="Times New Roman" w:eastAsia="Times New Roman" w:hAnsi="Times New Roman" w:cs="Times New Roman"/>
          <w:b/>
          <w:sz w:val="32"/>
          <w:szCs w:val="32"/>
        </w:rPr>
      </w:pPr>
      <w:bookmarkStart w:id="9" w:name="_heading=h.2s8eyo1" w:colFirst="0" w:colLast="0"/>
      <w:bookmarkEnd w:id="9"/>
      <w:r>
        <w:rPr>
          <w:rFonts w:ascii="Times New Roman" w:eastAsia="Times New Roman" w:hAnsi="Times New Roman" w:cs="Times New Roman"/>
          <w:b/>
          <w:sz w:val="32"/>
          <w:szCs w:val="32"/>
        </w:rPr>
        <w:t>Sustainable Hospitality &amp; Tourism Management</w:t>
      </w:r>
    </w:p>
    <w:p w14:paraId="0000000B" w14:textId="77777777" w:rsidR="002043D4" w:rsidRDefault="002043D4">
      <w:pPr>
        <w:spacing w:before="200" w:after="200" w:line="360" w:lineRule="auto"/>
      </w:pPr>
    </w:p>
    <w:p w14:paraId="0000000C" w14:textId="77777777" w:rsidR="002043D4" w:rsidRDefault="002043D4">
      <w:pPr>
        <w:spacing w:before="200" w:after="200" w:line="360" w:lineRule="auto"/>
      </w:pPr>
    </w:p>
    <w:p w14:paraId="0000000D" w14:textId="77777777" w:rsidR="002043D4" w:rsidRDefault="002043D4">
      <w:pPr>
        <w:spacing w:before="200" w:after="200" w:line="360" w:lineRule="auto"/>
      </w:pPr>
    </w:p>
    <w:p w14:paraId="0000000E" w14:textId="77777777" w:rsidR="002043D4" w:rsidRDefault="00D41D1D">
      <w:pPr>
        <w:spacing w:before="200" w:after="200" w:line="360" w:lineRule="auto"/>
      </w:pPr>
      <w:r>
        <w:br w:type="page"/>
      </w:r>
    </w:p>
    <w:p w14:paraId="0000000F" w14:textId="77777777" w:rsidR="002043D4" w:rsidRDefault="00D41D1D">
      <w:pPr>
        <w:spacing w:before="200" w:after="200" w:line="360" w:lineRule="auto"/>
        <w:jc w:val="center"/>
      </w:pPr>
      <w:r>
        <w:rPr>
          <w:rFonts w:ascii="Times New Roman" w:eastAsia="Times New Roman" w:hAnsi="Times New Roman" w:cs="Times New Roman"/>
          <w:b/>
          <w:sz w:val="24"/>
          <w:szCs w:val="24"/>
        </w:rPr>
        <w:lastRenderedPageBreak/>
        <w:t>Table of Contents</w:t>
      </w:r>
    </w:p>
    <w:sdt>
      <w:sdtPr>
        <w:id w:val="-2050370924"/>
        <w:docPartObj>
          <w:docPartGallery w:val="Table of Contents"/>
          <w:docPartUnique/>
        </w:docPartObj>
      </w:sdtPr>
      <w:sdtContent>
        <w:p w14:paraId="00000010" w14:textId="77777777" w:rsidR="002043D4" w:rsidRDefault="00D41D1D">
          <w:pPr>
            <w:widowControl w:val="0"/>
            <w:tabs>
              <w:tab w:val="right" w:pos="9025"/>
            </w:tabs>
            <w:spacing w:before="200" w:after="2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35nkun2">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_heading=h.35nkun2 \h </w:instrText>
          </w:r>
          <w:r>
            <w:fldChar w:fldCharType="separate"/>
          </w:r>
          <w:r>
            <w:rPr>
              <w:rFonts w:ascii="Times New Roman" w:eastAsia="Times New Roman" w:hAnsi="Times New Roman" w:cs="Times New Roman"/>
              <w:sz w:val="24"/>
              <w:szCs w:val="24"/>
            </w:rPr>
            <w:t>3</w:t>
          </w:r>
          <w:hyperlink w:anchor="_heading=h.35nkun2" w:history="1"/>
        </w:p>
        <w:p w14:paraId="00000011" w14:textId="77777777" w:rsidR="002043D4" w:rsidRDefault="00D41D1D">
          <w:pPr>
            <w:widowControl w:val="0"/>
            <w:tabs>
              <w:tab w:val="right" w:pos="9025"/>
            </w:tabs>
            <w:spacing w:before="200" w:after="200" w:line="360" w:lineRule="auto"/>
            <w:jc w:val="both"/>
            <w:rPr>
              <w:rFonts w:ascii="Times New Roman" w:eastAsia="Times New Roman" w:hAnsi="Times New Roman" w:cs="Times New Roman"/>
              <w:color w:val="000000"/>
              <w:sz w:val="24"/>
              <w:szCs w:val="24"/>
            </w:rPr>
          </w:pPr>
          <w:r>
            <w:fldChar w:fldCharType="end"/>
          </w:r>
          <w:hyperlink w:anchor="_heading=h.1ksv4uv">
            <w:r>
              <w:rPr>
                <w:rFonts w:ascii="Times New Roman" w:eastAsia="Times New Roman" w:hAnsi="Times New Roman" w:cs="Times New Roman"/>
                <w:color w:val="000000"/>
                <w:sz w:val="24"/>
                <w:szCs w:val="24"/>
              </w:rPr>
              <w:t>Main Body</w:t>
            </w:r>
            <w:r>
              <w:rPr>
                <w:rFonts w:ascii="Times New Roman" w:eastAsia="Times New Roman" w:hAnsi="Times New Roman" w:cs="Times New Roman"/>
                <w:color w:val="000000"/>
                <w:sz w:val="24"/>
                <w:szCs w:val="24"/>
              </w:rPr>
              <w:tab/>
            </w:r>
          </w:hyperlink>
          <w:r>
            <w:fldChar w:fldCharType="begin"/>
          </w:r>
          <w:r>
            <w:instrText xml:space="preserve"> PAGEREF _heading=h.1ksv4uv \h </w:instrText>
          </w:r>
          <w:r>
            <w:fldChar w:fldCharType="separate"/>
          </w:r>
          <w:r>
            <w:rPr>
              <w:rFonts w:ascii="Times New Roman" w:eastAsia="Times New Roman" w:hAnsi="Times New Roman" w:cs="Times New Roman"/>
              <w:sz w:val="24"/>
              <w:szCs w:val="24"/>
            </w:rPr>
            <w:t>3</w:t>
          </w:r>
          <w:hyperlink w:anchor="_heading=h.1ksv4uv" w:history="1"/>
        </w:p>
        <w:p w14:paraId="00000012" w14:textId="77777777" w:rsidR="002043D4" w:rsidRDefault="00D41D1D">
          <w:pPr>
            <w:widowControl w:val="0"/>
            <w:tabs>
              <w:tab w:val="right" w:pos="9025"/>
            </w:tabs>
            <w:spacing w:before="200" w:after="200" w:line="360" w:lineRule="auto"/>
            <w:jc w:val="both"/>
            <w:rPr>
              <w:rFonts w:ascii="Times New Roman" w:eastAsia="Times New Roman" w:hAnsi="Times New Roman" w:cs="Times New Roman"/>
              <w:color w:val="000000"/>
              <w:sz w:val="24"/>
              <w:szCs w:val="24"/>
            </w:rPr>
          </w:pPr>
          <w:r>
            <w:fldChar w:fldCharType="end"/>
          </w:r>
          <w:hyperlink w:anchor="_heading=h.44sinio">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_heading=h.44sinio \h </w:instrText>
          </w:r>
          <w:r>
            <w:fldChar w:fldCharType="separate"/>
          </w:r>
          <w:r>
            <w:rPr>
              <w:rFonts w:ascii="Times New Roman" w:eastAsia="Times New Roman" w:hAnsi="Times New Roman" w:cs="Times New Roman"/>
              <w:sz w:val="24"/>
              <w:szCs w:val="24"/>
            </w:rPr>
            <w:t>7</w:t>
          </w:r>
          <w:hyperlink w:anchor="_heading=h.44sinio" w:history="1"/>
        </w:p>
        <w:p w14:paraId="00000013" w14:textId="77777777" w:rsidR="002043D4" w:rsidRDefault="00D41D1D">
          <w:pPr>
            <w:widowControl w:val="0"/>
            <w:tabs>
              <w:tab w:val="right" w:pos="9025"/>
            </w:tabs>
            <w:spacing w:before="200" w:after="200" w:line="360" w:lineRule="auto"/>
            <w:jc w:val="both"/>
            <w:rPr>
              <w:rFonts w:ascii="Times New Roman" w:eastAsia="Times New Roman" w:hAnsi="Times New Roman" w:cs="Times New Roman"/>
              <w:color w:val="000000"/>
              <w:sz w:val="24"/>
              <w:szCs w:val="24"/>
            </w:rPr>
          </w:pPr>
          <w:r>
            <w:fldChar w:fldCharType="end"/>
          </w:r>
          <w:hyperlink w:anchor="_heading=h.2jxsxqh">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r>
          </w:hyperlink>
          <w:r>
            <w:fldChar w:fldCharType="begin"/>
          </w:r>
          <w:r>
            <w:instrText xml:space="preserve"> PAGEREF _heading=h.2jxsxqh \h </w:instrText>
          </w:r>
          <w:r>
            <w:fldChar w:fldCharType="separate"/>
          </w:r>
          <w:r>
            <w:rPr>
              <w:rFonts w:ascii="Times New Roman" w:eastAsia="Times New Roman" w:hAnsi="Times New Roman" w:cs="Times New Roman"/>
              <w:sz w:val="24"/>
              <w:szCs w:val="24"/>
            </w:rPr>
            <w:t>8</w:t>
          </w:r>
          <w:r>
            <w:fldChar w:fldCharType="end"/>
          </w:r>
          <w:r>
            <w:fldChar w:fldCharType="end"/>
          </w:r>
        </w:p>
      </w:sdtContent>
    </w:sdt>
    <w:p w14:paraId="00000014" w14:textId="77777777" w:rsidR="002043D4" w:rsidRDefault="002043D4">
      <w:pPr>
        <w:pStyle w:val="Heading1"/>
        <w:spacing w:before="200" w:after="200"/>
      </w:pPr>
      <w:bookmarkStart w:id="10" w:name="_heading=h.17dp8vu" w:colFirst="0" w:colLast="0"/>
      <w:bookmarkEnd w:id="10"/>
    </w:p>
    <w:p w14:paraId="00000015" w14:textId="77777777" w:rsidR="002043D4" w:rsidRDefault="002043D4">
      <w:pPr>
        <w:pStyle w:val="Heading1"/>
        <w:spacing w:before="200" w:after="200"/>
      </w:pPr>
      <w:bookmarkStart w:id="11" w:name="_heading=h.3rdcrjn" w:colFirst="0" w:colLast="0"/>
      <w:bookmarkEnd w:id="11"/>
    </w:p>
    <w:p w14:paraId="00000016" w14:textId="77777777" w:rsidR="002043D4" w:rsidRDefault="002043D4">
      <w:pPr>
        <w:pStyle w:val="Heading1"/>
        <w:spacing w:before="200" w:after="200"/>
      </w:pPr>
      <w:bookmarkStart w:id="12" w:name="_heading=h.26in1rg" w:colFirst="0" w:colLast="0"/>
      <w:bookmarkEnd w:id="12"/>
    </w:p>
    <w:p w14:paraId="00000017" w14:textId="77777777" w:rsidR="002043D4" w:rsidRDefault="00D41D1D">
      <w:pPr>
        <w:pStyle w:val="Heading1"/>
        <w:spacing w:before="200" w:after="200"/>
      </w:pPr>
      <w:bookmarkStart w:id="13" w:name="_heading=h.lnxbz9" w:colFirst="0" w:colLast="0"/>
      <w:bookmarkEnd w:id="13"/>
      <w:r>
        <w:br w:type="page"/>
      </w:r>
    </w:p>
    <w:p w14:paraId="0801602C" w14:textId="77777777" w:rsidR="00CD3531" w:rsidRDefault="00CD3531">
      <w:pPr>
        <w:pStyle w:val="Heading1"/>
        <w:spacing w:before="200" w:after="200"/>
        <w:rPr>
          <w:rFonts w:ascii="Arial" w:hAnsi="Arial" w:cs="Arial"/>
        </w:rPr>
      </w:pPr>
      <w:bookmarkStart w:id="14" w:name="_heading=h.35nkun2" w:colFirst="0" w:colLast="0"/>
      <w:bookmarkEnd w:id="14"/>
    </w:p>
    <w:p w14:paraId="00000018" w14:textId="2E26225F" w:rsidR="002043D4" w:rsidRPr="00CD3531" w:rsidRDefault="00D41D1D">
      <w:pPr>
        <w:pStyle w:val="Heading1"/>
        <w:spacing w:before="200" w:after="200"/>
        <w:rPr>
          <w:rFonts w:ascii="Arial" w:hAnsi="Arial" w:cs="Arial"/>
          <w:color w:val="000000" w:themeColor="text1"/>
        </w:rPr>
      </w:pPr>
      <w:r w:rsidRPr="00CD3531">
        <w:rPr>
          <w:rFonts w:ascii="Arial" w:hAnsi="Arial" w:cs="Arial"/>
          <w:color w:val="000000" w:themeColor="text1"/>
        </w:rPr>
        <w:t>Introduction</w:t>
      </w:r>
    </w:p>
    <w:p w14:paraId="0000001A" w14:textId="25104867" w:rsidR="002043D4" w:rsidRPr="00CD3531" w:rsidRDefault="00F4323F" w:rsidP="00F4323F">
      <w:pPr>
        <w:spacing w:before="200" w:after="200" w:line="360" w:lineRule="auto"/>
        <w:jc w:val="both"/>
        <w:rPr>
          <w:color w:val="000000" w:themeColor="text1"/>
          <w:sz w:val="24"/>
          <w:szCs w:val="24"/>
        </w:rPr>
      </w:pPr>
      <w:r w:rsidRPr="00CD3531">
        <w:rPr>
          <w:rFonts w:eastAsia="Times New Roman"/>
          <w:color w:val="000000" w:themeColor="text1"/>
          <w:sz w:val="24"/>
          <w:szCs w:val="24"/>
        </w:rPr>
        <w:t>Different integrated eco-friendly measures and individual practices in the corresponding industrial activities may be included in the overall concept of sustainable hospitality and the corresponding tourism management (</w:t>
      </w:r>
      <w:proofErr w:type="spellStart"/>
      <w:r w:rsidRPr="00CD3531">
        <w:rPr>
          <w:rFonts w:eastAsia="Times New Roman"/>
          <w:color w:val="000000" w:themeColor="text1"/>
          <w:sz w:val="24"/>
          <w:szCs w:val="24"/>
        </w:rPr>
        <w:t>Inkson</w:t>
      </w:r>
      <w:proofErr w:type="spellEnd"/>
      <w:r w:rsidRPr="00CD3531">
        <w:rPr>
          <w:rFonts w:eastAsia="Times New Roman"/>
          <w:color w:val="000000" w:themeColor="text1"/>
          <w:sz w:val="24"/>
          <w:szCs w:val="24"/>
        </w:rPr>
        <w:t xml:space="preserve"> &amp; </w:t>
      </w:r>
      <w:proofErr w:type="spellStart"/>
      <w:r w:rsidRPr="00CD3531">
        <w:rPr>
          <w:rFonts w:eastAsia="Times New Roman"/>
          <w:color w:val="000000" w:themeColor="text1"/>
          <w:sz w:val="24"/>
          <w:szCs w:val="24"/>
        </w:rPr>
        <w:t>Minnaert</w:t>
      </w:r>
      <w:proofErr w:type="spellEnd"/>
      <w:r w:rsidRPr="00CD3531">
        <w:rPr>
          <w:rFonts w:eastAsia="Times New Roman"/>
          <w:color w:val="000000" w:themeColor="text1"/>
          <w:sz w:val="24"/>
          <w:szCs w:val="24"/>
        </w:rPr>
        <w:t xml:space="preserve">, 2018). The sustainable development commitment covers a wide range of activities, some of which include adopting appropriate sustainable practices, sourcing various organic and locally produced goods, conserving water, and other resources, cutting back on waste, and much more. The development of sustainable tourism involves managing tourism practices in a way that conserves resources, with a focus on describing differences in benefits related to social, economic, and environmental aspects based on both the internal and external environments (Baum, 2019). The bulk of hotel management, including Premier Inn, always must specify the topic of sustainable tourism.  </w:t>
      </w:r>
      <w:bookmarkStart w:id="15" w:name="_heading=h.1ksv4uv" w:colFirst="0" w:colLast="0"/>
      <w:bookmarkEnd w:id="15"/>
      <w:r w:rsidRPr="00CD3531">
        <w:rPr>
          <w:rFonts w:eastAsia="Times New Roman"/>
          <w:color w:val="000000" w:themeColor="text1"/>
          <w:sz w:val="24"/>
          <w:szCs w:val="24"/>
        </w:rPr>
        <w:t xml:space="preserve">This highlights various facets of the associated assessment process, including the provision of natural and cultural resources, assistance to various local community types, mitigation of the adverse effects of tourism, and numerous other facets. Premier Inn, one of the well-known hotel and hospitality organisations that is more well-known for its service provision and raising the total brand value and the corresponding brand awareness, was chosen as the company based on this write-up procedure. The concept of the circular economy, the assessment of CSR policies and regulations, various industry cases with appropriate demonstrations, and the corresponding explanation processes or procedures are all intended to be covered in this study. </w:t>
      </w:r>
      <w:r w:rsidR="00D41D1D" w:rsidRPr="00CD3531">
        <w:rPr>
          <w:color w:val="000000" w:themeColor="text1"/>
          <w:sz w:val="24"/>
          <w:szCs w:val="24"/>
        </w:rPr>
        <w:t>Main Body</w:t>
      </w:r>
    </w:p>
    <w:p w14:paraId="0000001B" w14:textId="52435932" w:rsidR="002043D4" w:rsidRPr="00CD3531" w:rsidRDefault="00D41D1D">
      <w:pPr>
        <w:spacing w:before="200" w:after="200" w:line="360" w:lineRule="auto"/>
        <w:jc w:val="both"/>
        <w:rPr>
          <w:rFonts w:eastAsia="Times New Roman"/>
          <w:b/>
          <w:color w:val="000000" w:themeColor="text1"/>
          <w:sz w:val="24"/>
          <w:szCs w:val="24"/>
        </w:rPr>
      </w:pPr>
      <w:r w:rsidRPr="00CD3531">
        <w:rPr>
          <w:rFonts w:eastAsia="Times New Roman"/>
          <w:color w:val="000000" w:themeColor="text1"/>
          <w:sz w:val="24"/>
          <w:szCs w:val="24"/>
        </w:rPr>
        <w:t>As per the opinion of Cooper (2021), the concept of circular economy can be defined as the model of consumption and production which includes different aspects such as repairing, reusing, and recycling procedures of existing services and products for the long-term perspective and procedure. It includes different elements like refurbishing, leasing, sharing and many more of the other aspects or implications. In the overall subject of the circular economy, the materials do not tend to be waste</w:t>
      </w:r>
      <w:r w:rsidR="00F4323F" w:rsidRPr="00CD3531">
        <w:rPr>
          <w:rFonts w:eastAsia="Times New Roman"/>
          <w:color w:val="000000" w:themeColor="text1"/>
          <w:sz w:val="24"/>
          <w:szCs w:val="24"/>
        </w:rPr>
        <w:t>d. I</w:t>
      </w:r>
      <w:r w:rsidRPr="00CD3531">
        <w:rPr>
          <w:rFonts w:eastAsia="Times New Roman"/>
          <w:color w:val="000000" w:themeColor="text1"/>
          <w:sz w:val="24"/>
          <w:szCs w:val="24"/>
        </w:rPr>
        <w:t xml:space="preserve">n each of the time perspectives, nature always tends to regenerate based on the competitive environment. It can be also considered as a regenerative system for gradually decoupling the marketing growth for the consumption of finite sources and the overall </w:t>
      </w:r>
      <w:r w:rsidRPr="00CD3531">
        <w:rPr>
          <w:rFonts w:eastAsia="Times New Roman"/>
          <w:color w:val="000000" w:themeColor="text1"/>
          <w:sz w:val="24"/>
          <w:szCs w:val="24"/>
        </w:rPr>
        <w:lastRenderedPageBreak/>
        <w:t xml:space="preserve">resources (Kang </w:t>
      </w:r>
      <w:r w:rsidRPr="00CD3531">
        <w:rPr>
          <w:rFonts w:eastAsia="Times New Roman"/>
          <w:i/>
          <w:color w:val="000000" w:themeColor="text1"/>
          <w:sz w:val="24"/>
          <w:szCs w:val="24"/>
        </w:rPr>
        <w:t>et al</w:t>
      </w:r>
      <w:r w:rsidRPr="00CD3531">
        <w:rPr>
          <w:rFonts w:eastAsia="Times New Roman"/>
          <w:color w:val="000000" w:themeColor="text1"/>
          <w:sz w:val="24"/>
          <w:szCs w:val="24"/>
        </w:rPr>
        <w:t xml:space="preserve">., 2021). </w:t>
      </w:r>
      <w:r w:rsidR="000C3546" w:rsidRPr="00CD3531">
        <w:rPr>
          <w:rFonts w:eastAsia="Times New Roman"/>
          <w:color w:val="000000" w:themeColor="text1"/>
          <w:sz w:val="24"/>
          <w:szCs w:val="24"/>
        </w:rPr>
        <w:t xml:space="preserve">Within the framework of the circular economy, decoupling of the market can be justified by repurposing various marketing incentives rather than depleting total resources for natural resources and corresponding inclinations. All waste types, including scrap, metal, clothing, and obsolete electronics, are given to the nation's economy to increase efficiency and transparency. </w:t>
      </w:r>
      <w:r w:rsidRPr="00CD3531">
        <w:rPr>
          <w:rFonts w:eastAsia="Times New Roman"/>
          <w:color w:val="000000" w:themeColor="text1"/>
          <w:sz w:val="24"/>
          <w:szCs w:val="24"/>
        </w:rPr>
        <w:t xml:space="preserve">The concept of circular economy was first popularised by the German Chemist </w:t>
      </w:r>
      <w:proofErr w:type="spellStart"/>
      <w:r w:rsidRPr="00CD3531">
        <w:rPr>
          <w:rFonts w:eastAsia="Times New Roman"/>
          <w:color w:val="000000" w:themeColor="text1"/>
          <w:sz w:val="24"/>
          <w:szCs w:val="24"/>
        </w:rPr>
        <w:t>Micheal</w:t>
      </w:r>
      <w:proofErr w:type="spellEnd"/>
      <w:r w:rsidRPr="00CD3531">
        <w:rPr>
          <w:rFonts w:eastAsia="Times New Roman"/>
          <w:color w:val="000000" w:themeColor="text1"/>
          <w:sz w:val="24"/>
          <w:szCs w:val="24"/>
        </w:rPr>
        <w:t xml:space="preserve"> </w:t>
      </w:r>
      <w:proofErr w:type="spellStart"/>
      <w:r w:rsidRPr="00CD3531">
        <w:rPr>
          <w:rFonts w:eastAsia="Times New Roman"/>
          <w:color w:val="000000" w:themeColor="text1"/>
          <w:sz w:val="24"/>
          <w:szCs w:val="24"/>
        </w:rPr>
        <w:t>Braugart</w:t>
      </w:r>
      <w:proofErr w:type="spellEnd"/>
      <w:r w:rsidRPr="00CD3531">
        <w:rPr>
          <w:rFonts w:eastAsia="Times New Roman"/>
          <w:color w:val="000000" w:themeColor="text1"/>
          <w:sz w:val="24"/>
          <w:szCs w:val="24"/>
        </w:rPr>
        <w:t xml:space="preserve"> </w:t>
      </w:r>
      <w:r w:rsidR="00CD3531" w:rsidRPr="00CD3531">
        <w:rPr>
          <w:rFonts w:eastAsia="Times New Roman"/>
          <w:color w:val="000000" w:themeColor="text1"/>
          <w:sz w:val="24"/>
          <w:szCs w:val="24"/>
        </w:rPr>
        <w:t>and</w:t>
      </w:r>
      <w:r w:rsidRPr="00CD3531">
        <w:rPr>
          <w:rFonts w:eastAsia="Times New Roman"/>
          <w:color w:val="000000" w:themeColor="text1"/>
          <w:sz w:val="24"/>
          <w:szCs w:val="24"/>
        </w:rPr>
        <w:t xml:space="preserve"> the respective American </w:t>
      </w:r>
      <w:r w:rsidR="00CD3531">
        <w:rPr>
          <w:rFonts w:eastAsia="Times New Roman"/>
          <w:color w:val="000000" w:themeColor="text1"/>
          <w:sz w:val="24"/>
          <w:szCs w:val="24"/>
        </w:rPr>
        <w:t>architects</w:t>
      </w:r>
      <w:r w:rsidRPr="00CD3531">
        <w:rPr>
          <w:rFonts w:eastAsia="Times New Roman"/>
          <w:color w:val="000000" w:themeColor="text1"/>
          <w:sz w:val="24"/>
          <w:szCs w:val="24"/>
        </w:rPr>
        <w:t xml:space="preserve"> by the end of 2002 to provide more efficient, </w:t>
      </w:r>
      <w:r w:rsidR="00CD3531" w:rsidRPr="00CD3531">
        <w:rPr>
          <w:rFonts w:eastAsia="Times New Roman"/>
          <w:color w:val="000000" w:themeColor="text1"/>
          <w:sz w:val="24"/>
          <w:szCs w:val="24"/>
        </w:rPr>
        <w:t>effective,</w:t>
      </w:r>
      <w:r w:rsidR="00CD3531">
        <w:rPr>
          <w:rFonts w:eastAsia="Times New Roman"/>
          <w:color w:val="000000" w:themeColor="text1"/>
          <w:sz w:val="24"/>
          <w:szCs w:val="24"/>
        </w:rPr>
        <w:t xml:space="preserve"> </w:t>
      </w:r>
      <w:r w:rsidRPr="00CD3531">
        <w:rPr>
          <w:rFonts w:eastAsia="Times New Roman"/>
          <w:color w:val="000000" w:themeColor="text1"/>
          <w:sz w:val="24"/>
          <w:szCs w:val="24"/>
        </w:rPr>
        <w:t xml:space="preserve">and transparent procedures (Kim </w:t>
      </w:r>
      <w:r w:rsidRPr="00CD3531">
        <w:rPr>
          <w:rFonts w:eastAsia="Times New Roman"/>
          <w:i/>
          <w:color w:val="000000" w:themeColor="text1"/>
          <w:sz w:val="24"/>
          <w:szCs w:val="24"/>
        </w:rPr>
        <w:t>et al</w:t>
      </w:r>
      <w:r w:rsidRPr="00CD3531">
        <w:rPr>
          <w:rFonts w:eastAsia="Times New Roman"/>
          <w:color w:val="000000" w:themeColor="text1"/>
          <w:sz w:val="24"/>
          <w:szCs w:val="24"/>
        </w:rPr>
        <w:t>., 2019). This is also applicable for the chosen tourism and hospitality organisation of Premier Inn as different characteristics and the overall activities would be also identified here for more efficiency as well as the respective effectiveness.</w:t>
      </w:r>
    </w:p>
    <w:p w14:paraId="0000001C" w14:textId="3ECFDDF8" w:rsidR="002043D4" w:rsidRPr="00CD3531" w:rsidRDefault="000C3546">
      <w:pPr>
        <w:spacing w:before="200" w:after="200" w:line="360" w:lineRule="auto"/>
        <w:jc w:val="both"/>
        <w:rPr>
          <w:rFonts w:eastAsia="Times New Roman"/>
          <w:color w:val="000000" w:themeColor="text1"/>
          <w:sz w:val="24"/>
          <w:szCs w:val="24"/>
        </w:rPr>
      </w:pPr>
      <w:r w:rsidRPr="00CD3531">
        <w:rPr>
          <w:rFonts w:eastAsia="Times New Roman"/>
          <w:color w:val="000000" w:themeColor="text1"/>
          <w:sz w:val="24"/>
          <w:szCs w:val="24"/>
        </w:rPr>
        <w:t xml:space="preserve">Despite growing to more than 72,000 rooms and 800 hotels throughout the United Kingdom and beyond, Premier Inn is acknowledged as the leading British hotel chain (Premier Inn, 2020). There are hotels in various cities, suburbs, centres, airports, and other geographic regions, and this specific hotel is regarded as one of the biggest and most well-known tourism and hospitality brands in the United Kingdom. This specific brand, which has its headquarters in Dunstable, England, was established by the end of 1987. </w:t>
      </w:r>
      <w:r w:rsidR="00D41D1D" w:rsidRPr="00CD3531">
        <w:rPr>
          <w:rFonts w:eastAsia="Times New Roman"/>
          <w:color w:val="000000" w:themeColor="text1"/>
          <w:sz w:val="24"/>
          <w:szCs w:val="24"/>
        </w:rPr>
        <w:t xml:space="preserve">Furthermore, this </w:t>
      </w:r>
      <w:r w:rsidRPr="00CD3531">
        <w:rPr>
          <w:rFonts w:eastAsia="Times New Roman"/>
          <w:color w:val="000000" w:themeColor="text1"/>
          <w:sz w:val="24"/>
          <w:szCs w:val="24"/>
        </w:rPr>
        <w:t>hospitality</w:t>
      </w:r>
      <w:r w:rsidR="00D41D1D" w:rsidRPr="00CD3531">
        <w:rPr>
          <w:rFonts w:eastAsia="Times New Roman"/>
          <w:color w:val="000000" w:themeColor="text1"/>
          <w:sz w:val="24"/>
          <w:szCs w:val="24"/>
        </w:rPr>
        <w:t xml:space="preserve"> organisation has currently employed more than 20000 employees or working individuals and it has also expanded to more than 80000 rooms (</w:t>
      </w:r>
      <w:r w:rsidRPr="00CD3531">
        <w:rPr>
          <w:rFonts w:eastAsia="Times New Roman"/>
          <w:color w:val="000000" w:themeColor="text1"/>
          <w:sz w:val="24"/>
          <w:szCs w:val="24"/>
        </w:rPr>
        <w:t>Premier I</w:t>
      </w:r>
      <w:r w:rsidR="00D41D1D" w:rsidRPr="00CD3531">
        <w:rPr>
          <w:rFonts w:eastAsia="Times New Roman"/>
          <w:color w:val="000000" w:themeColor="text1"/>
          <w:sz w:val="24"/>
          <w:szCs w:val="24"/>
        </w:rPr>
        <w:t xml:space="preserve">nn, 2023). </w:t>
      </w:r>
    </w:p>
    <w:p w14:paraId="0000001D" w14:textId="5BBCA2EC" w:rsidR="002043D4" w:rsidRPr="00CD3531" w:rsidRDefault="00D41D1D">
      <w:pPr>
        <w:spacing w:before="200" w:after="200" w:line="360" w:lineRule="auto"/>
        <w:jc w:val="both"/>
        <w:rPr>
          <w:rFonts w:eastAsia="Times New Roman"/>
          <w:b/>
          <w:color w:val="000000" w:themeColor="text1"/>
          <w:sz w:val="24"/>
          <w:szCs w:val="24"/>
        </w:rPr>
      </w:pPr>
      <w:r w:rsidRPr="00CD3531">
        <w:rPr>
          <w:rFonts w:eastAsia="Times New Roman"/>
          <w:color w:val="000000" w:themeColor="text1"/>
          <w:sz w:val="24"/>
          <w:szCs w:val="24"/>
        </w:rPr>
        <w:t>Though the company is majorly extended in the United Kingdom, still it has the same number of fame and recognition in the overall international market and the respective geographical locations (</w:t>
      </w:r>
      <w:r w:rsidR="000C3546" w:rsidRPr="00CD3531">
        <w:rPr>
          <w:rFonts w:eastAsia="Times New Roman"/>
          <w:color w:val="000000" w:themeColor="text1"/>
          <w:sz w:val="24"/>
          <w:szCs w:val="24"/>
        </w:rPr>
        <w:t>Premier I</w:t>
      </w:r>
      <w:r w:rsidRPr="00CD3531">
        <w:rPr>
          <w:rFonts w:eastAsia="Times New Roman"/>
          <w:color w:val="000000" w:themeColor="text1"/>
          <w:sz w:val="24"/>
          <w:szCs w:val="24"/>
        </w:rPr>
        <w:t xml:space="preserve">nn, 2020). In the logo of Premier Inn, there are different features like yellow, </w:t>
      </w:r>
      <w:r w:rsidR="000C3546" w:rsidRPr="00CD3531">
        <w:rPr>
          <w:rFonts w:eastAsia="Times New Roman"/>
          <w:color w:val="000000" w:themeColor="text1"/>
          <w:sz w:val="24"/>
          <w:szCs w:val="24"/>
        </w:rPr>
        <w:t>white,</w:t>
      </w:r>
      <w:r w:rsidRPr="00CD3531">
        <w:rPr>
          <w:rFonts w:eastAsia="Times New Roman"/>
          <w:color w:val="000000" w:themeColor="text1"/>
          <w:sz w:val="24"/>
          <w:szCs w:val="24"/>
        </w:rPr>
        <w:t xml:space="preserve"> and purple colour and it also symbolises the overall purity, stability, </w:t>
      </w:r>
      <w:r w:rsidR="000C3546" w:rsidRPr="00CD3531">
        <w:rPr>
          <w:rFonts w:eastAsia="Times New Roman"/>
          <w:color w:val="000000" w:themeColor="text1"/>
          <w:sz w:val="24"/>
          <w:szCs w:val="24"/>
        </w:rPr>
        <w:t>relaxation,</w:t>
      </w:r>
      <w:r w:rsidRPr="00CD3531">
        <w:rPr>
          <w:rFonts w:eastAsia="Times New Roman"/>
          <w:color w:val="000000" w:themeColor="text1"/>
          <w:sz w:val="24"/>
          <w:szCs w:val="24"/>
        </w:rPr>
        <w:t xml:space="preserve"> and overall calmness based on competitiveness and inability. In this context, it can be also stated that the Premier Inn has pledged more than £20 million for the next five years to the respective charitable organisations like GOSH Charity Build. Moreover, this specific organisation also has the aim or purpose of building a Children's Centre at the overall location of Ormond Street Hospital. </w:t>
      </w:r>
    </w:p>
    <w:p w14:paraId="0000001F" w14:textId="5101290F" w:rsidR="002043D4" w:rsidRPr="00CD3531" w:rsidRDefault="000C3546">
      <w:pPr>
        <w:spacing w:before="200" w:after="200" w:line="360" w:lineRule="auto"/>
        <w:jc w:val="both"/>
        <w:rPr>
          <w:rFonts w:eastAsia="Times New Roman"/>
          <w:color w:val="000000" w:themeColor="text1"/>
          <w:sz w:val="24"/>
          <w:szCs w:val="24"/>
        </w:rPr>
      </w:pPr>
      <w:r w:rsidRPr="00CD3531">
        <w:rPr>
          <w:rFonts w:eastAsia="Times New Roman"/>
          <w:color w:val="000000" w:themeColor="text1"/>
          <w:sz w:val="24"/>
          <w:szCs w:val="24"/>
        </w:rPr>
        <w:t xml:space="preserve">According to Chen et al. (2020), corporate social responsibility is the state of mind in which various business organisations assume accountability for their effects on the local community and the </w:t>
      </w:r>
      <w:r w:rsidR="0020123B" w:rsidRPr="00CD3531">
        <w:rPr>
          <w:rFonts w:eastAsia="Times New Roman"/>
          <w:color w:val="000000" w:themeColor="text1"/>
          <w:sz w:val="24"/>
          <w:szCs w:val="24"/>
        </w:rPr>
        <w:t>environment</w:t>
      </w:r>
      <w:r w:rsidRPr="00CD3531">
        <w:rPr>
          <w:rFonts w:eastAsia="Times New Roman"/>
          <w:color w:val="000000" w:themeColor="text1"/>
          <w:sz w:val="24"/>
          <w:szCs w:val="24"/>
        </w:rPr>
        <w:t xml:space="preserve">. Conversely, the circular economy can be </w:t>
      </w:r>
      <w:r w:rsidRPr="00CD3531">
        <w:rPr>
          <w:rFonts w:eastAsia="Times New Roman"/>
          <w:color w:val="000000" w:themeColor="text1"/>
          <w:sz w:val="24"/>
          <w:szCs w:val="24"/>
        </w:rPr>
        <w:lastRenderedPageBreak/>
        <w:t>defined as a process that aims to reduce the overall environmental impact while promoting various economic and social goals.</w:t>
      </w:r>
      <w:r w:rsidR="0020123B" w:rsidRPr="00CD3531">
        <w:rPr>
          <w:rFonts w:eastAsia="Times New Roman"/>
          <w:color w:val="000000" w:themeColor="text1"/>
          <w:sz w:val="24"/>
          <w:szCs w:val="24"/>
        </w:rPr>
        <w:t xml:space="preserve"> </w:t>
      </w:r>
      <w:r w:rsidR="00D41D1D" w:rsidRPr="00CD3531">
        <w:rPr>
          <w:rFonts w:eastAsia="Times New Roman"/>
          <w:color w:val="000000" w:themeColor="text1"/>
          <w:sz w:val="24"/>
          <w:szCs w:val="24"/>
        </w:rPr>
        <w:t xml:space="preserve">The concept of circular economy can be measured as one of the effective ways to implement the idea of overall CSR practices of Premier Inn and it also introduces different social, economic, </w:t>
      </w:r>
      <w:r w:rsidR="0020123B" w:rsidRPr="00CD3531">
        <w:rPr>
          <w:rFonts w:eastAsia="Times New Roman"/>
          <w:color w:val="000000" w:themeColor="text1"/>
          <w:sz w:val="24"/>
          <w:szCs w:val="24"/>
        </w:rPr>
        <w:t>environmental,</w:t>
      </w:r>
      <w:r w:rsidR="00D41D1D" w:rsidRPr="00CD3531">
        <w:rPr>
          <w:rFonts w:eastAsia="Times New Roman"/>
          <w:color w:val="000000" w:themeColor="text1"/>
          <w:sz w:val="24"/>
          <w:szCs w:val="24"/>
        </w:rPr>
        <w:t xml:space="preserve"> and respective ethnic dimensions (Yip </w:t>
      </w:r>
      <w:r w:rsidR="00D41D1D" w:rsidRPr="00CD3531">
        <w:rPr>
          <w:rFonts w:eastAsia="Times New Roman"/>
          <w:i/>
          <w:color w:val="000000" w:themeColor="text1"/>
          <w:sz w:val="24"/>
          <w:szCs w:val="24"/>
        </w:rPr>
        <w:t>et al</w:t>
      </w:r>
      <w:r w:rsidR="00D41D1D" w:rsidRPr="00CD3531">
        <w:rPr>
          <w:rFonts w:eastAsia="Times New Roman"/>
          <w:color w:val="000000" w:themeColor="text1"/>
          <w:sz w:val="24"/>
          <w:szCs w:val="24"/>
        </w:rPr>
        <w:t xml:space="preserve">., 2019). It can be identified that there are different advantages for the overall circular economy on CSR policy based on the company profile of Premier Inn. </w:t>
      </w:r>
    </w:p>
    <w:p w14:paraId="00000020" w14:textId="77777777" w:rsidR="002043D4" w:rsidRPr="00CD3531" w:rsidRDefault="00D41D1D">
      <w:pPr>
        <w:spacing w:before="200" w:after="200" w:line="360" w:lineRule="auto"/>
        <w:jc w:val="both"/>
        <w:rPr>
          <w:rFonts w:eastAsia="Times New Roman"/>
          <w:color w:val="000000" w:themeColor="text1"/>
          <w:sz w:val="24"/>
          <w:szCs w:val="24"/>
        </w:rPr>
      </w:pPr>
      <w:r w:rsidRPr="00CD3531">
        <w:rPr>
          <w:rFonts w:eastAsia="Times New Roman"/>
          <w:color w:val="000000" w:themeColor="text1"/>
          <w:sz w:val="24"/>
          <w:szCs w:val="24"/>
        </w:rPr>
        <w:t xml:space="preserve">Environmental performance can be measured as one of the advantages of implementing the concept of circular economy in the CSR value and the respective CSR commitment procedure (Kraus </w:t>
      </w:r>
      <w:r w:rsidRPr="00CD3531">
        <w:rPr>
          <w:rFonts w:eastAsia="Times New Roman"/>
          <w:i/>
          <w:color w:val="000000" w:themeColor="text1"/>
          <w:sz w:val="24"/>
          <w:szCs w:val="24"/>
        </w:rPr>
        <w:t>et al</w:t>
      </w:r>
      <w:r w:rsidRPr="00CD3531">
        <w:rPr>
          <w:rFonts w:eastAsia="Times New Roman"/>
          <w:color w:val="000000" w:themeColor="text1"/>
          <w:sz w:val="24"/>
          <w:szCs w:val="24"/>
        </w:rPr>
        <w:t xml:space="preserve">., 2020). In this context, it is fair enough to say that a circular company would be considered a helpful element for increasing the overall environmental performance. While relating to the company profile of Premier Inn, the same instance would be also beneficial for the Premier Inn company. </w:t>
      </w:r>
    </w:p>
    <w:p w14:paraId="00000021" w14:textId="321216F7" w:rsidR="002043D4" w:rsidRPr="00CD3531" w:rsidRDefault="0020123B">
      <w:pPr>
        <w:spacing w:before="200" w:after="200" w:line="360" w:lineRule="auto"/>
        <w:jc w:val="both"/>
        <w:rPr>
          <w:rFonts w:eastAsia="Times New Roman"/>
          <w:b/>
          <w:color w:val="000000" w:themeColor="text1"/>
          <w:sz w:val="24"/>
          <w:szCs w:val="24"/>
        </w:rPr>
      </w:pPr>
      <w:r w:rsidRPr="00CD3531">
        <w:rPr>
          <w:rFonts w:eastAsia="Times New Roman"/>
          <w:color w:val="000000" w:themeColor="text1"/>
          <w:sz w:val="24"/>
          <w:szCs w:val="24"/>
        </w:rPr>
        <w:t>Another useful method of measuring value for stakeholders is the circular economy, which adds value to stakeholders and fosters positive relationships or consequences between business organisations and the various stakeholders of those business organisations (Sloan et al., 2017). Another significant influence of the circular economy on the overall CSR strategy and the corresponding measurement techniques is measured in terms of competitiveness and regulations. The competitiveness and regulations in the relevant competitive market and overall competitive environment are improved and strengthened by the adoption of a circular economy. Finally, the idea of sustainable business practices can be applied in the context of corporate social responsibility, monitoring both the external and internal environments, and adjusting to the circular economy. Furthermore, it might be argued that the idea of a circular economy could result in companies using sustainable business practices, which would seem to be advantageous for the community as well as the company and business groups (Khan et al., 2020). Premier Inn's affiliation with the tourist and hospitality industry implies a greater degree of positive than negative consequences.</w:t>
      </w:r>
    </w:p>
    <w:p w14:paraId="00000023" w14:textId="499BE73D" w:rsidR="002043D4" w:rsidRPr="00CD3531" w:rsidRDefault="0020123B">
      <w:pPr>
        <w:spacing w:before="200" w:after="200" w:line="360" w:lineRule="auto"/>
        <w:jc w:val="both"/>
        <w:rPr>
          <w:rFonts w:eastAsia="Times New Roman"/>
          <w:color w:val="000000" w:themeColor="text1"/>
          <w:sz w:val="24"/>
          <w:szCs w:val="24"/>
        </w:rPr>
      </w:pPr>
      <w:r w:rsidRPr="00CD3531">
        <w:rPr>
          <w:rFonts w:eastAsia="Times New Roman"/>
          <w:color w:val="000000" w:themeColor="text1"/>
          <w:sz w:val="24"/>
          <w:szCs w:val="24"/>
        </w:rPr>
        <w:t xml:space="preserve">According to Premier Inn's company profile, various commercial groups have made sustainability promises, and these efforts generally have a positive effect rather than a negative one (Roscoe et al., 2019). </w:t>
      </w:r>
      <w:r w:rsidR="00DB2ABD" w:rsidRPr="00CD3531">
        <w:rPr>
          <w:rFonts w:eastAsia="Times New Roman"/>
          <w:color w:val="000000" w:themeColor="text1"/>
          <w:sz w:val="24"/>
          <w:szCs w:val="24"/>
        </w:rPr>
        <w:t xml:space="preserve">Force for Good is one of the sustainability initiatives that business organisations have embraced, and it is also regarded as the </w:t>
      </w:r>
      <w:r w:rsidR="00DB2ABD" w:rsidRPr="00CD3531">
        <w:rPr>
          <w:rFonts w:eastAsia="Times New Roman"/>
          <w:color w:val="000000" w:themeColor="text1"/>
          <w:sz w:val="24"/>
          <w:szCs w:val="24"/>
        </w:rPr>
        <w:lastRenderedPageBreak/>
        <w:t>foundation of all business organisations (Premier Inn, 2020). Respect for the earth and its inhabitants, as well as the community at large, is the overarching goal of this event and the corresponding programme. Measuring both the internal and exterior environments simultaneously guarantees that one is contributing meaningfully to the community.</w:t>
      </w:r>
      <w:r w:rsidR="00D41D1D" w:rsidRPr="00CD3531">
        <w:rPr>
          <w:rFonts w:eastAsia="Times New Roman"/>
          <w:color w:val="000000" w:themeColor="text1"/>
          <w:sz w:val="24"/>
          <w:szCs w:val="24"/>
        </w:rPr>
        <w:t xml:space="preserve"> Another purpose of the program or event can be identified as imposing different types of employment opportunities for all levels of employees with no barrier entries or potential challenges (Rubery and Grimshaw, 2020). Hence, it </w:t>
      </w:r>
      <w:r w:rsidRPr="00CD3531">
        <w:rPr>
          <w:rFonts w:eastAsia="Times New Roman"/>
          <w:color w:val="000000" w:themeColor="text1"/>
          <w:sz w:val="24"/>
          <w:szCs w:val="24"/>
        </w:rPr>
        <w:t>is</w:t>
      </w:r>
      <w:r w:rsidR="00D41D1D" w:rsidRPr="00CD3531">
        <w:rPr>
          <w:rFonts w:eastAsia="Times New Roman"/>
          <w:color w:val="000000" w:themeColor="text1"/>
          <w:sz w:val="24"/>
          <w:szCs w:val="24"/>
        </w:rPr>
        <w:t xml:space="preserve"> one of the most effective and efficient management procedures for the internal environment as well as the overall external environment. Another piece of sustainability commitment that has been measured would be net zero for having Scope 1,2 </w:t>
      </w:r>
      <w:r w:rsidR="00DB2ABD" w:rsidRPr="00CD3531">
        <w:rPr>
          <w:rFonts w:eastAsia="Times New Roman"/>
          <w:color w:val="000000" w:themeColor="text1"/>
          <w:sz w:val="24"/>
          <w:szCs w:val="24"/>
        </w:rPr>
        <w:t>and</w:t>
      </w:r>
      <w:r w:rsidR="00D41D1D" w:rsidRPr="00CD3531">
        <w:rPr>
          <w:rFonts w:eastAsia="Times New Roman"/>
          <w:color w:val="000000" w:themeColor="text1"/>
          <w:sz w:val="24"/>
          <w:szCs w:val="24"/>
        </w:rPr>
        <w:t xml:space="preserve"> the respective Scope 3 by the end of 2050. It would have more efficiency and transparency based on the overall competitive environments and the respective measurement processes or procedures. In this context, it also has the sustainability commitment while the overall usage of water with the overall percentage of 20% while comparing per hotel measurement procedures. These sustainable commitments will be undertaken by the end of 2030. It describes that the Premier Inn is not only committed to sustainable </w:t>
      </w:r>
      <w:r w:rsidR="00DB2ABD" w:rsidRPr="00CD3531">
        <w:rPr>
          <w:rFonts w:eastAsia="Times New Roman"/>
          <w:color w:val="000000" w:themeColor="text1"/>
          <w:sz w:val="24"/>
          <w:szCs w:val="24"/>
        </w:rPr>
        <w:t>development, but</w:t>
      </w:r>
      <w:r w:rsidR="00D41D1D" w:rsidRPr="00CD3531">
        <w:rPr>
          <w:rFonts w:eastAsia="Times New Roman"/>
          <w:color w:val="000000" w:themeColor="text1"/>
          <w:sz w:val="24"/>
          <w:szCs w:val="24"/>
        </w:rPr>
        <w:t xml:space="preserve"> it is also measured based on the measurement perspective and the respective estimation procedures. It also has the aim or purpose to cut down overall waste by half by the period of 2030 (George, 2021). It describes that the company or business organisation is not only determined while rescuing the landfills and the respective measurement procedures or processes. Hence, those are some of the sustainable commitments or measurement procedures based on the overall competitive profile and the respective management procedure. </w:t>
      </w:r>
    </w:p>
    <w:p w14:paraId="00000025" w14:textId="49DFE7F5" w:rsidR="002043D4" w:rsidRPr="00CD3531" w:rsidRDefault="00DB2ABD">
      <w:pPr>
        <w:spacing w:before="200" w:after="200" w:line="360" w:lineRule="auto"/>
        <w:jc w:val="both"/>
        <w:rPr>
          <w:rFonts w:eastAsia="Times New Roman"/>
          <w:color w:val="000000" w:themeColor="text1"/>
          <w:sz w:val="24"/>
          <w:szCs w:val="24"/>
        </w:rPr>
      </w:pPr>
      <w:r w:rsidRPr="00CD3531">
        <w:rPr>
          <w:rFonts w:eastAsia="Times New Roman"/>
          <w:color w:val="000000" w:themeColor="text1"/>
          <w:sz w:val="24"/>
          <w:szCs w:val="24"/>
        </w:rPr>
        <w:t xml:space="preserve">According to </w:t>
      </w:r>
      <w:proofErr w:type="spellStart"/>
      <w:r w:rsidRPr="00CD3531">
        <w:rPr>
          <w:rFonts w:eastAsia="Times New Roman"/>
          <w:color w:val="000000" w:themeColor="text1"/>
          <w:sz w:val="24"/>
          <w:szCs w:val="24"/>
        </w:rPr>
        <w:t>Khoshnava</w:t>
      </w:r>
      <w:proofErr w:type="spellEnd"/>
      <w:r w:rsidRPr="00CD3531">
        <w:rPr>
          <w:rFonts w:eastAsia="Times New Roman"/>
          <w:color w:val="000000" w:themeColor="text1"/>
          <w:sz w:val="24"/>
          <w:szCs w:val="24"/>
        </w:rPr>
        <w:t xml:space="preserve"> et al. (2020), the organisation also prioritises broad viewpoints when it comes to green implementation, such as ethical supplier sourcing, energy efficiency, and waste management practices. As an example, it might be argued that Premier Inn is regarded as one of the original hotel brands in the UK and the UAE. Artificial Intelligence and Ain's new recycled water bottle are intended to be introduced in every hotel room across all Premier Inn hotels (Agarwal and Kapoor, 2022). Additionally, it may be said that Premier Inn contributes to several community initiatives and general charitable causes. For example, it is said that Premier Inn is funding K9 Friends to rescue and find new homes for the shelter located in Dubai, United Arab Emirates. A few businesses are implementing the circular economy based </w:t>
      </w:r>
      <w:r w:rsidRPr="00CD3531">
        <w:rPr>
          <w:rFonts w:eastAsia="Times New Roman"/>
          <w:color w:val="000000" w:themeColor="text1"/>
          <w:sz w:val="24"/>
          <w:szCs w:val="24"/>
        </w:rPr>
        <w:lastRenderedPageBreak/>
        <w:t xml:space="preserve">on the circular economy's operational premise or overall measurement technique. </w:t>
      </w:r>
      <w:r w:rsidR="00D41D1D" w:rsidRPr="00CD3531">
        <w:rPr>
          <w:rFonts w:eastAsia="Times New Roman"/>
          <w:color w:val="000000" w:themeColor="text1"/>
          <w:sz w:val="24"/>
          <w:szCs w:val="24"/>
        </w:rPr>
        <w:t>PwC can be considered as one of the business organisations which is having the purpose of reducing resources and waste and transforming the overall product Life Cycles (</w:t>
      </w:r>
      <w:proofErr w:type="spellStart"/>
      <w:r w:rsidR="00D41D1D" w:rsidRPr="00CD3531">
        <w:rPr>
          <w:rFonts w:eastAsia="Times New Roman"/>
          <w:color w:val="000000" w:themeColor="text1"/>
          <w:sz w:val="24"/>
          <w:szCs w:val="24"/>
        </w:rPr>
        <w:t>Guidolin</w:t>
      </w:r>
      <w:proofErr w:type="spellEnd"/>
      <w:r w:rsidR="00D41D1D" w:rsidRPr="00CD3531">
        <w:rPr>
          <w:rFonts w:eastAsia="Times New Roman"/>
          <w:color w:val="000000" w:themeColor="text1"/>
          <w:sz w:val="24"/>
          <w:szCs w:val="24"/>
        </w:rPr>
        <w:t xml:space="preserve"> </w:t>
      </w:r>
      <w:r w:rsidR="00D41D1D" w:rsidRPr="00CD3531">
        <w:rPr>
          <w:rFonts w:eastAsia="Times New Roman"/>
          <w:i/>
          <w:color w:val="000000" w:themeColor="text1"/>
          <w:sz w:val="24"/>
          <w:szCs w:val="24"/>
        </w:rPr>
        <w:t>et al</w:t>
      </w:r>
      <w:r w:rsidR="00D41D1D" w:rsidRPr="00CD3531">
        <w:rPr>
          <w:rFonts w:eastAsia="Times New Roman"/>
          <w:color w:val="000000" w:themeColor="text1"/>
          <w:sz w:val="24"/>
          <w:szCs w:val="24"/>
        </w:rPr>
        <w:t xml:space="preserve">., 2019). The circular economy of PwC includes different economic activities related to the overall recycling perspective, reusing </w:t>
      </w:r>
      <w:r w:rsidRPr="00CD3531">
        <w:rPr>
          <w:rFonts w:eastAsia="Times New Roman"/>
          <w:color w:val="000000" w:themeColor="text1"/>
          <w:sz w:val="24"/>
          <w:szCs w:val="24"/>
        </w:rPr>
        <w:t>and</w:t>
      </w:r>
      <w:r w:rsidR="00D41D1D" w:rsidRPr="00CD3531">
        <w:rPr>
          <w:rFonts w:eastAsia="Times New Roman"/>
          <w:color w:val="000000" w:themeColor="text1"/>
          <w:sz w:val="24"/>
          <w:szCs w:val="24"/>
        </w:rPr>
        <w:t xml:space="preserve"> the overall refurbishing purpose (PwC, 2022). Furthermore, the company has also developed different types of methodological approaches while using the design and implementing the overall circular solutions. There are two different functions for the circular economy perspective of PwC and those are having more of the measurement perspectives and the overall measurement procedure. One of the functions can be mentioned as designing out of waste, accounting for the potential or profit based on the overall new revenue streams or the respective measurement procedures. </w:t>
      </w:r>
    </w:p>
    <w:p w14:paraId="00000027" w14:textId="7771F683" w:rsidR="002043D4" w:rsidRPr="00CD3531" w:rsidRDefault="001B31CA">
      <w:pPr>
        <w:spacing w:before="200" w:after="200" w:line="360" w:lineRule="auto"/>
        <w:jc w:val="both"/>
        <w:rPr>
          <w:rFonts w:eastAsia="Times New Roman"/>
          <w:color w:val="000000" w:themeColor="text1"/>
          <w:sz w:val="24"/>
          <w:szCs w:val="24"/>
        </w:rPr>
      </w:pPr>
      <w:r w:rsidRPr="00CD3531">
        <w:rPr>
          <w:rFonts w:eastAsia="Times New Roman"/>
          <w:color w:val="000000" w:themeColor="text1"/>
          <w:sz w:val="24"/>
          <w:szCs w:val="24"/>
        </w:rPr>
        <w:t>Lloyds Bank is another business entity that can be compared, as it has also acquired the Circular Economy framework (</w:t>
      </w:r>
      <w:proofErr w:type="spellStart"/>
      <w:r w:rsidRPr="00CD3531">
        <w:rPr>
          <w:rFonts w:eastAsia="Times New Roman"/>
          <w:color w:val="000000" w:themeColor="text1"/>
          <w:sz w:val="24"/>
          <w:szCs w:val="24"/>
        </w:rPr>
        <w:t>Haski</w:t>
      </w:r>
      <w:proofErr w:type="spellEnd"/>
      <w:r w:rsidRPr="00CD3531">
        <w:rPr>
          <w:rFonts w:eastAsia="Times New Roman"/>
          <w:color w:val="000000" w:themeColor="text1"/>
          <w:sz w:val="24"/>
          <w:szCs w:val="24"/>
        </w:rPr>
        <w:t xml:space="preserve">-Leventhal, 2018). In keeping with its pledges to engage in the broader circular business operations, Lloyds Bank is also providing SME investors with reduced financial assistance as part of the circular economy. According to </w:t>
      </w:r>
      <w:proofErr w:type="spellStart"/>
      <w:r w:rsidRPr="00CD3531">
        <w:rPr>
          <w:rFonts w:eastAsia="Times New Roman"/>
          <w:color w:val="000000" w:themeColor="text1"/>
          <w:sz w:val="24"/>
          <w:szCs w:val="24"/>
        </w:rPr>
        <w:t>Özbuğday</w:t>
      </w:r>
      <w:proofErr w:type="spellEnd"/>
      <w:r w:rsidRPr="00CD3531">
        <w:rPr>
          <w:rFonts w:eastAsia="Times New Roman"/>
          <w:color w:val="000000" w:themeColor="text1"/>
          <w:sz w:val="24"/>
          <w:szCs w:val="24"/>
        </w:rPr>
        <w:t xml:space="preserve"> et al. (2020), the corresponding business organisation or bank also provides financial growth based on clean opportunities to lower overall costs and effectively or efficiently employ various energy sources and resources. Lloyds Bank's circular economy approach prioritises recycling, reusing, and overall reduction with the goal of averting depletion. Hence</w:t>
      </w:r>
      <w:r w:rsidR="00D41D1D" w:rsidRPr="00CD3531">
        <w:rPr>
          <w:rFonts w:eastAsia="Times New Roman"/>
          <w:color w:val="000000" w:themeColor="text1"/>
          <w:sz w:val="24"/>
          <w:szCs w:val="24"/>
        </w:rPr>
        <w:t xml:space="preserve">, those are two of the business organisations which have been identified for implementing the concept of circular economy based on the overall external environment and the respective internal environment. </w:t>
      </w:r>
    </w:p>
    <w:p w14:paraId="75376BCD" w14:textId="77777777" w:rsidR="001B31CA" w:rsidRPr="00CD3531" w:rsidRDefault="001B31CA">
      <w:pPr>
        <w:pStyle w:val="Heading1"/>
        <w:spacing w:before="200" w:after="200"/>
        <w:rPr>
          <w:rFonts w:ascii="Arial" w:hAnsi="Arial" w:cs="Arial"/>
          <w:color w:val="000000" w:themeColor="text1"/>
        </w:rPr>
      </w:pPr>
      <w:bookmarkStart w:id="16" w:name="_heading=h.44sinio" w:colFirst="0" w:colLast="0"/>
      <w:bookmarkEnd w:id="16"/>
    </w:p>
    <w:p w14:paraId="3B00A5E1" w14:textId="77777777" w:rsidR="001B31CA" w:rsidRPr="00CD3531" w:rsidRDefault="001B31CA">
      <w:pPr>
        <w:pStyle w:val="Heading1"/>
        <w:spacing w:before="200" w:after="200"/>
        <w:rPr>
          <w:rFonts w:ascii="Arial" w:hAnsi="Arial" w:cs="Arial"/>
          <w:color w:val="000000" w:themeColor="text1"/>
        </w:rPr>
      </w:pPr>
    </w:p>
    <w:p w14:paraId="4BF1E46E" w14:textId="77777777" w:rsidR="001B31CA" w:rsidRPr="00CD3531" w:rsidRDefault="001B31CA">
      <w:pPr>
        <w:pStyle w:val="Heading1"/>
        <w:spacing w:before="200" w:after="200"/>
        <w:rPr>
          <w:rFonts w:ascii="Arial" w:hAnsi="Arial" w:cs="Arial"/>
          <w:color w:val="000000" w:themeColor="text1"/>
        </w:rPr>
      </w:pPr>
    </w:p>
    <w:p w14:paraId="00000028" w14:textId="19D52E60" w:rsidR="002043D4" w:rsidRPr="00CD3531" w:rsidRDefault="00D41D1D">
      <w:pPr>
        <w:pStyle w:val="Heading1"/>
        <w:spacing w:before="200" w:after="200"/>
        <w:rPr>
          <w:rFonts w:ascii="Arial" w:hAnsi="Arial" w:cs="Arial"/>
          <w:color w:val="000000" w:themeColor="text1"/>
        </w:rPr>
      </w:pPr>
      <w:r w:rsidRPr="00CD3531">
        <w:rPr>
          <w:rFonts w:ascii="Arial" w:hAnsi="Arial" w:cs="Arial"/>
          <w:color w:val="000000" w:themeColor="text1"/>
        </w:rPr>
        <w:t>Conclusion</w:t>
      </w:r>
    </w:p>
    <w:p w14:paraId="4D3090EC" w14:textId="75C11D8A" w:rsidR="001B31CA" w:rsidRPr="00CD3531" w:rsidRDefault="001B31CA" w:rsidP="0067448F">
      <w:pPr>
        <w:pStyle w:val="Heading1"/>
        <w:rPr>
          <w:rFonts w:ascii="Arial" w:hAnsi="Arial" w:cs="Arial"/>
          <w:b w:val="0"/>
          <w:color w:val="000000" w:themeColor="text1"/>
        </w:rPr>
      </w:pPr>
      <w:bookmarkStart w:id="17" w:name="_heading=h.2jxsxqh" w:colFirst="0" w:colLast="0"/>
      <w:bookmarkEnd w:id="17"/>
      <w:r w:rsidRPr="00CD3531">
        <w:rPr>
          <w:rFonts w:ascii="Arial" w:hAnsi="Arial" w:cs="Arial"/>
          <w:b w:val="0"/>
          <w:color w:val="000000" w:themeColor="text1"/>
        </w:rPr>
        <w:t xml:space="preserve">It may also be claimed that Premier Inn supports several broad philanthropic causes and community projects. For instance, it's been reported that Premier Inn is providing cash to K9 Friends, a shelter in Dubai, United Arab Emirates, to help them find new homes. Based on the operational principle or overall measuring technique of the circular economy, a small number of enterprises are putting it into practice. </w:t>
      </w:r>
      <w:r w:rsidR="00CD3531" w:rsidRPr="00CD3531">
        <w:rPr>
          <w:rFonts w:ascii="Arial" w:hAnsi="Arial" w:cs="Arial"/>
          <w:b w:val="0"/>
          <w:color w:val="000000" w:themeColor="text1"/>
        </w:rPr>
        <w:t xml:space="preserve">I also believe this will be more widely adopted in the future. </w:t>
      </w:r>
    </w:p>
    <w:p w14:paraId="090866AA" w14:textId="77777777" w:rsidR="001B31CA" w:rsidRDefault="001B31CA" w:rsidP="0067448F">
      <w:pPr>
        <w:pStyle w:val="Heading1"/>
        <w:rPr>
          <w:b w:val="0"/>
        </w:rPr>
      </w:pPr>
    </w:p>
    <w:p w14:paraId="0851756B" w14:textId="77777777" w:rsidR="001B31CA" w:rsidRDefault="001B31CA" w:rsidP="0067448F">
      <w:pPr>
        <w:pStyle w:val="Heading1"/>
        <w:rPr>
          <w:b w:val="0"/>
        </w:rPr>
      </w:pPr>
    </w:p>
    <w:p w14:paraId="317A31F8" w14:textId="77777777" w:rsidR="001B31CA" w:rsidRDefault="001B31CA" w:rsidP="0067448F">
      <w:pPr>
        <w:pStyle w:val="Heading1"/>
        <w:rPr>
          <w:b w:val="0"/>
        </w:rPr>
      </w:pPr>
    </w:p>
    <w:p w14:paraId="025C2702" w14:textId="77777777" w:rsidR="001B31CA" w:rsidRDefault="001B31CA" w:rsidP="0067448F">
      <w:pPr>
        <w:pStyle w:val="Heading1"/>
        <w:rPr>
          <w:b w:val="0"/>
        </w:rPr>
      </w:pPr>
    </w:p>
    <w:p w14:paraId="56A8D5F2" w14:textId="77777777" w:rsidR="001B31CA" w:rsidRDefault="001B31CA" w:rsidP="0067448F">
      <w:pPr>
        <w:pStyle w:val="Heading1"/>
        <w:rPr>
          <w:b w:val="0"/>
        </w:rPr>
      </w:pPr>
    </w:p>
    <w:p w14:paraId="6402428C" w14:textId="77777777" w:rsidR="001B31CA" w:rsidRDefault="001B31CA" w:rsidP="0067448F">
      <w:pPr>
        <w:pStyle w:val="Heading1"/>
        <w:rPr>
          <w:b w:val="0"/>
        </w:rPr>
      </w:pPr>
    </w:p>
    <w:p w14:paraId="6C9A017A" w14:textId="77777777" w:rsidR="001B31CA" w:rsidRDefault="001B31CA" w:rsidP="0067448F">
      <w:pPr>
        <w:pStyle w:val="Heading1"/>
        <w:rPr>
          <w:b w:val="0"/>
        </w:rPr>
      </w:pPr>
    </w:p>
    <w:p w14:paraId="511234A3" w14:textId="77777777" w:rsidR="001B31CA" w:rsidRDefault="001B31CA" w:rsidP="0067448F">
      <w:pPr>
        <w:pStyle w:val="Heading1"/>
        <w:rPr>
          <w:b w:val="0"/>
        </w:rPr>
      </w:pPr>
    </w:p>
    <w:p w14:paraId="624B9B58" w14:textId="77777777" w:rsidR="001B31CA" w:rsidRDefault="001B31CA" w:rsidP="0067448F">
      <w:pPr>
        <w:pStyle w:val="Heading1"/>
        <w:rPr>
          <w:b w:val="0"/>
        </w:rPr>
      </w:pPr>
    </w:p>
    <w:p w14:paraId="7832674B" w14:textId="77777777" w:rsidR="001B31CA" w:rsidRDefault="001B31CA" w:rsidP="0067448F">
      <w:pPr>
        <w:pStyle w:val="Heading1"/>
        <w:rPr>
          <w:b w:val="0"/>
        </w:rPr>
      </w:pPr>
    </w:p>
    <w:p w14:paraId="7B448DC3" w14:textId="77777777" w:rsidR="001B31CA" w:rsidRDefault="001B31CA" w:rsidP="0067448F">
      <w:pPr>
        <w:pStyle w:val="Heading1"/>
        <w:rPr>
          <w:b w:val="0"/>
        </w:rPr>
      </w:pPr>
    </w:p>
    <w:p w14:paraId="5431940D" w14:textId="77777777" w:rsidR="001B31CA" w:rsidRDefault="001B31CA" w:rsidP="0067448F">
      <w:pPr>
        <w:pStyle w:val="Heading1"/>
        <w:rPr>
          <w:b w:val="0"/>
        </w:rPr>
      </w:pPr>
    </w:p>
    <w:p w14:paraId="45D8B502" w14:textId="77777777" w:rsidR="001B31CA" w:rsidRDefault="001B31CA" w:rsidP="0067448F">
      <w:pPr>
        <w:pStyle w:val="Heading1"/>
        <w:rPr>
          <w:b w:val="0"/>
        </w:rPr>
      </w:pPr>
    </w:p>
    <w:p w14:paraId="4001721E" w14:textId="77777777" w:rsidR="001B31CA" w:rsidRDefault="001B31CA" w:rsidP="0067448F">
      <w:pPr>
        <w:pStyle w:val="Heading1"/>
        <w:rPr>
          <w:b w:val="0"/>
        </w:rPr>
      </w:pPr>
    </w:p>
    <w:p w14:paraId="651D2F75" w14:textId="77777777" w:rsidR="001B31CA" w:rsidRDefault="001B31CA" w:rsidP="0067448F">
      <w:pPr>
        <w:pStyle w:val="Heading1"/>
        <w:rPr>
          <w:b w:val="0"/>
        </w:rPr>
      </w:pPr>
    </w:p>
    <w:p w14:paraId="7BF2B89B" w14:textId="77777777" w:rsidR="001B31CA" w:rsidRDefault="001B31CA" w:rsidP="0067448F">
      <w:pPr>
        <w:pStyle w:val="Heading1"/>
        <w:rPr>
          <w:b w:val="0"/>
        </w:rPr>
      </w:pPr>
    </w:p>
    <w:p w14:paraId="23C0185F" w14:textId="77777777" w:rsidR="001B31CA" w:rsidRDefault="001B31CA" w:rsidP="0067448F">
      <w:pPr>
        <w:pStyle w:val="Heading1"/>
        <w:rPr>
          <w:b w:val="0"/>
        </w:rPr>
      </w:pPr>
    </w:p>
    <w:p w14:paraId="3FEEFBD9" w14:textId="77777777" w:rsidR="001B31CA" w:rsidRDefault="001B31CA" w:rsidP="0067448F">
      <w:pPr>
        <w:pStyle w:val="Heading1"/>
        <w:rPr>
          <w:b w:val="0"/>
        </w:rPr>
      </w:pPr>
    </w:p>
    <w:p w14:paraId="1DF22C60" w14:textId="77777777" w:rsidR="001B31CA" w:rsidRDefault="001B31CA" w:rsidP="0067448F">
      <w:pPr>
        <w:pStyle w:val="Heading1"/>
        <w:rPr>
          <w:b w:val="0"/>
        </w:rPr>
      </w:pPr>
    </w:p>
    <w:p w14:paraId="1AE9F777" w14:textId="77777777" w:rsidR="001B31CA" w:rsidRDefault="001B31CA" w:rsidP="0067448F">
      <w:pPr>
        <w:pStyle w:val="Heading1"/>
        <w:rPr>
          <w:b w:val="0"/>
        </w:rPr>
      </w:pPr>
    </w:p>
    <w:p w14:paraId="24DBF8A6" w14:textId="77777777" w:rsidR="001B31CA" w:rsidRDefault="001B31CA" w:rsidP="0067448F">
      <w:pPr>
        <w:pStyle w:val="Heading1"/>
        <w:rPr>
          <w:b w:val="0"/>
        </w:rPr>
      </w:pPr>
    </w:p>
    <w:p w14:paraId="6F842EDF" w14:textId="77777777" w:rsidR="001B31CA" w:rsidRDefault="001B31CA" w:rsidP="0067448F">
      <w:pPr>
        <w:pStyle w:val="Heading1"/>
        <w:rPr>
          <w:b w:val="0"/>
        </w:rPr>
      </w:pPr>
    </w:p>
    <w:p w14:paraId="5250723B" w14:textId="77777777" w:rsidR="001B31CA" w:rsidRDefault="001B31CA" w:rsidP="0067448F">
      <w:pPr>
        <w:pStyle w:val="Heading1"/>
        <w:rPr>
          <w:b w:val="0"/>
        </w:rPr>
      </w:pPr>
    </w:p>
    <w:p w14:paraId="3F6C68C3" w14:textId="77777777" w:rsidR="001B31CA" w:rsidRDefault="001B31CA" w:rsidP="0067448F">
      <w:pPr>
        <w:pStyle w:val="Heading1"/>
        <w:rPr>
          <w:b w:val="0"/>
        </w:rPr>
      </w:pPr>
    </w:p>
    <w:p w14:paraId="2688054C" w14:textId="77777777" w:rsidR="001B31CA" w:rsidRDefault="001B31CA" w:rsidP="0067448F">
      <w:pPr>
        <w:pStyle w:val="Heading1"/>
        <w:rPr>
          <w:b w:val="0"/>
        </w:rPr>
      </w:pPr>
    </w:p>
    <w:p w14:paraId="6FE50C92" w14:textId="77777777" w:rsidR="001B31CA" w:rsidRDefault="001B31CA" w:rsidP="0067448F">
      <w:pPr>
        <w:pStyle w:val="Heading1"/>
        <w:rPr>
          <w:b w:val="0"/>
        </w:rPr>
      </w:pPr>
    </w:p>
    <w:p w14:paraId="0DB4BB72" w14:textId="77777777" w:rsidR="001B31CA" w:rsidRDefault="001B31CA" w:rsidP="0067448F">
      <w:pPr>
        <w:pStyle w:val="Heading1"/>
        <w:rPr>
          <w:b w:val="0"/>
        </w:rPr>
      </w:pPr>
    </w:p>
    <w:p w14:paraId="16AF171D" w14:textId="77777777" w:rsidR="001B31CA" w:rsidRDefault="001B31CA" w:rsidP="0067448F">
      <w:pPr>
        <w:pStyle w:val="Heading1"/>
        <w:rPr>
          <w:b w:val="0"/>
        </w:rPr>
      </w:pPr>
    </w:p>
    <w:p w14:paraId="384EE3AA" w14:textId="77777777" w:rsidR="001B31CA" w:rsidRDefault="001B31CA" w:rsidP="0067448F">
      <w:pPr>
        <w:pStyle w:val="Heading1"/>
        <w:rPr>
          <w:b w:val="0"/>
        </w:rPr>
      </w:pPr>
    </w:p>
    <w:p w14:paraId="0000002E" w14:textId="5616808F" w:rsidR="002043D4" w:rsidRPr="0067448F" w:rsidRDefault="00D41D1D" w:rsidP="0067448F">
      <w:pPr>
        <w:pStyle w:val="Heading1"/>
      </w:pPr>
      <w:r>
        <w:t>Reference List</w:t>
      </w:r>
    </w:p>
    <w:p w14:paraId="7801B301"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bookmarkStart w:id="18" w:name="_heading=h.z337ya" w:colFirst="0" w:colLast="0"/>
      <w:bookmarkEnd w:id="18"/>
      <w:r w:rsidRPr="00E57919">
        <w:rPr>
          <w:rFonts w:ascii="Times New Roman" w:eastAsia="Times New Roman" w:hAnsi="Times New Roman" w:cs="Times New Roman"/>
          <w:color w:val="000000" w:themeColor="text1"/>
          <w:sz w:val="24"/>
          <w:szCs w:val="24"/>
        </w:rPr>
        <w:t>Agarwal, A. and Kapoor, K., 2022. Analysis of barriers in green human resource implementation for enhancing organizational sustainability: a DEMATEL approach. Transnational Corporations Review, pp.1-15.</w:t>
      </w:r>
    </w:p>
    <w:p w14:paraId="743D326F"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r w:rsidRPr="00E57919">
        <w:rPr>
          <w:rFonts w:ascii="Times New Roman" w:eastAsia="Times New Roman" w:hAnsi="Times New Roman" w:cs="Times New Roman"/>
          <w:color w:val="000000" w:themeColor="text1"/>
          <w:sz w:val="24"/>
          <w:szCs w:val="24"/>
        </w:rPr>
        <w:t xml:space="preserve">Baum, T., 2019. Does the hospitality industry need or deserve </w:t>
      </w:r>
      <w:proofErr w:type="gramStart"/>
      <w:r w:rsidRPr="00E57919">
        <w:rPr>
          <w:rFonts w:ascii="Times New Roman" w:eastAsia="Times New Roman" w:hAnsi="Times New Roman" w:cs="Times New Roman"/>
          <w:color w:val="000000" w:themeColor="text1"/>
          <w:sz w:val="24"/>
          <w:szCs w:val="24"/>
        </w:rPr>
        <w:t>talent?.</w:t>
      </w:r>
      <w:proofErr w:type="gramEnd"/>
      <w:r w:rsidRPr="00E57919">
        <w:rPr>
          <w:rFonts w:ascii="Times New Roman" w:eastAsia="Times New Roman" w:hAnsi="Times New Roman" w:cs="Times New Roman"/>
          <w:color w:val="000000" w:themeColor="text1"/>
          <w:sz w:val="24"/>
          <w:szCs w:val="24"/>
        </w:rPr>
        <w:t xml:space="preserve"> </w:t>
      </w:r>
      <w:r w:rsidRPr="00E57919">
        <w:rPr>
          <w:rFonts w:ascii="Times New Roman" w:eastAsia="Times New Roman" w:hAnsi="Times New Roman" w:cs="Times New Roman"/>
          <w:i/>
          <w:color w:val="000000" w:themeColor="text1"/>
          <w:sz w:val="24"/>
          <w:szCs w:val="24"/>
        </w:rPr>
        <w:t>International Journal of Contemporary Hospitality Management, 31</w:t>
      </w:r>
      <w:r w:rsidRPr="00E57919">
        <w:rPr>
          <w:rFonts w:ascii="Times New Roman" w:eastAsia="Times New Roman" w:hAnsi="Times New Roman" w:cs="Times New Roman"/>
          <w:color w:val="000000" w:themeColor="text1"/>
          <w:sz w:val="24"/>
          <w:szCs w:val="24"/>
        </w:rPr>
        <w:t>(10), pp.3823-3837.</w:t>
      </w:r>
    </w:p>
    <w:p w14:paraId="6AC4BCF0"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r w:rsidRPr="00E57919">
        <w:rPr>
          <w:rFonts w:ascii="Times New Roman" w:eastAsia="Times New Roman" w:hAnsi="Times New Roman" w:cs="Times New Roman"/>
          <w:color w:val="000000" w:themeColor="text1"/>
          <w:sz w:val="24"/>
          <w:szCs w:val="24"/>
        </w:rPr>
        <w:t xml:space="preserve">Chen, T., Dong, H. and Lin, C., 2020. Institutional shareholders and corporate social responsibility. </w:t>
      </w:r>
      <w:r w:rsidRPr="00E57919">
        <w:rPr>
          <w:rFonts w:ascii="Times New Roman" w:eastAsia="Times New Roman" w:hAnsi="Times New Roman" w:cs="Times New Roman"/>
          <w:i/>
          <w:color w:val="000000" w:themeColor="text1"/>
          <w:sz w:val="24"/>
          <w:szCs w:val="24"/>
        </w:rPr>
        <w:t>Journal of Financial Economics, 135</w:t>
      </w:r>
      <w:r w:rsidRPr="00E57919">
        <w:rPr>
          <w:rFonts w:ascii="Times New Roman" w:eastAsia="Times New Roman" w:hAnsi="Times New Roman" w:cs="Times New Roman"/>
          <w:color w:val="000000" w:themeColor="text1"/>
          <w:sz w:val="24"/>
          <w:szCs w:val="24"/>
        </w:rPr>
        <w:t>(2), pp.483-504.</w:t>
      </w:r>
    </w:p>
    <w:p w14:paraId="189143B1"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r w:rsidRPr="00E57919">
        <w:rPr>
          <w:rFonts w:ascii="Times New Roman" w:eastAsia="Times New Roman" w:hAnsi="Times New Roman" w:cs="Times New Roman"/>
          <w:color w:val="000000" w:themeColor="text1"/>
          <w:sz w:val="24"/>
          <w:szCs w:val="24"/>
        </w:rPr>
        <w:t>Cooper, C., 2021. Essentials of tourism. Third edition. London: SAGE.</w:t>
      </w:r>
    </w:p>
    <w:p w14:paraId="17DEA48F"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r w:rsidRPr="00E57919">
        <w:rPr>
          <w:rFonts w:ascii="Times New Roman" w:eastAsia="Times New Roman" w:hAnsi="Times New Roman" w:cs="Times New Roman"/>
          <w:color w:val="000000" w:themeColor="text1"/>
          <w:sz w:val="24"/>
          <w:szCs w:val="24"/>
        </w:rPr>
        <w:t>George, R., 2021. Tourism and Hospitality Marketing Principles. In Marketing Tourism and Hospitality: Concepts and Cases (pp. 3-31). Cham: Springer International Publishing.</w:t>
      </w:r>
    </w:p>
    <w:p w14:paraId="535BD1D2"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proofErr w:type="spellStart"/>
      <w:r w:rsidRPr="00E57919">
        <w:rPr>
          <w:rFonts w:ascii="Times New Roman" w:eastAsia="Times New Roman" w:hAnsi="Times New Roman" w:cs="Times New Roman"/>
          <w:color w:val="000000" w:themeColor="text1"/>
          <w:sz w:val="24"/>
          <w:szCs w:val="24"/>
        </w:rPr>
        <w:t>Guidolin</w:t>
      </w:r>
      <w:proofErr w:type="spellEnd"/>
      <w:r w:rsidRPr="00E57919">
        <w:rPr>
          <w:rFonts w:ascii="Times New Roman" w:eastAsia="Times New Roman" w:hAnsi="Times New Roman" w:cs="Times New Roman"/>
          <w:color w:val="000000" w:themeColor="text1"/>
          <w:sz w:val="24"/>
          <w:szCs w:val="24"/>
        </w:rPr>
        <w:t xml:space="preserve">, M., </w:t>
      </w:r>
      <w:proofErr w:type="spellStart"/>
      <w:r w:rsidRPr="00E57919">
        <w:rPr>
          <w:rFonts w:ascii="Times New Roman" w:eastAsia="Times New Roman" w:hAnsi="Times New Roman" w:cs="Times New Roman"/>
          <w:color w:val="000000" w:themeColor="text1"/>
          <w:sz w:val="24"/>
          <w:szCs w:val="24"/>
        </w:rPr>
        <w:t>Guseo</w:t>
      </w:r>
      <w:proofErr w:type="spellEnd"/>
      <w:r w:rsidRPr="00E57919">
        <w:rPr>
          <w:rFonts w:ascii="Times New Roman" w:eastAsia="Times New Roman" w:hAnsi="Times New Roman" w:cs="Times New Roman"/>
          <w:color w:val="000000" w:themeColor="text1"/>
          <w:sz w:val="24"/>
          <w:szCs w:val="24"/>
        </w:rPr>
        <w:t xml:space="preserve">, R. and </w:t>
      </w:r>
      <w:proofErr w:type="spellStart"/>
      <w:r w:rsidRPr="00E57919">
        <w:rPr>
          <w:rFonts w:ascii="Times New Roman" w:eastAsia="Times New Roman" w:hAnsi="Times New Roman" w:cs="Times New Roman"/>
          <w:color w:val="000000" w:themeColor="text1"/>
          <w:sz w:val="24"/>
          <w:szCs w:val="24"/>
        </w:rPr>
        <w:t>Mortarino</w:t>
      </w:r>
      <w:proofErr w:type="spellEnd"/>
      <w:r w:rsidRPr="00E57919">
        <w:rPr>
          <w:rFonts w:ascii="Times New Roman" w:eastAsia="Times New Roman" w:hAnsi="Times New Roman" w:cs="Times New Roman"/>
          <w:color w:val="000000" w:themeColor="text1"/>
          <w:sz w:val="24"/>
          <w:szCs w:val="24"/>
        </w:rPr>
        <w:t xml:space="preserve">, C., 2019. Regular and promotional sales in new product life cycles: Competition and forecasting. </w:t>
      </w:r>
      <w:r w:rsidRPr="00E57919">
        <w:rPr>
          <w:rFonts w:ascii="Times New Roman" w:eastAsia="Times New Roman" w:hAnsi="Times New Roman" w:cs="Times New Roman"/>
          <w:i/>
          <w:color w:val="000000" w:themeColor="text1"/>
          <w:sz w:val="24"/>
          <w:szCs w:val="24"/>
        </w:rPr>
        <w:t>Computers &amp; Industrial Engineering, 130</w:t>
      </w:r>
      <w:r w:rsidRPr="00E57919">
        <w:rPr>
          <w:rFonts w:ascii="Times New Roman" w:eastAsia="Times New Roman" w:hAnsi="Times New Roman" w:cs="Times New Roman"/>
          <w:color w:val="000000" w:themeColor="text1"/>
          <w:sz w:val="24"/>
          <w:szCs w:val="24"/>
        </w:rPr>
        <w:t>, pp.250-257.</w:t>
      </w:r>
    </w:p>
    <w:p w14:paraId="048D5742"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proofErr w:type="spellStart"/>
      <w:r w:rsidRPr="00E57919">
        <w:rPr>
          <w:rFonts w:ascii="Times New Roman" w:eastAsia="Times New Roman" w:hAnsi="Times New Roman" w:cs="Times New Roman"/>
          <w:color w:val="000000" w:themeColor="text1"/>
          <w:sz w:val="24"/>
          <w:szCs w:val="24"/>
        </w:rPr>
        <w:t>Haski</w:t>
      </w:r>
      <w:proofErr w:type="spellEnd"/>
      <w:r w:rsidRPr="00E57919">
        <w:rPr>
          <w:rFonts w:ascii="Times New Roman" w:eastAsia="Times New Roman" w:hAnsi="Times New Roman" w:cs="Times New Roman"/>
          <w:color w:val="000000" w:themeColor="text1"/>
          <w:sz w:val="24"/>
          <w:szCs w:val="24"/>
        </w:rPr>
        <w:t>-Leventhal, D., 2018. Strategic corporate social responsibility: tools &amp; theories for responsible management. London: SAGE.</w:t>
      </w:r>
    </w:p>
    <w:p w14:paraId="3D593D05"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proofErr w:type="spellStart"/>
      <w:r w:rsidRPr="00E57919">
        <w:rPr>
          <w:rFonts w:ascii="Times New Roman" w:eastAsia="Times New Roman" w:hAnsi="Times New Roman" w:cs="Times New Roman"/>
          <w:color w:val="000000" w:themeColor="text1"/>
          <w:sz w:val="24"/>
          <w:szCs w:val="24"/>
        </w:rPr>
        <w:t>Inkson</w:t>
      </w:r>
      <w:proofErr w:type="spellEnd"/>
      <w:r w:rsidRPr="00E57919">
        <w:rPr>
          <w:rFonts w:ascii="Times New Roman" w:eastAsia="Times New Roman" w:hAnsi="Times New Roman" w:cs="Times New Roman"/>
          <w:color w:val="000000" w:themeColor="text1"/>
          <w:sz w:val="24"/>
          <w:szCs w:val="24"/>
        </w:rPr>
        <w:t xml:space="preserve">, C. and </w:t>
      </w:r>
      <w:proofErr w:type="spellStart"/>
      <w:r w:rsidRPr="00E57919">
        <w:rPr>
          <w:rFonts w:ascii="Times New Roman" w:eastAsia="Times New Roman" w:hAnsi="Times New Roman" w:cs="Times New Roman"/>
          <w:color w:val="000000" w:themeColor="text1"/>
          <w:sz w:val="24"/>
          <w:szCs w:val="24"/>
        </w:rPr>
        <w:t>Minnaert</w:t>
      </w:r>
      <w:proofErr w:type="spellEnd"/>
      <w:r w:rsidRPr="00E57919">
        <w:rPr>
          <w:rFonts w:ascii="Times New Roman" w:eastAsia="Times New Roman" w:hAnsi="Times New Roman" w:cs="Times New Roman"/>
          <w:color w:val="000000" w:themeColor="text1"/>
          <w:sz w:val="24"/>
          <w:szCs w:val="24"/>
        </w:rPr>
        <w:t>, L., 2018. Tourism management: an introduction. 2nd ed. London: SAGE.</w:t>
      </w:r>
    </w:p>
    <w:p w14:paraId="2386AB94"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r w:rsidRPr="00E57919">
        <w:rPr>
          <w:rFonts w:ascii="Times New Roman" w:eastAsia="Times New Roman" w:hAnsi="Times New Roman" w:cs="Times New Roman"/>
          <w:color w:val="000000" w:themeColor="text1"/>
          <w:sz w:val="24"/>
          <w:szCs w:val="24"/>
        </w:rPr>
        <w:t xml:space="preserve">Kang, S.E., Park, C., Lee, C.K. and Lee, S., 2021. The stress-induced impact of COVID-19 on tourism and hospitality workers. </w:t>
      </w:r>
      <w:r w:rsidRPr="00E57919">
        <w:rPr>
          <w:rFonts w:ascii="Times New Roman" w:eastAsia="Times New Roman" w:hAnsi="Times New Roman" w:cs="Times New Roman"/>
          <w:i/>
          <w:color w:val="000000" w:themeColor="text1"/>
          <w:sz w:val="24"/>
          <w:szCs w:val="24"/>
        </w:rPr>
        <w:t>Sustainability, 13</w:t>
      </w:r>
      <w:r w:rsidRPr="00E57919">
        <w:rPr>
          <w:rFonts w:ascii="Times New Roman" w:eastAsia="Times New Roman" w:hAnsi="Times New Roman" w:cs="Times New Roman"/>
          <w:color w:val="000000" w:themeColor="text1"/>
          <w:sz w:val="24"/>
          <w:szCs w:val="24"/>
        </w:rPr>
        <w:t>(3), p.1327.</w:t>
      </w:r>
    </w:p>
    <w:p w14:paraId="0071208A"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r w:rsidRPr="00E57919">
        <w:rPr>
          <w:rFonts w:ascii="Times New Roman" w:eastAsia="Times New Roman" w:hAnsi="Times New Roman" w:cs="Times New Roman"/>
          <w:color w:val="000000" w:themeColor="text1"/>
          <w:sz w:val="24"/>
          <w:szCs w:val="24"/>
        </w:rPr>
        <w:lastRenderedPageBreak/>
        <w:t xml:space="preserve">Khan, S.A.R., Zhang, Y., Kumar, A., </w:t>
      </w:r>
      <w:proofErr w:type="spellStart"/>
      <w:r w:rsidRPr="00E57919">
        <w:rPr>
          <w:rFonts w:ascii="Times New Roman" w:eastAsia="Times New Roman" w:hAnsi="Times New Roman" w:cs="Times New Roman"/>
          <w:color w:val="000000" w:themeColor="text1"/>
          <w:sz w:val="24"/>
          <w:szCs w:val="24"/>
        </w:rPr>
        <w:t>Zavadskas</w:t>
      </w:r>
      <w:proofErr w:type="spellEnd"/>
      <w:r w:rsidRPr="00E57919">
        <w:rPr>
          <w:rFonts w:ascii="Times New Roman" w:eastAsia="Times New Roman" w:hAnsi="Times New Roman" w:cs="Times New Roman"/>
          <w:color w:val="000000" w:themeColor="text1"/>
          <w:sz w:val="24"/>
          <w:szCs w:val="24"/>
        </w:rPr>
        <w:t xml:space="preserve">, E. and </w:t>
      </w:r>
      <w:proofErr w:type="spellStart"/>
      <w:r w:rsidRPr="00E57919">
        <w:rPr>
          <w:rFonts w:ascii="Times New Roman" w:eastAsia="Times New Roman" w:hAnsi="Times New Roman" w:cs="Times New Roman"/>
          <w:color w:val="000000" w:themeColor="text1"/>
          <w:sz w:val="24"/>
          <w:szCs w:val="24"/>
        </w:rPr>
        <w:t>Streimikiene</w:t>
      </w:r>
      <w:proofErr w:type="spellEnd"/>
      <w:r w:rsidRPr="00E57919">
        <w:rPr>
          <w:rFonts w:ascii="Times New Roman" w:eastAsia="Times New Roman" w:hAnsi="Times New Roman" w:cs="Times New Roman"/>
          <w:color w:val="000000" w:themeColor="text1"/>
          <w:sz w:val="24"/>
          <w:szCs w:val="24"/>
        </w:rPr>
        <w:t xml:space="preserve">, D., 2020. Measuring the impact of renewable energy, public health expenditure, logistics, and environmental performance on sustainable economic growth. </w:t>
      </w:r>
      <w:r w:rsidRPr="00E57919">
        <w:rPr>
          <w:rFonts w:ascii="Times New Roman" w:eastAsia="Times New Roman" w:hAnsi="Times New Roman" w:cs="Times New Roman"/>
          <w:i/>
          <w:color w:val="000000" w:themeColor="text1"/>
          <w:sz w:val="24"/>
          <w:szCs w:val="24"/>
        </w:rPr>
        <w:t>Sustainable development, 28</w:t>
      </w:r>
      <w:r w:rsidRPr="00E57919">
        <w:rPr>
          <w:rFonts w:ascii="Times New Roman" w:eastAsia="Times New Roman" w:hAnsi="Times New Roman" w:cs="Times New Roman"/>
          <w:color w:val="000000" w:themeColor="text1"/>
          <w:sz w:val="24"/>
          <w:szCs w:val="24"/>
        </w:rPr>
        <w:t>(4), pp.833-843.</w:t>
      </w:r>
    </w:p>
    <w:p w14:paraId="0EFA0476"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proofErr w:type="spellStart"/>
      <w:r w:rsidRPr="00E57919">
        <w:rPr>
          <w:rFonts w:ascii="Times New Roman" w:eastAsia="Times New Roman" w:hAnsi="Times New Roman" w:cs="Times New Roman"/>
          <w:color w:val="000000" w:themeColor="text1"/>
          <w:sz w:val="24"/>
          <w:szCs w:val="24"/>
        </w:rPr>
        <w:t>Khoshnava</w:t>
      </w:r>
      <w:proofErr w:type="spellEnd"/>
      <w:r w:rsidRPr="00E57919">
        <w:rPr>
          <w:rFonts w:ascii="Times New Roman" w:eastAsia="Times New Roman" w:hAnsi="Times New Roman" w:cs="Times New Roman"/>
          <w:color w:val="000000" w:themeColor="text1"/>
          <w:sz w:val="24"/>
          <w:szCs w:val="24"/>
        </w:rPr>
        <w:t xml:space="preserve">, S.M., Rostami, R., Zin, R.M., </w:t>
      </w:r>
      <w:proofErr w:type="spellStart"/>
      <w:r w:rsidRPr="00E57919">
        <w:rPr>
          <w:rFonts w:ascii="Times New Roman" w:eastAsia="Times New Roman" w:hAnsi="Times New Roman" w:cs="Times New Roman"/>
          <w:color w:val="000000" w:themeColor="text1"/>
          <w:sz w:val="24"/>
          <w:szCs w:val="24"/>
        </w:rPr>
        <w:t>Štreimikiene</w:t>
      </w:r>
      <w:proofErr w:type="spellEnd"/>
      <w:r w:rsidRPr="00E57919">
        <w:rPr>
          <w:rFonts w:ascii="Times New Roman" w:eastAsia="Times New Roman" w:hAnsi="Times New Roman" w:cs="Times New Roman"/>
          <w:color w:val="000000" w:themeColor="text1"/>
          <w:sz w:val="24"/>
          <w:szCs w:val="24"/>
        </w:rPr>
        <w:t xml:space="preserve">, D., </w:t>
      </w:r>
      <w:proofErr w:type="spellStart"/>
      <w:r w:rsidRPr="00E57919">
        <w:rPr>
          <w:rFonts w:ascii="Times New Roman" w:eastAsia="Times New Roman" w:hAnsi="Times New Roman" w:cs="Times New Roman"/>
          <w:color w:val="000000" w:themeColor="text1"/>
          <w:sz w:val="24"/>
          <w:szCs w:val="24"/>
        </w:rPr>
        <w:t>Yousefpour</w:t>
      </w:r>
      <w:proofErr w:type="spellEnd"/>
      <w:r w:rsidRPr="00E57919">
        <w:rPr>
          <w:rFonts w:ascii="Times New Roman" w:eastAsia="Times New Roman" w:hAnsi="Times New Roman" w:cs="Times New Roman"/>
          <w:color w:val="000000" w:themeColor="text1"/>
          <w:sz w:val="24"/>
          <w:szCs w:val="24"/>
        </w:rPr>
        <w:t xml:space="preserve">, A., </w:t>
      </w:r>
      <w:proofErr w:type="spellStart"/>
      <w:r w:rsidRPr="00E57919">
        <w:rPr>
          <w:rFonts w:ascii="Times New Roman" w:eastAsia="Times New Roman" w:hAnsi="Times New Roman" w:cs="Times New Roman"/>
          <w:color w:val="000000" w:themeColor="text1"/>
          <w:sz w:val="24"/>
          <w:szCs w:val="24"/>
        </w:rPr>
        <w:t>Mardani</w:t>
      </w:r>
      <w:proofErr w:type="spellEnd"/>
      <w:r w:rsidRPr="00E57919">
        <w:rPr>
          <w:rFonts w:ascii="Times New Roman" w:eastAsia="Times New Roman" w:hAnsi="Times New Roman" w:cs="Times New Roman"/>
          <w:color w:val="000000" w:themeColor="text1"/>
          <w:sz w:val="24"/>
          <w:szCs w:val="24"/>
        </w:rPr>
        <w:t xml:space="preserve">, A. and </w:t>
      </w:r>
      <w:proofErr w:type="spellStart"/>
      <w:r w:rsidRPr="00E57919">
        <w:rPr>
          <w:rFonts w:ascii="Times New Roman" w:eastAsia="Times New Roman" w:hAnsi="Times New Roman" w:cs="Times New Roman"/>
          <w:color w:val="000000" w:themeColor="text1"/>
          <w:sz w:val="24"/>
          <w:szCs w:val="24"/>
        </w:rPr>
        <w:t>Alrasheedi</w:t>
      </w:r>
      <w:proofErr w:type="spellEnd"/>
      <w:r w:rsidRPr="00E57919">
        <w:rPr>
          <w:rFonts w:ascii="Times New Roman" w:eastAsia="Times New Roman" w:hAnsi="Times New Roman" w:cs="Times New Roman"/>
          <w:color w:val="000000" w:themeColor="text1"/>
          <w:sz w:val="24"/>
          <w:szCs w:val="24"/>
        </w:rPr>
        <w:t xml:space="preserve">, M., 2020. Contribution of green infrastructure to the implementation of green economy in the context of sustainable development. </w:t>
      </w:r>
      <w:r w:rsidRPr="00E57919">
        <w:rPr>
          <w:rFonts w:ascii="Times New Roman" w:eastAsia="Times New Roman" w:hAnsi="Times New Roman" w:cs="Times New Roman"/>
          <w:i/>
          <w:color w:val="000000" w:themeColor="text1"/>
          <w:sz w:val="24"/>
          <w:szCs w:val="24"/>
        </w:rPr>
        <w:t>Sustainable Development, 28</w:t>
      </w:r>
      <w:r w:rsidRPr="00E57919">
        <w:rPr>
          <w:rFonts w:ascii="Times New Roman" w:eastAsia="Times New Roman" w:hAnsi="Times New Roman" w:cs="Times New Roman"/>
          <w:color w:val="000000" w:themeColor="text1"/>
          <w:sz w:val="24"/>
          <w:szCs w:val="24"/>
        </w:rPr>
        <w:t>(1), pp.320-342.</w:t>
      </w:r>
    </w:p>
    <w:p w14:paraId="2889CA6F"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r w:rsidRPr="00E57919">
        <w:rPr>
          <w:rFonts w:ascii="Times New Roman" w:eastAsia="Times New Roman" w:hAnsi="Times New Roman" w:cs="Times New Roman"/>
          <w:color w:val="000000" w:themeColor="text1"/>
          <w:sz w:val="24"/>
          <w:szCs w:val="24"/>
        </w:rPr>
        <w:t xml:space="preserve">Kim, Y.H., Barber, </w:t>
      </w:r>
      <w:proofErr w:type="gramStart"/>
      <w:r w:rsidRPr="00E57919">
        <w:rPr>
          <w:rFonts w:ascii="Times New Roman" w:eastAsia="Times New Roman" w:hAnsi="Times New Roman" w:cs="Times New Roman"/>
          <w:color w:val="000000" w:themeColor="text1"/>
          <w:sz w:val="24"/>
          <w:szCs w:val="24"/>
        </w:rPr>
        <w:t>N.</w:t>
      </w:r>
      <w:proofErr w:type="gramEnd"/>
      <w:r w:rsidRPr="00E57919">
        <w:rPr>
          <w:rFonts w:ascii="Times New Roman" w:eastAsia="Times New Roman" w:hAnsi="Times New Roman" w:cs="Times New Roman"/>
          <w:color w:val="000000" w:themeColor="text1"/>
          <w:sz w:val="24"/>
          <w:szCs w:val="24"/>
        </w:rPr>
        <w:t xml:space="preserve"> and Kim, D.K., 2019. Sustainability research in the hotel industry: Past, present, and future. </w:t>
      </w:r>
      <w:r w:rsidRPr="00E57919">
        <w:rPr>
          <w:rFonts w:ascii="Times New Roman" w:eastAsia="Times New Roman" w:hAnsi="Times New Roman" w:cs="Times New Roman"/>
          <w:i/>
          <w:color w:val="000000" w:themeColor="text1"/>
          <w:sz w:val="24"/>
          <w:szCs w:val="24"/>
        </w:rPr>
        <w:t>Journal of Hospitality Marketing &amp; Management, 28</w:t>
      </w:r>
      <w:r w:rsidRPr="00E57919">
        <w:rPr>
          <w:rFonts w:ascii="Times New Roman" w:eastAsia="Times New Roman" w:hAnsi="Times New Roman" w:cs="Times New Roman"/>
          <w:color w:val="000000" w:themeColor="text1"/>
          <w:sz w:val="24"/>
          <w:szCs w:val="24"/>
        </w:rPr>
        <w:t>(5), pp.576-620.</w:t>
      </w:r>
    </w:p>
    <w:p w14:paraId="4927BFB4"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r w:rsidRPr="00E57919">
        <w:rPr>
          <w:rFonts w:ascii="Times New Roman" w:eastAsia="Times New Roman" w:hAnsi="Times New Roman" w:cs="Times New Roman"/>
          <w:color w:val="000000" w:themeColor="text1"/>
          <w:sz w:val="24"/>
          <w:szCs w:val="24"/>
        </w:rPr>
        <w:t xml:space="preserve">Kraus, S., Rehman, S.U. and García, F.J.S., 2020. Corporate social responsibility and environmental performance: The mediating role of environmental strategy and green innovation. </w:t>
      </w:r>
      <w:r w:rsidRPr="00E57919">
        <w:rPr>
          <w:rFonts w:ascii="Times New Roman" w:eastAsia="Times New Roman" w:hAnsi="Times New Roman" w:cs="Times New Roman"/>
          <w:i/>
          <w:color w:val="000000" w:themeColor="text1"/>
          <w:sz w:val="24"/>
          <w:szCs w:val="24"/>
        </w:rPr>
        <w:t>Technological forecasting and social change, 160</w:t>
      </w:r>
      <w:r w:rsidRPr="00E57919">
        <w:rPr>
          <w:rFonts w:ascii="Times New Roman" w:eastAsia="Times New Roman" w:hAnsi="Times New Roman" w:cs="Times New Roman"/>
          <w:color w:val="000000" w:themeColor="text1"/>
          <w:sz w:val="24"/>
          <w:szCs w:val="24"/>
        </w:rPr>
        <w:t>, p.120262.</w:t>
      </w:r>
    </w:p>
    <w:p w14:paraId="14F24781"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proofErr w:type="spellStart"/>
      <w:r w:rsidRPr="00E57919">
        <w:rPr>
          <w:rFonts w:ascii="Times New Roman" w:eastAsia="Times New Roman" w:hAnsi="Times New Roman" w:cs="Times New Roman"/>
          <w:color w:val="000000" w:themeColor="text1"/>
          <w:sz w:val="24"/>
          <w:szCs w:val="24"/>
        </w:rPr>
        <w:t>Özbuğday</w:t>
      </w:r>
      <w:proofErr w:type="spellEnd"/>
      <w:r w:rsidRPr="00E57919">
        <w:rPr>
          <w:rFonts w:ascii="Times New Roman" w:eastAsia="Times New Roman" w:hAnsi="Times New Roman" w:cs="Times New Roman"/>
          <w:color w:val="000000" w:themeColor="text1"/>
          <w:sz w:val="24"/>
          <w:szCs w:val="24"/>
        </w:rPr>
        <w:t xml:space="preserve">, F.C., </w:t>
      </w:r>
      <w:proofErr w:type="spellStart"/>
      <w:r w:rsidRPr="00E57919">
        <w:rPr>
          <w:rFonts w:ascii="Times New Roman" w:eastAsia="Times New Roman" w:hAnsi="Times New Roman" w:cs="Times New Roman"/>
          <w:color w:val="000000" w:themeColor="text1"/>
          <w:sz w:val="24"/>
          <w:szCs w:val="24"/>
        </w:rPr>
        <w:t>Fındık</w:t>
      </w:r>
      <w:proofErr w:type="spellEnd"/>
      <w:r w:rsidRPr="00E57919">
        <w:rPr>
          <w:rFonts w:ascii="Times New Roman" w:eastAsia="Times New Roman" w:hAnsi="Times New Roman" w:cs="Times New Roman"/>
          <w:color w:val="000000" w:themeColor="text1"/>
          <w:sz w:val="24"/>
          <w:szCs w:val="24"/>
        </w:rPr>
        <w:t xml:space="preserve">, D., </w:t>
      </w:r>
      <w:proofErr w:type="spellStart"/>
      <w:r w:rsidRPr="00E57919">
        <w:rPr>
          <w:rFonts w:ascii="Times New Roman" w:eastAsia="Times New Roman" w:hAnsi="Times New Roman" w:cs="Times New Roman"/>
          <w:color w:val="000000" w:themeColor="text1"/>
          <w:sz w:val="24"/>
          <w:szCs w:val="24"/>
        </w:rPr>
        <w:t>Özcan</w:t>
      </w:r>
      <w:proofErr w:type="spellEnd"/>
      <w:r w:rsidRPr="00E57919">
        <w:rPr>
          <w:rFonts w:ascii="Times New Roman" w:eastAsia="Times New Roman" w:hAnsi="Times New Roman" w:cs="Times New Roman"/>
          <w:color w:val="000000" w:themeColor="text1"/>
          <w:sz w:val="24"/>
          <w:szCs w:val="24"/>
        </w:rPr>
        <w:t xml:space="preserve">, K.M. and </w:t>
      </w:r>
      <w:proofErr w:type="spellStart"/>
      <w:r w:rsidRPr="00E57919">
        <w:rPr>
          <w:rFonts w:ascii="Times New Roman" w:eastAsia="Times New Roman" w:hAnsi="Times New Roman" w:cs="Times New Roman"/>
          <w:color w:val="000000" w:themeColor="text1"/>
          <w:sz w:val="24"/>
          <w:szCs w:val="24"/>
        </w:rPr>
        <w:t>Başçı</w:t>
      </w:r>
      <w:proofErr w:type="spellEnd"/>
      <w:r w:rsidRPr="00E57919">
        <w:rPr>
          <w:rFonts w:ascii="Times New Roman" w:eastAsia="Times New Roman" w:hAnsi="Times New Roman" w:cs="Times New Roman"/>
          <w:color w:val="000000" w:themeColor="text1"/>
          <w:sz w:val="24"/>
          <w:szCs w:val="24"/>
        </w:rPr>
        <w:t xml:space="preserve">, S., 2020. Resource efficiency investments and firm performance: Evidence from European SMEs. </w:t>
      </w:r>
      <w:r w:rsidRPr="00E57919">
        <w:rPr>
          <w:rFonts w:ascii="Times New Roman" w:eastAsia="Times New Roman" w:hAnsi="Times New Roman" w:cs="Times New Roman"/>
          <w:i/>
          <w:color w:val="000000" w:themeColor="text1"/>
          <w:sz w:val="24"/>
          <w:szCs w:val="24"/>
        </w:rPr>
        <w:t>Journal of Cleaner Production, 252,</w:t>
      </w:r>
      <w:r w:rsidRPr="00E57919">
        <w:rPr>
          <w:rFonts w:ascii="Times New Roman" w:eastAsia="Times New Roman" w:hAnsi="Times New Roman" w:cs="Times New Roman"/>
          <w:color w:val="000000" w:themeColor="text1"/>
          <w:sz w:val="24"/>
          <w:szCs w:val="24"/>
        </w:rPr>
        <w:t xml:space="preserve"> p.119824.</w:t>
      </w:r>
    </w:p>
    <w:p w14:paraId="2DADD943"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proofErr w:type="spellStart"/>
      <w:r w:rsidRPr="00E57919">
        <w:rPr>
          <w:rFonts w:ascii="Times New Roman" w:eastAsia="Times New Roman" w:hAnsi="Times New Roman" w:cs="Times New Roman"/>
          <w:color w:val="000000" w:themeColor="text1"/>
          <w:sz w:val="24"/>
          <w:szCs w:val="24"/>
        </w:rPr>
        <w:t>premierinn</w:t>
      </w:r>
      <w:proofErr w:type="spellEnd"/>
      <w:r w:rsidRPr="00E57919">
        <w:rPr>
          <w:rFonts w:ascii="Times New Roman" w:eastAsia="Times New Roman" w:hAnsi="Times New Roman" w:cs="Times New Roman"/>
          <w:color w:val="000000" w:themeColor="text1"/>
          <w:sz w:val="24"/>
          <w:szCs w:val="24"/>
        </w:rPr>
        <w:t xml:space="preserve">, 2020. </w:t>
      </w:r>
      <w:r w:rsidRPr="00E57919">
        <w:rPr>
          <w:rFonts w:ascii="Times New Roman" w:eastAsia="Times New Roman" w:hAnsi="Times New Roman" w:cs="Times New Roman"/>
          <w:i/>
          <w:color w:val="000000" w:themeColor="text1"/>
          <w:sz w:val="24"/>
          <w:szCs w:val="24"/>
        </w:rPr>
        <w:t>We're a Force for Good</w:t>
      </w:r>
      <w:r w:rsidRPr="00E57919">
        <w:rPr>
          <w:rFonts w:ascii="Times New Roman" w:eastAsia="Times New Roman" w:hAnsi="Times New Roman" w:cs="Times New Roman"/>
          <w:color w:val="000000" w:themeColor="text1"/>
          <w:sz w:val="24"/>
          <w:szCs w:val="24"/>
        </w:rPr>
        <w:t>. [Online] Available at: &lt;https://www.premierinn.com/gb/en/why/force-for-good.html#:~:text=Understanding%20our%20impact%20on%20the,waste%20in%20half%20by%202030 &gt; [24 January 2024]</w:t>
      </w:r>
    </w:p>
    <w:p w14:paraId="01749811"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r w:rsidRPr="00E57919">
        <w:rPr>
          <w:rFonts w:ascii="Times New Roman" w:eastAsia="Times New Roman" w:hAnsi="Times New Roman" w:cs="Times New Roman"/>
          <w:color w:val="000000" w:themeColor="text1"/>
          <w:sz w:val="24"/>
          <w:szCs w:val="24"/>
        </w:rPr>
        <w:t xml:space="preserve">PwC, 2022. </w:t>
      </w:r>
      <w:r w:rsidRPr="00E57919">
        <w:rPr>
          <w:rFonts w:ascii="Times New Roman" w:eastAsia="Times New Roman" w:hAnsi="Times New Roman" w:cs="Times New Roman"/>
          <w:i/>
          <w:color w:val="000000" w:themeColor="text1"/>
          <w:sz w:val="24"/>
          <w:szCs w:val="24"/>
        </w:rPr>
        <w:t>Circular Economy</w:t>
      </w:r>
      <w:r w:rsidRPr="00E57919">
        <w:rPr>
          <w:rFonts w:ascii="Times New Roman" w:eastAsia="Times New Roman" w:hAnsi="Times New Roman" w:cs="Times New Roman"/>
          <w:color w:val="000000" w:themeColor="text1"/>
          <w:sz w:val="24"/>
          <w:szCs w:val="24"/>
        </w:rPr>
        <w:t>. [Online] Available at: &lt;https://www.pwc.de/en/sustainability/circular-economy.html#:~:text=Whenever%20your%20products%20are%20thrown,short:%20they%20stay%20in%20circulation &gt; [24 January 2024]</w:t>
      </w:r>
    </w:p>
    <w:p w14:paraId="70FA648B"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r w:rsidRPr="00E57919">
        <w:rPr>
          <w:rFonts w:ascii="Times New Roman" w:eastAsia="Times New Roman" w:hAnsi="Times New Roman" w:cs="Times New Roman"/>
          <w:color w:val="000000" w:themeColor="text1"/>
          <w:sz w:val="24"/>
          <w:szCs w:val="24"/>
        </w:rPr>
        <w:t xml:space="preserve">Roscoe, S., Subramanian, N., </w:t>
      </w:r>
      <w:proofErr w:type="spellStart"/>
      <w:r w:rsidRPr="00E57919">
        <w:rPr>
          <w:rFonts w:ascii="Times New Roman" w:eastAsia="Times New Roman" w:hAnsi="Times New Roman" w:cs="Times New Roman"/>
          <w:color w:val="000000" w:themeColor="text1"/>
          <w:sz w:val="24"/>
          <w:szCs w:val="24"/>
        </w:rPr>
        <w:t>Jabbour</w:t>
      </w:r>
      <w:proofErr w:type="spellEnd"/>
      <w:r w:rsidRPr="00E57919">
        <w:rPr>
          <w:rFonts w:ascii="Times New Roman" w:eastAsia="Times New Roman" w:hAnsi="Times New Roman" w:cs="Times New Roman"/>
          <w:color w:val="000000" w:themeColor="text1"/>
          <w:sz w:val="24"/>
          <w:szCs w:val="24"/>
        </w:rPr>
        <w:t xml:space="preserve">, C.J. and Chong, T., 2019. Green human resource management and the enablers of green organisational culture: Enhancing a firm's environmental performance for sustainable development. </w:t>
      </w:r>
      <w:r w:rsidRPr="00E57919">
        <w:rPr>
          <w:rFonts w:ascii="Times New Roman" w:eastAsia="Times New Roman" w:hAnsi="Times New Roman" w:cs="Times New Roman"/>
          <w:i/>
          <w:color w:val="000000" w:themeColor="text1"/>
          <w:sz w:val="24"/>
          <w:szCs w:val="24"/>
        </w:rPr>
        <w:t>Business Strategy and the Environment, 28</w:t>
      </w:r>
      <w:r w:rsidRPr="00E57919">
        <w:rPr>
          <w:rFonts w:ascii="Times New Roman" w:eastAsia="Times New Roman" w:hAnsi="Times New Roman" w:cs="Times New Roman"/>
          <w:color w:val="000000" w:themeColor="text1"/>
          <w:sz w:val="24"/>
          <w:szCs w:val="24"/>
        </w:rPr>
        <w:t>(5), pp.737-749.</w:t>
      </w:r>
    </w:p>
    <w:p w14:paraId="50F01452"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r w:rsidRPr="00E57919">
        <w:rPr>
          <w:rFonts w:ascii="Times New Roman" w:eastAsia="Times New Roman" w:hAnsi="Times New Roman" w:cs="Times New Roman"/>
          <w:color w:val="000000" w:themeColor="text1"/>
          <w:sz w:val="24"/>
          <w:szCs w:val="24"/>
        </w:rPr>
        <w:t>Rubery, J. and Grimshaw, D., 2020. The organisation of employment: An international perspective. Bloomsbury Publishing.</w:t>
      </w:r>
    </w:p>
    <w:p w14:paraId="25485B7E"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r w:rsidRPr="00E57919">
        <w:rPr>
          <w:rFonts w:ascii="Times New Roman" w:eastAsia="Times New Roman" w:hAnsi="Times New Roman" w:cs="Times New Roman"/>
          <w:color w:val="000000" w:themeColor="text1"/>
          <w:sz w:val="24"/>
          <w:szCs w:val="24"/>
        </w:rPr>
        <w:lastRenderedPageBreak/>
        <w:t xml:space="preserve">Sloan, P., Legrand, </w:t>
      </w:r>
      <w:proofErr w:type="gramStart"/>
      <w:r w:rsidRPr="00E57919">
        <w:rPr>
          <w:rFonts w:ascii="Times New Roman" w:eastAsia="Times New Roman" w:hAnsi="Times New Roman" w:cs="Times New Roman"/>
          <w:color w:val="000000" w:themeColor="text1"/>
          <w:sz w:val="24"/>
          <w:szCs w:val="24"/>
        </w:rPr>
        <w:t>W.</w:t>
      </w:r>
      <w:proofErr w:type="gramEnd"/>
      <w:r w:rsidRPr="00E57919">
        <w:rPr>
          <w:rFonts w:ascii="Times New Roman" w:eastAsia="Times New Roman" w:hAnsi="Times New Roman" w:cs="Times New Roman"/>
          <w:color w:val="000000" w:themeColor="text1"/>
          <w:sz w:val="24"/>
          <w:szCs w:val="24"/>
        </w:rPr>
        <w:t xml:space="preserve"> and Chen, J.S., 2017. Sustainability in the hospitality </w:t>
      </w:r>
      <w:proofErr w:type="gramStart"/>
      <w:r w:rsidRPr="00E57919">
        <w:rPr>
          <w:rFonts w:ascii="Times New Roman" w:eastAsia="Times New Roman" w:hAnsi="Times New Roman" w:cs="Times New Roman"/>
          <w:color w:val="000000" w:themeColor="text1"/>
          <w:sz w:val="24"/>
          <w:szCs w:val="24"/>
        </w:rPr>
        <w:t>industry :</w:t>
      </w:r>
      <w:proofErr w:type="gramEnd"/>
      <w:r w:rsidRPr="00E57919">
        <w:rPr>
          <w:rFonts w:ascii="Times New Roman" w:eastAsia="Times New Roman" w:hAnsi="Times New Roman" w:cs="Times New Roman"/>
          <w:color w:val="000000" w:themeColor="text1"/>
          <w:sz w:val="24"/>
          <w:szCs w:val="24"/>
        </w:rPr>
        <w:t xml:space="preserve"> principles of sustainable operations. 3rd </w:t>
      </w:r>
      <w:proofErr w:type="spellStart"/>
      <w:r w:rsidRPr="00E57919">
        <w:rPr>
          <w:rFonts w:ascii="Times New Roman" w:eastAsia="Times New Roman" w:hAnsi="Times New Roman" w:cs="Times New Roman"/>
          <w:color w:val="000000" w:themeColor="text1"/>
          <w:sz w:val="24"/>
          <w:szCs w:val="24"/>
        </w:rPr>
        <w:t>edn</w:t>
      </w:r>
      <w:proofErr w:type="spellEnd"/>
      <w:r w:rsidRPr="00E57919">
        <w:rPr>
          <w:rFonts w:ascii="Times New Roman" w:eastAsia="Times New Roman" w:hAnsi="Times New Roman" w:cs="Times New Roman"/>
          <w:color w:val="000000" w:themeColor="text1"/>
          <w:sz w:val="24"/>
          <w:szCs w:val="24"/>
        </w:rPr>
        <w:t>. London: Butterworth-Heinemann.</w:t>
      </w:r>
    </w:p>
    <w:p w14:paraId="63EAB21C" w14:textId="77777777" w:rsidR="0067448F" w:rsidRPr="00E57919" w:rsidRDefault="0067448F">
      <w:pPr>
        <w:spacing w:before="200" w:after="200" w:line="360" w:lineRule="auto"/>
        <w:jc w:val="both"/>
        <w:rPr>
          <w:rFonts w:ascii="Times New Roman" w:eastAsia="Times New Roman" w:hAnsi="Times New Roman" w:cs="Times New Roman"/>
          <w:color w:val="000000" w:themeColor="text1"/>
          <w:sz w:val="24"/>
          <w:szCs w:val="24"/>
        </w:rPr>
      </w:pPr>
      <w:r w:rsidRPr="00E57919">
        <w:rPr>
          <w:rFonts w:ascii="Times New Roman" w:eastAsia="Times New Roman" w:hAnsi="Times New Roman" w:cs="Times New Roman"/>
          <w:color w:val="000000" w:themeColor="text1"/>
          <w:sz w:val="24"/>
          <w:szCs w:val="24"/>
        </w:rPr>
        <w:t xml:space="preserve">Yip, T., Wang, Y., </w:t>
      </w:r>
      <w:proofErr w:type="spellStart"/>
      <w:r w:rsidRPr="00E57919">
        <w:rPr>
          <w:rFonts w:ascii="Times New Roman" w:eastAsia="Times New Roman" w:hAnsi="Times New Roman" w:cs="Times New Roman"/>
          <w:color w:val="000000" w:themeColor="text1"/>
          <w:sz w:val="24"/>
          <w:szCs w:val="24"/>
        </w:rPr>
        <w:t>Mootoo</w:t>
      </w:r>
      <w:proofErr w:type="spellEnd"/>
      <w:r w:rsidRPr="00E57919">
        <w:rPr>
          <w:rFonts w:ascii="Times New Roman" w:eastAsia="Times New Roman" w:hAnsi="Times New Roman" w:cs="Times New Roman"/>
          <w:color w:val="000000" w:themeColor="text1"/>
          <w:sz w:val="24"/>
          <w:szCs w:val="24"/>
        </w:rPr>
        <w:t xml:space="preserve">, C. and Mirpuri, S., 2019. Moderating the association between discrimination and adjustment: A meta-analysis of ethnic/racial identity. </w:t>
      </w:r>
      <w:r w:rsidRPr="00E57919">
        <w:rPr>
          <w:rFonts w:ascii="Times New Roman" w:eastAsia="Times New Roman" w:hAnsi="Times New Roman" w:cs="Times New Roman"/>
          <w:i/>
          <w:color w:val="000000" w:themeColor="text1"/>
          <w:sz w:val="24"/>
          <w:szCs w:val="24"/>
        </w:rPr>
        <w:t>Developmental Psychology, 55</w:t>
      </w:r>
      <w:r w:rsidRPr="00E57919">
        <w:rPr>
          <w:rFonts w:ascii="Times New Roman" w:eastAsia="Times New Roman" w:hAnsi="Times New Roman" w:cs="Times New Roman"/>
          <w:color w:val="000000" w:themeColor="text1"/>
          <w:sz w:val="24"/>
          <w:szCs w:val="24"/>
        </w:rPr>
        <w:t>(6), p.1274.</w:t>
      </w:r>
    </w:p>
    <w:p w14:paraId="00000043" w14:textId="77777777" w:rsidR="002043D4" w:rsidRDefault="002043D4">
      <w:pPr>
        <w:spacing w:before="200" w:after="200" w:line="360" w:lineRule="auto"/>
        <w:jc w:val="both"/>
        <w:rPr>
          <w:rFonts w:ascii="Times New Roman" w:eastAsia="Times New Roman" w:hAnsi="Times New Roman" w:cs="Times New Roman"/>
          <w:sz w:val="24"/>
          <w:szCs w:val="24"/>
        </w:rPr>
      </w:pPr>
    </w:p>
    <w:p w14:paraId="00000044" w14:textId="77777777" w:rsidR="002043D4" w:rsidRDefault="002043D4">
      <w:pPr>
        <w:spacing w:before="200" w:after="200" w:line="360" w:lineRule="auto"/>
        <w:jc w:val="both"/>
        <w:rPr>
          <w:rFonts w:ascii="Times New Roman" w:eastAsia="Times New Roman" w:hAnsi="Times New Roman" w:cs="Times New Roman"/>
          <w:sz w:val="24"/>
          <w:szCs w:val="24"/>
        </w:rPr>
      </w:pPr>
    </w:p>
    <w:p w14:paraId="00000045" w14:textId="77777777" w:rsidR="002043D4" w:rsidRDefault="002043D4">
      <w:pPr>
        <w:spacing w:before="200" w:after="200" w:line="360" w:lineRule="auto"/>
        <w:jc w:val="both"/>
        <w:rPr>
          <w:rFonts w:ascii="Times New Roman" w:eastAsia="Times New Roman" w:hAnsi="Times New Roman" w:cs="Times New Roman"/>
          <w:sz w:val="24"/>
          <w:szCs w:val="24"/>
        </w:rPr>
      </w:pPr>
    </w:p>
    <w:p w14:paraId="00000046" w14:textId="77777777" w:rsidR="002043D4" w:rsidRDefault="002043D4">
      <w:pPr>
        <w:spacing w:before="200" w:after="200" w:line="360" w:lineRule="auto"/>
        <w:jc w:val="both"/>
        <w:rPr>
          <w:rFonts w:ascii="Times New Roman" w:eastAsia="Times New Roman" w:hAnsi="Times New Roman" w:cs="Times New Roman"/>
          <w:sz w:val="24"/>
          <w:szCs w:val="24"/>
        </w:rPr>
      </w:pPr>
    </w:p>
    <w:sectPr w:rsidR="002043D4">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48090E" w14:textId="77777777" w:rsidR="00CB49C6" w:rsidRDefault="00CB49C6">
      <w:pPr>
        <w:spacing w:line="240" w:lineRule="auto"/>
      </w:pPr>
      <w:r>
        <w:separator/>
      </w:r>
    </w:p>
  </w:endnote>
  <w:endnote w:type="continuationSeparator" w:id="0">
    <w:p w14:paraId="38C66DED" w14:textId="77777777" w:rsidR="00CB49C6" w:rsidRDefault="00CB49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A" w14:textId="77777777" w:rsidR="002043D4" w:rsidRDefault="002043D4">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C" w14:textId="555FA993" w:rsidR="002043D4" w:rsidRDefault="00D41D1D">
    <w:pPr>
      <w:jc w:val="right"/>
    </w:pPr>
    <w:r>
      <w:fldChar w:fldCharType="begin"/>
    </w:r>
    <w:r>
      <w:instrText>PAGE</w:instrText>
    </w:r>
    <w:r>
      <w:fldChar w:fldCharType="separate"/>
    </w:r>
    <w:r w:rsidR="005F5FEE">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B" w14:textId="77777777" w:rsidR="002043D4" w:rsidRDefault="002043D4">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D79BD" w14:textId="77777777" w:rsidR="00CB49C6" w:rsidRDefault="00CB49C6">
      <w:pPr>
        <w:spacing w:line="240" w:lineRule="auto"/>
      </w:pPr>
      <w:r>
        <w:separator/>
      </w:r>
    </w:p>
  </w:footnote>
  <w:footnote w:type="continuationSeparator" w:id="0">
    <w:p w14:paraId="5301F308" w14:textId="77777777" w:rsidR="00CB49C6" w:rsidRDefault="00CB49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8" w14:textId="77777777" w:rsidR="002043D4" w:rsidRDefault="002043D4">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7" w14:textId="77777777" w:rsidR="002043D4" w:rsidRDefault="002043D4">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9" w14:textId="77777777" w:rsidR="002043D4" w:rsidRDefault="002043D4">
    <w:pPr>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3D4"/>
    <w:rsid w:val="000C3546"/>
    <w:rsid w:val="001B31CA"/>
    <w:rsid w:val="0020123B"/>
    <w:rsid w:val="002043D4"/>
    <w:rsid w:val="003F7494"/>
    <w:rsid w:val="00486957"/>
    <w:rsid w:val="005F5FEE"/>
    <w:rsid w:val="0067448F"/>
    <w:rsid w:val="00C33DC6"/>
    <w:rsid w:val="00CB49C6"/>
    <w:rsid w:val="00CD3531"/>
    <w:rsid w:val="00D41D1D"/>
    <w:rsid w:val="00DB2ABD"/>
    <w:rsid w:val="00E57919"/>
    <w:rsid w:val="00F432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B40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E5485"/>
    <w:pPr>
      <w:tabs>
        <w:tab w:val="center" w:pos="4680"/>
        <w:tab w:val="right" w:pos="9360"/>
      </w:tabs>
      <w:spacing w:line="240" w:lineRule="auto"/>
    </w:pPr>
  </w:style>
  <w:style w:type="character" w:customStyle="1" w:styleId="HeaderChar">
    <w:name w:val="Header Char"/>
    <w:basedOn w:val="DefaultParagraphFont"/>
    <w:link w:val="Header"/>
    <w:uiPriority w:val="99"/>
    <w:rsid w:val="00FE5485"/>
    <w:rPr>
      <w:lang w:val="en-GB"/>
    </w:rPr>
  </w:style>
  <w:style w:type="paragraph" w:styleId="Footer">
    <w:name w:val="footer"/>
    <w:basedOn w:val="Normal"/>
    <w:link w:val="FooterChar"/>
    <w:uiPriority w:val="99"/>
    <w:unhideWhenUsed/>
    <w:rsid w:val="00FE5485"/>
    <w:pPr>
      <w:tabs>
        <w:tab w:val="center" w:pos="4680"/>
        <w:tab w:val="right" w:pos="9360"/>
      </w:tabs>
      <w:spacing w:line="240" w:lineRule="auto"/>
    </w:pPr>
  </w:style>
  <w:style w:type="character" w:customStyle="1" w:styleId="FooterChar">
    <w:name w:val="Footer Char"/>
    <w:basedOn w:val="DefaultParagraphFont"/>
    <w:link w:val="Footer"/>
    <w:uiPriority w:val="99"/>
    <w:rsid w:val="00FE548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RASRZIUuxBId708NHhxACHn/s0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OAByITFoWlRBd2Raa1RsUVJlM2JPbFpZODR1Rm9NRjcxek11Q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2567</Words>
  <Characters>14635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2024-01-31T05:42:00Z</dcterms:created>
  <dcterms:modified xsi:type="dcterms:W3CDTF">2024-02-01T22:49:00Z</dcterms:modified>
</cp:coreProperties>
</file>