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2329" w14:textId="77777777" w:rsidR="00652771" w:rsidRPr="00C93468" w:rsidRDefault="00652771" w:rsidP="00652771">
      <w:pPr>
        <w:pStyle w:val="Title"/>
        <w:jc w:val="center"/>
        <w:rPr>
          <w:rFonts w:ascii="Arial" w:hAnsi="Arial" w:cs="Arial"/>
          <w:b/>
          <w:bCs/>
          <w:sz w:val="84"/>
          <w:szCs w:val="84"/>
        </w:rPr>
      </w:pPr>
      <w:r w:rsidRPr="00C93468">
        <w:rPr>
          <w:rFonts w:ascii="Arial" w:hAnsi="Arial" w:cs="Arial"/>
          <w:b/>
          <w:bCs/>
          <w:sz w:val="84"/>
          <w:szCs w:val="84"/>
        </w:rPr>
        <w:t>Student Learning Log</w:t>
      </w:r>
    </w:p>
    <w:p w14:paraId="1F4AC924" w14:textId="77777777" w:rsidR="00652771" w:rsidRPr="00C93468" w:rsidRDefault="00652771" w:rsidP="00652771">
      <w:pPr>
        <w:spacing w:line="259" w:lineRule="auto"/>
        <w:jc w:val="center"/>
        <w:rPr>
          <w:rFonts w:ascii="Arial" w:hAnsi="Arial" w:cs="Arial"/>
          <w:b/>
          <w:bCs/>
          <w:sz w:val="52"/>
          <w:szCs w:val="50"/>
        </w:rPr>
      </w:pPr>
    </w:p>
    <w:p w14:paraId="13133DA0" w14:textId="77777777"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t>Name: Muhammed Azizur Rahman</w:t>
      </w:r>
    </w:p>
    <w:p w14:paraId="642FEAE8" w14:textId="77777777"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br/>
        <w:t>Student ID: 210783</w:t>
      </w:r>
    </w:p>
    <w:p w14:paraId="1D53A093" w14:textId="77777777" w:rsidR="00652771" w:rsidRPr="00C93468" w:rsidRDefault="00652771" w:rsidP="00652771">
      <w:pPr>
        <w:spacing w:line="259" w:lineRule="auto"/>
        <w:jc w:val="center"/>
        <w:rPr>
          <w:rFonts w:ascii="Arial" w:hAnsi="Arial" w:cs="Arial"/>
          <w:b/>
          <w:bCs/>
          <w:sz w:val="62"/>
          <w:szCs w:val="60"/>
        </w:rPr>
      </w:pPr>
    </w:p>
    <w:p w14:paraId="2C43D629" w14:textId="77777777"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t>Module Code: BMIH6002</w:t>
      </w:r>
    </w:p>
    <w:p w14:paraId="417BA38F" w14:textId="77777777" w:rsidR="00652771" w:rsidRPr="00C93468" w:rsidRDefault="00652771" w:rsidP="00652771">
      <w:pPr>
        <w:spacing w:line="259" w:lineRule="auto"/>
        <w:jc w:val="center"/>
        <w:rPr>
          <w:rFonts w:ascii="Arial" w:hAnsi="Arial" w:cs="Arial"/>
          <w:b/>
          <w:bCs/>
          <w:sz w:val="62"/>
          <w:szCs w:val="60"/>
        </w:rPr>
      </w:pPr>
    </w:p>
    <w:p w14:paraId="3F3E756C" w14:textId="77777777"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t xml:space="preserve">Module: Managing Food and </w:t>
      </w:r>
    </w:p>
    <w:p w14:paraId="5A2B8D38" w14:textId="3B25B31F"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t>Beverage Operation</w:t>
      </w:r>
      <w:r w:rsidR="000F4E0D" w:rsidRPr="00C93468">
        <w:rPr>
          <w:rFonts w:ascii="Arial" w:hAnsi="Arial" w:cs="Arial"/>
          <w:b/>
          <w:bCs/>
          <w:sz w:val="62"/>
          <w:szCs w:val="60"/>
        </w:rPr>
        <w:t>s</w:t>
      </w:r>
    </w:p>
    <w:p w14:paraId="53D58724" w14:textId="77777777" w:rsidR="00652771" w:rsidRPr="00C93468" w:rsidRDefault="00652771" w:rsidP="00652771">
      <w:pPr>
        <w:spacing w:line="259" w:lineRule="auto"/>
        <w:jc w:val="center"/>
        <w:rPr>
          <w:rFonts w:ascii="Arial" w:hAnsi="Arial" w:cs="Arial"/>
          <w:b/>
          <w:bCs/>
          <w:sz w:val="62"/>
          <w:szCs w:val="60"/>
        </w:rPr>
      </w:pPr>
    </w:p>
    <w:p w14:paraId="41AE5C33" w14:textId="6B897A96" w:rsidR="00652771" w:rsidRPr="00C93468" w:rsidRDefault="00652771" w:rsidP="00652771">
      <w:pPr>
        <w:spacing w:line="259" w:lineRule="auto"/>
        <w:jc w:val="center"/>
        <w:rPr>
          <w:rFonts w:ascii="Arial" w:hAnsi="Arial" w:cs="Arial"/>
          <w:b/>
          <w:bCs/>
          <w:sz w:val="62"/>
          <w:szCs w:val="60"/>
        </w:rPr>
      </w:pPr>
      <w:r w:rsidRPr="00C93468">
        <w:rPr>
          <w:rFonts w:ascii="Arial" w:hAnsi="Arial" w:cs="Arial"/>
          <w:b/>
          <w:bCs/>
          <w:sz w:val="62"/>
          <w:szCs w:val="60"/>
        </w:rPr>
        <w:t>Lecturer: Neil Dyer</w:t>
      </w:r>
    </w:p>
    <w:p w14:paraId="2CC55609" w14:textId="77777777" w:rsidR="00652771" w:rsidRPr="0015385A" w:rsidRDefault="00652771" w:rsidP="00652771">
      <w:pPr>
        <w:spacing w:line="259" w:lineRule="auto"/>
        <w:jc w:val="center"/>
        <w:rPr>
          <w:rFonts w:ascii="Arial" w:hAnsi="Arial" w:cs="Arial"/>
          <w:b/>
          <w:bCs/>
          <w:sz w:val="60"/>
          <w:szCs w:val="58"/>
        </w:rPr>
      </w:pPr>
    </w:p>
    <w:p w14:paraId="08043177" w14:textId="77777777" w:rsidR="00652771" w:rsidRPr="0015385A" w:rsidRDefault="00652771" w:rsidP="00652771">
      <w:pPr>
        <w:spacing w:line="259" w:lineRule="auto"/>
        <w:jc w:val="center"/>
        <w:rPr>
          <w:rFonts w:ascii="Arial" w:hAnsi="Arial" w:cs="Arial"/>
          <w:b/>
          <w:bCs/>
          <w:sz w:val="60"/>
          <w:szCs w:val="58"/>
        </w:rPr>
      </w:pPr>
    </w:p>
    <w:sdt>
      <w:sdtPr>
        <w:rPr>
          <w:rFonts w:ascii="Arial" w:eastAsiaTheme="minorHAnsi" w:hAnsi="Arial" w:cs="Arial"/>
          <w:color w:val="auto"/>
          <w:sz w:val="24"/>
          <w:szCs w:val="22"/>
          <w:lang w:val="en-GB"/>
        </w:rPr>
        <w:id w:val="-13460555"/>
        <w:docPartObj>
          <w:docPartGallery w:val="Table of Contents"/>
          <w:docPartUnique/>
        </w:docPartObj>
      </w:sdtPr>
      <w:sdtEndPr>
        <w:rPr>
          <w:b/>
          <w:bCs/>
          <w:noProof/>
        </w:rPr>
      </w:sdtEndPr>
      <w:sdtContent>
        <w:p w14:paraId="54CC927D" w14:textId="5B5086E9" w:rsidR="008834AC" w:rsidRPr="0015385A" w:rsidRDefault="008834AC">
          <w:pPr>
            <w:pStyle w:val="TOCHeading"/>
            <w:rPr>
              <w:rFonts w:ascii="Arial" w:hAnsi="Arial" w:cs="Arial"/>
            </w:rPr>
          </w:pPr>
          <w:r w:rsidRPr="0015385A">
            <w:rPr>
              <w:rFonts w:ascii="Arial" w:hAnsi="Arial" w:cs="Arial"/>
            </w:rPr>
            <w:t>Table of Contents</w:t>
          </w:r>
        </w:p>
        <w:p w14:paraId="55E36010" w14:textId="0EF2C767" w:rsidR="00FD6298" w:rsidRPr="0015385A" w:rsidRDefault="008834AC">
          <w:pPr>
            <w:pStyle w:val="TOC1"/>
            <w:tabs>
              <w:tab w:val="right" w:leader="dot" w:pos="9350"/>
            </w:tabs>
            <w:rPr>
              <w:rFonts w:ascii="Arial" w:eastAsiaTheme="minorEastAsia" w:hAnsi="Arial" w:cs="Arial"/>
              <w:noProof/>
              <w:kern w:val="2"/>
              <w:szCs w:val="24"/>
              <w:lang w:eastAsia="en-GB"/>
              <w14:ligatures w14:val="standardContextual"/>
            </w:rPr>
          </w:pPr>
          <w:r w:rsidRPr="0015385A">
            <w:rPr>
              <w:rFonts w:ascii="Arial" w:hAnsi="Arial" w:cs="Arial"/>
            </w:rPr>
            <w:fldChar w:fldCharType="begin"/>
          </w:r>
          <w:r w:rsidRPr="0015385A">
            <w:rPr>
              <w:rFonts w:ascii="Arial" w:hAnsi="Arial" w:cs="Arial"/>
            </w:rPr>
            <w:instrText xml:space="preserve"> TOC \o "1-3" \h \z \u </w:instrText>
          </w:r>
          <w:r w:rsidRPr="0015385A">
            <w:rPr>
              <w:rFonts w:ascii="Arial" w:hAnsi="Arial" w:cs="Arial"/>
            </w:rPr>
            <w:fldChar w:fldCharType="separate"/>
          </w:r>
          <w:hyperlink w:anchor="_Toc159348550" w:history="1">
            <w:r w:rsidR="00FD6298" w:rsidRPr="0015385A">
              <w:rPr>
                <w:rStyle w:val="Hyperlink"/>
                <w:rFonts w:ascii="Arial" w:hAnsi="Arial" w:cs="Arial"/>
                <w:noProof/>
              </w:rPr>
              <w:t>Introduction</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_Toc159348550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3</w:t>
            </w:r>
            <w:r w:rsidR="00FD6298" w:rsidRPr="0015385A">
              <w:rPr>
                <w:rFonts w:ascii="Arial" w:hAnsi="Arial" w:cs="Arial"/>
                <w:noProof/>
                <w:webHidden/>
              </w:rPr>
              <w:fldChar w:fldCharType="end"/>
            </w:r>
          </w:hyperlink>
        </w:p>
        <w:p w14:paraId="0EE929FF" w14:textId="7BA3F48F"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1" w:history="1">
            <w:r w:rsidR="00FD6298" w:rsidRPr="0015385A">
              <w:rPr>
                <w:rStyle w:val="Hyperlink"/>
                <w:rFonts w:ascii="Arial" w:hAnsi="Arial" w:cs="Arial"/>
                <w:noProof/>
              </w:rPr>
              <w:t>Section 1: Reflection on Experience and Personal Development</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_Toc159348551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3</w:t>
            </w:r>
            <w:r w:rsidR="00FD6298" w:rsidRPr="0015385A">
              <w:rPr>
                <w:rFonts w:ascii="Arial" w:hAnsi="Arial" w:cs="Arial"/>
                <w:noProof/>
                <w:webHidden/>
              </w:rPr>
              <w:fldChar w:fldCharType="end"/>
            </w:r>
          </w:hyperlink>
        </w:p>
        <w:p w14:paraId="21FCC97F" w14:textId="3EB5C942"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2" w:history="1">
            <w:r w:rsidR="00FD6298" w:rsidRPr="0015385A">
              <w:rPr>
                <w:rStyle w:val="Hyperlink"/>
                <w:rFonts w:ascii="Arial" w:hAnsi="Arial" w:cs="Arial"/>
                <w:noProof/>
              </w:rPr>
              <w:t>Section 2 Critical Analysis of Work-Based Skills and Technical Knowledge</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_Toc159348552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4</w:t>
            </w:r>
            <w:r w:rsidR="00FD6298" w:rsidRPr="0015385A">
              <w:rPr>
                <w:rFonts w:ascii="Arial" w:hAnsi="Arial" w:cs="Arial"/>
                <w:noProof/>
                <w:webHidden/>
              </w:rPr>
              <w:fldChar w:fldCharType="end"/>
            </w:r>
          </w:hyperlink>
        </w:p>
        <w:p w14:paraId="79CAC6E7" w14:textId="385DE2F9"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3" w:history="1">
            <w:r w:rsidR="00FD6298" w:rsidRPr="0015385A">
              <w:rPr>
                <w:rStyle w:val="Hyperlink"/>
                <w:rFonts w:ascii="Arial" w:hAnsi="Arial" w:cs="Arial"/>
                <w:noProof/>
              </w:rPr>
              <w:t>Section 3: Reflection on Organisational Issues</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_Toc159348553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5</w:t>
            </w:r>
            <w:r w:rsidR="00FD6298" w:rsidRPr="0015385A">
              <w:rPr>
                <w:rFonts w:ascii="Arial" w:hAnsi="Arial" w:cs="Arial"/>
                <w:noProof/>
                <w:webHidden/>
              </w:rPr>
              <w:fldChar w:fldCharType="end"/>
            </w:r>
          </w:hyperlink>
        </w:p>
        <w:p w14:paraId="733D8DD7" w14:textId="1E4EC716"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4" w:history="1">
            <w:r w:rsidR="00FD6298" w:rsidRPr="0015385A">
              <w:rPr>
                <w:rStyle w:val="Hyperlink"/>
                <w:rFonts w:ascii="Arial" w:hAnsi="Arial" w:cs="Arial"/>
                <w:noProof/>
              </w:rPr>
              <w:t>Section 4: Future Action Plan</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_Toc159348554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6</w:t>
            </w:r>
            <w:r w:rsidR="00FD6298" w:rsidRPr="0015385A">
              <w:rPr>
                <w:rFonts w:ascii="Arial" w:hAnsi="Arial" w:cs="Arial"/>
                <w:noProof/>
                <w:webHidden/>
              </w:rPr>
              <w:fldChar w:fldCharType="end"/>
            </w:r>
          </w:hyperlink>
        </w:p>
        <w:p w14:paraId="1B77701D" w14:textId="3E7C4488"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5" w:history="1">
            <w:r w:rsidR="00FD6298" w:rsidRPr="0015385A">
              <w:rPr>
                <w:rStyle w:val="Hyperlink"/>
                <w:rFonts w:ascii="Arial" w:hAnsi="Arial" w:cs="Arial"/>
                <w:noProof/>
              </w:rPr>
              <w:t>Conclusion</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_Toc159348555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7</w:t>
            </w:r>
            <w:r w:rsidR="00FD6298" w:rsidRPr="0015385A">
              <w:rPr>
                <w:rFonts w:ascii="Arial" w:hAnsi="Arial" w:cs="Arial"/>
                <w:noProof/>
                <w:webHidden/>
              </w:rPr>
              <w:fldChar w:fldCharType="end"/>
            </w:r>
          </w:hyperlink>
        </w:p>
        <w:p w14:paraId="5014B784" w14:textId="6F1A70C5" w:rsidR="00FD6298" w:rsidRPr="0015385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8556" w:history="1">
            <w:r w:rsidR="00FD6298" w:rsidRPr="0015385A">
              <w:rPr>
                <w:rStyle w:val="Hyperlink"/>
                <w:rFonts w:ascii="Arial" w:hAnsi="Arial" w:cs="Arial"/>
                <w:noProof/>
              </w:rPr>
              <w:t>References</w:t>
            </w:r>
            <w:r w:rsidR="00FD6298" w:rsidRPr="0015385A">
              <w:rPr>
                <w:rFonts w:ascii="Arial" w:hAnsi="Arial" w:cs="Arial"/>
                <w:noProof/>
                <w:webHidden/>
              </w:rPr>
              <w:tab/>
            </w:r>
            <w:r w:rsidR="00FD6298" w:rsidRPr="0015385A">
              <w:rPr>
                <w:rFonts w:ascii="Arial" w:hAnsi="Arial" w:cs="Arial"/>
                <w:noProof/>
                <w:webHidden/>
              </w:rPr>
              <w:fldChar w:fldCharType="begin"/>
            </w:r>
            <w:r w:rsidR="00FD6298" w:rsidRPr="0015385A">
              <w:rPr>
                <w:rFonts w:ascii="Arial" w:hAnsi="Arial" w:cs="Arial"/>
                <w:noProof/>
                <w:webHidden/>
              </w:rPr>
              <w:instrText xml:space="preserve"> PAGEREF _Toc159348556 \h </w:instrText>
            </w:r>
            <w:r w:rsidR="00FD6298" w:rsidRPr="0015385A">
              <w:rPr>
                <w:rFonts w:ascii="Arial" w:hAnsi="Arial" w:cs="Arial"/>
                <w:noProof/>
                <w:webHidden/>
              </w:rPr>
            </w:r>
            <w:r w:rsidR="00FD6298" w:rsidRPr="0015385A">
              <w:rPr>
                <w:rFonts w:ascii="Arial" w:hAnsi="Arial" w:cs="Arial"/>
                <w:noProof/>
                <w:webHidden/>
              </w:rPr>
              <w:fldChar w:fldCharType="separate"/>
            </w:r>
            <w:r w:rsidR="009D11E7">
              <w:rPr>
                <w:rFonts w:ascii="Arial" w:hAnsi="Arial" w:cs="Arial"/>
                <w:noProof/>
                <w:webHidden/>
              </w:rPr>
              <w:t>8</w:t>
            </w:r>
            <w:r w:rsidR="00FD6298" w:rsidRPr="0015385A">
              <w:rPr>
                <w:rFonts w:ascii="Arial" w:hAnsi="Arial" w:cs="Arial"/>
                <w:noProof/>
                <w:webHidden/>
              </w:rPr>
              <w:fldChar w:fldCharType="end"/>
            </w:r>
          </w:hyperlink>
          <w:r w:rsidR="006F7145" w:rsidRPr="0015385A">
            <w:rPr>
              <w:rStyle w:val="Hyperlink"/>
              <w:rFonts w:ascii="Arial" w:hAnsi="Arial" w:cs="Arial"/>
              <w:noProof/>
              <w:color w:val="auto"/>
              <w:u w:val="none"/>
            </w:rPr>
            <w:t xml:space="preserve"> </w:t>
          </w:r>
        </w:p>
        <w:p w14:paraId="471C9549" w14:textId="45D11885" w:rsidR="008834AC" w:rsidRPr="0015385A" w:rsidRDefault="008834AC">
          <w:pPr>
            <w:rPr>
              <w:rFonts w:ascii="Arial" w:hAnsi="Arial" w:cs="Arial"/>
            </w:rPr>
          </w:pPr>
          <w:r w:rsidRPr="0015385A">
            <w:rPr>
              <w:rFonts w:ascii="Arial" w:hAnsi="Arial" w:cs="Arial"/>
              <w:b/>
              <w:bCs/>
              <w:noProof/>
            </w:rPr>
            <w:fldChar w:fldCharType="end"/>
          </w:r>
        </w:p>
      </w:sdtContent>
    </w:sdt>
    <w:p w14:paraId="2EEEF0BD" w14:textId="77777777" w:rsidR="00C661FA" w:rsidRPr="0015385A" w:rsidRDefault="00C661FA" w:rsidP="00C661FA">
      <w:pPr>
        <w:rPr>
          <w:rFonts w:ascii="Arial" w:hAnsi="Arial" w:cs="Arial"/>
        </w:rPr>
      </w:pPr>
    </w:p>
    <w:p w14:paraId="62AD171B" w14:textId="77777777" w:rsidR="00C661FA" w:rsidRPr="0015385A" w:rsidRDefault="00C661FA">
      <w:pPr>
        <w:spacing w:line="259" w:lineRule="auto"/>
        <w:jc w:val="left"/>
        <w:rPr>
          <w:rFonts w:ascii="Arial" w:hAnsi="Arial" w:cs="Arial"/>
        </w:rPr>
      </w:pPr>
      <w:r w:rsidRPr="0015385A">
        <w:rPr>
          <w:rFonts w:ascii="Arial" w:hAnsi="Arial" w:cs="Arial"/>
        </w:rPr>
        <w:br w:type="page"/>
      </w:r>
    </w:p>
    <w:p w14:paraId="0FACE0CD" w14:textId="60ACEC4C" w:rsidR="008834AC" w:rsidRPr="0015385A" w:rsidRDefault="008834AC" w:rsidP="008834AC">
      <w:pPr>
        <w:pStyle w:val="Heading1"/>
        <w:rPr>
          <w:rFonts w:ascii="Arial" w:hAnsi="Arial" w:cs="Arial"/>
        </w:rPr>
      </w:pPr>
      <w:bookmarkStart w:id="0" w:name="_Toc159348550"/>
      <w:r w:rsidRPr="0015385A">
        <w:rPr>
          <w:rFonts w:ascii="Arial" w:hAnsi="Arial" w:cs="Arial"/>
        </w:rPr>
        <w:lastRenderedPageBreak/>
        <w:t>Introduction</w:t>
      </w:r>
      <w:bookmarkEnd w:id="0"/>
    </w:p>
    <w:p w14:paraId="0A0D3EEE" w14:textId="232DA13D" w:rsidR="00C661FA" w:rsidRPr="0015385A" w:rsidRDefault="00C661FA" w:rsidP="00C904C8">
      <w:pPr>
        <w:spacing w:after="0" w:line="240" w:lineRule="auto"/>
        <w:rPr>
          <w:rFonts w:ascii="Arial" w:hAnsi="Arial" w:cs="Arial"/>
        </w:rPr>
      </w:pPr>
      <w:r w:rsidRPr="0015385A">
        <w:rPr>
          <w:rFonts w:ascii="Arial" w:hAnsi="Arial" w:cs="Arial"/>
        </w:rPr>
        <w:t xml:space="preserve">The study provides a critical reflection of supervisory positions in the food and beverages department.  The reflection is oriented </w:t>
      </w:r>
      <w:r w:rsidR="00A3674A" w:rsidRPr="0015385A">
        <w:rPr>
          <w:rFonts w:ascii="Arial" w:hAnsi="Arial" w:cs="Arial"/>
        </w:rPr>
        <w:t>into</w:t>
      </w:r>
      <w:r w:rsidRPr="0015385A">
        <w:rPr>
          <w:rFonts w:ascii="Arial" w:hAnsi="Arial" w:cs="Arial"/>
        </w:rPr>
        <w:t xml:space="preserve"> four segments to address the work-based skills, technical </w:t>
      </w:r>
      <w:proofErr w:type="gramStart"/>
      <w:r w:rsidRPr="0015385A">
        <w:rPr>
          <w:rFonts w:ascii="Arial" w:hAnsi="Arial" w:cs="Arial"/>
        </w:rPr>
        <w:t>knowledge</w:t>
      </w:r>
      <w:proofErr w:type="gramEnd"/>
      <w:r w:rsidRPr="0015385A">
        <w:rPr>
          <w:rFonts w:ascii="Arial" w:hAnsi="Arial" w:cs="Arial"/>
        </w:rPr>
        <w:t xml:space="preserve"> and exceptional guest services.  The study holds a reflection model, Donald Schon's reflection analysis. </w:t>
      </w:r>
    </w:p>
    <w:p w14:paraId="23E46BBF" w14:textId="686DB026" w:rsidR="00C661FA" w:rsidRPr="0015385A" w:rsidRDefault="00C661FA" w:rsidP="00C661FA">
      <w:pPr>
        <w:ind w:left="720"/>
        <w:rPr>
          <w:rFonts w:ascii="Arial" w:hAnsi="Arial" w:cs="Arial"/>
        </w:rPr>
      </w:pPr>
      <w:r w:rsidRPr="0015385A">
        <w:rPr>
          <w:rFonts w:ascii="Arial" w:hAnsi="Arial" w:cs="Arial"/>
          <w:noProof/>
        </w:rPr>
        <w:drawing>
          <wp:inline distT="0" distB="0" distL="0" distR="0" wp14:anchorId="4CE4846B" wp14:editId="361CBE5D">
            <wp:extent cx="4309533" cy="3711908"/>
            <wp:effectExtent l="0" t="0" r="0" b="0"/>
            <wp:docPr id="1273795793" name="Picture 2" descr="3.3 Donald Schon – Reflective Practice in Early Year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 Donald Schon – Reflective Practice in Early Years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5666" cy="3717190"/>
                    </a:xfrm>
                    <a:prstGeom prst="rect">
                      <a:avLst/>
                    </a:prstGeom>
                    <a:noFill/>
                    <a:ln>
                      <a:noFill/>
                    </a:ln>
                  </pic:spPr>
                </pic:pic>
              </a:graphicData>
            </a:graphic>
          </wp:inline>
        </w:drawing>
      </w:r>
    </w:p>
    <w:p w14:paraId="61BB7F42" w14:textId="2304464C" w:rsidR="00C661FA" w:rsidRPr="0015385A" w:rsidRDefault="00C661FA" w:rsidP="00BF4E5A">
      <w:pPr>
        <w:ind w:left="720"/>
        <w:rPr>
          <w:rFonts w:ascii="Arial" w:hAnsi="Arial" w:cs="Arial"/>
          <w:b/>
          <w:bCs/>
        </w:rPr>
      </w:pPr>
      <w:r w:rsidRPr="0015385A">
        <w:rPr>
          <w:rFonts w:ascii="Arial" w:hAnsi="Arial" w:cs="Arial"/>
          <w:b/>
          <w:bCs/>
        </w:rPr>
        <w:t>Figure: Donald Schon's reflection analysis</w:t>
      </w:r>
      <w:r w:rsidR="00BF4E5A" w:rsidRPr="0015385A">
        <w:rPr>
          <w:rFonts w:ascii="Arial" w:hAnsi="Arial" w:cs="Arial"/>
          <w:color w:val="000000"/>
        </w:rPr>
        <w:t xml:space="preserve"> </w:t>
      </w:r>
      <w:r w:rsidR="00BF4E5A" w:rsidRPr="0015385A">
        <w:rPr>
          <w:rFonts w:ascii="Arial" w:hAnsi="Arial" w:cs="Arial"/>
          <w:b/>
          <w:bCs/>
        </w:rPr>
        <w:t xml:space="preserve">(Ali and </w:t>
      </w:r>
      <w:proofErr w:type="spellStart"/>
      <w:r w:rsidR="00BF4E5A" w:rsidRPr="0015385A">
        <w:rPr>
          <w:rFonts w:ascii="Arial" w:hAnsi="Arial" w:cs="Arial"/>
          <w:b/>
          <w:bCs/>
        </w:rPr>
        <w:t>Aboelmaged</w:t>
      </w:r>
      <w:proofErr w:type="spellEnd"/>
      <w:r w:rsidR="00BF4E5A" w:rsidRPr="0015385A">
        <w:rPr>
          <w:rFonts w:ascii="Arial" w:hAnsi="Arial" w:cs="Arial"/>
          <w:b/>
          <w:bCs/>
        </w:rPr>
        <w:t>, 2022)</w:t>
      </w:r>
      <w:r w:rsidRPr="0015385A">
        <w:rPr>
          <w:rFonts w:ascii="Arial" w:hAnsi="Arial" w:cs="Arial"/>
          <w:b/>
          <w:bCs/>
        </w:rPr>
        <w:t>. </w:t>
      </w:r>
    </w:p>
    <w:p w14:paraId="18153BD8" w14:textId="5D181387" w:rsidR="00C661FA" w:rsidRPr="0015385A" w:rsidRDefault="00C661FA" w:rsidP="009D11E7">
      <w:pPr>
        <w:pStyle w:val="Heading1"/>
        <w:jc w:val="left"/>
        <w:rPr>
          <w:rFonts w:ascii="Arial" w:hAnsi="Arial" w:cs="Arial"/>
        </w:rPr>
      </w:pPr>
      <w:bookmarkStart w:id="1" w:name="_Toc159348551"/>
      <w:r w:rsidRPr="0015385A">
        <w:rPr>
          <w:rFonts w:ascii="Arial" w:hAnsi="Arial" w:cs="Arial"/>
        </w:rPr>
        <w:t>Section</w:t>
      </w:r>
      <w:r w:rsidR="009D11E7">
        <w:rPr>
          <w:rFonts w:ascii="Arial" w:hAnsi="Arial" w:cs="Arial"/>
        </w:rPr>
        <w:t xml:space="preserve"> </w:t>
      </w:r>
      <w:r w:rsidRPr="0015385A">
        <w:rPr>
          <w:rFonts w:ascii="Arial" w:hAnsi="Arial" w:cs="Arial"/>
        </w:rPr>
        <w:t>1:</w:t>
      </w:r>
      <w:r w:rsidR="009D11E7">
        <w:rPr>
          <w:rFonts w:ascii="Arial" w:hAnsi="Arial" w:cs="Arial"/>
        </w:rPr>
        <w:t xml:space="preserve">  </w:t>
      </w:r>
      <w:r w:rsidRPr="0015385A">
        <w:rPr>
          <w:rFonts w:ascii="Arial" w:hAnsi="Arial" w:cs="Arial"/>
        </w:rPr>
        <w:t>Reflection</w:t>
      </w:r>
      <w:r w:rsidR="009D11E7">
        <w:rPr>
          <w:rFonts w:ascii="Arial" w:hAnsi="Arial" w:cs="Arial"/>
        </w:rPr>
        <w:t xml:space="preserve"> </w:t>
      </w:r>
      <w:r w:rsidRPr="0015385A">
        <w:rPr>
          <w:rFonts w:ascii="Arial" w:hAnsi="Arial" w:cs="Arial"/>
        </w:rPr>
        <w:t>on Experience and Personal</w:t>
      </w:r>
      <w:r w:rsidR="009D11E7">
        <w:rPr>
          <w:rFonts w:ascii="Arial" w:hAnsi="Arial" w:cs="Arial"/>
        </w:rPr>
        <w:t xml:space="preserve"> </w:t>
      </w:r>
      <w:r w:rsidRPr="0015385A">
        <w:rPr>
          <w:rFonts w:ascii="Arial" w:hAnsi="Arial" w:cs="Arial"/>
        </w:rPr>
        <w:t>Development</w:t>
      </w:r>
      <w:bookmarkEnd w:id="1"/>
      <w:r w:rsidRPr="0015385A">
        <w:rPr>
          <w:rFonts w:ascii="Arial" w:hAnsi="Arial" w:cs="Arial"/>
        </w:rPr>
        <w:t> </w:t>
      </w:r>
    </w:p>
    <w:p w14:paraId="4810D5E7" w14:textId="75C7158A" w:rsidR="00C661FA" w:rsidRPr="0015385A" w:rsidRDefault="00C661FA" w:rsidP="00C904C8">
      <w:pPr>
        <w:spacing w:after="0" w:line="240" w:lineRule="auto"/>
        <w:rPr>
          <w:rFonts w:ascii="Arial" w:hAnsi="Arial" w:cs="Arial"/>
        </w:rPr>
      </w:pPr>
      <w:r w:rsidRPr="0015385A">
        <w:rPr>
          <w:rFonts w:ascii="Arial" w:hAnsi="Arial" w:cs="Arial"/>
        </w:rPr>
        <w:t>As a staff-oriented food and beverages department, my primary concern is to take orders from the customers. I take orders and ensure accuracy in recording their food and beverage choices to personalize the service system. Based on the questions and curiosity, I answer calls from customers which are mainly menu-based</w:t>
      </w:r>
      <w:r w:rsidR="00591214" w:rsidRPr="0015385A">
        <w:rPr>
          <w:rFonts w:ascii="Arial" w:hAnsi="Arial" w:cs="Arial"/>
          <w:color w:val="000000"/>
        </w:rPr>
        <w:t xml:space="preserve"> </w:t>
      </w:r>
      <w:r w:rsidR="00591214" w:rsidRPr="0015385A">
        <w:rPr>
          <w:rFonts w:ascii="Arial" w:hAnsi="Arial" w:cs="Arial"/>
        </w:rPr>
        <w:t>(Brownlee, 2019)</w:t>
      </w:r>
      <w:r w:rsidRPr="0015385A">
        <w:rPr>
          <w:rFonts w:ascii="Arial" w:hAnsi="Arial" w:cs="Arial"/>
        </w:rPr>
        <w:t xml:space="preserve">. Often, I face customer conflicts and issues regarding service and food taste which I handle. I am engaged with clearing tables, resetting </w:t>
      </w:r>
      <w:proofErr w:type="gramStart"/>
      <w:r w:rsidRPr="0015385A">
        <w:rPr>
          <w:rFonts w:ascii="Arial" w:hAnsi="Arial" w:cs="Arial"/>
        </w:rPr>
        <w:t>them</w:t>
      </w:r>
      <w:proofErr w:type="gramEnd"/>
      <w:r w:rsidRPr="0015385A">
        <w:rPr>
          <w:rFonts w:ascii="Arial" w:hAnsi="Arial" w:cs="Arial"/>
        </w:rPr>
        <w:t xml:space="preserve"> and preparing for the next customer. In terms of technical expertise, I handle cash and process payments accurately through a cash register or POS system.   To provide an efficient service system, I work in a collaborative mode with kitchen and bar staff.   The goal of this approach is to coordinate the timing and delivery of food and drinks to ensure customer satisfaction. However</w:t>
      </w:r>
      <w:r w:rsidR="00623701" w:rsidRPr="0015385A">
        <w:rPr>
          <w:rFonts w:ascii="Arial" w:hAnsi="Arial" w:cs="Arial"/>
        </w:rPr>
        <w:t>,</w:t>
      </w:r>
      <w:r w:rsidRPr="0015385A">
        <w:rPr>
          <w:rFonts w:ascii="Arial" w:hAnsi="Arial" w:cs="Arial"/>
        </w:rPr>
        <w:t xml:space="preserve"> in terms of conducting these tasks, I needed to maintain kitchen hygiene, and standards to arrange tables for customers. </w:t>
      </w:r>
    </w:p>
    <w:p w14:paraId="4E1B6B65" w14:textId="77777777" w:rsidR="00175CBF" w:rsidRPr="0015385A" w:rsidRDefault="00175CBF" w:rsidP="00C904C8">
      <w:pPr>
        <w:spacing w:after="0" w:line="240" w:lineRule="auto"/>
        <w:rPr>
          <w:rFonts w:ascii="Arial" w:hAnsi="Arial" w:cs="Arial"/>
        </w:rPr>
      </w:pPr>
    </w:p>
    <w:p w14:paraId="72A49D77" w14:textId="35606F97" w:rsidR="00C661FA" w:rsidRPr="0015385A" w:rsidRDefault="00C661FA" w:rsidP="00175CBF">
      <w:pPr>
        <w:spacing w:after="0" w:line="240" w:lineRule="auto"/>
        <w:rPr>
          <w:rFonts w:ascii="Arial" w:hAnsi="Arial" w:cs="Arial"/>
        </w:rPr>
      </w:pPr>
      <w:r w:rsidRPr="0015385A">
        <w:rPr>
          <w:rFonts w:ascii="Arial" w:hAnsi="Arial" w:cs="Arial"/>
        </w:rPr>
        <w:t xml:space="preserve">If I consider what I need to do in the following workplace, I must hold a professional and courteous attitude with customers and colleagues. I need to adapt to pressure situations where customers rush. Under that scenario, I needed to be patient and hold diplomacy in providing service. </w:t>
      </w:r>
      <w:proofErr w:type="gramStart"/>
      <w:r w:rsidRPr="0015385A">
        <w:rPr>
          <w:rFonts w:ascii="Arial" w:hAnsi="Arial" w:cs="Arial"/>
        </w:rPr>
        <w:t>In order to</w:t>
      </w:r>
      <w:proofErr w:type="gramEnd"/>
      <w:r w:rsidRPr="0015385A">
        <w:rPr>
          <w:rFonts w:ascii="Arial" w:hAnsi="Arial" w:cs="Arial"/>
        </w:rPr>
        <w:t xml:space="preserve"> articulate this pressure situation in a smooth scenario, I arrange dining areas and maintain a queue. I have witnessed staff movements, delegation of tasks and collaborative work. These approaches guided me to learn effective team dynamics</w:t>
      </w:r>
      <w:r w:rsidR="00591214" w:rsidRPr="0015385A">
        <w:rPr>
          <w:rFonts w:ascii="Arial" w:hAnsi="Arial" w:cs="Arial"/>
          <w:color w:val="000000"/>
        </w:rPr>
        <w:t xml:space="preserve"> </w:t>
      </w:r>
      <w:r w:rsidR="00591214" w:rsidRPr="0015385A">
        <w:rPr>
          <w:rFonts w:ascii="Arial" w:hAnsi="Arial" w:cs="Arial"/>
        </w:rPr>
        <w:t>(Demir and Dincer, 2020)</w:t>
      </w:r>
      <w:r w:rsidRPr="0015385A">
        <w:rPr>
          <w:rFonts w:ascii="Arial" w:hAnsi="Arial" w:cs="Arial"/>
        </w:rPr>
        <w:t xml:space="preserve">. I believe that team efficiency can create higher productivity. This can ensure my career development as well. </w:t>
      </w:r>
      <w:r w:rsidR="00A3674A" w:rsidRPr="0015385A">
        <w:rPr>
          <w:rFonts w:ascii="Arial" w:hAnsi="Arial" w:cs="Arial"/>
        </w:rPr>
        <w:t>To</w:t>
      </w:r>
      <w:r w:rsidRPr="0015385A">
        <w:rPr>
          <w:rFonts w:ascii="Arial" w:hAnsi="Arial" w:cs="Arial"/>
        </w:rPr>
        <w:t xml:space="preserve"> ensure customer satisfaction I often needed to communicate with customers and understand their food desires. The ability to communicate and understand the customer's desire also provides emotional intelligence which is a key attribute for a successful work environment. I found my experience in the food and beverages department provided this scope to develop my emotional intelligence which is practised through customer handling. </w:t>
      </w:r>
    </w:p>
    <w:p w14:paraId="7B2F3A1D" w14:textId="77777777" w:rsidR="00175CBF" w:rsidRPr="0015385A" w:rsidRDefault="00175CBF" w:rsidP="00175CBF">
      <w:pPr>
        <w:spacing w:after="0" w:line="240" w:lineRule="auto"/>
        <w:rPr>
          <w:rFonts w:ascii="Arial" w:hAnsi="Arial" w:cs="Arial"/>
        </w:rPr>
      </w:pPr>
    </w:p>
    <w:p w14:paraId="36B55E78" w14:textId="0FA3060E" w:rsidR="00C661FA" w:rsidRPr="0015385A" w:rsidRDefault="00C661FA" w:rsidP="00C661FA">
      <w:pPr>
        <w:pStyle w:val="Heading1"/>
        <w:rPr>
          <w:rFonts w:ascii="Arial" w:hAnsi="Arial" w:cs="Arial"/>
        </w:rPr>
      </w:pPr>
      <w:bookmarkStart w:id="2" w:name="_Toc159348552"/>
      <w:r w:rsidRPr="0015385A">
        <w:rPr>
          <w:rFonts w:ascii="Arial" w:hAnsi="Arial" w:cs="Arial"/>
        </w:rPr>
        <w:t>Section 2 Critical Analysis of Work-Based Skills and Technical Knowledge</w:t>
      </w:r>
      <w:bookmarkEnd w:id="2"/>
      <w:r w:rsidRPr="0015385A">
        <w:rPr>
          <w:rFonts w:ascii="Arial" w:hAnsi="Arial" w:cs="Arial"/>
        </w:rPr>
        <w:t> </w:t>
      </w:r>
    </w:p>
    <w:p w14:paraId="04B60EC5" w14:textId="4BFC7971" w:rsidR="00C661FA" w:rsidRPr="0015385A" w:rsidRDefault="00C661FA" w:rsidP="00175CBF">
      <w:pPr>
        <w:spacing w:after="0" w:line="240" w:lineRule="auto"/>
        <w:rPr>
          <w:rFonts w:ascii="Arial" w:hAnsi="Arial" w:cs="Arial"/>
        </w:rPr>
      </w:pPr>
      <w:r w:rsidRPr="0015385A">
        <w:rPr>
          <w:rFonts w:ascii="Arial" w:hAnsi="Arial" w:cs="Arial"/>
        </w:rPr>
        <w:t>The importance of work-based skills in meeting guest service standards cannot be overstated. Here I find effective communication is a key part. I needed to understand the customer's demands and put a note on their desire. By their order, I need to arrange the dishes for customers. In that process, I deliver the guidelines to our chef. Here communication is a key factor. Any mistake in this communication can dissatisfied customers and result in a bad reputation for the brand. I find it a key component in the following work experience</w:t>
      </w:r>
      <w:r w:rsidR="001868A5" w:rsidRPr="0015385A">
        <w:rPr>
          <w:rFonts w:ascii="Arial" w:hAnsi="Arial" w:cs="Arial"/>
          <w:color w:val="000000"/>
        </w:rPr>
        <w:t xml:space="preserve"> </w:t>
      </w:r>
      <w:r w:rsidR="001868A5" w:rsidRPr="0015385A">
        <w:rPr>
          <w:rFonts w:ascii="Arial" w:hAnsi="Arial" w:cs="Arial"/>
        </w:rPr>
        <w:t>(Francisco and Nuqui, 2020)</w:t>
      </w:r>
      <w:r w:rsidRPr="0015385A">
        <w:rPr>
          <w:rFonts w:ascii="Arial" w:hAnsi="Arial" w:cs="Arial"/>
        </w:rPr>
        <w:t>. Effective communication is also needed to be in a systematic process. I need to arrange my customers in a serial and category where I will deliver the menu cards to them. Based on their category I communicate their food desire to the chef. Without this systematic category, work efficiency doesn't get up to the mark. Therefore, systematic arrangement is another major feature of concern in work-based skills. </w:t>
      </w:r>
    </w:p>
    <w:p w14:paraId="41CD2B8A" w14:textId="77777777" w:rsidR="00175CBF" w:rsidRPr="0015385A" w:rsidRDefault="00175CBF" w:rsidP="00175CBF">
      <w:pPr>
        <w:spacing w:after="0" w:line="240" w:lineRule="auto"/>
        <w:rPr>
          <w:rFonts w:ascii="Arial" w:hAnsi="Arial" w:cs="Arial"/>
        </w:rPr>
      </w:pPr>
    </w:p>
    <w:p w14:paraId="49C65A51" w14:textId="291D548F" w:rsidR="00C661FA" w:rsidRPr="0015385A" w:rsidRDefault="00175CBF" w:rsidP="00175CBF">
      <w:pPr>
        <w:spacing w:after="0" w:line="240" w:lineRule="auto"/>
        <w:rPr>
          <w:rFonts w:ascii="Arial" w:hAnsi="Arial" w:cs="Arial"/>
        </w:rPr>
      </w:pPr>
      <w:r w:rsidRPr="0015385A">
        <w:rPr>
          <w:rFonts w:ascii="Arial" w:hAnsi="Arial" w:cs="Arial"/>
        </w:rPr>
        <w:t>However, there</w:t>
      </w:r>
      <w:r w:rsidR="00C661FA" w:rsidRPr="0015385A">
        <w:rPr>
          <w:rFonts w:ascii="Arial" w:hAnsi="Arial" w:cs="Arial"/>
        </w:rPr>
        <w:t xml:space="preserve"> are technical areas as well which require attention to provide customer satisfaction with the brand. In my food and beverages department, I handle the payment process as well. In the payment process, I am often required to provide invoice data to our cashier. In that process, I need to carry the codes and dish numbers which were previously ordered by customers</w:t>
      </w:r>
      <w:r w:rsidR="00623701" w:rsidRPr="0015385A">
        <w:rPr>
          <w:rFonts w:ascii="Arial" w:hAnsi="Arial" w:cs="Arial"/>
          <w:color w:val="000000"/>
        </w:rPr>
        <w:t xml:space="preserve"> </w:t>
      </w:r>
      <w:r w:rsidR="00623701" w:rsidRPr="0015385A">
        <w:rPr>
          <w:rFonts w:ascii="Arial" w:hAnsi="Arial" w:cs="Arial"/>
        </w:rPr>
        <w:t>(Brownlee, 2019)</w:t>
      </w:r>
      <w:r w:rsidR="00C661FA" w:rsidRPr="0015385A">
        <w:rPr>
          <w:rFonts w:ascii="Arial" w:hAnsi="Arial" w:cs="Arial"/>
        </w:rPr>
        <w:t xml:space="preserve">. The proper accuracy of information here helps to create suitable billing </w:t>
      </w:r>
      <w:r w:rsidR="00623701" w:rsidRPr="0015385A">
        <w:rPr>
          <w:rFonts w:ascii="Arial" w:hAnsi="Arial" w:cs="Arial"/>
        </w:rPr>
        <w:t>for</w:t>
      </w:r>
      <w:r w:rsidR="00C661FA" w:rsidRPr="0015385A">
        <w:rPr>
          <w:rFonts w:ascii="Arial" w:hAnsi="Arial" w:cs="Arial"/>
        </w:rPr>
        <w:t xml:space="preserve"> customers. When I reflect on a POS system, I am reminded of how it effortlessly calculates a customer's purchase amount, adds the necessary sales tax, efficiently processes the payment, and dutifully logs the time and date of the transaction</w:t>
      </w:r>
      <w:r w:rsidR="001868A5" w:rsidRPr="0015385A">
        <w:rPr>
          <w:rFonts w:ascii="Arial" w:hAnsi="Arial" w:cs="Arial"/>
          <w:color w:val="000000"/>
        </w:rPr>
        <w:t xml:space="preserve"> </w:t>
      </w:r>
      <w:r w:rsidR="001868A5" w:rsidRPr="0015385A">
        <w:rPr>
          <w:rFonts w:ascii="Arial" w:hAnsi="Arial" w:cs="Arial"/>
        </w:rPr>
        <w:t>(Guo </w:t>
      </w:r>
      <w:r w:rsidR="001868A5" w:rsidRPr="0015385A">
        <w:rPr>
          <w:rFonts w:ascii="Arial" w:hAnsi="Arial" w:cs="Arial"/>
          <w:i/>
          <w:iCs/>
        </w:rPr>
        <w:t>et al.</w:t>
      </w:r>
      <w:r w:rsidR="001868A5" w:rsidRPr="0015385A">
        <w:rPr>
          <w:rFonts w:ascii="Arial" w:hAnsi="Arial" w:cs="Arial"/>
        </w:rPr>
        <w:t>, 2020)</w:t>
      </w:r>
      <w:r w:rsidR="00C661FA" w:rsidRPr="0015385A">
        <w:rPr>
          <w:rFonts w:ascii="Arial" w:hAnsi="Arial" w:cs="Arial"/>
        </w:rPr>
        <w:t>. Once I finish the transaction, I often find that most POS systems automatically generate a receipt, both in paper and digital format. Additionally, these systems also update the inventory records accordingly. I have come to realize that POS systems serve as the contemporary iteration of cash registers.</w:t>
      </w:r>
    </w:p>
    <w:p w14:paraId="67239A8C" w14:textId="77777777" w:rsidR="00175CBF" w:rsidRPr="0015385A" w:rsidRDefault="00175CBF" w:rsidP="00175CBF">
      <w:pPr>
        <w:spacing w:after="0" w:line="240" w:lineRule="auto"/>
        <w:rPr>
          <w:rFonts w:ascii="Arial" w:hAnsi="Arial" w:cs="Arial"/>
        </w:rPr>
      </w:pPr>
    </w:p>
    <w:p w14:paraId="2DAE9052" w14:textId="77777777" w:rsidR="00175CBF" w:rsidRPr="0015385A" w:rsidRDefault="00175CBF" w:rsidP="00175CBF">
      <w:pPr>
        <w:spacing w:after="0" w:line="240" w:lineRule="auto"/>
        <w:rPr>
          <w:rFonts w:ascii="Arial" w:hAnsi="Arial" w:cs="Arial"/>
        </w:rPr>
      </w:pPr>
    </w:p>
    <w:p w14:paraId="0E8518F3" w14:textId="77777777" w:rsidR="00175CBF" w:rsidRPr="0015385A" w:rsidRDefault="00175CBF" w:rsidP="00175CBF">
      <w:pPr>
        <w:spacing w:after="0" w:line="240" w:lineRule="auto"/>
        <w:rPr>
          <w:rFonts w:ascii="Arial" w:hAnsi="Arial" w:cs="Arial"/>
        </w:rPr>
      </w:pPr>
    </w:p>
    <w:p w14:paraId="3A5EF722" w14:textId="77777777" w:rsidR="00175CBF" w:rsidRPr="0015385A" w:rsidRDefault="00175CBF" w:rsidP="00175CBF">
      <w:pPr>
        <w:spacing w:after="0" w:line="240" w:lineRule="auto"/>
        <w:rPr>
          <w:rFonts w:ascii="Arial" w:hAnsi="Arial" w:cs="Arial"/>
        </w:rPr>
      </w:pPr>
    </w:p>
    <w:p w14:paraId="71A80141" w14:textId="77777777" w:rsidR="00175CBF" w:rsidRPr="0015385A" w:rsidRDefault="00175CBF" w:rsidP="00175CBF">
      <w:pPr>
        <w:spacing w:after="0" w:line="240" w:lineRule="auto"/>
        <w:rPr>
          <w:rFonts w:ascii="Arial" w:hAnsi="Arial" w:cs="Arial"/>
        </w:rPr>
      </w:pPr>
    </w:p>
    <w:p w14:paraId="30BFA301" w14:textId="77777777" w:rsidR="00175CBF" w:rsidRPr="0015385A" w:rsidRDefault="00175CBF" w:rsidP="00175CBF">
      <w:pPr>
        <w:spacing w:after="0" w:line="240" w:lineRule="auto"/>
        <w:rPr>
          <w:rFonts w:ascii="Arial" w:hAnsi="Arial" w:cs="Arial"/>
        </w:rPr>
      </w:pPr>
    </w:p>
    <w:p w14:paraId="2BD37648" w14:textId="2069ACD3" w:rsidR="00C661FA" w:rsidRPr="0015385A" w:rsidRDefault="00C661FA" w:rsidP="00C661FA">
      <w:pPr>
        <w:pStyle w:val="Heading1"/>
        <w:rPr>
          <w:rFonts w:ascii="Arial" w:hAnsi="Arial" w:cs="Arial"/>
        </w:rPr>
      </w:pPr>
      <w:bookmarkStart w:id="3" w:name="_Toc159348553"/>
      <w:r w:rsidRPr="0015385A">
        <w:rPr>
          <w:rFonts w:ascii="Arial" w:hAnsi="Arial" w:cs="Arial"/>
        </w:rPr>
        <w:t>Section 3: Reflection on Organisational Issues</w:t>
      </w:r>
      <w:bookmarkEnd w:id="3"/>
    </w:p>
    <w:p w14:paraId="533A4629" w14:textId="77777777" w:rsidR="009D11E7" w:rsidRDefault="00C661FA" w:rsidP="009D11E7">
      <w:pPr>
        <w:rPr>
          <w:rFonts w:ascii="Arial" w:hAnsi="Arial" w:cs="Arial"/>
        </w:rPr>
      </w:pPr>
      <w:r w:rsidRPr="0015385A">
        <w:rPr>
          <w:rFonts w:ascii="Arial" w:hAnsi="Arial" w:cs="Arial"/>
        </w:rPr>
        <w:t>Here one example is provided on organisational issues of the food and beverage industry. </w:t>
      </w:r>
    </w:p>
    <w:p w14:paraId="6C74DDA1" w14:textId="6A04BFAD" w:rsidR="00C661FA" w:rsidRPr="0015385A" w:rsidRDefault="00C661FA" w:rsidP="009D11E7">
      <w:pPr>
        <w:rPr>
          <w:rFonts w:ascii="Arial" w:hAnsi="Arial" w:cs="Arial"/>
        </w:rPr>
      </w:pPr>
      <w:r w:rsidRPr="0015385A">
        <w:rPr>
          <w:rFonts w:ascii="Arial" w:hAnsi="Arial" w:cs="Arial"/>
        </w:rPr>
        <w:t>Orders may get mixed up during busy times. I wonder if someone took the wrong order, the kitchen served it to the wrong table, or there was a miscommunication.  I've learned that stresses and tensions in myself or others can cause situations like this. I think staying cool is essential to solving any problem. Being objective rather than blaming others is more beneficial. Avoid getting emotional and focus on solving the problem. First, I apologize to our valued guests for the order mix-up. Always promise them that I will personally double-check their order. After receiving their dish, I explain things in the kitchen</w:t>
      </w:r>
      <w:r w:rsidR="001868A5" w:rsidRPr="0015385A">
        <w:rPr>
          <w:rFonts w:ascii="Arial" w:hAnsi="Arial" w:cs="Arial"/>
          <w:color w:val="000000"/>
        </w:rPr>
        <w:t xml:space="preserve"> </w:t>
      </w:r>
      <w:r w:rsidR="001868A5" w:rsidRPr="0015385A">
        <w:rPr>
          <w:rFonts w:ascii="Arial" w:hAnsi="Arial" w:cs="Arial"/>
        </w:rPr>
        <w:t>(Kim and Shin, 2020)</w:t>
      </w:r>
      <w:r w:rsidRPr="0015385A">
        <w:rPr>
          <w:rFonts w:ascii="Arial" w:hAnsi="Arial" w:cs="Arial"/>
        </w:rPr>
        <w:t xml:space="preserve">. After a long wait, receiving the wrong order might be frustrating. I apologize for the delay and appreciate your patience. The restaurant is filled, which may </w:t>
      </w:r>
      <w:r w:rsidR="002C262E" w:rsidRPr="0015385A">
        <w:rPr>
          <w:rFonts w:ascii="Arial" w:hAnsi="Arial" w:cs="Arial"/>
        </w:rPr>
        <w:t>be</w:t>
      </w:r>
      <w:r w:rsidRPr="0015385A">
        <w:rPr>
          <w:rFonts w:ascii="Arial" w:hAnsi="Arial" w:cs="Arial"/>
        </w:rPr>
        <w:t xml:space="preserve"> </w:t>
      </w:r>
      <w:r w:rsidR="002C262E" w:rsidRPr="0015385A">
        <w:rPr>
          <w:rFonts w:ascii="Arial" w:hAnsi="Arial" w:cs="Arial"/>
        </w:rPr>
        <w:t>confusing</w:t>
      </w:r>
      <w:r w:rsidRPr="0015385A">
        <w:rPr>
          <w:rFonts w:ascii="Arial" w:hAnsi="Arial" w:cs="Arial"/>
        </w:rPr>
        <w:t xml:space="preserve">. May I replenish your beverages or give </w:t>
      </w:r>
      <w:r w:rsidR="00A3674A" w:rsidRPr="0015385A">
        <w:rPr>
          <w:rFonts w:ascii="Arial" w:hAnsi="Arial" w:cs="Arial"/>
        </w:rPr>
        <w:t xml:space="preserve">you </w:t>
      </w:r>
      <w:r w:rsidRPr="0015385A">
        <w:rPr>
          <w:rFonts w:ascii="Arial" w:hAnsi="Arial" w:cs="Arial"/>
        </w:rPr>
        <w:t>a free side dish while you wait? I recommend vocally clarifying orders with consumers before serving. This prevents confusion and ensures everyone is on the same page. Some restaurants place the order chit on the table and check off each dish as it's served. Interesting technique to track orders.</w:t>
      </w:r>
    </w:p>
    <w:p w14:paraId="48D924E1" w14:textId="1777967C" w:rsidR="00C661FA" w:rsidRPr="0015385A" w:rsidRDefault="00C661FA" w:rsidP="00C661FA">
      <w:pPr>
        <w:rPr>
          <w:rFonts w:ascii="Arial" w:hAnsi="Arial" w:cs="Arial"/>
        </w:rPr>
      </w:pPr>
      <w:r w:rsidRPr="0015385A">
        <w:rPr>
          <w:rFonts w:ascii="Arial" w:hAnsi="Arial" w:cs="Arial"/>
        </w:rPr>
        <w:t>Here an associated theory or model is presented to the relevant organisational issue. </w:t>
      </w:r>
    </w:p>
    <w:p w14:paraId="5A1B6683" w14:textId="77777777" w:rsidR="009D11E7" w:rsidRDefault="009D11E7" w:rsidP="00C661FA">
      <w:pPr>
        <w:rPr>
          <w:rFonts w:ascii="Arial" w:hAnsi="Arial" w:cs="Arial"/>
          <w:b/>
          <w:bCs/>
        </w:rPr>
      </w:pPr>
    </w:p>
    <w:p w14:paraId="5E58B779" w14:textId="77777777" w:rsidR="009D11E7" w:rsidRDefault="009D11E7" w:rsidP="00C661FA">
      <w:pPr>
        <w:rPr>
          <w:rFonts w:ascii="Arial" w:hAnsi="Arial" w:cs="Arial"/>
          <w:b/>
          <w:bCs/>
        </w:rPr>
      </w:pPr>
    </w:p>
    <w:p w14:paraId="2CE9A555" w14:textId="77777777" w:rsidR="009D11E7" w:rsidRDefault="009D11E7" w:rsidP="00C661FA">
      <w:pPr>
        <w:rPr>
          <w:rFonts w:ascii="Arial" w:hAnsi="Arial" w:cs="Arial"/>
          <w:b/>
          <w:bCs/>
        </w:rPr>
      </w:pPr>
    </w:p>
    <w:p w14:paraId="1946DA32" w14:textId="77777777" w:rsidR="009D11E7" w:rsidRDefault="009D11E7" w:rsidP="00C661FA">
      <w:pPr>
        <w:rPr>
          <w:rFonts w:ascii="Arial" w:hAnsi="Arial" w:cs="Arial"/>
          <w:b/>
          <w:bCs/>
        </w:rPr>
      </w:pPr>
    </w:p>
    <w:p w14:paraId="40D83F48" w14:textId="77777777" w:rsidR="009D11E7" w:rsidRDefault="009D11E7" w:rsidP="00C661FA">
      <w:pPr>
        <w:rPr>
          <w:rFonts w:ascii="Arial" w:hAnsi="Arial" w:cs="Arial"/>
          <w:b/>
          <w:bCs/>
        </w:rPr>
      </w:pPr>
    </w:p>
    <w:p w14:paraId="05DA7B3A" w14:textId="77777777" w:rsidR="009D11E7" w:rsidRDefault="009D11E7" w:rsidP="00C661FA">
      <w:pPr>
        <w:rPr>
          <w:rFonts w:ascii="Arial" w:hAnsi="Arial" w:cs="Arial"/>
          <w:b/>
          <w:bCs/>
        </w:rPr>
      </w:pPr>
    </w:p>
    <w:p w14:paraId="34BC002E" w14:textId="43008426" w:rsidR="00C661FA" w:rsidRPr="0015385A" w:rsidRDefault="00C661FA" w:rsidP="00C661FA">
      <w:pPr>
        <w:rPr>
          <w:rFonts w:ascii="Arial" w:hAnsi="Arial" w:cs="Arial"/>
        </w:rPr>
      </w:pPr>
      <w:r w:rsidRPr="0015385A">
        <w:rPr>
          <w:rFonts w:ascii="Arial" w:hAnsi="Arial" w:cs="Arial"/>
          <w:b/>
          <w:bCs/>
        </w:rPr>
        <w:lastRenderedPageBreak/>
        <w:t>Situational Leadership</w:t>
      </w:r>
    </w:p>
    <w:p w14:paraId="441D7F7F" w14:textId="4F1A0844" w:rsidR="00C661FA" w:rsidRPr="0015385A" w:rsidRDefault="00C661FA" w:rsidP="00C661FA">
      <w:pPr>
        <w:rPr>
          <w:rFonts w:ascii="Arial" w:hAnsi="Arial" w:cs="Arial"/>
        </w:rPr>
      </w:pPr>
      <w:r w:rsidRPr="0015385A">
        <w:rPr>
          <w:rFonts w:ascii="Arial" w:hAnsi="Arial" w:cs="Arial"/>
          <w:b/>
          <w:bCs/>
          <w:noProof/>
        </w:rPr>
        <w:drawing>
          <wp:inline distT="0" distB="0" distL="0" distR="0" wp14:anchorId="56331A28" wp14:editId="3A8967E9">
            <wp:extent cx="5943600" cy="3877945"/>
            <wp:effectExtent l="0" t="0" r="0" b="8255"/>
            <wp:docPr id="199846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943600" cy="3877945"/>
                    </a:xfrm>
                    <a:prstGeom prst="rect">
                      <a:avLst/>
                    </a:prstGeom>
                    <a:noFill/>
                    <a:ln>
                      <a:noFill/>
                    </a:ln>
                    <a:extLst>
                      <a:ext uri="{53640926-AAD7-44D8-BBD7-CCE9431645EC}">
                        <a14:shadowObscured xmlns:a14="http://schemas.microsoft.com/office/drawing/2010/main"/>
                      </a:ext>
                    </a:extLst>
                  </pic:spPr>
                </pic:pic>
              </a:graphicData>
            </a:graphic>
          </wp:inline>
        </w:drawing>
      </w:r>
    </w:p>
    <w:p w14:paraId="3AB101C1" w14:textId="03767020" w:rsidR="00C661FA" w:rsidRPr="0015385A" w:rsidRDefault="00C661FA" w:rsidP="003544A2">
      <w:pPr>
        <w:ind w:left="1440"/>
        <w:rPr>
          <w:rFonts w:ascii="Arial" w:hAnsi="Arial" w:cs="Arial"/>
        </w:rPr>
      </w:pPr>
      <w:r w:rsidRPr="0015385A">
        <w:rPr>
          <w:rFonts w:ascii="Arial" w:hAnsi="Arial" w:cs="Arial"/>
          <w:b/>
          <w:bCs/>
        </w:rPr>
        <w:t>Figure: Situational Leadership method </w:t>
      </w:r>
      <w:r w:rsidR="001868A5" w:rsidRPr="0015385A">
        <w:rPr>
          <w:rFonts w:ascii="Arial" w:hAnsi="Arial" w:cs="Arial"/>
          <w:b/>
          <w:bCs/>
        </w:rPr>
        <w:t>(Kim and Shin, 2020)</w:t>
      </w:r>
    </w:p>
    <w:p w14:paraId="2E303DDE" w14:textId="1042F060" w:rsidR="00C661FA" w:rsidRPr="0015385A" w:rsidRDefault="00C661FA" w:rsidP="0099631D">
      <w:pPr>
        <w:spacing w:after="0" w:line="240" w:lineRule="auto"/>
        <w:rPr>
          <w:rFonts w:ascii="Arial" w:hAnsi="Arial" w:cs="Arial"/>
        </w:rPr>
      </w:pPr>
      <w:r w:rsidRPr="0015385A">
        <w:rPr>
          <w:rFonts w:ascii="Arial" w:hAnsi="Arial" w:cs="Arial"/>
        </w:rPr>
        <w:t>I find the situational leadership model to be a truly fascinating and effective approach to leadership. It places a strong emphasis on building and nurturing relationships, which I believe is crucial for successful leadership</w:t>
      </w:r>
      <w:r w:rsidR="001868A5" w:rsidRPr="0015385A">
        <w:rPr>
          <w:rFonts w:ascii="Arial" w:hAnsi="Arial" w:cs="Arial"/>
          <w:color w:val="000000"/>
        </w:rPr>
        <w:t xml:space="preserve"> </w:t>
      </w:r>
      <w:r w:rsidR="001868A5" w:rsidRPr="0015385A">
        <w:rPr>
          <w:rFonts w:ascii="Arial" w:hAnsi="Arial" w:cs="Arial"/>
        </w:rPr>
        <w:t>(Kim and Shin, 2020)</w:t>
      </w:r>
      <w:r w:rsidRPr="0015385A">
        <w:rPr>
          <w:rFonts w:ascii="Arial" w:hAnsi="Arial" w:cs="Arial"/>
        </w:rPr>
        <w:t xml:space="preserve">. I have found that as a leader, it is crucial to be adaptable and flexible in my approach. Understanding the unique needs and dynamics of each team member and situation allows me to tailor my leadership style accordingly. By doing so, I </w:t>
      </w:r>
      <w:r w:rsidR="00A3674A" w:rsidRPr="0015385A">
        <w:rPr>
          <w:rFonts w:ascii="Arial" w:hAnsi="Arial" w:cs="Arial"/>
        </w:rPr>
        <w:t>can</w:t>
      </w:r>
      <w:r w:rsidRPr="0015385A">
        <w:rPr>
          <w:rFonts w:ascii="Arial" w:hAnsi="Arial" w:cs="Arial"/>
        </w:rPr>
        <w:t xml:space="preserve"> effectively guide and support my team in the best possible way</w:t>
      </w:r>
      <w:r w:rsidR="0024453E" w:rsidRPr="0015385A">
        <w:rPr>
          <w:rFonts w:ascii="Arial" w:hAnsi="Arial" w:cs="Arial"/>
          <w:color w:val="000000"/>
        </w:rPr>
        <w:t xml:space="preserve"> </w:t>
      </w:r>
      <w:r w:rsidR="0024453E" w:rsidRPr="0015385A">
        <w:rPr>
          <w:rFonts w:ascii="Arial" w:hAnsi="Arial" w:cs="Arial"/>
        </w:rPr>
        <w:t>(Riegel </w:t>
      </w:r>
      <w:r w:rsidR="0024453E" w:rsidRPr="0015385A">
        <w:rPr>
          <w:rFonts w:ascii="Arial" w:hAnsi="Arial" w:cs="Arial"/>
          <w:i/>
          <w:iCs/>
        </w:rPr>
        <w:t>et al.</w:t>
      </w:r>
      <w:r w:rsidR="0024453E" w:rsidRPr="0015385A">
        <w:rPr>
          <w:rFonts w:ascii="Arial" w:hAnsi="Arial" w:cs="Arial"/>
        </w:rPr>
        <w:t>, 2021)</w:t>
      </w:r>
      <w:r w:rsidRPr="0015385A">
        <w:rPr>
          <w:rFonts w:ascii="Arial" w:hAnsi="Arial" w:cs="Arial"/>
        </w:rPr>
        <w:t xml:space="preserve">. I have come to realize that the choice of leadership style can truly make a significant difference in the performance of a team. I have come to realize that choosing the appropriate leadership style for a given situation is essential </w:t>
      </w:r>
      <w:r w:rsidR="00A3674A" w:rsidRPr="0015385A">
        <w:rPr>
          <w:rFonts w:ascii="Arial" w:hAnsi="Arial" w:cs="Arial"/>
        </w:rPr>
        <w:t>to</w:t>
      </w:r>
      <w:r w:rsidRPr="0015385A">
        <w:rPr>
          <w:rFonts w:ascii="Arial" w:hAnsi="Arial" w:cs="Arial"/>
        </w:rPr>
        <w:t xml:space="preserve"> ensure the success of my team</w:t>
      </w:r>
      <w:r w:rsidR="0024453E" w:rsidRPr="0015385A">
        <w:rPr>
          <w:rFonts w:ascii="Arial" w:hAnsi="Arial" w:cs="Arial"/>
          <w:color w:val="000000"/>
        </w:rPr>
        <w:t xml:space="preserve"> </w:t>
      </w:r>
      <w:r w:rsidR="0024453E" w:rsidRPr="0015385A">
        <w:rPr>
          <w:rFonts w:ascii="Arial" w:hAnsi="Arial" w:cs="Arial"/>
        </w:rPr>
        <w:t xml:space="preserve">(Roy and </w:t>
      </w:r>
      <w:proofErr w:type="spellStart"/>
      <w:r w:rsidR="0024453E" w:rsidRPr="0015385A">
        <w:rPr>
          <w:rFonts w:ascii="Arial" w:hAnsi="Arial" w:cs="Arial"/>
        </w:rPr>
        <w:t>Uekusa</w:t>
      </w:r>
      <w:proofErr w:type="spellEnd"/>
      <w:r w:rsidR="0024453E" w:rsidRPr="0015385A">
        <w:rPr>
          <w:rFonts w:ascii="Arial" w:hAnsi="Arial" w:cs="Arial"/>
        </w:rPr>
        <w:t>, 2020)</w:t>
      </w:r>
      <w:r w:rsidRPr="0015385A">
        <w:rPr>
          <w:rFonts w:ascii="Arial" w:hAnsi="Arial" w:cs="Arial"/>
        </w:rPr>
        <w:t>.</w:t>
      </w:r>
    </w:p>
    <w:p w14:paraId="3315C7EF" w14:textId="53A724BC" w:rsidR="00C661FA" w:rsidRPr="0015385A" w:rsidRDefault="00C661FA" w:rsidP="00C661FA">
      <w:pPr>
        <w:pStyle w:val="Heading1"/>
        <w:rPr>
          <w:rFonts w:ascii="Arial" w:hAnsi="Arial" w:cs="Arial"/>
        </w:rPr>
      </w:pPr>
      <w:bookmarkStart w:id="4" w:name="_Toc159348554"/>
      <w:r w:rsidRPr="0015385A">
        <w:rPr>
          <w:rFonts w:ascii="Arial" w:hAnsi="Arial" w:cs="Arial"/>
        </w:rPr>
        <w:t>Section 4: Future Action Plan</w:t>
      </w:r>
      <w:bookmarkEnd w:id="4"/>
    </w:p>
    <w:p w14:paraId="65A3EB79" w14:textId="77777777" w:rsidR="00C661FA" w:rsidRPr="0015385A" w:rsidRDefault="00C661FA" w:rsidP="00C661FA">
      <w:pPr>
        <w:rPr>
          <w:rFonts w:ascii="Arial" w:hAnsi="Arial" w:cs="Arial"/>
        </w:rPr>
      </w:pPr>
      <w:r w:rsidRPr="0015385A">
        <w:rPr>
          <w:rFonts w:ascii="Arial" w:hAnsi="Arial" w:cs="Arial"/>
        </w:rPr>
        <w:t>Here some of my future action plan is provided. </w:t>
      </w:r>
    </w:p>
    <w:p w14:paraId="5C8D5E04" w14:textId="1D5CF3B4" w:rsidR="00C661FA" w:rsidRPr="0015385A" w:rsidRDefault="00C661FA" w:rsidP="0099631D">
      <w:pPr>
        <w:spacing w:after="0" w:line="240" w:lineRule="auto"/>
        <w:rPr>
          <w:rFonts w:ascii="Arial" w:hAnsi="Arial" w:cs="Arial"/>
        </w:rPr>
      </w:pPr>
      <w:r w:rsidRPr="0015385A">
        <w:rPr>
          <w:rFonts w:ascii="Arial" w:hAnsi="Arial" w:cs="Arial"/>
          <w:b/>
          <w:bCs/>
        </w:rPr>
        <w:t xml:space="preserve">Kitchen staff training: </w:t>
      </w:r>
      <w:r w:rsidRPr="0015385A">
        <w:rPr>
          <w:rFonts w:ascii="Arial" w:hAnsi="Arial" w:cs="Arial"/>
        </w:rPr>
        <w:t xml:space="preserve">I believe it is important to organize training sessions for all kitchen staff </w:t>
      </w:r>
      <w:r w:rsidR="00A3674A" w:rsidRPr="0015385A">
        <w:rPr>
          <w:rFonts w:ascii="Arial" w:hAnsi="Arial" w:cs="Arial"/>
        </w:rPr>
        <w:t>to</w:t>
      </w:r>
      <w:r w:rsidRPr="0015385A">
        <w:rPr>
          <w:rFonts w:ascii="Arial" w:hAnsi="Arial" w:cs="Arial"/>
        </w:rPr>
        <w:t xml:space="preserve"> update our processing standards</w:t>
      </w:r>
      <w:r w:rsidR="00623701" w:rsidRPr="0015385A">
        <w:rPr>
          <w:rFonts w:ascii="Arial" w:hAnsi="Arial" w:cs="Arial"/>
          <w:color w:val="000000"/>
        </w:rPr>
        <w:t xml:space="preserve"> </w:t>
      </w:r>
      <w:r w:rsidR="00623701" w:rsidRPr="0015385A">
        <w:rPr>
          <w:rFonts w:ascii="Arial" w:hAnsi="Arial" w:cs="Arial"/>
        </w:rPr>
        <w:t>(Riegel </w:t>
      </w:r>
      <w:r w:rsidR="00623701" w:rsidRPr="0015385A">
        <w:rPr>
          <w:rFonts w:ascii="Arial" w:hAnsi="Arial" w:cs="Arial"/>
          <w:i/>
          <w:iCs/>
        </w:rPr>
        <w:t>et al.</w:t>
      </w:r>
      <w:r w:rsidR="00623701" w:rsidRPr="0015385A">
        <w:rPr>
          <w:rFonts w:ascii="Arial" w:hAnsi="Arial" w:cs="Arial"/>
        </w:rPr>
        <w:t>, 2021)</w:t>
      </w:r>
      <w:r w:rsidRPr="0015385A">
        <w:rPr>
          <w:rFonts w:ascii="Arial" w:hAnsi="Arial" w:cs="Arial"/>
        </w:rPr>
        <w:t>. This will not only ensure that our food remains delicious but also maintain the safety and hygiene standards of our restaurant chain.</w:t>
      </w:r>
    </w:p>
    <w:p w14:paraId="30802F69" w14:textId="77777777" w:rsidR="0099631D" w:rsidRPr="0015385A" w:rsidRDefault="0099631D" w:rsidP="0099631D">
      <w:pPr>
        <w:spacing w:after="0" w:line="240" w:lineRule="auto"/>
        <w:rPr>
          <w:rFonts w:ascii="Arial" w:hAnsi="Arial" w:cs="Arial"/>
        </w:rPr>
      </w:pPr>
    </w:p>
    <w:p w14:paraId="365CB039" w14:textId="2E2D8F6A" w:rsidR="00C661FA" w:rsidRPr="0015385A" w:rsidRDefault="00C661FA" w:rsidP="0099631D">
      <w:pPr>
        <w:spacing w:after="0" w:line="240" w:lineRule="auto"/>
        <w:rPr>
          <w:rFonts w:ascii="Arial" w:hAnsi="Arial" w:cs="Arial"/>
        </w:rPr>
      </w:pPr>
      <w:r w:rsidRPr="0015385A">
        <w:rPr>
          <w:rFonts w:ascii="Arial" w:hAnsi="Arial" w:cs="Arial"/>
          <w:b/>
          <w:bCs/>
        </w:rPr>
        <w:t xml:space="preserve">Learn from others: </w:t>
      </w:r>
      <w:r w:rsidRPr="0015385A">
        <w:rPr>
          <w:rFonts w:ascii="Arial" w:hAnsi="Arial" w:cs="Arial"/>
        </w:rPr>
        <w:t>One of the finest methods to learn new skills and get insights is to observe and interact with other food and beverage professionals</w:t>
      </w:r>
      <w:r w:rsidR="0024453E" w:rsidRPr="0015385A">
        <w:rPr>
          <w:rFonts w:ascii="Arial" w:hAnsi="Arial" w:cs="Arial"/>
          <w:color w:val="000000"/>
        </w:rPr>
        <w:t xml:space="preserve"> </w:t>
      </w:r>
      <w:r w:rsidR="0024453E" w:rsidRPr="0015385A">
        <w:rPr>
          <w:rFonts w:ascii="Arial" w:hAnsi="Arial" w:cs="Arial"/>
        </w:rPr>
        <w:t>(</w:t>
      </w:r>
      <w:proofErr w:type="spellStart"/>
      <w:r w:rsidR="0024453E" w:rsidRPr="0015385A">
        <w:rPr>
          <w:rFonts w:ascii="Arial" w:hAnsi="Arial" w:cs="Arial"/>
        </w:rPr>
        <w:t>Wuryani</w:t>
      </w:r>
      <w:proofErr w:type="spellEnd"/>
      <w:r w:rsidR="0024453E" w:rsidRPr="0015385A">
        <w:rPr>
          <w:rFonts w:ascii="Arial" w:hAnsi="Arial" w:cs="Arial"/>
        </w:rPr>
        <w:t> </w:t>
      </w:r>
      <w:r w:rsidR="0024453E" w:rsidRPr="0015385A">
        <w:rPr>
          <w:rFonts w:ascii="Arial" w:hAnsi="Arial" w:cs="Arial"/>
          <w:i/>
          <w:iCs/>
        </w:rPr>
        <w:t>et al.</w:t>
      </w:r>
      <w:r w:rsidR="0024453E" w:rsidRPr="0015385A">
        <w:rPr>
          <w:rFonts w:ascii="Arial" w:hAnsi="Arial" w:cs="Arial"/>
        </w:rPr>
        <w:t>, 2021)</w:t>
      </w:r>
      <w:r w:rsidRPr="0015385A">
        <w:rPr>
          <w:rFonts w:ascii="Arial" w:hAnsi="Arial" w:cs="Arial"/>
        </w:rPr>
        <w:t xml:space="preserve">. This includes my employees and outsiders. Mentorship from top managers, online or offline forums and networks, </w:t>
      </w:r>
      <w:proofErr w:type="gramStart"/>
      <w:r w:rsidRPr="0015385A">
        <w:rPr>
          <w:rFonts w:ascii="Arial" w:hAnsi="Arial" w:cs="Arial"/>
        </w:rPr>
        <w:t>workshops</w:t>
      </w:r>
      <w:proofErr w:type="gramEnd"/>
      <w:r w:rsidRPr="0015385A">
        <w:rPr>
          <w:rFonts w:ascii="Arial" w:hAnsi="Arial" w:cs="Arial"/>
        </w:rPr>
        <w:t xml:space="preserve"> and seminars, and travelling to different areas might be helpful.</w:t>
      </w:r>
    </w:p>
    <w:p w14:paraId="72A969C7" w14:textId="77777777" w:rsidR="0099631D" w:rsidRPr="0015385A" w:rsidRDefault="0099631D" w:rsidP="0099631D">
      <w:pPr>
        <w:spacing w:after="0" w:line="240" w:lineRule="auto"/>
        <w:rPr>
          <w:rFonts w:ascii="Arial" w:hAnsi="Arial" w:cs="Arial"/>
        </w:rPr>
      </w:pPr>
    </w:p>
    <w:p w14:paraId="07D4DA4F" w14:textId="588F65A7" w:rsidR="00C661FA" w:rsidRPr="0015385A" w:rsidRDefault="00C661FA" w:rsidP="0099631D">
      <w:pPr>
        <w:spacing w:after="0" w:line="240" w:lineRule="auto"/>
        <w:rPr>
          <w:rFonts w:ascii="Arial" w:hAnsi="Arial" w:cs="Arial"/>
        </w:rPr>
      </w:pPr>
      <w:r w:rsidRPr="0015385A">
        <w:rPr>
          <w:rFonts w:ascii="Arial" w:hAnsi="Arial" w:cs="Arial"/>
          <w:b/>
          <w:bCs/>
        </w:rPr>
        <w:t xml:space="preserve">Keep up with trends: </w:t>
      </w:r>
      <w:r w:rsidRPr="0015385A">
        <w:rPr>
          <w:rFonts w:ascii="Arial" w:hAnsi="Arial" w:cs="Arial"/>
        </w:rPr>
        <w:t xml:space="preserve">I find it crucial to stay updated with the </w:t>
      </w:r>
      <w:proofErr w:type="gramStart"/>
      <w:r w:rsidRPr="0015385A">
        <w:rPr>
          <w:rFonts w:ascii="Arial" w:hAnsi="Arial" w:cs="Arial"/>
        </w:rPr>
        <w:t>ever-evolving</w:t>
      </w:r>
      <w:proofErr w:type="gramEnd"/>
      <w:r w:rsidRPr="0015385A">
        <w:rPr>
          <w:rFonts w:ascii="Arial" w:hAnsi="Arial" w:cs="Arial"/>
        </w:rPr>
        <w:t xml:space="preserve"> and dynamic F&amp;B industry. It's essential to be aware of the latest trends and innovations that can have an impact on our operations</w:t>
      </w:r>
      <w:r w:rsidR="0024453E" w:rsidRPr="0015385A">
        <w:rPr>
          <w:rFonts w:ascii="Arial" w:hAnsi="Arial" w:cs="Arial"/>
          <w:color w:val="000000"/>
        </w:rPr>
        <w:t xml:space="preserve"> </w:t>
      </w:r>
      <w:r w:rsidR="0024453E" w:rsidRPr="0015385A">
        <w:rPr>
          <w:rFonts w:ascii="Arial" w:hAnsi="Arial" w:cs="Arial"/>
        </w:rPr>
        <w:t>(Yan, 2020)</w:t>
      </w:r>
      <w:r w:rsidRPr="0015385A">
        <w:rPr>
          <w:rFonts w:ascii="Arial" w:hAnsi="Arial" w:cs="Arial"/>
        </w:rPr>
        <w:t xml:space="preserve">. I have found that there are numerous sources and platforms available to me </w:t>
      </w:r>
      <w:r w:rsidR="00A3674A" w:rsidRPr="0015385A">
        <w:rPr>
          <w:rFonts w:ascii="Arial" w:hAnsi="Arial" w:cs="Arial"/>
        </w:rPr>
        <w:t>to</w:t>
      </w:r>
      <w:r w:rsidRPr="0015385A">
        <w:rPr>
          <w:rFonts w:ascii="Arial" w:hAnsi="Arial" w:cs="Arial"/>
        </w:rPr>
        <w:t xml:space="preserve"> stay updated. These include industry publications, blogs, podcasts, social media, and online courses.</w:t>
      </w:r>
    </w:p>
    <w:p w14:paraId="517DE805" w14:textId="26AC80BD" w:rsidR="00C661FA" w:rsidRPr="0015385A" w:rsidRDefault="00C661FA" w:rsidP="00C661FA">
      <w:pPr>
        <w:pStyle w:val="Heading1"/>
        <w:rPr>
          <w:rFonts w:ascii="Arial" w:hAnsi="Arial" w:cs="Arial"/>
        </w:rPr>
      </w:pPr>
      <w:bookmarkStart w:id="5" w:name="_Toc159348555"/>
      <w:r w:rsidRPr="0015385A">
        <w:rPr>
          <w:rFonts w:ascii="Arial" w:hAnsi="Arial" w:cs="Arial"/>
        </w:rPr>
        <w:t>Conclusion</w:t>
      </w:r>
      <w:bookmarkEnd w:id="5"/>
    </w:p>
    <w:p w14:paraId="0BC7B01D" w14:textId="77777777" w:rsidR="00C661FA" w:rsidRPr="0015385A" w:rsidRDefault="00C661FA" w:rsidP="0099631D">
      <w:pPr>
        <w:spacing w:after="0" w:line="240" w:lineRule="auto"/>
        <w:rPr>
          <w:rFonts w:ascii="Arial" w:hAnsi="Arial" w:cs="Arial"/>
        </w:rPr>
      </w:pPr>
      <w:r w:rsidRPr="0015385A">
        <w:rPr>
          <w:rFonts w:ascii="Arial" w:hAnsi="Arial" w:cs="Arial"/>
        </w:rPr>
        <w:t>My tenure at Delta Hotel in the food and beverage area enhanced my work-related abilities, technical expertise, and standards of guest service. The significance of personal and vocational development in influencing future career aspirations within the guest service industry was emphasized.</w:t>
      </w:r>
    </w:p>
    <w:p w14:paraId="4AECC96F" w14:textId="77777777" w:rsidR="00C661FA" w:rsidRDefault="00C661FA"/>
    <w:p w14:paraId="1EA3248D" w14:textId="77777777" w:rsidR="000B3B7A" w:rsidRDefault="000B3B7A">
      <w:pPr>
        <w:spacing w:line="259" w:lineRule="auto"/>
        <w:jc w:val="left"/>
        <w:rPr>
          <w:rFonts w:eastAsiaTheme="majorEastAsia" w:cstheme="majorBidi"/>
          <w:b/>
          <w:bCs/>
          <w:color w:val="000000" w:themeColor="text1"/>
          <w:sz w:val="32"/>
          <w:szCs w:val="32"/>
        </w:rPr>
      </w:pPr>
      <w:bookmarkStart w:id="6" w:name="_Toc158763933"/>
      <w:r>
        <w:br w:type="page"/>
      </w:r>
    </w:p>
    <w:p w14:paraId="72804442" w14:textId="3EFD834E" w:rsidR="00C661FA" w:rsidRDefault="00C661FA" w:rsidP="00C661FA">
      <w:pPr>
        <w:pStyle w:val="Heading1"/>
      </w:pPr>
      <w:bookmarkStart w:id="7" w:name="_Toc159348556"/>
      <w:r>
        <w:lastRenderedPageBreak/>
        <w:t>References</w:t>
      </w:r>
      <w:bookmarkEnd w:id="6"/>
      <w:bookmarkEnd w:id="7"/>
      <w:r>
        <w:t xml:space="preserve"> </w:t>
      </w:r>
    </w:p>
    <w:p w14:paraId="48567254" w14:textId="77777777" w:rsidR="009F5CF7" w:rsidRDefault="009939F3" w:rsidP="009F5CF7">
      <w:pPr>
        <w:spacing w:after="0" w:line="240" w:lineRule="auto"/>
      </w:pPr>
      <w:r w:rsidRPr="009939F3">
        <w:t xml:space="preserve">Ali, I. and </w:t>
      </w:r>
      <w:proofErr w:type="spellStart"/>
      <w:r w:rsidRPr="009939F3">
        <w:t>Aboelmaged</w:t>
      </w:r>
      <w:proofErr w:type="spellEnd"/>
      <w:r w:rsidRPr="009939F3">
        <w:t>, M. G. S. (2022) “Implementation of supply chain 4.0 in the food and beverage industry: perceived drivers and barriers,” </w:t>
      </w:r>
      <w:r w:rsidRPr="009939F3">
        <w:rPr>
          <w:i/>
          <w:iCs/>
        </w:rPr>
        <w:t xml:space="preserve">International </w:t>
      </w:r>
      <w:r w:rsidR="00A3674A">
        <w:rPr>
          <w:i/>
          <w:iCs/>
        </w:rPr>
        <w:t>Journal</w:t>
      </w:r>
      <w:r w:rsidRPr="009939F3">
        <w:rPr>
          <w:i/>
          <w:iCs/>
        </w:rPr>
        <w:t xml:space="preserve"> of </w:t>
      </w:r>
      <w:r w:rsidR="002C262E">
        <w:rPr>
          <w:i/>
          <w:iCs/>
        </w:rPr>
        <w:t>Productivity</w:t>
      </w:r>
      <w:r w:rsidRPr="009939F3">
        <w:rPr>
          <w:i/>
          <w:iCs/>
        </w:rPr>
        <w:t xml:space="preserve"> and performance management</w:t>
      </w:r>
      <w:r w:rsidRPr="009939F3">
        <w:t xml:space="preserve">, 71(4), pp. 1426–1443. </w:t>
      </w:r>
    </w:p>
    <w:p w14:paraId="42CA7753" w14:textId="77777777" w:rsidR="008151AB" w:rsidRDefault="009F5CF7" w:rsidP="009F5CF7">
      <w:pPr>
        <w:spacing w:after="0" w:line="240" w:lineRule="auto"/>
      </w:pPr>
      <w:r>
        <w:t>Available at</w:t>
      </w:r>
      <w:r w:rsidR="009939F3" w:rsidRPr="009939F3">
        <w:t xml:space="preserve">: </w:t>
      </w:r>
      <w:hyperlink r:id="rId9" w:history="1">
        <w:r w:rsidRPr="0055270E">
          <w:rPr>
            <w:rStyle w:val="Hyperlink"/>
          </w:rPr>
          <w:t>https://doi.org/10.1108/ijppm-07-2020-0393</w:t>
        </w:r>
      </w:hyperlink>
    </w:p>
    <w:p w14:paraId="050A5473" w14:textId="2A636946" w:rsidR="009F5CF7" w:rsidRDefault="009F5CF7" w:rsidP="009F5CF7">
      <w:pPr>
        <w:spacing w:after="0" w:line="240" w:lineRule="auto"/>
      </w:pPr>
      <w:r>
        <w:t>(Accessed: 17</w:t>
      </w:r>
      <w:r w:rsidRPr="009F5CF7">
        <w:rPr>
          <w:vertAlign w:val="superscript"/>
        </w:rPr>
        <w:t>th</w:t>
      </w:r>
      <w:r>
        <w:t xml:space="preserve"> Feb 24) </w:t>
      </w:r>
    </w:p>
    <w:p w14:paraId="3205988D" w14:textId="77777777" w:rsidR="008151AB" w:rsidRDefault="008151AB" w:rsidP="008151AB">
      <w:pPr>
        <w:spacing w:after="0" w:line="240" w:lineRule="auto"/>
      </w:pPr>
    </w:p>
    <w:p w14:paraId="66E2C344" w14:textId="57354785" w:rsidR="008151AB" w:rsidRDefault="009939F3" w:rsidP="008151AB">
      <w:pPr>
        <w:spacing w:after="0" w:line="240" w:lineRule="auto"/>
      </w:pPr>
      <w:r w:rsidRPr="009939F3">
        <w:t>Brownlee, D. (2019) </w:t>
      </w:r>
      <w:r w:rsidRPr="009939F3">
        <w:rPr>
          <w:i/>
          <w:iCs/>
        </w:rPr>
        <w:t>How the ‘best companies to work for’ engage employees and retain top talent</w:t>
      </w:r>
      <w:r w:rsidRPr="009939F3">
        <w:t>, </w:t>
      </w:r>
      <w:r w:rsidRPr="009939F3">
        <w:rPr>
          <w:i/>
          <w:iCs/>
        </w:rPr>
        <w:t>Forbes</w:t>
      </w:r>
      <w:r w:rsidRPr="009939F3">
        <w:t xml:space="preserve">. </w:t>
      </w:r>
    </w:p>
    <w:p w14:paraId="0D4EDF8D" w14:textId="5D4EF253" w:rsidR="008151AB" w:rsidRDefault="009939F3" w:rsidP="008151AB">
      <w:pPr>
        <w:spacing w:after="0" w:line="240" w:lineRule="auto"/>
      </w:pPr>
      <w:r w:rsidRPr="009939F3">
        <w:t xml:space="preserve">Available at: </w:t>
      </w:r>
      <w:hyperlink r:id="rId10" w:history="1">
        <w:r w:rsidR="008151AB" w:rsidRPr="0055270E">
          <w:rPr>
            <w:rStyle w:val="Hyperlink"/>
          </w:rPr>
          <w:t>https://www.forbes.com/sites/danabrownlee/2019/09/04/how-the-best-companies-to-work-for-engage-employees-and-retain-top-talent/?sh=13b529c91eca</w:t>
        </w:r>
      </w:hyperlink>
    </w:p>
    <w:p w14:paraId="1CA60EE6" w14:textId="3F7DF992" w:rsidR="009939F3" w:rsidRDefault="009939F3" w:rsidP="008151AB">
      <w:pPr>
        <w:spacing w:after="0" w:line="240" w:lineRule="auto"/>
      </w:pPr>
      <w:r w:rsidRPr="009939F3">
        <w:t xml:space="preserve">(Accessed: </w:t>
      </w:r>
      <w:r w:rsidR="002C0F29">
        <w:t>3 Feb</w:t>
      </w:r>
      <w:r w:rsidRPr="009939F3">
        <w:t xml:space="preserve"> 2024)</w:t>
      </w:r>
    </w:p>
    <w:p w14:paraId="14EC6D1E" w14:textId="77777777" w:rsidR="002C0F29" w:rsidRDefault="002C0F29" w:rsidP="002C0F29">
      <w:pPr>
        <w:spacing w:after="0" w:line="240" w:lineRule="auto"/>
      </w:pPr>
    </w:p>
    <w:p w14:paraId="426373DF" w14:textId="0DF541DD" w:rsidR="002C0F29" w:rsidRDefault="009939F3" w:rsidP="00DB6FFD">
      <w:pPr>
        <w:spacing w:after="0" w:line="240" w:lineRule="auto"/>
      </w:pPr>
      <w:r w:rsidRPr="009939F3">
        <w:t>Demir, Y. and Dincer, F. I. (2020) “The effects of Industry 4.0 on the food and beverage industry,” </w:t>
      </w:r>
      <w:r w:rsidRPr="009939F3">
        <w:rPr>
          <w:i/>
          <w:iCs/>
        </w:rPr>
        <w:t xml:space="preserve">Journal of </w:t>
      </w:r>
      <w:proofErr w:type="spellStart"/>
      <w:r w:rsidRPr="009939F3">
        <w:rPr>
          <w:i/>
          <w:iCs/>
        </w:rPr>
        <w:t>Tourismology</w:t>
      </w:r>
      <w:proofErr w:type="spellEnd"/>
      <w:r w:rsidRPr="009939F3">
        <w:t>, 6(1), pp. 133–145.</w:t>
      </w:r>
    </w:p>
    <w:p w14:paraId="5261A5B2" w14:textId="77777777" w:rsidR="00DB6FFD" w:rsidRDefault="00DB6FFD" w:rsidP="00DB6FFD">
      <w:pPr>
        <w:spacing w:after="0" w:line="240" w:lineRule="auto"/>
        <w:jc w:val="left"/>
      </w:pPr>
      <w:r>
        <w:t xml:space="preserve">Available at: </w:t>
      </w:r>
      <w:hyperlink r:id="rId11" w:history="1">
        <w:r>
          <w:rPr>
            <w:rStyle w:val="Hyperlink"/>
          </w:rPr>
          <w:t>https://doi.org/10.1111/1541-4337.13227</w:t>
        </w:r>
      </w:hyperlink>
    </w:p>
    <w:p w14:paraId="781B203D" w14:textId="43B0BB99" w:rsidR="00DB6FFD" w:rsidRDefault="00DB6FFD" w:rsidP="00DB6FFD">
      <w:pPr>
        <w:spacing w:after="0" w:line="240" w:lineRule="auto"/>
      </w:pPr>
      <w:r w:rsidRPr="009939F3">
        <w:t xml:space="preserve">(Accessed: </w:t>
      </w:r>
      <w:r>
        <w:t>3 Feb</w:t>
      </w:r>
      <w:r w:rsidRPr="009939F3">
        <w:t xml:space="preserve"> 2024)</w:t>
      </w:r>
    </w:p>
    <w:p w14:paraId="65B9496B" w14:textId="77777777" w:rsidR="002C0F29" w:rsidRDefault="002C0F29" w:rsidP="002C0F29">
      <w:pPr>
        <w:spacing w:after="0" w:line="240" w:lineRule="auto"/>
      </w:pPr>
    </w:p>
    <w:p w14:paraId="4CBCC53E" w14:textId="5150A124" w:rsidR="009F5CF7" w:rsidRDefault="009939F3" w:rsidP="002C0F29">
      <w:pPr>
        <w:spacing w:after="0" w:line="240" w:lineRule="auto"/>
      </w:pPr>
      <w:r w:rsidRPr="009939F3">
        <w:t>Francisco, C. D. and Nuqui, A. V. (2020) “Emergence of a Situational Leadership during COVID-19 Pandemic Called New Normal Leadership,” </w:t>
      </w:r>
      <w:r w:rsidRPr="009939F3">
        <w:rPr>
          <w:i/>
          <w:iCs/>
        </w:rPr>
        <w:t>Online Submission</w:t>
      </w:r>
      <w:r w:rsidRPr="009939F3">
        <w:t>, 4(10), pp. 15–19.</w:t>
      </w:r>
    </w:p>
    <w:p w14:paraId="254EE638" w14:textId="6C6CBF5C" w:rsidR="00E2448D" w:rsidRDefault="00E2448D" w:rsidP="002C0F29">
      <w:pPr>
        <w:spacing w:after="0" w:line="240" w:lineRule="auto"/>
        <w:rPr>
          <w:rStyle w:val="doi"/>
        </w:rPr>
      </w:pPr>
      <w:r>
        <w:t xml:space="preserve">Available at: </w:t>
      </w:r>
      <w:hyperlink r:id="rId12" w:history="1">
        <w:r w:rsidRPr="0055270E">
          <w:rPr>
            <w:rStyle w:val="Hyperlink"/>
          </w:rPr>
          <w:t>https://doi:org/</w:t>
        </w:r>
      </w:hyperlink>
      <w:hyperlink r:id="rId13" w:tgtFrame="_blank" w:history="1">
        <w:r>
          <w:rPr>
            <w:rStyle w:val="Hyperlink"/>
          </w:rPr>
          <w:t>10.3389/fpsyg.2022.919941</w:t>
        </w:r>
      </w:hyperlink>
    </w:p>
    <w:p w14:paraId="2AE39415" w14:textId="77777777" w:rsidR="00E2448D" w:rsidRDefault="00E2448D" w:rsidP="00E2448D">
      <w:pPr>
        <w:spacing w:after="0" w:line="240" w:lineRule="auto"/>
      </w:pPr>
      <w:r>
        <w:t>(Accessed: 3</w:t>
      </w:r>
      <w:r w:rsidRPr="002C0F29">
        <w:rPr>
          <w:vertAlign w:val="superscript"/>
        </w:rPr>
        <w:t>rd</w:t>
      </w:r>
      <w:r>
        <w:t xml:space="preserve"> Feb 2024) </w:t>
      </w:r>
    </w:p>
    <w:p w14:paraId="75B3CE10" w14:textId="77777777" w:rsidR="002C0F29" w:rsidRDefault="002C0F29" w:rsidP="002C0F29">
      <w:pPr>
        <w:spacing w:after="0" w:line="240" w:lineRule="auto"/>
      </w:pPr>
    </w:p>
    <w:p w14:paraId="2F61E1F3" w14:textId="12958877" w:rsidR="002C0F29" w:rsidRDefault="009939F3" w:rsidP="002C0F29">
      <w:pPr>
        <w:spacing w:after="0" w:line="240" w:lineRule="auto"/>
      </w:pPr>
      <w:r w:rsidRPr="009939F3">
        <w:t>Guo, P. </w:t>
      </w:r>
      <w:r w:rsidRPr="009939F3">
        <w:rPr>
          <w:i/>
          <w:iCs/>
        </w:rPr>
        <w:t>et al.</w:t>
      </w:r>
      <w:r w:rsidRPr="009939F3">
        <w:t> (2020) “A review of project-based learning in higher education: Student outcomes and measures,” </w:t>
      </w:r>
      <w:r w:rsidRPr="009939F3">
        <w:rPr>
          <w:i/>
          <w:iCs/>
        </w:rPr>
        <w:t xml:space="preserve">International </w:t>
      </w:r>
      <w:r w:rsidR="00A3674A">
        <w:rPr>
          <w:i/>
          <w:iCs/>
        </w:rPr>
        <w:t>Journal</w:t>
      </w:r>
      <w:r w:rsidRPr="009939F3">
        <w:rPr>
          <w:i/>
          <w:iCs/>
        </w:rPr>
        <w:t xml:space="preserve"> of </w:t>
      </w:r>
      <w:r w:rsidR="00A3674A">
        <w:rPr>
          <w:i/>
          <w:iCs/>
        </w:rPr>
        <w:t>Educational Research</w:t>
      </w:r>
    </w:p>
    <w:p w14:paraId="37B7AB46" w14:textId="4CB7C1DB" w:rsidR="009939F3" w:rsidRDefault="002C0F29" w:rsidP="002C0F29">
      <w:pPr>
        <w:spacing w:after="0" w:line="240" w:lineRule="auto"/>
      </w:pPr>
      <w:r>
        <w:t xml:space="preserve">Available at: </w:t>
      </w:r>
      <w:hyperlink r:id="rId14" w:history="1">
        <w:r w:rsidRPr="0055270E">
          <w:rPr>
            <w:rStyle w:val="Hyperlink"/>
          </w:rPr>
          <w:t>https://doi:org/10.1016/j.ijer.2020.101586</w:t>
        </w:r>
      </w:hyperlink>
    </w:p>
    <w:p w14:paraId="66DAAE3C" w14:textId="1C640E5C" w:rsidR="002C0F29" w:rsidRDefault="002C0F29" w:rsidP="002C0F29">
      <w:pPr>
        <w:spacing w:after="0" w:line="240" w:lineRule="auto"/>
      </w:pPr>
      <w:r>
        <w:t>(Accessed: 3</w:t>
      </w:r>
      <w:r w:rsidRPr="002C0F29">
        <w:rPr>
          <w:vertAlign w:val="superscript"/>
        </w:rPr>
        <w:t>rd</w:t>
      </w:r>
      <w:r>
        <w:t xml:space="preserve"> Feb 2024) </w:t>
      </w:r>
    </w:p>
    <w:p w14:paraId="1DDF0FE8" w14:textId="77777777" w:rsidR="00233577" w:rsidRDefault="00233577" w:rsidP="00CB2EB3">
      <w:pPr>
        <w:spacing w:after="0" w:line="240" w:lineRule="auto"/>
      </w:pPr>
    </w:p>
    <w:p w14:paraId="797A1BB8" w14:textId="55F7C8CC" w:rsidR="00CB2EB3" w:rsidRDefault="009939F3" w:rsidP="00CB2EB3">
      <w:pPr>
        <w:spacing w:after="0" w:line="240" w:lineRule="auto"/>
      </w:pPr>
      <w:r w:rsidRPr="009939F3">
        <w:t xml:space="preserve">Kim, J. H. and Shin, H. S. (2020) “Effects of self-reflection-focused career course on career search efficacy, career maturity, and career adaptability in </w:t>
      </w:r>
      <w:r w:rsidR="00A3674A">
        <w:t>Nursing</w:t>
      </w:r>
      <w:r w:rsidRPr="009939F3">
        <w:t xml:space="preserve"> students: A mixed </w:t>
      </w:r>
      <w:r w:rsidR="00A3674A">
        <w:t>Methods Study</w:t>
      </w:r>
      <w:r w:rsidRPr="009939F3">
        <w:t>,” </w:t>
      </w:r>
      <w:r w:rsidRPr="009939F3">
        <w:rPr>
          <w:i/>
          <w:iCs/>
        </w:rPr>
        <w:t xml:space="preserve">Journal of </w:t>
      </w:r>
      <w:r w:rsidR="00A3674A">
        <w:rPr>
          <w:i/>
          <w:iCs/>
        </w:rPr>
        <w:t>Professional Nursing</w:t>
      </w:r>
      <w:r w:rsidRPr="009939F3">
        <w:rPr>
          <w:i/>
          <w:iCs/>
        </w:rPr>
        <w:t xml:space="preserve">: </w:t>
      </w:r>
      <w:r w:rsidR="002C262E">
        <w:rPr>
          <w:i/>
          <w:iCs/>
        </w:rPr>
        <w:t>Official Journal</w:t>
      </w:r>
      <w:r w:rsidRPr="009939F3">
        <w:rPr>
          <w:i/>
          <w:iCs/>
        </w:rPr>
        <w:t xml:space="preserve"> of the American Association of Colleges of Nursing</w:t>
      </w:r>
      <w:r w:rsidRPr="009939F3">
        <w:t xml:space="preserve">, 36(5), pp. 395–403. </w:t>
      </w:r>
    </w:p>
    <w:p w14:paraId="542CE68D" w14:textId="1314D513" w:rsidR="009939F3" w:rsidRDefault="00CB2EB3" w:rsidP="00CB2EB3">
      <w:pPr>
        <w:spacing w:after="0" w:line="240" w:lineRule="auto"/>
      </w:pPr>
      <w:r>
        <w:t xml:space="preserve">Available at: </w:t>
      </w:r>
      <w:hyperlink r:id="rId15" w:history="1">
        <w:r w:rsidRPr="0055270E">
          <w:rPr>
            <w:rStyle w:val="Hyperlink"/>
          </w:rPr>
          <w:t>https://doi:org/10.1016/j.profnurs.2020.03.003</w:t>
        </w:r>
      </w:hyperlink>
    </w:p>
    <w:p w14:paraId="2396D8CD" w14:textId="0A388E5F" w:rsidR="00CB2EB3" w:rsidRDefault="00CB2EB3" w:rsidP="00CB2EB3">
      <w:pPr>
        <w:spacing w:after="0" w:line="240" w:lineRule="auto"/>
      </w:pPr>
      <w:r>
        <w:t>(Accessed: 6</w:t>
      </w:r>
      <w:r w:rsidRPr="00CB2EB3">
        <w:rPr>
          <w:vertAlign w:val="superscript"/>
        </w:rPr>
        <w:t>th</w:t>
      </w:r>
      <w:r>
        <w:t xml:space="preserve"> Feb 2024) </w:t>
      </w:r>
    </w:p>
    <w:p w14:paraId="50D2E0FA" w14:textId="77777777" w:rsidR="00B061E0" w:rsidRDefault="00B061E0" w:rsidP="00B061E0">
      <w:pPr>
        <w:spacing w:after="0" w:line="240" w:lineRule="auto"/>
      </w:pPr>
    </w:p>
    <w:p w14:paraId="21C055E5" w14:textId="30C3564F" w:rsidR="00B061E0" w:rsidRDefault="009939F3" w:rsidP="00B061E0">
      <w:pPr>
        <w:spacing w:after="0" w:line="240" w:lineRule="auto"/>
      </w:pPr>
      <w:r w:rsidRPr="009939F3">
        <w:t>Riegel, B. </w:t>
      </w:r>
      <w:r w:rsidRPr="009939F3">
        <w:rPr>
          <w:i/>
          <w:iCs/>
        </w:rPr>
        <w:t>et al.</w:t>
      </w:r>
      <w:r w:rsidRPr="009939F3">
        <w:t> (2021) “Self-care research: Where are we now? Where are we going?” </w:t>
      </w:r>
      <w:r w:rsidRPr="009939F3">
        <w:rPr>
          <w:i/>
          <w:iCs/>
        </w:rPr>
        <w:t>International journal of nursing studies</w:t>
      </w:r>
      <w:r w:rsidRPr="009939F3">
        <w:t xml:space="preserve">, 116(103402), p. 103402. </w:t>
      </w:r>
    </w:p>
    <w:p w14:paraId="5B196111" w14:textId="4773E4E2" w:rsidR="009939F3" w:rsidRDefault="00B061E0" w:rsidP="00B061E0">
      <w:pPr>
        <w:spacing w:after="0" w:line="240" w:lineRule="auto"/>
      </w:pPr>
      <w:r>
        <w:t xml:space="preserve">Available at: </w:t>
      </w:r>
      <w:hyperlink r:id="rId16" w:history="1">
        <w:r w:rsidRPr="0055270E">
          <w:rPr>
            <w:rStyle w:val="Hyperlink"/>
          </w:rPr>
          <w:t>https://doi:org/10.1016/j.ijnurstu.2019.103402</w:t>
        </w:r>
      </w:hyperlink>
    </w:p>
    <w:p w14:paraId="28F29A7F" w14:textId="25F462CB" w:rsidR="00B061E0" w:rsidRDefault="00B061E0" w:rsidP="00B061E0">
      <w:pPr>
        <w:spacing w:after="0" w:line="240" w:lineRule="auto"/>
      </w:pPr>
      <w:r>
        <w:t>(Accessed: 3</w:t>
      </w:r>
      <w:r w:rsidRPr="00B061E0">
        <w:rPr>
          <w:vertAlign w:val="superscript"/>
        </w:rPr>
        <w:t>rd</w:t>
      </w:r>
      <w:r>
        <w:t xml:space="preserve"> Feb 2024) </w:t>
      </w:r>
    </w:p>
    <w:p w14:paraId="3B1B811C" w14:textId="77777777" w:rsidR="00FB5156" w:rsidRDefault="00FB5156" w:rsidP="00E4722C">
      <w:pPr>
        <w:spacing w:after="0" w:line="240" w:lineRule="auto"/>
      </w:pPr>
    </w:p>
    <w:p w14:paraId="5BEB6A08" w14:textId="77777777" w:rsidR="00CA4D5B" w:rsidRDefault="009939F3" w:rsidP="00E4722C">
      <w:pPr>
        <w:spacing w:after="0" w:line="240" w:lineRule="auto"/>
      </w:pPr>
      <w:r w:rsidRPr="009939F3">
        <w:t xml:space="preserve">Roy, R. and </w:t>
      </w:r>
      <w:proofErr w:type="spellStart"/>
      <w:r w:rsidRPr="009939F3">
        <w:t>Uekusa</w:t>
      </w:r>
      <w:proofErr w:type="spellEnd"/>
      <w:r w:rsidRPr="009939F3">
        <w:t xml:space="preserve">, S. (2020) “Collaborative </w:t>
      </w:r>
      <w:proofErr w:type="spellStart"/>
      <w:proofErr w:type="gramStart"/>
      <w:r w:rsidRPr="009939F3">
        <w:t>autoethnography:‘</w:t>
      </w:r>
      <w:proofErr w:type="gramEnd"/>
      <w:r w:rsidRPr="009939F3">
        <w:t>Self-reflection</w:t>
      </w:r>
      <w:proofErr w:type="spellEnd"/>
      <w:r w:rsidRPr="009939F3">
        <w:t>’ as a timely alternative research approach during the global pandemic,” </w:t>
      </w:r>
      <w:r w:rsidRPr="009939F3">
        <w:rPr>
          <w:i/>
          <w:iCs/>
        </w:rPr>
        <w:t>Qualitative Research Journal</w:t>
      </w:r>
      <w:r w:rsidRPr="009939F3">
        <w:t>, 20(4), pp. 383–392.</w:t>
      </w:r>
      <w:r w:rsidR="00CA4D5B">
        <w:t xml:space="preserve"> </w:t>
      </w:r>
    </w:p>
    <w:p w14:paraId="77ADAB41" w14:textId="533DDF19" w:rsidR="009939F3" w:rsidRDefault="00CA4D5B" w:rsidP="00E4722C">
      <w:pPr>
        <w:spacing w:after="0" w:line="240" w:lineRule="auto"/>
      </w:pPr>
      <w:r>
        <w:t xml:space="preserve">Available at: </w:t>
      </w:r>
      <w:hyperlink r:id="rId17" w:tooltip="DOI: https://doi.org/10.1108/QRJ-06-2020-0054" w:history="1">
        <w:r>
          <w:rPr>
            <w:rStyle w:val="Hyperlink"/>
          </w:rPr>
          <w:t>https://doi.org/10.1108/QRJ-06-2020-0054</w:t>
        </w:r>
      </w:hyperlink>
    </w:p>
    <w:p w14:paraId="6367DF85" w14:textId="1538B429" w:rsidR="00DE612C" w:rsidRDefault="00CA4D5B" w:rsidP="003A489D">
      <w:pPr>
        <w:spacing w:after="0" w:line="240" w:lineRule="auto"/>
      </w:pPr>
      <w:r>
        <w:t>(Accessed: 18</w:t>
      </w:r>
      <w:r w:rsidRPr="00CA4D5B">
        <w:rPr>
          <w:vertAlign w:val="superscript"/>
        </w:rPr>
        <w:t>th</w:t>
      </w:r>
      <w:r>
        <w:t xml:space="preserve"> Feb 2024) </w:t>
      </w:r>
    </w:p>
    <w:p w14:paraId="619DE1F1" w14:textId="2934D59B" w:rsidR="002E1230" w:rsidRDefault="009939F3" w:rsidP="003A489D">
      <w:pPr>
        <w:spacing w:after="0" w:line="240" w:lineRule="auto"/>
      </w:pPr>
      <w:proofErr w:type="spellStart"/>
      <w:r w:rsidRPr="009939F3">
        <w:lastRenderedPageBreak/>
        <w:t>Wuryani</w:t>
      </w:r>
      <w:proofErr w:type="spellEnd"/>
      <w:r w:rsidRPr="009939F3">
        <w:t>, E. </w:t>
      </w:r>
      <w:r w:rsidRPr="009939F3">
        <w:rPr>
          <w:i/>
          <w:iCs/>
        </w:rPr>
        <w:t>et al.</w:t>
      </w:r>
      <w:r w:rsidRPr="009939F3">
        <w:t> (2021) “Analysis of decision support system on situational leadership styles on work motivation and employee performance,” </w:t>
      </w:r>
      <w:r w:rsidRPr="009939F3">
        <w:rPr>
          <w:i/>
          <w:iCs/>
        </w:rPr>
        <w:t xml:space="preserve">Management </w:t>
      </w:r>
      <w:r w:rsidR="00A3674A">
        <w:rPr>
          <w:i/>
          <w:iCs/>
        </w:rPr>
        <w:t>Science Letters</w:t>
      </w:r>
      <w:r w:rsidRPr="009939F3">
        <w:t xml:space="preserve">, pp. 365–372. </w:t>
      </w:r>
    </w:p>
    <w:p w14:paraId="4B0300FB" w14:textId="5FE8C77F" w:rsidR="009939F3" w:rsidRDefault="002E1230" w:rsidP="003A489D">
      <w:pPr>
        <w:spacing w:after="0" w:line="240" w:lineRule="auto"/>
      </w:pPr>
      <w:r>
        <w:t xml:space="preserve">Available at: </w:t>
      </w:r>
      <w:hyperlink r:id="rId18" w:history="1">
        <w:r w:rsidR="003A489D" w:rsidRPr="0055270E">
          <w:rPr>
            <w:rStyle w:val="Hyperlink"/>
          </w:rPr>
          <w:t>http://doi:org/10.5267/j.msl.2020.9.033</w:t>
        </w:r>
      </w:hyperlink>
    </w:p>
    <w:p w14:paraId="4FC8BECF" w14:textId="5EDC198C" w:rsidR="009F5CF7" w:rsidRDefault="003A489D" w:rsidP="00DB6FFD">
      <w:pPr>
        <w:spacing w:after="0" w:line="240" w:lineRule="auto"/>
      </w:pPr>
      <w:r>
        <w:t>(Accessed: 5</w:t>
      </w:r>
      <w:r w:rsidRPr="003A489D">
        <w:rPr>
          <w:vertAlign w:val="superscript"/>
        </w:rPr>
        <w:t>th</w:t>
      </w:r>
      <w:r>
        <w:t xml:space="preserve"> Feb 2024) </w:t>
      </w:r>
    </w:p>
    <w:p w14:paraId="1FF6FE1E" w14:textId="77777777" w:rsidR="00DB6FFD" w:rsidRPr="009939F3" w:rsidRDefault="00DB6FFD" w:rsidP="00DB6FFD">
      <w:pPr>
        <w:spacing w:after="0" w:line="240" w:lineRule="auto"/>
      </w:pPr>
    </w:p>
    <w:p w14:paraId="2BC82FC7" w14:textId="77777777" w:rsidR="00867183" w:rsidRDefault="009939F3" w:rsidP="00867183">
      <w:pPr>
        <w:spacing w:after="0" w:line="240" w:lineRule="auto"/>
      </w:pPr>
      <w:r w:rsidRPr="009939F3">
        <w:t>Yan, Z. (2020) “Self-assessment in the process of self-regulated learning and its relationship with academic achievement,” </w:t>
      </w:r>
      <w:r w:rsidRPr="009939F3">
        <w:rPr>
          <w:i/>
          <w:iCs/>
        </w:rPr>
        <w:t>Assessment and evaluation in higher education</w:t>
      </w:r>
      <w:r w:rsidRPr="009939F3">
        <w:t xml:space="preserve">, 45(2), pp. 224–238. </w:t>
      </w:r>
    </w:p>
    <w:p w14:paraId="4D498B8D" w14:textId="05C57809" w:rsidR="009939F3" w:rsidRDefault="00867183" w:rsidP="00867183">
      <w:pPr>
        <w:spacing w:after="0" w:line="240" w:lineRule="auto"/>
      </w:pPr>
      <w:r>
        <w:t xml:space="preserve">Available at: </w:t>
      </w:r>
      <w:hyperlink r:id="rId19" w:history="1">
        <w:r w:rsidRPr="0055270E">
          <w:rPr>
            <w:rStyle w:val="Hyperlink"/>
          </w:rPr>
          <w:t>http://doi:org/10.1080/02602938.2019.1629390</w:t>
        </w:r>
      </w:hyperlink>
    </w:p>
    <w:p w14:paraId="45AE1BF4" w14:textId="55D87110" w:rsidR="00867183" w:rsidRPr="009939F3" w:rsidRDefault="00867183" w:rsidP="00867183">
      <w:pPr>
        <w:spacing w:after="0" w:line="240" w:lineRule="auto"/>
      </w:pPr>
      <w:r>
        <w:t>(Accessed: 8</w:t>
      </w:r>
      <w:r w:rsidRPr="00867183">
        <w:rPr>
          <w:vertAlign w:val="superscript"/>
        </w:rPr>
        <w:t>th</w:t>
      </w:r>
      <w:r>
        <w:t xml:space="preserve"> Feb 2024) </w:t>
      </w:r>
    </w:p>
    <w:p w14:paraId="2B6FF506" w14:textId="77777777" w:rsidR="00C661FA" w:rsidRPr="00C661FA" w:rsidRDefault="00C661FA" w:rsidP="00C661FA"/>
    <w:p w14:paraId="71627A88" w14:textId="77777777" w:rsidR="00C661FA" w:rsidRDefault="00C661FA"/>
    <w:sectPr w:rsidR="00C661FA" w:rsidSect="008104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92114" w14:textId="77777777" w:rsidR="008104DA" w:rsidRDefault="008104DA" w:rsidP="002D5CB4">
      <w:pPr>
        <w:spacing w:after="0" w:line="240" w:lineRule="auto"/>
      </w:pPr>
      <w:r>
        <w:separator/>
      </w:r>
    </w:p>
  </w:endnote>
  <w:endnote w:type="continuationSeparator" w:id="0">
    <w:p w14:paraId="7D5153EB" w14:textId="77777777" w:rsidR="008104DA" w:rsidRDefault="008104DA" w:rsidP="002D5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DEEEE" w14:textId="77777777" w:rsidR="008104DA" w:rsidRDefault="008104DA" w:rsidP="002D5CB4">
      <w:pPr>
        <w:spacing w:after="0" w:line="240" w:lineRule="auto"/>
      </w:pPr>
      <w:r>
        <w:separator/>
      </w:r>
    </w:p>
  </w:footnote>
  <w:footnote w:type="continuationSeparator" w:id="0">
    <w:p w14:paraId="336932E0" w14:textId="77777777" w:rsidR="008104DA" w:rsidRDefault="008104DA" w:rsidP="002D5C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2MjaxNDEzNzIzszBU0lEKTi0uzszPAykwrAUAMrgaTSwAAAA="/>
  </w:docVars>
  <w:rsids>
    <w:rsidRoot w:val="00C661FA"/>
    <w:rsid w:val="000B3B7A"/>
    <w:rsid w:val="000F4E0D"/>
    <w:rsid w:val="001332D6"/>
    <w:rsid w:val="001376F2"/>
    <w:rsid w:val="0015385A"/>
    <w:rsid w:val="00175CBF"/>
    <w:rsid w:val="001868A5"/>
    <w:rsid w:val="00192386"/>
    <w:rsid w:val="00233577"/>
    <w:rsid w:val="0024453E"/>
    <w:rsid w:val="002C0F29"/>
    <w:rsid w:val="002C262E"/>
    <w:rsid w:val="002D5CB4"/>
    <w:rsid w:val="002E1230"/>
    <w:rsid w:val="0030284D"/>
    <w:rsid w:val="003544A2"/>
    <w:rsid w:val="0038583B"/>
    <w:rsid w:val="003A489D"/>
    <w:rsid w:val="003E3404"/>
    <w:rsid w:val="004113B6"/>
    <w:rsid w:val="004363B3"/>
    <w:rsid w:val="00491DAE"/>
    <w:rsid w:val="00495AE8"/>
    <w:rsid w:val="00591214"/>
    <w:rsid w:val="00594AC9"/>
    <w:rsid w:val="00623701"/>
    <w:rsid w:val="006363C4"/>
    <w:rsid w:val="00652771"/>
    <w:rsid w:val="006676CC"/>
    <w:rsid w:val="006F7145"/>
    <w:rsid w:val="007419F7"/>
    <w:rsid w:val="008104DA"/>
    <w:rsid w:val="008151AB"/>
    <w:rsid w:val="00867183"/>
    <w:rsid w:val="008834AC"/>
    <w:rsid w:val="00895A8B"/>
    <w:rsid w:val="00961F1B"/>
    <w:rsid w:val="009939F3"/>
    <w:rsid w:val="0099631D"/>
    <w:rsid w:val="009D11E7"/>
    <w:rsid w:val="009F5CF7"/>
    <w:rsid w:val="00A3674A"/>
    <w:rsid w:val="00A53BCF"/>
    <w:rsid w:val="00A5425B"/>
    <w:rsid w:val="00B061E0"/>
    <w:rsid w:val="00B56C52"/>
    <w:rsid w:val="00BE4D6B"/>
    <w:rsid w:val="00BF4E5A"/>
    <w:rsid w:val="00C41C06"/>
    <w:rsid w:val="00C661FA"/>
    <w:rsid w:val="00C904C8"/>
    <w:rsid w:val="00C93468"/>
    <w:rsid w:val="00CA4D5B"/>
    <w:rsid w:val="00CB2EB3"/>
    <w:rsid w:val="00CE4DCD"/>
    <w:rsid w:val="00DB6FFD"/>
    <w:rsid w:val="00DE612C"/>
    <w:rsid w:val="00E2448D"/>
    <w:rsid w:val="00E4722C"/>
    <w:rsid w:val="00E73205"/>
    <w:rsid w:val="00F534CF"/>
    <w:rsid w:val="00F618D5"/>
    <w:rsid w:val="00F8600C"/>
    <w:rsid w:val="00FB5156"/>
    <w:rsid w:val="00FD6298"/>
    <w:rsid w:val="00FF35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011A3"/>
  <w15:chartTrackingRefBased/>
  <w15:docId w15:val="{9AD6E3F5-7768-4F04-AC03-9B117355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9F7"/>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661FA"/>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6676CC"/>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B56C52"/>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1FA"/>
    <w:rPr>
      <w:rFonts w:ascii="Times New Roman" w:eastAsiaTheme="majorEastAsia" w:hAnsi="Times New Roman" w:cstheme="majorBidi"/>
      <w:b/>
      <w:bCs/>
      <w:color w:val="000000" w:themeColor="text1"/>
      <w:kern w:val="0"/>
      <w:sz w:val="32"/>
      <w:szCs w:val="32"/>
      <w14:ligatures w14:val="none"/>
    </w:rPr>
  </w:style>
  <w:style w:type="character" w:customStyle="1" w:styleId="Heading2Char">
    <w:name w:val="Heading 2 Char"/>
    <w:basedOn w:val="DefaultParagraphFont"/>
    <w:link w:val="Heading2"/>
    <w:uiPriority w:val="9"/>
    <w:rsid w:val="006676CC"/>
    <w:rPr>
      <w:rFonts w:ascii="Times New Roman" w:eastAsiaTheme="majorEastAsia" w:hAnsi="Times New Roman" w:cstheme="majorBidi"/>
      <w:b/>
      <w:color w:val="000000" w:themeColor="text1"/>
      <w:sz w:val="26"/>
      <w:szCs w:val="26"/>
    </w:rPr>
  </w:style>
  <w:style w:type="paragraph" w:customStyle="1" w:styleId="Table">
    <w:name w:val="Table"/>
    <w:basedOn w:val="Normal"/>
    <w:next w:val="TableofAuthorities"/>
    <w:qFormat/>
    <w:rsid w:val="00895A8B"/>
  </w:style>
  <w:style w:type="paragraph" w:styleId="TableofAuthorities">
    <w:name w:val="table of authorities"/>
    <w:basedOn w:val="Normal"/>
    <w:next w:val="Normal"/>
    <w:uiPriority w:val="99"/>
    <w:semiHidden/>
    <w:unhideWhenUsed/>
    <w:rsid w:val="00895A8B"/>
    <w:pPr>
      <w:spacing w:after="0"/>
      <w:ind w:left="240" w:hanging="240"/>
    </w:pPr>
  </w:style>
  <w:style w:type="character" w:customStyle="1" w:styleId="Heading3Char">
    <w:name w:val="Heading 3 Char"/>
    <w:basedOn w:val="DefaultParagraphFont"/>
    <w:link w:val="Heading3"/>
    <w:uiPriority w:val="9"/>
    <w:rsid w:val="00B56C52"/>
    <w:rPr>
      <w:rFonts w:ascii="Times New Roman" w:eastAsiaTheme="majorEastAsia" w:hAnsi="Times New Roman" w:cstheme="majorBidi"/>
      <w:color w:val="000000" w:themeColor="text1"/>
      <w:kern w:val="0"/>
      <w:sz w:val="24"/>
      <w:szCs w:val="24"/>
      <w14:ligatures w14:val="none"/>
    </w:rPr>
  </w:style>
  <w:style w:type="paragraph" w:styleId="TOCHeading">
    <w:name w:val="TOC Heading"/>
    <w:basedOn w:val="Heading1"/>
    <w:next w:val="Normal"/>
    <w:uiPriority w:val="39"/>
    <w:unhideWhenUsed/>
    <w:qFormat/>
    <w:rsid w:val="008834AC"/>
    <w:pPr>
      <w:spacing w:line="259" w:lineRule="auto"/>
      <w:jc w:val="left"/>
      <w:outlineLvl w:val="9"/>
    </w:pPr>
    <w:rPr>
      <w:rFonts w:asciiTheme="majorHAnsi" w:hAnsiTheme="majorHAnsi"/>
      <w:b w:val="0"/>
      <w:bCs w:val="0"/>
      <w:color w:val="2F5496" w:themeColor="accent1" w:themeShade="BF"/>
      <w:lang w:val="en-US"/>
    </w:rPr>
  </w:style>
  <w:style w:type="paragraph" w:styleId="TOC1">
    <w:name w:val="toc 1"/>
    <w:basedOn w:val="Normal"/>
    <w:next w:val="Normal"/>
    <w:autoRedefine/>
    <w:uiPriority w:val="39"/>
    <w:unhideWhenUsed/>
    <w:rsid w:val="008834AC"/>
    <w:pPr>
      <w:spacing w:after="100"/>
    </w:pPr>
  </w:style>
  <w:style w:type="character" w:styleId="Hyperlink">
    <w:name w:val="Hyperlink"/>
    <w:basedOn w:val="DefaultParagraphFont"/>
    <w:uiPriority w:val="99"/>
    <w:unhideWhenUsed/>
    <w:rsid w:val="008834AC"/>
    <w:rPr>
      <w:color w:val="0563C1" w:themeColor="hyperlink"/>
      <w:u w:val="single"/>
    </w:rPr>
  </w:style>
  <w:style w:type="paragraph" w:styleId="Title">
    <w:name w:val="Title"/>
    <w:basedOn w:val="Normal"/>
    <w:next w:val="Normal"/>
    <w:link w:val="TitleChar"/>
    <w:uiPriority w:val="10"/>
    <w:qFormat/>
    <w:rsid w:val="000B3B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B7A"/>
    <w:rPr>
      <w:rFonts w:asciiTheme="majorHAnsi" w:eastAsiaTheme="majorEastAsia" w:hAnsiTheme="majorHAnsi" w:cstheme="majorBidi"/>
      <w:spacing w:val="-10"/>
      <w:kern w:val="28"/>
      <w:sz w:val="56"/>
      <w:szCs w:val="56"/>
      <w14:ligatures w14:val="none"/>
    </w:rPr>
  </w:style>
  <w:style w:type="paragraph" w:styleId="Header">
    <w:name w:val="header"/>
    <w:basedOn w:val="Normal"/>
    <w:link w:val="HeaderChar"/>
    <w:uiPriority w:val="99"/>
    <w:unhideWhenUsed/>
    <w:rsid w:val="002D5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CB4"/>
    <w:rPr>
      <w:rFonts w:ascii="Times New Roman" w:hAnsi="Times New Roman"/>
      <w:kern w:val="0"/>
      <w:sz w:val="24"/>
      <w14:ligatures w14:val="none"/>
    </w:rPr>
  </w:style>
  <w:style w:type="paragraph" w:styleId="Footer">
    <w:name w:val="footer"/>
    <w:basedOn w:val="Normal"/>
    <w:link w:val="FooterChar"/>
    <w:uiPriority w:val="99"/>
    <w:unhideWhenUsed/>
    <w:rsid w:val="002D5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CB4"/>
    <w:rPr>
      <w:rFonts w:ascii="Times New Roman" w:hAnsi="Times New Roman"/>
      <w:kern w:val="0"/>
      <w:sz w:val="24"/>
      <w14:ligatures w14:val="none"/>
    </w:rPr>
  </w:style>
  <w:style w:type="character" w:styleId="UnresolvedMention">
    <w:name w:val="Unresolved Mention"/>
    <w:basedOn w:val="DefaultParagraphFont"/>
    <w:uiPriority w:val="99"/>
    <w:semiHidden/>
    <w:unhideWhenUsed/>
    <w:rsid w:val="009F5CF7"/>
    <w:rPr>
      <w:color w:val="605E5C"/>
      <w:shd w:val="clear" w:color="auto" w:fill="E1DFDD"/>
    </w:rPr>
  </w:style>
  <w:style w:type="character" w:customStyle="1" w:styleId="doi">
    <w:name w:val="doi"/>
    <w:basedOn w:val="DefaultParagraphFont"/>
    <w:rsid w:val="00E24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227478">
      <w:bodyDiv w:val="1"/>
      <w:marLeft w:val="0"/>
      <w:marRight w:val="0"/>
      <w:marTop w:val="0"/>
      <w:marBottom w:val="0"/>
      <w:divBdr>
        <w:top w:val="none" w:sz="0" w:space="0" w:color="auto"/>
        <w:left w:val="none" w:sz="0" w:space="0" w:color="auto"/>
        <w:bottom w:val="none" w:sz="0" w:space="0" w:color="auto"/>
        <w:right w:val="none" w:sz="0" w:space="0" w:color="auto"/>
      </w:divBdr>
      <w:divsChild>
        <w:div w:id="1246525601">
          <w:marLeft w:val="0"/>
          <w:marRight w:val="0"/>
          <w:marTop w:val="0"/>
          <w:marBottom w:val="0"/>
          <w:divBdr>
            <w:top w:val="none" w:sz="0" w:space="0" w:color="auto"/>
            <w:left w:val="none" w:sz="0" w:space="0" w:color="auto"/>
            <w:bottom w:val="none" w:sz="0" w:space="0" w:color="auto"/>
            <w:right w:val="none" w:sz="0" w:space="0" w:color="auto"/>
          </w:divBdr>
          <w:divsChild>
            <w:div w:id="2025553024">
              <w:marLeft w:val="0"/>
              <w:marRight w:val="0"/>
              <w:marTop w:val="0"/>
              <w:marBottom w:val="0"/>
              <w:divBdr>
                <w:top w:val="none" w:sz="0" w:space="0" w:color="auto"/>
                <w:left w:val="none" w:sz="0" w:space="0" w:color="auto"/>
                <w:bottom w:val="none" w:sz="0" w:space="0" w:color="auto"/>
                <w:right w:val="none" w:sz="0" w:space="0" w:color="auto"/>
              </w:divBdr>
            </w:div>
            <w:div w:id="1494449355">
              <w:marLeft w:val="0"/>
              <w:marRight w:val="0"/>
              <w:marTop w:val="0"/>
              <w:marBottom w:val="0"/>
              <w:divBdr>
                <w:top w:val="none" w:sz="0" w:space="0" w:color="auto"/>
                <w:left w:val="none" w:sz="0" w:space="0" w:color="auto"/>
                <w:bottom w:val="none" w:sz="0" w:space="0" w:color="auto"/>
                <w:right w:val="none" w:sz="0" w:space="0" w:color="auto"/>
              </w:divBdr>
            </w:div>
            <w:div w:id="915750854">
              <w:marLeft w:val="0"/>
              <w:marRight w:val="0"/>
              <w:marTop w:val="0"/>
              <w:marBottom w:val="0"/>
              <w:divBdr>
                <w:top w:val="none" w:sz="0" w:space="0" w:color="auto"/>
                <w:left w:val="none" w:sz="0" w:space="0" w:color="auto"/>
                <w:bottom w:val="none" w:sz="0" w:space="0" w:color="auto"/>
                <w:right w:val="none" w:sz="0" w:space="0" w:color="auto"/>
              </w:divBdr>
            </w:div>
            <w:div w:id="780954422">
              <w:marLeft w:val="0"/>
              <w:marRight w:val="0"/>
              <w:marTop w:val="0"/>
              <w:marBottom w:val="0"/>
              <w:divBdr>
                <w:top w:val="none" w:sz="0" w:space="0" w:color="auto"/>
                <w:left w:val="none" w:sz="0" w:space="0" w:color="auto"/>
                <w:bottom w:val="none" w:sz="0" w:space="0" w:color="auto"/>
                <w:right w:val="none" w:sz="0" w:space="0" w:color="auto"/>
              </w:divBdr>
            </w:div>
            <w:div w:id="708988592">
              <w:marLeft w:val="0"/>
              <w:marRight w:val="0"/>
              <w:marTop w:val="0"/>
              <w:marBottom w:val="0"/>
              <w:divBdr>
                <w:top w:val="none" w:sz="0" w:space="0" w:color="auto"/>
                <w:left w:val="none" w:sz="0" w:space="0" w:color="auto"/>
                <w:bottom w:val="none" w:sz="0" w:space="0" w:color="auto"/>
                <w:right w:val="none" w:sz="0" w:space="0" w:color="auto"/>
              </w:divBdr>
            </w:div>
            <w:div w:id="1186752001">
              <w:marLeft w:val="0"/>
              <w:marRight w:val="0"/>
              <w:marTop w:val="0"/>
              <w:marBottom w:val="0"/>
              <w:divBdr>
                <w:top w:val="none" w:sz="0" w:space="0" w:color="auto"/>
                <w:left w:val="none" w:sz="0" w:space="0" w:color="auto"/>
                <w:bottom w:val="none" w:sz="0" w:space="0" w:color="auto"/>
                <w:right w:val="none" w:sz="0" w:space="0" w:color="auto"/>
              </w:divBdr>
            </w:div>
            <w:div w:id="1838418045">
              <w:marLeft w:val="0"/>
              <w:marRight w:val="0"/>
              <w:marTop w:val="0"/>
              <w:marBottom w:val="0"/>
              <w:divBdr>
                <w:top w:val="none" w:sz="0" w:space="0" w:color="auto"/>
                <w:left w:val="none" w:sz="0" w:space="0" w:color="auto"/>
                <w:bottom w:val="none" w:sz="0" w:space="0" w:color="auto"/>
                <w:right w:val="none" w:sz="0" w:space="0" w:color="auto"/>
              </w:divBdr>
            </w:div>
            <w:div w:id="476604421">
              <w:marLeft w:val="0"/>
              <w:marRight w:val="0"/>
              <w:marTop w:val="0"/>
              <w:marBottom w:val="0"/>
              <w:divBdr>
                <w:top w:val="none" w:sz="0" w:space="0" w:color="auto"/>
                <w:left w:val="none" w:sz="0" w:space="0" w:color="auto"/>
                <w:bottom w:val="none" w:sz="0" w:space="0" w:color="auto"/>
                <w:right w:val="none" w:sz="0" w:space="0" w:color="auto"/>
              </w:divBdr>
            </w:div>
            <w:div w:id="8016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95256">
      <w:bodyDiv w:val="1"/>
      <w:marLeft w:val="0"/>
      <w:marRight w:val="0"/>
      <w:marTop w:val="0"/>
      <w:marBottom w:val="0"/>
      <w:divBdr>
        <w:top w:val="none" w:sz="0" w:space="0" w:color="auto"/>
        <w:left w:val="none" w:sz="0" w:space="0" w:color="auto"/>
        <w:bottom w:val="none" w:sz="0" w:space="0" w:color="auto"/>
        <w:right w:val="none" w:sz="0" w:space="0" w:color="auto"/>
      </w:divBdr>
    </w:div>
    <w:div w:id="1733045150">
      <w:bodyDiv w:val="1"/>
      <w:marLeft w:val="0"/>
      <w:marRight w:val="0"/>
      <w:marTop w:val="0"/>
      <w:marBottom w:val="0"/>
      <w:divBdr>
        <w:top w:val="none" w:sz="0" w:space="0" w:color="auto"/>
        <w:left w:val="none" w:sz="0" w:space="0" w:color="auto"/>
        <w:bottom w:val="none" w:sz="0" w:space="0" w:color="auto"/>
        <w:right w:val="none" w:sz="0" w:space="0" w:color="auto"/>
      </w:divBdr>
      <w:divsChild>
        <w:div w:id="960037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89%2Ffpsyg.2022.919941" TargetMode="External"/><Relationship Id="rId18" Type="http://schemas.openxmlformats.org/officeDocument/2006/relationships/hyperlink" Target="http://doi:org/10.5267/j.msl.2020.9.03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 TargetMode="External"/><Relationship Id="rId17" Type="http://schemas.openxmlformats.org/officeDocument/2006/relationships/hyperlink" Target="https://doi.org/10.1108/QRJ-06-2020-0054" TargetMode="External"/><Relationship Id="rId2" Type="http://schemas.openxmlformats.org/officeDocument/2006/relationships/styles" Target="styles.xml"/><Relationship Id="rId16" Type="http://schemas.openxmlformats.org/officeDocument/2006/relationships/hyperlink" Target="https://doi:org/10.1016/j.ijnurstu.2019.1034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1541-4337.13227" TargetMode="External"/><Relationship Id="rId5" Type="http://schemas.openxmlformats.org/officeDocument/2006/relationships/footnotes" Target="footnotes.xml"/><Relationship Id="rId15" Type="http://schemas.openxmlformats.org/officeDocument/2006/relationships/hyperlink" Target="https://doi:org/10.1016/j.profnurs.2020.03.003" TargetMode="External"/><Relationship Id="rId10" Type="http://schemas.openxmlformats.org/officeDocument/2006/relationships/hyperlink" Target="https://www.forbes.com/sites/danabrownlee/2019/09/04/how-the-best-companies-to-work-for-engage-employees-and-retain-top-talent/?sh=13b529c91eca" TargetMode="External"/><Relationship Id="rId19" Type="http://schemas.openxmlformats.org/officeDocument/2006/relationships/hyperlink" Target="http://doi:org/10.1080/02602938.2019.1629390" TargetMode="External"/><Relationship Id="rId4" Type="http://schemas.openxmlformats.org/officeDocument/2006/relationships/webSettings" Target="webSettings.xml"/><Relationship Id="rId9" Type="http://schemas.openxmlformats.org/officeDocument/2006/relationships/hyperlink" Target="https://doi.org/10.1108/ijppm-07-2020-0393" TargetMode="External"/><Relationship Id="rId14" Type="http://schemas.openxmlformats.org/officeDocument/2006/relationships/hyperlink" Target="https://doi:org/10.1016/j.ijer.2020.101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47056-2F8E-4878-95BD-8DD023925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2024-02-21T00:20:00Z</dcterms:created>
  <dcterms:modified xsi:type="dcterms:W3CDTF">2024-02-21T00:41:00Z</dcterms:modified>
</cp:coreProperties>
</file>