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449F" w:rsidRDefault="008C7F4B">
      <w:r>
        <w:t xml:space="preserve">Joe Hurley </w:t>
      </w:r>
    </w:p>
    <w:p w:rsidR="008C7F4B" w:rsidRDefault="008C7F4B">
      <w:r>
        <w:t>PC 6607 SWP</w:t>
      </w:r>
    </w:p>
    <w:p w:rsidR="008C7F4B" w:rsidRDefault="008C7F4B">
      <w:r>
        <w:t>1920689</w:t>
      </w:r>
    </w:p>
    <w:p w:rsidR="008C7F4B" w:rsidRDefault="008C7F4B">
      <w:r>
        <w:t xml:space="preserve">Exam 2 </w:t>
      </w:r>
    </w:p>
    <w:p w:rsidR="008C7F4B" w:rsidRDefault="008C7F4B">
      <w:r>
        <w:t>01/09/2020</w:t>
      </w:r>
    </w:p>
    <w:p w:rsidR="008C7F4B" w:rsidRDefault="008C7F4B">
      <w:bookmarkStart w:id="0" w:name="_GoBack"/>
      <w:bookmarkEnd w:id="0"/>
    </w:p>
    <w:p w:rsidR="008C7F4B" w:rsidRDefault="008C7F4B">
      <w:r>
        <w:t xml:space="preserve">1. </w:t>
      </w:r>
      <w:r w:rsidR="009139A3">
        <w:t xml:space="preserve">The power we have in order to stop a vehicle is under section 163 road Traffic Act 1988. The definition of this section is a person must stop a vehicle on a road if required to do so by a constable in uniform or a traffic officer. </w:t>
      </w:r>
    </w:p>
    <w:p w:rsidR="008C7F4B" w:rsidRDefault="008C7F4B"/>
    <w:p w:rsidR="008C7F4B" w:rsidRDefault="008C7F4B">
      <w:r>
        <w:t>2.</w:t>
      </w:r>
      <w:r w:rsidR="009139A3">
        <w:t xml:space="preserve"> A ‘quad bike’ can legally be driven on a road if it has an MOT and has displayed number plates to the front and to the rear. The quad bike will also have to be taxed in order for it to be used on a road. </w:t>
      </w:r>
    </w:p>
    <w:p w:rsidR="008C7F4B" w:rsidRDefault="008C7F4B"/>
    <w:p w:rsidR="008C7F4B" w:rsidRDefault="008C7F4B"/>
    <w:p w:rsidR="008C7F4B" w:rsidRDefault="008C7F4B">
      <w:r>
        <w:t>3.</w:t>
      </w:r>
      <w:r w:rsidR="00E72F2F">
        <w:t xml:space="preserve"> The effective use of road policing powers can help reduce wider unlawful activity of criminals as criminals use vehicles to transport illegal substances such as drugs and these vehicles are being used in crime. The effective use of roads policing powers allows police officers to stop vehicles when they have been involved or have suspected involvement in criminal activity. </w:t>
      </w:r>
    </w:p>
    <w:p w:rsidR="008C7F4B" w:rsidRDefault="008C7F4B"/>
    <w:p w:rsidR="008C7F4B" w:rsidRDefault="008C7F4B"/>
    <w:p w:rsidR="008C7F4B" w:rsidRDefault="008C7F4B">
      <w:r>
        <w:t>4.</w:t>
      </w:r>
      <w:r w:rsidR="00E72F2F">
        <w:t xml:space="preserve"> Section 59 Police Reform Act 2002 is a power that covers inconsiderate drivers. The power is that a constable may stop a mechanically propelled vehicle on a road or other public place if the driver has been driving inconsiderately. The result of driving inconsiderately can result in a fixed penalty notice (FPN) or a summons to court. An example of driving inconsiderately would be doing wheel spins or even excessive speed. </w:t>
      </w:r>
    </w:p>
    <w:p w:rsidR="008C7F4B" w:rsidRDefault="008C7F4B"/>
    <w:p w:rsidR="008C7F4B" w:rsidRDefault="008C7F4B"/>
    <w:p w:rsidR="00E72F2F" w:rsidRDefault="008C7F4B">
      <w:r>
        <w:t>5.</w:t>
      </w:r>
      <w:r w:rsidR="00E72F2F">
        <w:t xml:space="preserve"> There are many priorities an officer should consider when dealing with an incident. These priorities often come under a term called ‘Golden Hour Principles’. These are the golden hour priorities in order where best evidence is obtained, witness and suspects are identified and first accounts are taken. The neumonic ACECARD is used by all police officers when attending a scene. This stands for Accident, Collision, Evidence, Causalities, Ambulance, Re-act, Detailed Investigation. This is used when attending a road traffic collision and things that an officer will </w:t>
      </w:r>
      <w:r w:rsidR="00CC061E">
        <w:t xml:space="preserve">need to consider in order to deal with the incident. Another neumonic used is CLEAR this stands for Collison, Lead, Evaluate, Act, Re-open. The main priority when attending an incident is to preserve life and limb and to protect property. When approaching the scene it is important to risk asses it and identify any hazards such as chemical spills or overhanging wires or vehicles on fire. If there are casualties that an </w:t>
      </w:r>
      <w:r w:rsidR="00CC061E">
        <w:lastRenderedPageBreak/>
        <w:t xml:space="preserve">ambulance will need to be called and then following this we would start the investigation. Preserve evidence and identify, witnesses of the incident and possible suspects. We would take first accounts as these will be relevant as part of the investigation. We would consider our powers for example section 4-6 Road Traffic Act 1988 if there is a driver possibility under the influence of drink or drugs. </w:t>
      </w:r>
      <w:r w:rsidR="001B21DE">
        <w:t xml:space="preserve">When dealing with an incident officer must consider the National Decision Model (NDM) this will allow officers to risk assess the situation and consider what powers and policies, options and contingencies they have. They will then review and record their actions at the end of the incident. </w:t>
      </w:r>
    </w:p>
    <w:p w:rsidR="008C7F4B" w:rsidRDefault="008C7F4B"/>
    <w:p w:rsidR="008C7F4B" w:rsidRDefault="008C7F4B"/>
    <w:p w:rsidR="008C7F4B" w:rsidRDefault="008C7F4B">
      <w:r>
        <w:t>6.</w:t>
      </w:r>
      <w:r w:rsidR="00CC061E">
        <w:t xml:space="preserve"> Section 170 (1) Road Traffic Act 1988 is a power that a person involved in a road traffic collision to provide their name and address to the other party and if there is personal injury involved in the collision then they are required to provide details of insurance details. </w:t>
      </w:r>
    </w:p>
    <w:p w:rsidR="008C7F4B" w:rsidRDefault="008C7F4B"/>
    <w:p w:rsidR="008C7F4B" w:rsidRDefault="008C7F4B"/>
    <w:p w:rsidR="008C7F4B" w:rsidRDefault="008C7F4B">
      <w:r>
        <w:t>7.</w:t>
      </w:r>
      <w:r w:rsidR="00CC061E">
        <w:t xml:space="preserve">  A drivers responsibilities if they are involved in a reportable road traffic collision is under Section 170 Road Traffic Act 1988 to exchange names and addresses and also provide details of their insurance. This road traffic collision must be then reported to the police where they will attend and identify any offences and check both details of the parties involved. The driver must stay at the scene for as long as is reasonable in order to exchange details with that other party failure to do this would be an offence under Section 170 Road Traffic Act 1988. </w:t>
      </w:r>
    </w:p>
    <w:p w:rsidR="008C7F4B" w:rsidRDefault="008C7F4B"/>
    <w:p w:rsidR="008C7F4B" w:rsidRDefault="008C7F4B"/>
    <w:p w:rsidR="008C7F4B" w:rsidRDefault="008C7F4B">
      <w:r>
        <w:t>8.</w:t>
      </w:r>
      <w:r w:rsidR="00CC061E">
        <w:t xml:space="preserve"> </w:t>
      </w:r>
      <w:r w:rsidR="00EC2EBC">
        <w:t xml:space="preserve">A constable may require a person to provide a preliminary test if they have been suspected to be involved in an offence, an accident has occurred or they have been involved in a moving traffic offence. The neumonic for this is (SAM). </w:t>
      </w:r>
    </w:p>
    <w:p w:rsidR="008C7F4B" w:rsidRDefault="008C7F4B"/>
    <w:p w:rsidR="008C7F4B" w:rsidRDefault="008C7F4B"/>
    <w:p w:rsidR="008C7F4B" w:rsidRDefault="008C7F4B">
      <w:r>
        <w:t>9.</w:t>
      </w:r>
      <w:r w:rsidR="00EC2EBC">
        <w:t xml:space="preserve"> A person is guilty of this offence if he causes serious injury to another person whilst driving a mechanically propelled vehicle </w:t>
      </w:r>
      <w:r w:rsidR="001B21DE">
        <w:t xml:space="preserve">dangerously </w:t>
      </w:r>
      <w:r w:rsidR="00EC2EBC">
        <w:t xml:space="preserve">on a road or other public place. </w:t>
      </w:r>
    </w:p>
    <w:p w:rsidR="008C7F4B" w:rsidRDefault="008C7F4B"/>
    <w:p w:rsidR="008C7F4B" w:rsidRDefault="008C7F4B"/>
    <w:p w:rsidR="008C7F4B" w:rsidRDefault="008C7F4B">
      <w:r>
        <w:t>10.</w:t>
      </w:r>
      <w:r w:rsidR="00EC2EBC">
        <w:t xml:space="preserve"> The term ‘dangerously’ in relation to Section 1 RTA 1988 means that a person has driven a mechanically propelled vehicle dangerous on a road or other public place and that it would appear to a reasonable person that driven in such manger is likely to cause alarm or distress. </w:t>
      </w:r>
    </w:p>
    <w:p w:rsidR="008C7F4B" w:rsidRDefault="008C7F4B"/>
    <w:p w:rsidR="008C7F4B" w:rsidRDefault="008C7F4B"/>
    <w:p w:rsidR="008C7F4B" w:rsidRDefault="008C7F4B">
      <w:r>
        <w:t>11.</w:t>
      </w:r>
      <w:r w:rsidR="00EC2EBC">
        <w:t xml:space="preserve"> A preliminary test can be required by a constable under Section 6 Road Traffic Act 1988. The pneumonic SAM states that a preliminary test can be required if the person is suspected of being </w:t>
      </w:r>
      <w:r w:rsidR="00EC2EBC">
        <w:lastRenderedPageBreak/>
        <w:t xml:space="preserve">under the influence of drink or drugs, accident has occurred whereby the driver was involved or if the person has committed a moving traffic offence. A police officer can also enter the private premises under Section 4 Road Traffic Act 1988 to obtain this preliminary test and may use force if necessary. </w:t>
      </w:r>
    </w:p>
    <w:p w:rsidR="00EC2EBC" w:rsidRDefault="00EC2EBC"/>
    <w:p w:rsidR="008C7F4B" w:rsidRDefault="008C7F4B">
      <w:r>
        <w:t>12.</w:t>
      </w:r>
      <w:r w:rsidR="00EC2EBC">
        <w:t xml:space="preserve"> </w:t>
      </w:r>
      <w:r w:rsidR="001B21DE">
        <w:t xml:space="preserve">The five principles of an investigative mind-set is to preserve evidence, identify victims and witnesses, secure evidence, identify suspects and start a detailed investigation. </w:t>
      </w:r>
      <w:r w:rsidR="005B1D7A">
        <w:t xml:space="preserve">It is important as officers we consider the Golden Hour when attending incidents that have evidence that needs to be obtained and preserved however our first priority is to preserve life and limb and to protect property. We would identify victims and witnessed and ensure that we take first accounts of those involved as this allows us to start a detailed investigation. It is important to also obtain first descriptions as these would go onto the log of the NICHE occurrence in an (SD01) form. </w:t>
      </w:r>
    </w:p>
    <w:p w:rsidR="00EC2EBC" w:rsidRDefault="00EC2EBC"/>
    <w:p w:rsidR="00EC2EBC" w:rsidRDefault="00EC2EBC"/>
    <w:p w:rsidR="008C7F4B" w:rsidRDefault="008C7F4B">
      <w:r>
        <w:t>13.</w:t>
      </w:r>
      <w:r w:rsidR="00DD1443">
        <w:t xml:space="preserve"> When an interviewing officer is interviewing a suspect and they refuse to answer any questions they must continue to ask the questions. The officer must explain that they understand that they are exercising their right to remain silent however, it will be admissible in court and that the court will draw an inference on this. The interviewing officer must continue to ask all questions that they planned to ask and note their response if any. When the case then goes to court they will explain that the suspect had the right to explain their side of the story in interview and draw inference on it in relation to what they say if anything. The court will be less likely to believe what the suspect says. </w:t>
      </w:r>
    </w:p>
    <w:p w:rsidR="00DD1443" w:rsidRDefault="00DD1443"/>
    <w:p w:rsidR="00DD1443" w:rsidRDefault="00DD1443"/>
    <w:p w:rsidR="008C7F4B" w:rsidRDefault="008C7F4B">
      <w:r>
        <w:t>14.</w:t>
      </w:r>
      <w:r w:rsidR="00DD1443">
        <w:t xml:space="preserve"> </w:t>
      </w:r>
      <w:r w:rsidR="002F7665">
        <w:t xml:space="preserve">The definition of domestic abuse is any incident or pattern of incidents that is threatening or abusive between those aged 16 or over who are or have been intimate partners regardless of gender or sexuality. </w:t>
      </w:r>
    </w:p>
    <w:p w:rsidR="001B21DE" w:rsidRDefault="001B21DE">
      <w:r>
        <w:t xml:space="preserve">They can be family members however must be in an intimate relationship. It may be controlling or coercive behaviour between another and the domestic abuse must have been one incident or a pattern of incidents that has caused the victim some sort of threat or abuse. The victim must be 16 years or over. </w:t>
      </w:r>
    </w:p>
    <w:p w:rsidR="00DA6E53" w:rsidRDefault="00DA6E53"/>
    <w:p w:rsidR="00DA6E53" w:rsidRDefault="00DA6E53"/>
    <w:p w:rsidR="008C7F4B" w:rsidRDefault="008C7F4B">
      <w:r>
        <w:t>15.</w:t>
      </w:r>
      <w:r w:rsidR="00DA6E53">
        <w:t xml:space="preserve"> There are any reason why victims of domestic abuse might not want to report it. Reasons include that they are in fear of reporting as they believe the abuser will carry out further violence towards them. The victim may not have access to any mobile phone or anyone to speak to as their movements are restricted and are being controlled by the abuser. The victim may also be part of the Stockholm Syndrome which is where the victim falls into a trap with the abuser and thinks that what they are going through is right, the victim falls in love with them and as a result it is harder for them to obtain the support they need. Victims of domestic abuse also may not report as they self-blame, this means that they blame themselves for getting into the situation and therefore don’t feel as though they should report it as it is their fault. Another reasons victims of domestic abuse may not </w:t>
      </w:r>
      <w:r w:rsidR="00DA6E53">
        <w:lastRenderedPageBreak/>
        <w:t xml:space="preserve">report to the police or other agencies is because of their children. Victims don’t want their children taken away by the police or other agencies such as social services. The police can take a child from a domestic incident under s.46 Children Act 1989 which is a Police Protection Order (PPO). Victims of domestic abuse/violence may be brain washed into that the abuser has told them not to engage with any services and have provided the victim with scripted wording if they ever come into contact with the police or partnership agencies. </w:t>
      </w:r>
    </w:p>
    <w:p w:rsidR="00DA6E53" w:rsidRDefault="00DA6E53"/>
    <w:p w:rsidR="00DA6E53" w:rsidRDefault="00DA6E53"/>
    <w:p w:rsidR="00712E72" w:rsidRDefault="00712E72"/>
    <w:p w:rsidR="00712E72" w:rsidRDefault="00712E72"/>
    <w:p w:rsidR="008C7F4B" w:rsidRDefault="008C7F4B">
      <w:r>
        <w:t>16.</w:t>
      </w:r>
      <w:r w:rsidR="00DA6E53">
        <w:t xml:space="preserve"> ‘Internal Trafficking’ under the Modern Slavery Act 2015 means a person is moved from place to place. Thi</w:t>
      </w:r>
      <w:r w:rsidR="00712E72">
        <w:t>s could be from a certain city to another city</w:t>
      </w:r>
      <w:r w:rsidR="00DA6E53">
        <w:t xml:space="preserve"> or it could even by as little as moving them from one floor in a house to another floor. </w:t>
      </w:r>
      <w:r w:rsidR="00712E72">
        <w:t xml:space="preserve">Internal Trafficking is done by the traffickers so that their always on the edge and that it is less likely for the victims of internal trafficking to be found and identified by support and emergency services. Internal Trafficking is done so that the victims do not know where they are going and when they arrive at the destination they are not as familiar with the location and therefore are a lot more vulnerable. The victims of internal trafficking may also be moved to a different location for work purposes for example females moved to different locations to be exploited sexually and used as prostitutes and forced to work in factories for little or no pay. </w:t>
      </w:r>
    </w:p>
    <w:p w:rsidR="00DA6E53" w:rsidRDefault="00DA6E53"/>
    <w:p w:rsidR="00DA6E53" w:rsidRDefault="00DA6E53"/>
    <w:p w:rsidR="00DA6E53" w:rsidRDefault="00DA6E53"/>
    <w:p w:rsidR="008C7F4B" w:rsidRDefault="008C7F4B">
      <w:r>
        <w:t>17.</w:t>
      </w:r>
      <w:r w:rsidR="00712E72">
        <w:t xml:space="preserve"> There are many agencies that are and may be involved in the care and protection of children. These include social services, </w:t>
      </w:r>
      <w:r w:rsidR="00334902">
        <w:t xml:space="preserve">child line, </w:t>
      </w:r>
      <w:r w:rsidR="00712E72">
        <w:t>women’s aid, BAWSO, education, housing authorities. Social Services have a large role when it comes to the care and protection of children. They may take a child from a home if they believe that the child is likely to suffer significant harm if they are not removed t</w:t>
      </w:r>
      <w:r w:rsidR="00334902">
        <w:t xml:space="preserve">o a placed of safety. Under Section 44 Children Act 1989 which is </w:t>
      </w:r>
      <w:r w:rsidR="00712E72">
        <w:t xml:space="preserve">an emergency protection </w:t>
      </w:r>
      <w:r w:rsidR="00334902">
        <w:t xml:space="preserve">order a local authority can take a child from a place where it is likely to suffer further harm and if the child is in need of being placed into immediate need of care and control. </w:t>
      </w:r>
    </w:p>
    <w:p w:rsidR="00DA6E53" w:rsidRDefault="00DA6E53"/>
    <w:p w:rsidR="00DA6E53" w:rsidRDefault="00DA6E53"/>
    <w:p w:rsidR="008C7F4B" w:rsidRDefault="008C7F4B">
      <w:r>
        <w:t>18.</w:t>
      </w:r>
      <w:r w:rsidR="00334902">
        <w:t xml:space="preserve"> The UK strategy to address modern slavery is organised under the four P’s. These are Pursue, Protect, Prevent and Prepare. Pursue means that suspects of modern slavery must be identified and brought to justice. Protect which is the most important part of the strategy means that we must protect those that are victims of human trafficking and we must safeguard and protect them from any further exploitation. We must engage with partnership agencies in order to identify victims and when we do ensure that they receive the appropriate support such as medical, educational, their human rights and also explain how the criminal justice system works. The third strand is the prevent part this means we must try to prevent human tracking from happening by identifying victims as early as possible and prevent those from being exploited any further. The last strand of the four P’s </w:t>
      </w:r>
      <w:r w:rsidR="00334902">
        <w:lastRenderedPageBreak/>
        <w:t>is the prepare stage this is where we must prepare for when we identify victims and e</w:t>
      </w:r>
      <w:r w:rsidR="00FA5C93">
        <w:t xml:space="preserve">nsure that the support is there. </w:t>
      </w:r>
    </w:p>
    <w:p w:rsidR="00DA6E53" w:rsidRDefault="00DA6E53"/>
    <w:p w:rsidR="008C7F4B" w:rsidRDefault="008C7F4B">
      <w:r>
        <w:t>19.</w:t>
      </w:r>
      <w:r w:rsidR="00FA5C93">
        <w:t xml:space="preserve"> The National Referral Mechanism (NRM is where victims of trafficking are referred to. The NRM seeks to identify victims of trafficking and ensure that they are taken out of the situation and safeguarded and protected. </w:t>
      </w:r>
      <w:r w:rsidR="005B1D7A">
        <w:t xml:space="preserve">When victims of trafficking are identified it is important that they are medically assessed and are reminded of their human rights. They must also be explained how the Criminal Justice System works. When necessary it is important that an interrupter is used if the victim cannot speak English. </w:t>
      </w:r>
    </w:p>
    <w:p w:rsidR="00DA6E53" w:rsidRDefault="00DA6E53"/>
    <w:p w:rsidR="00DA6E53" w:rsidRDefault="00DA6E53"/>
    <w:p w:rsidR="008C7F4B" w:rsidRDefault="00FA5C93">
      <w:r>
        <w:t xml:space="preserve">20 a. The term ‘prostitute’ means when someone is used for sexual purposes. The victim is sexually exploited usually for payment and engages in sexual acts such as sexual intercourse for a sum of money.  </w:t>
      </w:r>
    </w:p>
    <w:p w:rsidR="00FA5C93" w:rsidRDefault="00FA5C93">
      <w:r>
        <w:t xml:space="preserve">b. Prostitutes should be treated as vulnerable and must be identified as early as possible. They are being sexually exploited to different people for often payment or a reward and are often physically abused. It is therefore important that we submit Public Protection Notices (PPN’s) in order to obtain the correct support for them. Prostitutes are also vulnerable to drugs and are sexually exploited in exchange for drugs therefore this makes them very vulnerable. </w:t>
      </w:r>
    </w:p>
    <w:p w:rsidR="00FA5C93" w:rsidRDefault="00FA5C93"/>
    <w:p w:rsidR="00FA5C93" w:rsidRDefault="00FA5C93"/>
    <w:p w:rsidR="008C7F4B" w:rsidRDefault="008C7F4B">
      <w:r>
        <w:t>21.</w:t>
      </w:r>
      <w:r w:rsidR="00FA5C93">
        <w:t xml:space="preserve"> A person is guilty </w:t>
      </w:r>
      <w:r w:rsidR="00CA6306">
        <w:t>i</w:t>
      </w:r>
      <w:r w:rsidR="00FA5C93">
        <w:t xml:space="preserve">f they intentionally penetrate the vagina, anus or mouth of another person (B), with </w:t>
      </w:r>
      <w:r w:rsidR="00CA6306">
        <w:t>(</w:t>
      </w:r>
      <w:r w:rsidR="00FA5C93">
        <w:t>A</w:t>
      </w:r>
      <w:r w:rsidR="00CA6306">
        <w:t>)</w:t>
      </w:r>
      <w:r w:rsidR="00FA5C93">
        <w:t xml:space="preserve"> penis, and </w:t>
      </w:r>
      <w:r w:rsidR="00CA6306">
        <w:t>(</w:t>
      </w:r>
      <w:r w:rsidR="00FA5C93">
        <w:t>B</w:t>
      </w:r>
      <w:r w:rsidR="00CA6306">
        <w:t>)</w:t>
      </w:r>
      <w:r w:rsidR="00FA5C93">
        <w:t xml:space="preserve"> </w:t>
      </w:r>
      <w:r w:rsidR="00CA6306">
        <w:t xml:space="preserve">is under 13. The points to prove for this offence are that A intentionally penetrated B vagina, anus or mouth with A penis and at the time B was under 13. As B is under 13 he/she cannot consent due to their age and therefore this is rape. </w:t>
      </w:r>
    </w:p>
    <w:p w:rsidR="00CA6306" w:rsidRDefault="00CA6306"/>
    <w:p w:rsidR="00CA6306" w:rsidRDefault="00CA6306"/>
    <w:p w:rsidR="00CA6306" w:rsidRDefault="008C7F4B">
      <w:r>
        <w:t>22.</w:t>
      </w:r>
      <w:r w:rsidR="00CA6306">
        <w:t xml:space="preserve"> The scheme ‘Sarah’s Law’ came as a result of the Sarah Payne case in 2007. The case was that Sarah Payne was murdered by a sex offender and paedophile. As a result Sarah’s Law was created and now allows parents, guardians, carers and other agencies to request from the police information in relation to people that deal with the child. An example of this would be checks on teachers or carers of children before that start working with young people. This information is then released by the police however it is strictly confidential. </w:t>
      </w:r>
    </w:p>
    <w:p w:rsidR="00CA6306" w:rsidRDefault="00CA6306"/>
    <w:p w:rsidR="00CA6306" w:rsidRDefault="00CA6306"/>
    <w:p w:rsidR="008C7F4B" w:rsidRDefault="008C7F4B">
      <w:r>
        <w:t>23.</w:t>
      </w:r>
      <w:r w:rsidR="00CA6306">
        <w:t xml:space="preserve"> The evidential presumptions that a court can make under section 75 (A) and (B) Sexual Offences Act 2003 are that at the time the victim did not have the mental capacity to make a decision. Another presumption is that at the time of the rape the victim was under the influence of a substance that was stupefying and overpowering the </w:t>
      </w:r>
      <w:r w:rsidR="001B21DE">
        <w:t>victim’s</w:t>
      </w:r>
      <w:r w:rsidR="00CA6306">
        <w:t xml:space="preserve"> mental state. </w:t>
      </w:r>
      <w:r w:rsidR="001B21DE">
        <w:t xml:space="preserve">The victim may also have </w:t>
      </w:r>
      <w:r w:rsidR="001B21DE">
        <w:lastRenderedPageBreak/>
        <w:t xml:space="preserve">not had the freedom and capacity to make a choice at that time under the Mental Capacity Act 2005. The victim may have also been suffering from a mental disorder and therefore would not have had the capacity to consent. </w:t>
      </w:r>
    </w:p>
    <w:p w:rsidR="008C7F4B" w:rsidRDefault="008C7F4B"/>
    <w:sectPr w:rsidR="008C7F4B" w:rsidSect="00DD144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925" w:rsidRDefault="003D4925" w:rsidP="00DD1443">
      <w:pPr>
        <w:spacing w:after="0" w:line="240" w:lineRule="auto"/>
      </w:pPr>
      <w:r>
        <w:separator/>
      </w:r>
    </w:p>
  </w:endnote>
  <w:endnote w:type="continuationSeparator" w:id="0">
    <w:p w:rsidR="003D4925" w:rsidRDefault="003D4925" w:rsidP="00DD1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925" w:rsidRDefault="00496527" w:rsidP="00496527">
    <w:pPr>
      <w:pStyle w:val="Footer"/>
      <w:rPr>
        <w:color w:val="000000"/>
        <w:sz w:val="17"/>
      </w:rPr>
    </w:pPr>
    <w:bookmarkStart w:id="3" w:name="TITUS1FooterEvenPages"/>
    <w:r>
      <w:rPr>
        <w:color w:val="000000"/>
        <w:sz w:val="17"/>
      </w:rPr>
      <w:t> </w:t>
    </w:r>
  </w:p>
  <w:bookmarkEnd w:id="3"/>
  <w:p w:rsidR="003D4925" w:rsidRDefault="003D4925" w:rsidP="004766D8">
    <w:pPr>
      <w:pStyle w:val="Footer"/>
    </w:pPr>
  </w:p>
  <w:p w:rsidR="003D4925" w:rsidRDefault="003D49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925" w:rsidRDefault="00496527" w:rsidP="00496527">
    <w:pPr>
      <w:pStyle w:val="Footer"/>
      <w:rPr>
        <w:color w:val="000000"/>
        <w:sz w:val="17"/>
      </w:rPr>
    </w:pPr>
    <w:bookmarkStart w:id="4" w:name="TITUS1FooterPrimary"/>
    <w:r>
      <w:rPr>
        <w:color w:val="000000"/>
        <w:sz w:val="17"/>
      </w:rPr>
      <w:t> </w:t>
    </w:r>
  </w:p>
  <w:bookmarkEnd w:id="4"/>
  <w:p w:rsidR="003D4925" w:rsidRDefault="003D49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925" w:rsidRDefault="00496527" w:rsidP="00496527">
    <w:pPr>
      <w:pStyle w:val="Footer"/>
      <w:rPr>
        <w:color w:val="000000"/>
        <w:sz w:val="17"/>
      </w:rPr>
    </w:pPr>
    <w:bookmarkStart w:id="6" w:name="TITUS1FooterFirstPage"/>
    <w:r>
      <w:rPr>
        <w:color w:val="000000"/>
        <w:sz w:val="17"/>
      </w:rPr>
      <w:t> </w:t>
    </w:r>
  </w:p>
  <w:bookmarkEnd w:id="6"/>
  <w:p w:rsidR="003D4925" w:rsidRDefault="003D49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925" w:rsidRDefault="003D4925" w:rsidP="00DD1443">
      <w:pPr>
        <w:spacing w:after="0" w:line="240" w:lineRule="auto"/>
      </w:pPr>
      <w:r>
        <w:separator/>
      </w:r>
    </w:p>
  </w:footnote>
  <w:footnote w:type="continuationSeparator" w:id="0">
    <w:p w:rsidR="003D4925" w:rsidRDefault="003D4925" w:rsidP="00DD14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925" w:rsidRDefault="00496527" w:rsidP="00496527">
    <w:pPr>
      <w:pStyle w:val="Header"/>
      <w:rPr>
        <w:color w:val="000000"/>
        <w:sz w:val="17"/>
      </w:rPr>
    </w:pPr>
    <w:bookmarkStart w:id="1" w:name="TITUS1HeaderEvenPages"/>
    <w:r>
      <w:rPr>
        <w:color w:val="000000"/>
        <w:sz w:val="17"/>
      </w:rPr>
      <w:t> </w:t>
    </w:r>
  </w:p>
  <w:bookmarkEnd w:id="1"/>
  <w:p w:rsidR="003D4925" w:rsidRDefault="003D4925" w:rsidP="004766D8">
    <w:pPr>
      <w:pStyle w:val="Header"/>
    </w:pPr>
  </w:p>
  <w:p w:rsidR="003D4925" w:rsidRDefault="003D49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925" w:rsidRDefault="00496527" w:rsidP="00496527">
    <w:pPr>
      <w:pStyle w:val="Header"/>
      <w:rPr>
        <w:color w:val="000000"/>
        <w:sz w:val="17"/>
      </w:rPr>
    </w:pPr>
    <w:bookmarkStart w:id="2" w:name="TITUS1HeaderPrimary"/>
    <w:r>
      <w:rPr>
        <w:color w:val="000000"/>
        <w:sz w:val="17"/>
      </w:rPr>
      <w:t> </w:t>
    </w:r>
  </w:p>
  <w:bookmarkEnd w:id="2"/>
  <w:p w:rsidR="003D4925" w:rsidRDefault="003D49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925" w:rsidRDefault="00496527" w:rsidP="00496527">
    <w:pPr>
      <w:pStyle w:val="Header"/>
      <w:rPr>
        <w:color w:val="000000"/>
        <w:sz w:val="17"/>
      </w:rPr>
    </w:pPr>
    <w:bookmarkStart w:id="5" w:name="TITUS1HeaderFirstPage"/>
    <w:r>
      <w:rPr>
        <w:color w:val="000000"/>
        <w:sz w:val="17"/>
      </w:rPr>
      <w:t> </w:t>
    </w:r>
  </w:p>
  <w:bookmarkEnd w:id="5"/>
  <w:p w:rsidR="003D4925" w:rsidRDefault="003D49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F4B"/>
    <w:rsid w:val="000E7858"/>
    <w:rsid w:val="001B21DE"/>
    <w:rsid w:val="002700D0"/>
    <w:rsid w:val="002F7665"/>
    <w:rsid w:val="00334902"/>
    <w:rsid w:val="003D4925"/>
    <w:rsid w:val="004766D8"/>
    <w:rsid w:val="00496527"/>
    <w:rsid w:val="005B1D7A"/>
    <w:rsid w:val="00712E72"/>
    <w:rsid w:val="008C7F4B"/>
    <w:rsid w:val="009139A3"/>
    <w:rsid w:val="009B64DF"/>
    <w:rsid w:val="00B82434"/>
    <w:rsid w:val="00CA6306"/>
    <w:rsid w:val="00CC061E"/>
    <w:rsid w:val="00DA6E53"/>
    <w:rsid w:val="00DD1443"/>
    <w:rsid w:val="00E72F2F"/>
    <w:rsid w:val="00EC2EBC"/>
    <w:rsid w:val="00EF449F"/>
    <w:rsid w:val="00FA5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B7156"/>
  <w15:chartTrackingRefBased/>
  <w15:docId w15:val="{11D03E88-5362-42B7-8E2A-99A7B84CA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14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443"/>
  </w:style>
  <w:style w:type="paragraph" w:styleId="Footer">
    <w:name w:val="footer"/>
    <w:basedOn w:val="Normal"/>
    <w:link w:val="FooterChar"/>
    <w:uiPriority w:val="99"/>
    <w:unhideWhenUsed/>
    <w:rsid w:val="00DD14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6</Pages>
  <Words>2046</Words>
  <Characters>11663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Hurley,Joe swp6607</dc:creator>
  <cp:keywords/>
  <dc:description/>
  <cp:lastModifiedBy>Hurley,Joe swp6607</cp:lastModifiedBy>
  <cp:revision>7</cp:revision>
  <dcterms:created xsi:type="dcterms:W3CDTF">2020-09-01T07:20:00Z</dcterms:created>
  <dcterms:modified xsi:type="dcterms:W3CDTF">2020-09-01T10:08:00Z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2757e643-f0a1-413f-9b23-2b19428dad2a</vt:lpwstr>
  </property>
  <property fmtid="{D5CDD505-2E9C-101B-9397-08002B2CF9AE}" pid="3" name="Classification">
    <vt:lpwstr>OFFICIAL</vt:lpwstr>
  </property>
  <property fmtid="{D5CDD505-2E9C-101B-9397-08002B2CF9AE}" pid="4" name="Visibility">
    <vt:lpwstr>NOT VISIBLE</vt:lpwstr>
  </property>
</Properties>
</file>