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80806" w14:textId="77777777" w:rsidR="00D1605A" w:rsidRPr="003776A2" w:rsidRDefault="00D1605A" w:rsidP="00D1605A">
      <w:pPr>
        <w:spacing w:before="100" w:beforeAutospacing="1" w:after="100" w:afterAutospacing="1"/>
        <w:jc w:val="center"/>
        <w:rPr>
          <w:rFonts w:ascii="Arial" w:hAnsi="Arial" w:cs="Arial"/>
          <w:b/>
          <w:bCs/>
          <w:color w:val="000000"/>
          <w:sz w:val="32"/>
          <w:szCs w:val="32"/>
        </w:rPr>
      </w:pPr>
      <w:r w:rsidRPr="003776A2">
        <w:rPr>
          <w:rFonts w:ascii="Arial" w:hAnsi="Arial" w:cs="Arial"/>
        </w:rPr>
        <w:fldChar w:fldCharType="begin"/>
      </w:r>
      <w:r w:rsidRPr="003776A2">
        <w:rPr>
          <w:rFonts w:ascii="Arial" w:hAnsi="Arial" w:cs="Arial"/>
        </w:rPr>
        <w:instrText xml:space="preserve"> INCLUDEPICTURE "https://www.jobs.ac.uk/images/employer-logos/medium/6322.gif?1532708470" \* MERGEFORMATINET </w:instrText>
      </w:r>
      <w:r w:rsidRPr="003776A2">
        <w:rPr>
          <w:rFonts w:ascii="Arial" w:hAnsi="Arial" w:cs="Arial"/>
        </w:rPr>
        <w:fldChar w:fldCharType="separate"/>
      </w:r>
      <w:r w:rsidRPr="003776A2">
        <w:rPr>
          <w:rFonts w:ascii="Arial" w:hAnsi="Arial" w:cs="Arial"/>
          <w:noProof/>
        </w:rPr>
        <w:drawing>
          <wp:inline distT="0" distB="0" distL="0" distR="0" wp14:anchorId="2079E42C" wp14:editId="7F33406D">
            <wp:extent cx="1722967" cy="743578"/>
            <wp:effectExtent l="0" t="0" r="4445" b="6350"/>
            <wp:docPr id="1435640651" name="Picture 1"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Jobs - Apply Online at jobs.ac.u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3686"/>
                    <a:stretch/>
                  </pic:blipFill>
                  <pic:spPr bwMode="auto">
                    <a:xfrm>
                      <a:off x="0" y="0"/>
                      <a:ext cx="1775780" cy="766370"/>
                    </a:xfrm>
                    <a:prstGeom prst="rect">
                      <a:avLst/>
                    </a:prstGeom>
                    <a:noFill/>
                    <a:ln>
                      <a:noFill/>
                    </a:ln>
                    <a:extLst>
                      <a:ext uri="{53640926-AAD7-44D8-BBD7-CCE9431645EC}">
                        <a14:shadowObscured xmlns:a14="http://schemas.microsoft.com/office/drawing/2010/main"/>
                      </a:ext>
                    </a:extLst>
                  </pic:spPr>
                </pic:pic>
              </a:graphicData>
            </a:graphic>
          </wp:inline>
        </w:drawing>
      </w:r>
      <w:r w:rsidRPr="003776A2">
        <w:rPr>
          <w:rFonts w:ascii="Arial" w:hAnsi="Arial" w:cs="Arial"/>
        </w:rPr>
        <w:fldChar w:fldCharType="end"/>
      </w:r>
    </w:p>
    <w:p w14:paraId="24088D1F" w14:textId="77777777" w:rsidR="00D1605A" w:rsidRPr="003776A2" w:rsidRDefault="00D1605A" w:rsidP="00D1605A">
      <w:pPr>
        <w:jc w:val="center"/>
        <w:rPr>
          <w:rFonts w:ascii="Arial" w:hAnsi="Arial" w:cs="Arial"/>
          <w:sz w:val="28"/>
          <w:szCs w:val="28"/>
        </w:rPr>
      </w:pPr>
      <w:r w:rsidRPr="003776A2">
        <w:rPr>
          <w:rStyle w:val="Strong"/>
          <w:rFonts w:ascii="Arial" w:hAnsi="Arial" w:cs="Arial"/>
          <w:sz w:val="28"/>
          <w:szCs w:val="28"/>
        </w:rPr>
        <w:t>Master of Business Administration (MBA)</w:t>
      </w:r>
    </w:p>
    <w:p w14:paraId="69BECC54" w14:textId="77777777" w:rsidR="00D1605A" w:rsidRPr="003776A2" w:rsidRDefault="00D1605A" w:rsidP="00D1605A">
      <w:pPr>
        <w:pBdr>
          <w:bottom w:val="single" w:sz="6" w:space="1" w:color="auto"/>
        </w:pBdr>
        <w:jc w:val="center"/>
        <w:rPr>
          <w:rFonts w:ascii="Arial" w:hAnsi="Arial" w:cs="Arial"/>
          <w:b/>
          <w:bCs/>
          <w:sz w:val="28"/>
          <w:szCs w:val="28"/>
        </w:rPr>
      </w:pPr>
      <w:r w:rsidRPr="003776A2">
        <w:rPr>
          <w:rStyle w:val="Strong"/>
          <w:rFonts w:ascii="Arial" w:hAnsi="Arial" w:cs="Arial"/>
          <w:sz w:val="28"/>
          <w:szCs w:val="28"/>
        </w:rPr>
        <w:t xml:space="preserve">Module: </w:t>
      </w:r>
      <w:r w:rsidRPr="003776A2">
        <w:rPr>
          <w:rFonts w:ascii="Arial" w:hAnsi="Arial" w:cs="Arial"/>
          <w:b/>
          <w:bCs/>
          <w:sz w:val="28"/>
          <w:szCs w:val="28"/>
        </w:rPr>
        <w:t>Marketing Management</w:t>
      </w:r>
    </w:p>
    <w:p w14:paraId="771AA7EA" w14:textId="5E0D16F3" w:rsidR="00D1605A" w:rsidRPr="003776A2" w:rsidRDefault="00D1605A" w:rsidP="00D1605A">
      <w:pPr>
        <w:pBdr>
          <w:bottom w:val="single" w:sz="6" w:space="1" w:color="auto"/>
        </w:pBdr>
        <w:jc w:val="center"/>
        <w:rPr>
          <w:rStyle w:val="Strong"/>
          <w:rFonts w:ascii="Arial" w:hAnsi="Arial" w:cs="Arial"/>
          <w:i/>
          <w:iCs/>
          <w:sz w:val="28"/>
          <w:szCs w:val="28"/>
        </w:rPr>
      </w:pPr>
      <w:r w:rsidRPr="003776A2">
        <w:rPr>
          <w:rFonts w:ascii="Arial" w:hAnsi="Arial" w:cs="Arial"/>
          <w:b/>
          <w:bCs/>
          <w:sz w:val="28"/>
          <w:szCs w:val="28"/>
          <w:lang w:val="en-US"/>
        </w:rPr>
        <w:t>(</w:t>
      </w:r>
      <w:r w:rsidRPr="003776A2">
        <w:rPr>
          <w:rFonts w:ascii="Arial" w:hAnsi="Arial" w:cs="Arial"/>
          <w:b/>
          <w:bCs/>
          <w:sz w:val="28"/>
          <w:szCs w:val="28"/>
        </w:rPr>
        <w:t>LCMB7024</w:t>
      </w:r>
      <w:r w:rsidRPr="003776A2">
        <w:rPr>
          <w:rFonts w:ascii="Arial" w:hAnsi="Arial" w:cs="Arial"/>
          <w:b/>
          <w:bCs/>
          <w:sz w:val="28"/>
          <w:szCs w:val="28"/>
          <w:lang w:val="en-US"/>
        </w:rPr>
        <w:t>)</w:t>
      </w:r>
      <w:r w:rsidRPr="003776A2">
        <w:rPr>
          <w:rFonts w:ascii="Arial" w:hAnsi="Arial" w:cs="Arial"/>
          <w:sz w:val="28"/>
          <w:szCs w:val="28"/>
        </w:rPr>
        <w:br/>
      </w:r>
      <w:r w:rsidRPr="003776A2">
        <w:rPr>
          <w:rFonts w:ascii="Arial" w:hAnsi="Arial" w:cs="Arial"/>
          <w:b/>
          <w:bCs/>
          <w:sz w:val="28"/>
          <w:szCs w:val="28"/>
        </w:rPr>
        <w:t xml:space="preserve">Assessment </w:t>
      </w:r>
      <w:r w:rsidRPr="003776A2">
        <w:rPr>
          <w:rFonts w:ascii="Arial" w:hAnsi="Arial" w:cs="Arial"/>
          <w:b/>
          <w:bCs/>
          <w:sz w:val="28"/>
          <w:szCs w:val="28"/>
          <w:lang w:val="en-US"/>
        </w:rPr>
        <w:t>C</w:t>
      </w:r>
      <w:r w:rsidRPr="003776A2">
        <w:rPr>
          <w:rFonts w:ascii="Arial" w:hAnsi="Arial" w:cs="Arial"/>
          <w:b/>
          <w:bCs/>
          <w:sz w:val="28"/>
          <w:szCs w:val="28"/>
        </w:rPr>
        <w:t>omponent 1:</w:t>
      </w:r>
      <w:r w:rsidRPr="003776A2">
        <w:rPr>
          <w:rFonts w:ascii="Arial" w:hAnsi="Arial" w:cs="Arial"/>
          <w:b/>
          <w:bCs/>
          <w:sz w:val="28"/>
          <w:szCs w:val="28"/>
          <w:lang w:val="en-US"/>
        </w:rPr>
        <w:t xml:space="preserve"> </w:t>
      </w:r>
      <w:r w:rsidRPr="003776A2">
        <w:rPr>
          <w:rFonts w:ascii="Arial" w:hAnsi="Arial" w:cs="Arial"/>
          <w:b/>
          <w:bCs/>
          <w:i/>
          <w:iCs/>
          <w:sz w:val="28"/>
          <w:szCs w:val="28"/>
        </w:rPr>
        <w:t>Marketing Environment</w:t>
      </w:r>
      <w:r w:rsidRPr="003776A2">
        <w:rPr>
          <w:rFonts w:ascii="Arial" w:hAnsi="Arial" w:cs="Arial"/>
          <w:b/>
          <w:bCs/>
          <w:i/>
          <w:iCs/>
          <w:sz w:val="28"/>
          <w:szCs w:val="28"/>
          <w:lang w:val="en-US"/>
        </w:rPr>
        <w:t xml:space="preserve"> </w:t>
      </w:r>
      <w:r w:rsidRPr="003776A2">
        <w:rPr>
          <w:rFonts w:ascii="Arial" w:hAnsi="Arial" w:cs="Arial"/>
          <w:b/>
          <w:bCs/>
          <w:i/>
          <w:iCs/>
          <w:sz w:val="28"/>
          <w:szCs w:val="28"/>
        </w:rPr>
        <w:t>Analysis</w:t>
      </w:r>
    </w:p>
    <w:p w14:paraId="54A8AB0D" w14:textId="77777777" w:rsidR="00D1605A" w:rsidRPr="003776A2" w:rsidRDefault="00D1605A" w:rsidP="00D1605A">
      <w:pPr>
        <w:spacing w:before="100" w:beforeAutospacing="1" w:after="100" w:afterAutospacing="1"/>
        <w:jc w:val="center"/>
        <w:rPr>
          <w:rFonts w:ascii="Arial" w:hAnsi="Arial" w:cs="Arial"/>
          <w:b/>
          <w:bCs/>
        </w:rPr>
      </w:pPr>
    </w:p>
    <w:p w14:paraId="65B6F2E7" w14:textId="77777777" w:rsidR="00D1605A" w:rsidRPr="003776A2" w:rsidRDefault="00D1605A" w:rsidP="00D1605A">
      <w:pPr>
        <w:spacing w:before="100" w:beforeAutospacing="1" w:after="100" w:afterAutospacing="1"/>
        <w:jc w:val="center"/>
        <w:rPr>
          <w:rFonts w:ascii="Arial" w:hAnsi="Arial" w:cs="Arial"/>
          <w:b/>
          <w:bCs/>
        </w:rPr>
      </w:pPr>
    </w:p>
    <w:p w14:paraId="05C15A3A" w14:textId="77777777" w:rsidR="00D1605A" w:rsidRPr="003776A2" w:rsidRDefault="00D1605A" w:rsidP="00D1605A">
      <w:pPr>
        <w:jc w:val="center"/>
        <w:rPr>
          <w:rFonts w:ascii="Arial" w:hAnsi="Arial" w:cs="Arial"/>
        </w:rPr>
      </w:pPr>
    </w:p>
    <w:p w14:paraId="65AF0948" w14:textId="4A10A0A1" w:rsidR="00D1605A" w:rsidRPr="003776A2" w:rsidRDefault="00D1605A" w:rsidP="00D1605A">
      <w:pPr>
        <w:pStyle w:val="IntenseQuote"/>
        <w:rPr>
          <w:rFonts w:ascii="Arial" w:hAnsi="Arial" w:cs="Arial"/>
          <w:b/>
          <w:bCs/>
        </w:rPr>
      </w:pPr>
      <w:r w:rsidRPr="003776A2">
        <w:rPr>
          <w:rFonts w:ascii="Arial" w:hAnsi="Arial" w:cs="Arial"/>
          <w:b/>
          <w:bCs/>
        </w:rPr>
        <w:t xml:space="preserve">Title: </w:t>
      </w:r>
      <w:r w:rsidRPr="003776A2">
        <w:rPr>
          <w:rFonts w:ascii="Arial" w:hAnsi="Arial" w:cs="Arial"/>
          <w:b/>
          <w:bCs/>
          <w:lang/>
        </w:rPr>
        <w:t>Strategic Growth Responses to Regulatory and Environmental Pressures in the UK Energy Sector</w:t>
      </w:r>
    </w:p>
    <w:p w14:paraId="0704016D" w14:textId="77777777" w:rsidR="00D1605A" w:rsidRPr="003776A2" w:rsidRDefault="00D1605A" w:rsidP="00D1605A">
      <w:pPr>
        <w:spacing w:before="100" w:beforeAutospacing="1" w:after="100" w:afterAutospacing="1"/>
        <w:jc w:val="center"/>
        <w:rPr>
          <w:rFonts w:ascii="Arial" w:hAnsi="Arial" w:cs="Arial"/>
          <w:b/>
          <w:bCs/>
          <w:color w:val="000000"/>
        </w:rPr>
      </w:pPr>
    </w:p>
    <w:p w14:paraId="3FB76626" w14:textId="77777777" w:rsidR="00D1605A" w:rsidRPr="003776A2" w:rsidRDefault="00D1605A" w:rsidP="00D1605A">
      <w:pPr>
        <w:spacing w:before="100" w:beforeAutospacing="1" w:after="100" w:afterAutospacing="1"/>
        <w:jc w:val="center"/>
        <w:rPr>
          <w:rFonts w:ascii="Arial" w:hAnsi="Arial" w:cs="Arial"/>
          <w:b/>
          <w:bCs/>
          <w:color w:val="000000"/>
        </w:rPr>
      </w:pPr>
    </w:p>
    <w:p w14:paraId="79D69871" w14:textId="77777777" w:rsidR="00D1605A" w:rsidRPr="003776A2" w:rsidRDefault="00D1605A" w:rsidP="00D1605A">
      <w:pPr>
        <w:spacing w:before="100" w:beforeAutospacing="1" w:after="100" w:afterAutospacing="1"/>
        <w:jc w:val="center"/>
        <w:rPr>
          <w:rFonts w:ascii="Arial" w:hAnsi="Arial" w:cs="Arial"/>
          <w:b/>
          <w:bCs/>
          <w:color w:val="000000"/>
        </w:rPr>
      </w:pPr>
    </w:p>
    <w:p w14:paraId="38A322AF" w14:textId="74463BC6" w:rsidR="00D1605A" w:rsidRPr="00ED1892" w:rsidRDefault="00D1605A" w:rsidP="00D1605A">
      <w:pPr>
        <w:spacing w:before="100" w:beforeAutospacing="1" w:after="100" w:afterAutospacing="1"/>
        <w:jc w:val="center"/>
        <w:rPr>
          <w:rFonts w:ascii="Arial" w:hAnsi="Arial" w:cs="Arial"/>
          <w:lang w:val="en-US"/>
        </w:rPr>
      </w:pPr>
      <w:r w:rsidRPr="003776A2">
        <w:rPr>
          <w:rFonts w:ascii="Arial" w:hAnsi="Arial" w:cs="Arial"/>
          <w:b/>
          <w:bCs/>
        </w:rPr>
        <w:t>Lecturer Name:</w:t>
      </w:r>
      <w:r w:rsidRPr="003776A2">
        <w:rPr>
          <w:rFonts w:ascii="Arial" w:hAnsi="Arial" w:cs="Arial"/>
        </w:rPr>
        <w:t> </w:t>
      </w:r>
      <w:r w:rsidRPr="00A66695">
        <w:rPr>
          <w:rFonts w:ascii="Arial" w:hAnsi="Arial" w:cs="Arial"/>
        </w:rPr>
        <w:t>Dr Laila Maazouz</w:t>
      </w:r>
    </w:p>
    <w:p w14:paraId="6576622C" w14:textId="1B3E92ED" w:rsidR="00D1605A" w:rsidRPr="00A66695" w:rsidRDefault="00D1605A" w:rsidP="00D1605A">
      <w:pPr>
        <w:jc w:val="center"/>
        <w:rPr>
          <w:rFonts w:ascii="Arial" w:hAnsi="Arial" w:cs="Arial"/>
          <w:lang w:val="en-US"/>
        </w:rPr>
      </w:pPr>
      <w:r w:rsidRPr="003776A2">
        <w:rPr>
          <w:rFonts w:ascii="Arial" w:hAnsi="Arial" w:cs="Arial"/>
          <w:b/>
          <w:bCs/>
        </w:rPr>
        <w:t>Student Name:</w:t>
      </w:r>
      <w:r w:rsidR="00A66695">
        <w:rPr>
          <w:rFonts w:ascii="Arial" w:hAnsi="Arial" w:cs="Arial"/>
          <w:b/>
          <w:bCs/>
          <w:lang w:val="en-US"/>
        </w:rPr>
        <w:t xml:space="preserve"> </w:t>
      </w:r>
      <w:r w:rsidR="00A66695" w:rsidRPr="00A66695">
        <w:rPr>
          <w:rFonts w:ascii="Arial" w:hAnsi="Arial" w:cs="Arial"/>
          <w:lang w:val="en-US"/>
        </w:rPr>
        <w:t>Shifat Hossain</w:t>
      </w:r>
    </w:p>
    <w:p w14:paraId="09A12095" w14:textId="29AF59D9" w:rsidR="00D1605A" w:rsidRPr="00A66695" w:rsidRDefault="00D1605A" w:rsidP="00D1605A">
      <w:pPr>
        <w:jc w:val="center"/>
        <w:rPr>
          <w:rFonts w:ascii="Arial" w:hAnsi="Arial" w:cs="Arial"/>
          <w:lang w:val="en-US"/>
        </w:rPr>
      </w:pPr>
      <w:r w:rsidRPr="003776A2">
        <w:rPr>
          <w:rFonts w:ascii="Arial" w:hAnsi="Arial" w:cs="Arial"/>
          <w:b/>
          <w:bCs/>
        </w:rPr>
        <w:t>Student ID:</w:t>
      </w:r>
      <w:r w:rsidR="00A66695">
        <w:rPr>
          <w:rFonts w:ascii="Arial" w:hAnsi="Arial" w:cs="Arial"/>
          <w:b/>
          <w:bCs/>
          <w:lang w:val="en-US"/>
        </w:rPr>
        <w:t xml:space="preserve"> </w:t>
      </w:r>
      <w:r w:rsidR="00A66695" w:rsidRPr="00A66695">
        <w:rPr>
          <w:rFonts w:ascii="Arial" w:hAnsi="Arial" w:cs="Arial"/>
          <w:lang w:val="en-US"/>
        </w:rPr>
        <w:t>2436037</w:t>
      </w:r>
    </w:p>
    <w:p w14:paraId="056BAB81" w14:textId="6D758ADF" w:rsidR="00D1605A" w:rsidRPr="003776A2" w:rsidRDefault="00D1605A" w:rsidP="00D1605A">
      <w:pPr>
        <w:jc w:val="center"/>
        <w:rPr>
          <w:rFonts w:ascii="Arial" w:hAnsi="Arial" w:cs="Arial"/>
          <w:lang w:val="en-US"/>
        </w:rPr>
      </w:pPr>
      <w:r w:rsidRPr="003776A2">
        <w:rPr>
          <w:rFonts w:ascii="Arial" w:hAnsi="Arial" w:cs="Arial"/>
          <w:b/>
          <w:bCs/>
        </w:rPr>
        <w:t>Word Count:</w:t>
      </w:r>
      <w:r w:rsidRPr="00A66695">
        <w:rPr>
          <w:rFonts w:ascii="Arial" w:hAnsi="Arial" w:cs="Arial"/>
        </w:rPr>
        <w:t> </w:t>
      </w:r>
      <w:r w:rsidRPr="00A66695">
        <w:rPr>
          <w:rFonts w:ascii="Arial" w:hAnsi="Arial" w:cs="Arial"/>
          <w:lang w:val="en-US"/>
        </w:rPr>
        <w:t>2</w:t>
      </w:r>
      <w:r w:rsidR="00A77F6D">
        <w:rPr>
          <w:rFonts w:ascii="Arial" w:hAnsi="Arial" w:cs="Arial"/>
          <w:lang w:val="en-US"/>
        </w:rPr>
        <w:t>616</w:t>
      </w:r>
    </w:p>
    <w:p w14:paraId="3EA51D5A" w14:textId="6789C236" w:rsidR="00D1605A" w:rsidRPr="003776A2" w:rsidRDefault="00D1605A" w:rsidP="00D1605A">
      <w:pPr>
        <w:jc w:val="center"/>
        <w:rPr>
          <w:rFonts w:ascii="Arial" w:hAnsi="Arial" w:cs="Arial"/>
        </w:rPr>
      </w:pPr>
      <w:r w:rsidRPr="003776A2">
        <w:rPr>
          <w:rFonts w:ascii="Arial" w:hAnsi="Arial" w:cs="Arial"/>
          <w:b/>
          <w:bCs/>
        </w:rPr>
        <w:t>Submission Date:</w:t>
      </w:r>
      <w:r w:rsidRPr="003776A2">
        <w:rPr>
          <w:rFonts w:ascii="Arial" w:hAnsi="Arial" w:cs="Arial"/>
        </w:rPr>
        <w:t> </w:t>
      </w:r>
      <w:r w:rsidRPr="00A66695">
        <w:rPr>
          <w:rFonts w:ascii="Arial" w:hAnsi="Arial" w:cs="Arial"/>
        </w:rPr>
        <w:t>21</w:t>
      </w:r>
      <w:proofErr w:type="spellStart"/>
      <w:r w:rsidRPr="00A66695">
        <w:rPr>
          <w:rFonts w:ascii="Arial" w:hAnsi="Arial" w:cs="Arial"/>
          <w:vertAlign w:val="superscript"/>
          <w:lang w:val="en-US"/>
        </w:rPr>
        <w:t>st</w:t>
      </w:r>
      <w:proofErr w:type="spellEnd"/>
      <w:r w:rsidRPr="00A66695">
        <w:rPr>
          <w:rFonts w:ascii="Arial" w:hAnsi="Arial" w:cs="Arial"/>
          <w:lang w:val="en-US"/>
        </w:rPr>
        <w:t xml:space="preserve"> </w:t>
      </w:r>
      <w:r w:rsidRPr="00A66695">
        <w:rPr>
          <w:rFonts w:ascii="Arial" w:hAnsi="Arial" w:cs="Arial"/>
        </w:rPr>
        <w:t>November 2025</w:t>
      </w:r>
    </w:p>
    <w:p w14:paraId="0E9F3042" w14:textId="5F63DAD0" w:rsidR="00D1605A" w:rsidRPr="003776A2" w:rsidRDefault="00D1605A" w:rsidP="00D1605A">
      <w:pPr>
        <w:rPr>
          <w:rFonts w:ascii="Arial" w:hAnsi="Arial" w:cs="Arial"/>
        </w:rPr>
      </w:pPr>
    </w:p>
    <w:p w14:paraId="5264FE6A" w14:textId="0243FC66" w:rsidR="003D4ECF" w:rsidRPr="003776A2" w:rsidRDefault="003D4ECF" w:rsidP="00D1605A">
      <w:pPr>
        <w:rPr>
          <w:rFonts w:ascii="Arial" w:hAnsi="Arial" w:cs="Arial"/>
        </w:rPr>
      </w:pPr>
      <w:r w:rsidRPr="003776A2">
        <w:rPr>
          <w:rFonts w:ascii="Arial" w:hAnsi="Arial" w:cs="Arial"/>
        </w:rPr>
        <w:br w:type="page"/>
      </w:r>
    </w:p>
    <w:sdt>
      <w:sdtPr>
        <w:rPr>
          <w:rFonts w:ascii="Arial" w:hAnsi="Arial" w:cs="Arial"/>
          <w:b w:val="0"/>
          <w:sz w:val="24"/>
          <w:szCs w:val="24"/>
          <w:lang w:eastAsia="en-GB" w:bidi="bn-IN"/>
        </w:rPr>
        <w:id w:val="-837612623"/>
        <w:docPartObj>
          <w:docPartGallery w:val="Table of Contents"/>
          <w:docPartUnique/>
        </w:docPartObj>
      </w:sdtPr>
      <w:sdtEndPr>
        <w:rPr>
          <w:bCs/>
          <w:noProof/>
        </w:rPr>
      </w:sdtEndPr>
      <w:sdtContent>
        <w:p w14:paraId="52F95A65" w14:textId="3237A290" w:rsidR="003D4ECF" w:rsidRPr="003776A2" w:rsidRDefault="003D4ECF">
          <w:pPr>
            <w:pStyle w:val="TOCHeading"/>
            <w:rPr>
              <w:rFonts w:ascii="Arial" w:hAnsi="Arial" w:cs="Arial"/>
            </w:rPr>
          </w:pPr>
          <w:r w:rsidRPr="003776A2">
            <w:rPr>
              <w:rFonts w:ascii="Arial" w:hAnsi="Arial" w:cs="Arial"/>
            </w:rPr>
            <w:t>Table of Contents</w:t>
          </w:r>
        </w:p>
        <w:p w14:paraId="0B4AFE67" w14:textId="0FDA1D52" w:rsidR="003D4ECF" w:rsidRPr="003776A2" w:rsidRDefault="003D4ECF" w:rsidP="003D4ECF">
          <w:pPr>
            <w:pStyle w:val="TOC1"/>
            <w:tabs>
              <w:tab w:val="right" w:leader="dot" w:pos="9010"/>
            </w:tabs>
            <w:rPr>
              <w:rFonts w:ascii="Arial" w:eastAsiaTheme="minorEastAsia" w:hAnsi="Arial" w:cs="Arial"/>
              <w:b w:val="0"/>
              <w:bCs w:val="0"/>
              <w:i w:val="0"/>
              <w:iCs w:val="0"/>
              <w:noProof/>
              <w:kern w:val="2"/>
              <w14:ligatures w14:val="standardContextual"/>
            </w:rPr>
          </w:pPr>
          <w:r w:rsidRPr="003776A2">
            <w:rPr>
              <w:rFonts w:ascii="Arial" w:hAnsi="Arial" w:cs="Arial"/>
              <w:b w:val="0"/>
              <w:bCs w:val="0"/>
              <w:i w:val="0"/>
              <w:iCs w:val="0"/>
            </w:rPr>
            <w:fldChar w:fldCharType="begin"/>
          </w:r>
          <w:r w:rsidRPr="003776A2">
            <w:rPr>
              <w:rFonts w:ascii="Arial" w:hAnsi="Arial" w:cs="Arial"/>
              <w:b w:val="0"/>
              <w:bCs w:val="0"/>
              <w:i w:val="0"/>
              <w:iCs w:val="0"/>
            </w:rPr>
            <w:instrText xml:space="preserve"> TOC \o "1-3" \h \z \u </w:instrText>
          </w:r>
          <w:r w:rsidRPr="003776A2">
            <w:rPr>
              <w:rFonts w:ascii="Arial" w:hAnsi="Arial" w:cs="Arial"/>
              <w:b w:val="0"/>
              <w:bCs w:val="0"/>
              <w:i w:val="0"/>
              <w:iCs w:val="0"/>
            </w:rPr>
            <w:fldChar w:fldCharType="separate"/>
          </w:r>
          <w:hyperlink w:anchor="_Toc214495247" w:history="1">
            <w:r w:rsidRPr="003776A2">
              <w:rPr>
                <w:rStyle w:val="Hyperlink"/>
                <w:rFonts w:ascii="Arial" w:hAnsi="Arial" w:cs="Arial"/>
                <w:b w:val="0"/>
                <w:bCs w:val="0"/>
                <w:i w:val="0"/>
                <w:iCs w:val="0"/>
                <w:noProof/>
              </w:rPr>
              <w:t>1. Introduction</w:t>
            </w:r>
            <w:r w:rsidRPr="003776A2">
              <w:rPr>
                <w:rFonts w:ascii="Arial" w:hAnsi="Arial" w:cs="Arial"/>
                <w:b w:val="0"/>
                <w:bCs w:val="0"/>
                <w:i w:val="0"/>
                <w:iCs w:val="0"/>
                <w:noProof/>
                <w:webHidden/>
              </w:rPr>
              <w:tab/>
            </w:r>
            <w:r w:rsidRPr="003776A2">
              <w:rPr>
                <w:rFonts w:ascii="Arial" w:hAnsi="Arial" w:cs="Arial"/>
                <w:b w:val="0"/>
                <w:bCs w:val="0"/>
                <w:i w:val="0"/>
                <w:iCs w:val="0"/>
                <w:noProof/>
                <w:webHidden/>
              </w:rPr>
              <w:fldChar w:fldCharType="begin"/>
            </w:r>
            <w:r w:rsidRPr="003776A2">
              <w:rPr>
                <w:rFonts w:ascii="Arial" w:hAnsi="Arial" w:cs="Arial"/>
                <w:b w:val="0"/>
                <w:bCs w:val="0"/>
                <w:i w:val="0"/>
                <w:iCs w:val="0"/>
                <w:noProof/>
                <w:webHidden/>
              </w:rPr>
              <w:instrText xml:space="preserve"> PAGEREF _Toc214495247 \h </w:instrText>
            </w:r>
            <w:r w:rsidRPr="003776A2">
              <w:rPr>
                <w:rFonts w:ascii="Arial" w:hAnsi="Arial" w:cs="Arial"/>
                <w:b w:val="0"/>
                <w:bCs w:val="0"/>
                <w:i w:val="0"/>
                <w:iCs w:val="0"/>
                <w:noProof/>
                <w:webHidden/>
              </w:rPr>
            </w:r>
            <w:r w:rsidRPr="003776A2">
              <w:rPr>
                <w:rFonts w:ascii="Arial" w:hAnsi="Arial" w:cs="Arial"/>
                <w:b w:val="0"/>
                <w:bCs w:val="0"/>
                <w:i w:val="0"/>
                <w:iCs w:val="0"/>
                <w:noProof/>
                <w:webHidden/>
              </w:rPr>
              <w:fldChar w:fldCharType="separate"/>
            </w:r>
            <w:r w:rsidRPr="003776A2">
              <w:rPr>
                <w:rFonts w:ascii="Arial" w:hAnsi="Arial" w:cs="Arial"/>
                <w:b w:val="0"/>
                <w:bCs w:val="0"/>
                <w:i w:val="0"/>
                <w:iCs w:val="0"/>
                <w:noProof/>
                <w:webHidden/>
              </w:rPr>
              <w:t>3</w:t>
            </w:r>
            <w:r w:rsidRPr="003776A2">
              <w:rPr>
                <w:rFonts w:ascii="Arial" w:hAnsi="Arial" w:cs="Arial"/>
                <w:b w:val="0"/>
                <w:bCs w:val="0"/>
                <w:i w:val="0"/>
                <w:iCs w:val="0"/>
                <w:noProof/>
                <w:webHidden/>
              </w:rPr>
              <w:fldChar w:fldCharType="end"/>
            </w:r>
          </w:hyperlink>
        </w:p>
        <w:p w14:paraId="570E722F" w14:textId="38922B0A" w:rsidR="003D4ECF" w:rsidRPr="003776A2" w:rsidRDefault="003D4ECF" w:rsidP="003D4ECF">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5248" w:history="1">
            <w:r w:rsidRPr="003776A2">
              <w:rPr>
                <w:rStyle w:val="Hyperlink"/>
                <w:rFonts w:ascii="Arial" w:hAnsi="Arial" w:cs="Arial"/>
                <w:b w:val="0"/>
                <w:bCs w:val="0"/>
                <w:i w:val="0"/>
                <w:iCs w:val="0"/>
                <w:noProof/>
              </w:rPr>
              <w:t>2.3 Critical Analysis of Each Actor</w:t>
            </w:r>
            <w:r w:rsidRPr="003776A2">
              <w:rPr>
                <w:rFonts w:ascii="Arial" w:hAnsi="Arial" w:cs="Arial"/>
                <w:b w:val="0"/>
                <w:bCs w:val="0"/>
                <w:i w:val="0"/>
                <w:iCs w:val="0"/>
                <w:noProof/>
                <w:webHidden/>
              </w:rPr>
              <w:tab/>
            </w:r>
            <w:r w:rsidRPr="003776A2">
              <w:rPr>
                <w:rFonts w:ascii="Arial" w:hAnsi="Arial" w:cs="Arial"/>
                <w:b w:val="0"/>
                <w:bCs w:val="0"/>
                <w:i w:val="0"/>
                <w:iCs w:val="0"/>
                <w:noProof/>
                <w:webHidden/>
              </w:rPr>
              <w:fldChar w:fldCharType="begin"/>
            </w:r>
            <w:r w:rsidRPr="003776A2">
              <w:rPr>
                <w:rFonts w:ascii="Arial" w:hAnsi="Arial" w:cs="Arial"/>
                <w:b w:val="0"/>
                <w:bCs w:val="0"/>
                <w:i w:val="0"/>
                <w:iCs w:val="0"/>
                <w:noProof/>
                <w:webHidden/>
              </w:rPr>
              <w:instrText xml:space="preserve"> PAGEREF _Toc214495248 \h </w:instrText>
            </w:r>
            <w:r w:rsidRPr="003776A2">
              <w:rPr>
                <w:rFonts w:ascii="Arial" w:hAnsi="Arial" w:cs="Arial"/>
                <w:b w:val="0"/>
                <w:bCs w:val="0"/>
                <w:i w:val="0"/>
                <w:iCs w:val="0"/>
                <w:noProof/>
                <w:webHidden/>
              </w:rPr>
            </w:r>
            <w:r w:rsidRPr="003776A2">
              <w:rPr>
                <w:rFonts w:ascii="Arial" w:hAnsi="Arial" w:cs="Arial"/>
                <w:b w:val="0"/>
                <w:bCs w:val="0"/>
                <w:i w:val="0"/>
                <w:iCs w:val="0"/>
                <w:noProof/>
                <w:webHidden/>
              </w:rPr>
              <w:fldChar w:fldCharType="separate"/>
            </w:r>
            <w:r w:rsidRPr="003776A2">
              <w:rPr>
                <w:rFonts w:ascii="Arial" w:hAnsi="Arial" w:cs="Arial"/>
                <w:b w:val="0"/>
                <w:bCs w:val="0"/>
                <w:i w:val="0"/>
                <w:iCs w:val="0"/>
                <w:noProof/>
                <w:webHidden/>
              </w:rPr>
              <w:t>4</w:t>
            </w:r>
            <w:r w:rsidRPr="003776A2">
              <w:rPr>
                <w:rFonts w:ascii="Arial" w:hAnsi="Arial" w:cs="Arial"/>
                <w:b w:val="0"/>
                <w:bCs w:val="0"/>
                <w:i w:val="0"/>
                <w:iCs w:val="0"/>
                <w:noProof/>
                <w:webHidden/>
              </w:rPr>
              <w:fldChar w:fldCharType="end"/>
            </w:r>
          </w:hyperlink>
        </w:p>
        <w:p w14:paraId="603F5AD3" w14:textId="760845A9" w:rsidR="003D4ECF" w:rsidRPr="003776A2" w:rsidRDefault="003D4ECF" w:rsidP="003D4ECF">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5249" w:history="1">
            <w:r w:rsidRPr="003776A2">
              <w:rPr>
                <w:rStyle w:val="Hyperlink"/>
                <w:rFonts w:ascii="Arial" w:hAnsi="Arial" w:cs="Arial"/>
                <w:b w:val="0"/>
                <w:bCs w:val="0"/>
                <w:noProof/>
                <w:sz w:val="24"/>
                <w:szCs w:val="24"/>
              </w:rPr>
              <w:t>2.3.1 Political–Regulatory Actor</w:t>
            </w:r>
            <w:r w:rsidRPr="003776A2">
              <w:rPr>
                <w:rFonts w:ascii="Arial" w:hAnsi="Arial" w:cs="Arial"/>
                <w:b w:val="0"/>
                <w:bCs w:val="0"/>
                <w:noProof/>
                <w:webHidden/>
                <w:sz w:val="24"/>
                <w:szCs w:val="24"/>
              </w:rPr>
              <w:tab/>
            </w:r>
            <w:r w:rsidRPr="003776A2">
              <w:rPr>
                <w:rFonts w:ascii="Arial" w:hAnsi="Arial" w:cs="Arial"/>
                <w:b w:val="0"/>
                <w:bCs w:val="0"/>
                <w:noProof/>
                <w:webHidden/>
                <w:sz w:val="24"/>
                <w:szCs w:val="24"/>
              </w:rPr>
              <w:fldChar w:fldCharType="begin"/>
            </w:r>
            <w:r w:rsidRPr="003776A2">
              <w:rPr>
                <w:rFonts w:ascii="Arial" w:hAnsi="Arial" w:cs="Arial"/>
                <w:b w:val="0"/>
                <w:bCs w:val="0"/>
                <w:noProof/>
                <w:webHidden/>
                <w:sz w:val="24"/>
                <w:szCs w:val="24"/>
              </w:rPr>
              <w:instrText xml:space="preserve"> PAGEREF _Toc214495249 \h </w:instrText>
            </w:r>
            <w:r w:rsidRPr="003776A2">
              <w:rPr>
                <w:rFonts w:ascii="Arial" w:hAnsi="Arial" w:cs="Arial"/>
                <w:b w:val="0"/>
                <w:bCs w:val="0"/>
                <w:noProof/>
                <w:webHidden/>
                <w:sz w:val="24"/>
                <w:szCs w:val="24"/>
              </w:rPr>
            </w:r>
            <w:r w:rsidRPr="003776A2">
              <w:rPr>
                <w:rFonts w:ascii="Arial" w:hAnsi="Arial" w:cs="Arial"/>
                <w:b w:val="0"/>
                <w:bCs w:val="0"/>
                <w:noProof/>
                <w:webHidden/>
                <w:sz w:val="24"/>
                <w:szCs w:val="24"/>
              </w:rPr>
              <w:fldChar w:fldCharType="separate"/>
            </w:r>
            <w:r w:rsidRPr="003776A2">
              <w:rPr>
                <w:rFonts w:ascii="Arial" w:hAnsi="Arial" w:cs="Arial"/>
                <w:b w:val="0"/>
                <w:bCs w:val="0"/>
                <w:noProof/>
                <w:webHidden/>
                <w:sz w:val="24"/>
                <w:szCs w:val="24"/>
              </w:rPr>
              <w:t>4</w:t>
            </w:r>
            <w:r w:rsidRPr="003776A2">
              <w:rPr>
                <w:rFonts w:ascii="Arial" w:hAnsi="Arial" w:cs="Arial"/>
                <w:b w:val="0"/>
                <w:bCs w:val="0"/>
                <w:noProof/>
                <w:webHidden/>
                <w:sz w:val="24"/>
                <w:szCs w:val="24"/>
              </w:rPr>
              <w:fldChar w:fldCharType="end"/>
            </w:r>
          </w:hyperlink>
        </w:p>
        <w:p w14:paraId="798C441D" w14:textId="3574629D"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50" w:history="1">
            <w:r w:rsidRPr="003776A2">
              <w:rPr>
                <w:rStyle w:val="Hyperlink"/>
                <w:rFonts w:ascii="Arial" w:hAnsi="Arial" w:cs="Arial"/>
                <w:noProof/>
                <w:sz w:val="24"/>
                <w:szCs w:val="24"/>
              </w:rPr>
              <w:t>Impact on British Gas (Pioneer)</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_Toc214495250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4</w:t>
            </w:r>
            <w:r w:rsidRPr="003776A2">
              <w:rPr>
                <w:rFonts w:ascii="Arial" w:hAnsi="Arial" w:cs="Arial"/>
                <w:noProof/>
                <w:webHidden/>
                <w:sz w:val="24"/>
                <w:szCs w:val="24"/>
              </w:rPr>
              <w:fldChar w:fldCharType="end"/>
            </w:r>
          </w:hyperlink>
        </w:p>
        <w:p w14:paraId="151E0938" w14:textId="68817974"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51" w:history="1">
            <w:r w:rsidRPr="003776A2">
              <w:rPr>
                <w:rStyle w:val="Hyperlink"/>
                <w:rFonts w:ascii="Arial" w:hAnsi="Arial" w:cs="Arial"/>
                <w:noProof/>
                <w:sz w:val="24"/>
                <w:szCs w:val="24"/>
              </w:rPr>
              <w:t>Impact on Octopus Energy (Follower)</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_Toc214495251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5</w:t>
            </w:r>
            <w:r w:rsidRPr="003776A2">
              <w:rPr>
                <w:rFonts w:ascii="Arial" w:hAnsi="Arial" w:cs="Arial"/>
                <w:noProof/>
                <w:webHidden/>
                <w:sz w:val="24"/>
                <w:szCs w:val="24"/>
              </w:rPr>
              <w:fldChar w:fldCharType="end"/>
            </w:r>
          </w:hyperlink>
        </w:p>
        <w:p w14:paraId="3C546669" w14:textId="02033181"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52" w:history="1">
            <w:r w:rsidRPr="003776A2">
              <w:rPr>
                <w:rStyle w:val="Hyperlink"/>
                <w:rFonts w:ascii="Arial" w:hAnsi="Arial" w:cs="Arial"/>
                <w:noProof/>
                <w:sz w:val="24"/>
                <w:szCs w:val="24"/>
              </w:rPr>
              <w:t>Strategic Implications</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_Toc214495252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5</w:t>
            </w:r>
            <w:r w:rsidRPr="003776A2">
              <w:rPr>
                <w:rFonts w:ascii="Arial" w:hAnsi="Arial" w:cs="Arial"/>
                <w:noProof/>
                <w:webHidden/>
                <w:sz w:val="24"/>
                <w:szCs w:val="24"/>
              </w:rPr>
              <w:fldChar w:fldCharType="end"/>
            </w:r>
          </w:hyperlink>
        </w:p>
        <w:p w14:paraId="0CE9A569" w14:textId="3916DDDF" w:rsidR="003D4ECF" w:rsidRPr="003776A2" w:rsidRDefault="003D4ECF" w:rsidP="003D4ECF">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5253" w:history="1">
            <w:r w:rsidRPr="003776A2">
              <w:rPr>
                <w:rStyle w:val="Hyperlink"/>
                <w:rFonts w:ascii="Arial" w:hAnsi="Arial" w:cs="Arial"/>
                <w:b w:val="0"/>
                <w:bCs w:val="0"/>
                <w:noProof/>
                <w:sz w:val="24"/>
                <w:szCs w:val="24"/>
              </w:rPr>
              <w:t>2.3.2 Environmental–Sustainability Actor</w:t>
            </w:r>
            <w:r w:rsidRPr="003776A2">
              <w:rPr>
                <w:rFonts w:ascii="Arial" w:hAnsi="Arial" w:cs="Arial"/>
                <w:b w:val="0"/>
                <w:bCs w:val="0"/>
                <w:noProof/>
                <w:webHidden/>
                <w:sz w:val="24"/>
                <w:szCs w:val="24"/>
              </w:rPr>
              <w:tab/>
            </w:r>
            <w:r w:rsidRPr="003776A2">
              <w:rPr>
                <w:rFonts w:ascii="Arial" w:hAnsi="Arial" w:cs="Arial"/>
                <w:b w:val="0"/>
                <w:bCs w:val="0"/>
                <w:noProof/>
                <w:webHidden/>
                <w:sz w:val="24"/>
                <w:szCs w:val="24"/>
              </w:rPr>
              <w:fldChar w:fldCharType="begin"/>
            </w:r>
            <w:r w:rsidRPr="003776A2">
              <w:rPr>
                <w:rFonts w:ascii="Arial" w:hAnsi="Arial" w:cs="Arial"/>
                <w:b w:val="0"/>
                <w:bCs w:val="0"/>
                <w:noProof/>
                <w:webHidden/>
                <w:sz w:val="24"/>
                <w:szCs w:val="24"/>
              </w:rPr>
              <w:instrText xml:space="preserve"> PAGEREF _Toc214495253 \h </w:instrText>
            </w:r>
            <w:r w:rsidRPr="003776A2">
              <w:rPr>
                <w:rFonts w:ascii="Arial" w:hAnsi="Arial" w:cs="Arial"/>
                <w:b w:val="0"/>
                <w:bCs w:val="0"/>
                <w:noProof/>
                <w:webHidden/>
                <w:sz w:val="24"/>
                <w:szCs w:val="24"/>
              </w:rPr>
            </w:r>
            <w:r w:rsidRPr="003776A2">
              <w:rPr>
                <w:rFonts w:ascii="Arial" w:hAnsi="Arial" w:cs="Arial"/>
                <w:b w:val="0"/>
                <w:bCs w:val="0"/>
                <w:noProof/>
                <w:webHidden/>
                <w:sz w:val="24"/>
                <w:szCs w:val="24"/>
              </w:rPr>
              <w:fldChar w:fldCharType="separate"/>
            </w:r>
            <w:r w:rsidRPr="003776A2">
              <w:rPr>
                <w:rFonts w:ascii="Arial" w:hAnsi="Arial" w:cs="Arial"/>
                <w:b w:val="0"/>
                <w:bCs w:val="0"/>
                <w:noProof/>
                <w:webHidden/>
                <w:sz w:val="24"/>
                <w:szCs w:val="24"/>
              </w:rPr>
              <w:t>5</w:t>
            </w:r>
            <w:r w:rsidRPr="003776A2">
              <w:rPr>
                <w:rFonts w:ascii="Arial" w:hAnsi="Arial" w:cs="Arial"/>
                <w:b w:val="0"/>
                <w:bCs w:val="0"/>
                <w:noProof/>
                <w:webHidden/>
                <w:sz w:val="24"/>
                <w:szCs w:val="24"/>
              </w:rPr>
              <w:fldChar w:fldCharType="end"/>
            </w:r>
          </w:hyperlink>
        </w:p>
        <w:p w14:paraId="7A7B69C2" w14:textId="4123F1AA"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54" w:history="1">
            <w:r w:rsidRPr="003776A2">
              <w:rPr>
                <w:rStyle w:val="Hyperlink"/>
                <w:rFonts w:ascii="Arial" w:hAnsi="Arial" w:cs="Arial"/>
                <w:noProof/>
                <w:sz w:val="24"/>
                <w:szCs w:val="24"/>
              </w:rPr>
              <w:t>Impact on British Gas (Pioneer)</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_Toc214495254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6</w:t>
            </w:r>
            <w:r w:rsidRPr="003776A2">
              <w:rPr>
                <w:rFonts w:ascii="Arial" w:hAnsi="Arial" w:cs="Arial"/>
                <w:noProof/>
                <w:webHidden/>
                <w:sz w:val="24"/>
                <w:szCs w:val="24"/>
              </w:rPr>
              <w:fldChar w:fldCharType="end"/>
            </w:r>
          </w:hyperlink>
        </w:p>
        <w:p w14:paraId="6B9535A7" w14:textId="446983F6"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55" w:history="1">
            <w:r w:rsidRPr="003776A2">
              <w:rPr>
                <w:rStyle w:val="Hyperlink"/>
                <w:rFonts w:ascii="Arial" w:hAnsi="Arial" w:cs="Arial"/>
                <w:noProof/>
                <w:sz w:val="24"/>
                <w:szCs w:val="24"/>
              </w:rPr>
              <w:t>Impact on Octopus Energy (Follower)</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_Toc214495255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6</w:t>
            </w:r>
            <w:r w:rsidRPr="003776A2">
              <w:rPr>
                <w:rFonts w:ascii="Arial" w:hAnsi="Arial" w:cs="Arial"/>
                <w:noProof/>
                <w:webHidden/>
                <w:sz w:val="24"/>
                <w:szCs w:val="24"/>
              </w:rPr>
              <w:fldChar w:fldCharType="end"/>
            </w:r>
          </w:hyperlink>
        </w:p>
        <w:p w14:paraId="56384360" w14:textId="1818A24A"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56" w:history="1">
            <w:r w:rsidRPr="003776A2">
              <w:rPr>
                <w:rStyle w:val="Hyperlink"/>
                <w:rFonts w:ascii="Arial" w:hAnsi="Arial" w:cs="Arial"/>
                <w:noProof/>
                <w:sz w:val="24"/>
                <w:szCs w:val="24"/>
              </w:rPr>
              <w:t>Strategic Implications</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_Toc214495256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7</w:t>
            </w:r>
            <w:r w:rsidRPr="003776A2">
              <w:rPr>
                <w:rFonts w:ascii="Arial" w:hAnsi="Arial" w:cs="Arial"/>
                <w:noProof/>
                <w:webHidden/>
                <w:sz w:val="24"/>
                <w:szCs w:val="24"/>
              </w:rPr>
              <w:fldChar w:fldCharType="end"/>
            </w:r>
          </w:hyperlink>
        </w:p>
        <w:p w14:paraId="477D8F85" w14:textId="1C16280B" w:rsidR="003D4ECF" w:rsidRPr="003776A2" w:rsidRDefault="003D4ECF" w:rsidP="003D4ECF">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5257" w:history="1">
            <w:r w:rsidRPr="003776A2">
              <w:rPr>
                <w:rStyle w:val="Hyperlink"/>
                <w:rFonts w:ascii="Arial" w:hAnsi="Arial" w:cs="Arial"/>
                <w:b w:val="0"/>
                <w:bCs w:val="0"/>
                <w:i w:val="0"/>
                <w:iCs w:val="0"/>
                <w:noProof/>
              </w:rPr>
              <w:t>3. Task 2: Strategic Responses Of Pioneer &amp; Follower Using Ansoff’s Growth Matrix</w:t>
            </w:r>
            <w:r w:rsidRPr="003776A2">
              <w:rPr>
                <w:rFonts w:ascii="Arial" w:hAnsi="Arial" w:cs="Arial"/>
                <w:b w:val="0"/>
                <w:bCs w:val="0"/>
                <w:i w:val="0"/>
                <w:iCs w:val="0"/>
                <w:noProof/>
                <w:webHidden/>
              </w:rPr>
              <w:tab/>
            </w:r>
            <w:r w:rsidRPr="003776A2">
              <w:rPr>
                <w:rFonts w:ascii="Arial" w:hAnsi="Arial" w:cs="Arial"/>
                <w:b w:val="0"/>
                <w:bCs w:val="0"/>
                <w:i w:val="0"/>
                <w:iCs w:val="0"/>
                <w:noProof/>
                <w:webHidden/>
              </w:rPr>
              <w:fldChar w:fldCharType="begin"/>
            </w:r>
            <w:r w:rsidRPr="003776A2">
              <w:rPr>
                <w:rFonts w:ascii="Arial" w:hAnsi="Arial" w:cs="Arial"/>
                <w:b w:val="0"/>
                <w:bCs w:val="0"/>
                <w:i w:val="0"/>
                <w:iCs w:val="0"/>
                <w:noProof/>
                <w:webHidden/>
              </w:rPr>
              <w:instrText xml:space="preserve"> PAGEREF _Toc214495257 \h </w:instrText>
            </w:r>
            <w:r w:rsidRPr="003776A2">
              <w:rPr>
                <w:rFonts w:ascii="Arial" w:hAnsi="Arial" w:cs="Arial"/>
                <w:b w:val="0"/>
                <w:bCs w:val="0"/>
                <w:i w:val="0"/>
                <w:iCs w:val="0"/>
                <w:noProof/>
                <w:webHidden/>
              </w:rPr>
            </w:r>
            <w:r w:rsidRPr="003776A2">
              <w:rPr>
                <w:rFonts w:ascii="Arial" w:hAnsi="Arial" w:cs="Arial"/>
                <w:b w:val="0"/>
                <w:bCs w:val="0"/>
                <w:i w:val="0"/>
                <w:iCs w:val="0"/>
                <w:noProof/>
                <w:webHidden/>
              </w:rPr>
              <w:fldChar w:fldCharType="separate"/>
            </w:r>
            <w:r w:rsidRPr="003776A2">
              <w:rPr>
                <w:rFonts w:ascii="Arial" w:hAnsi="Arial" w:cs="Arial"/>
                <w:b w:val="0"/>
                <w:bCs w:val="0"/>
                <w:i w:val="0"/>
                <w:iCs w:val="0"/>
                <w:noProof/>
                <w:webHidden/>
              </w:rPr>
              <w:t>7</w:t>
            </w:r>
            <w:r w:rsidRPr="003776A2">
              <w:rPr>
                <w:rFonts w:ascii="Arial" w:hAnsi="Arial" w:cs="Arial"/>
                <w:b w:val="0"/>
                <w:bCs w:val="0"/>
                <w:i w:val="0"/>
                <w:iCs w:val="0"/>
                <w:noProof/>
                <w:webHidden/>
              </w:rPr>
              <w:fldChar w:fldCharType="end"/>
            </w:r>
          </w:hyperlink>
        </w:p>
        <w:p w14:paraId="36F7AC65" w14:textId="7FE1F56B" w:rsidR="003D4ECF" w:rsidRPr="003776A2" w:rsidRDefault="003D4ECF" w:rsidP="003D4ECF">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5258" w:history="1">
            <w:r w:rsidRPr="003776A2">
              <w:rPr>
                <w:rStyle w:val="Hyperlink"/>
                <w:rFonts w:ascii="Arial" w:hAnsi="Arial" w:cs="Arial"/>
                <w:b w:val="0"/>
                <w:bCs w:val="0"/>
                <w:noProof/>
                <w:sz w:val="24"/>
                <w:szCs w:val="24"/>
              </w:rPr>
              <w:t>3.1 British Gas (Pioneer)</w:t>
            </w:r>
            <w:r w:rsidRPr="003776A2">
              <w:rPr>
                <w:rFonts w:ascii="Arial" w:hAnsi="Arial" w:cs="Arial"/>
                <w:b w:val="0"/>
                <w:bCs w:val="0"/>
                <w:noProof/>
                <w:webHidden/>
                <w:sz w:val="24"/>
                <w:szCs w:val="24"/>
              </w:rPr>
              <w:tab/>
            </w:r>
            <w:r w:rsidRPr="003776A2">
              <w:rPr>
                <w:rFonts w:ascii="Arial" w:hAnsi="Arial" w:cs="Arial"/>
                <w:b w:val="0"/>
                <w:bCs w:val="0"/>
                <w:noProof/>
                <w:webHidden/>
                <w:sz w:val="24"/>
                <w:szCs w:val="24"/>
              </w:rPr>
              <w:fldChar w:fldCharType="begin"/>
            </w:r>
            <w:r w:rsidRPr="003776A2">
              <w:rPr>
                <w:rFonts w:ascii="Arial" w:hAnsi="Arial" w:cs="Arial"/>
                <w:b w:val="0"/>
                <w:bCs w:val="0"/>
                <w:noProof/>
                <w:webHidden/>
                <w:sz w:val="24"/>
                <w:szCs w:val="24"/>
              </w:rPr>
              <w:instrText xml:space="preserve"> PAGEREF _Toc214495258 \h </w:instrText>
            </w:r>
            <w:r w:rsidRPr="003776A2">
              <w:rPr>
                <w:rFonts w:ascii="Arial" w:hAnsi="Arial" w:cs="Arial"/>
                <w:b w:val="0"/>
                <w:bCs w:val="0"/>
                <w:noProof/>
                <w:webHidden/>
                <w:sz w:val="24"/>
                <w:szCs w:val="24"/>
              </w:rPr>
            </w:r>
            <w:r w:rsidRPr="003776A2">
              <w:rPr>
                <w:rFonts w:ascii="Arial" w:hAnsi="Arial" w:cs="Arial"/>
                <w:b w:val="0"/>
                <w:bCs w:val="0"/>
                <w:noProof/>
                <w:webHidden/>
                <w:sz w:val="24"/>
                <w:szCs w:val="24"/>
              </w:rPr>
              <w:fldChar w:fldCharType="separate"/>
            </w:r>
            <w:r w:rsidRPr="003776A2">
              <w:rPr>
                <w:rFonts w:ascii="Arial" w:hAnsi="Arial" w:cs="Arial"/>
                <w:b w:val="0"/>
                <w:bCs w:val="0"/>
                <w:noProof/>
                <w:webHidden/>
                <w:sz w:val="24"/>
                <w:szCs w:val="24"/>
              </w:rPr>
              <w:t>7</w:t>
            </w:r>
            <w:r w:rsidRPr="003776A2">
              <w:rPr>
                <w:rFonts w:ascii="Arial" w:hAnsi="Arial" w:cs="Arial"/>
                <w:b w:val="0"/>
                <w:bCs w:val="0"/>
                <w:noProof/>
                <w:webHidden/>
                <w:sz w:val="24"/>
                <w:szCs w:val="24"/>
              </w:rPr>
              <w:fldChar w:fldCharType="end"/>
            </w:r>
          </w:hyperlink>
        </w:p>
        <w:p w14:paraId="569D78AE" w14:textId="270E4169"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59" w:history="1">
            <w:r w:rsidRPr="003776A2">
              <w:rPr>
                <w:rStyle w:val="Hyperlink"/>
                <w:rFonts w:ascii="Arial" w:hAnsi="Arial" w:cs="Arial"/>
                <w:noProof/>
                <w:sz w:val="24"/>
                <w:szCs w:val="24"/>
              </w:rPr>
              <w:t>3.1.1 Strategic Logic Under Ansoff</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_Toc214495259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7</w:t>
            </w:r>
            <w:r w:rsidRPr="003776A2">
              <w:rPr>
                <w:rFonts w:ascii="Arial" w:hAnsi="Arial" w:cs="Arial"/>
                <w:noProof/>
                <w:webHidden/>
                <w:sz w:val="24"/>
                <w:szCs w:val="24"/>
              </w:rPr>
              <w:fldChar w:fldCharType="end"/>
            </w:r>
          </w:hyperlink>
        </w:p>
        <w:p w14:paraId="722B8AD1" w14:textId="1C75CAB9"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60" w:history="1">
            <w:r w:rsidRPr="003776A2">
              <w:rPr>
                <w:rStyle w:val="Hyperlink"/>
                <w:rFonts w:ascii="Arial" w:hAnsi="Arial" w:cs="Arial"/>
                <w:noProof/>
                <w:sz w:val="24"/>
                <w:szCs w:val="24"/>
              </w:rPr>
              <w:t>3.1.2 Response to Political–Regulatory Forces (Market Penetration)</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_Toc214495260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8</w:t>
            </w:r>
            <w:r w:rsidRPr="003776A2">
              <w:rPr>
                <w:rFonts w:ascii="Arial" w:hAnsi="Arial" w:cs="Arial"/>
                <w:noProof/>
                <w:webHidden/>
                <w:sz w:val="24"/>
                <w:szCs w:val="24"/>
              </w:rPr>
              <w:fldChar w:fldCharType="end"/>
            </w:r>
          </w:hyperlink>
        </w:p>
        <w:p w14:paraId="0B796B71" w14:textId="730FDC4D"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61" w:history="1">
            <w:r w:rsidRPr="003776A2">
              <w:rPr>
                <w:rStyle w:val="Hyperlink"/>
                <w:rFonts w:ascii="Arial" w:hAnsi="Arial" w:cs="Arial"/>
                <w:noProof/>
                <w:sz w:val="24"/>
                <w:szCs w:val="24"/>
              </w:rPr>
              <w:t>3.1.3 Response to Environmental Forces (Product Development)</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_Toc214495261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8</w:t>
            </w:r>
            <w:r w:rsidRPr="003776A2">
              <w:rPr>
                <w:rFonts w:ascii="Arial" w:hAnsi="Arial" w:cs="Arial"/>
                <w:noProof/>
                <w:webHidden/>
                <w:sz w:val="24"/>
                <w:szCs w:val="24"/>
              </w:rPr>
              <w:fldChar w:fldCharType="end"/>
            </w:r>
          </w:hyperlink>
        </w:p>
        <w:p w14:paraId="4C1B76BD" w14:textId="3BF85C82"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62" w:history="1">
            <w:r w:rsidRPr="003776A2">
              <w:rPr>
                <w:rStyle w:val="Hyperlink"/>
                <w:rFonts w:ascii="Arial" w:hAnsi="Arial" w:cs="Arial"/>
                <w:noProof/>
                <w:sz w:val="24"/>
                <w:szCs w:val="24"/>
              </w:rPr>
              <w:t>3.1.4 Critical Evaluation</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_Toc214495262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8</w:t>
            </w:r>
            <w:r w:rsidRPr="003776A2">
              <w:rPr>
                <w:rFonts w:ascii="Arial" w:hAnsi="Arial" w:cs="Arial"/>
                <w:noProof/>
                <w:webHidden/>
                <w:sz w:val="24"/>
                <w:szCs w:val="24"/>
              </w:rPr>
              <w:fldChar w:fldCharType="end"/>
            </w:r>
          </w:hyperlink>
        </w:p>
        <w:p w14:paraId="54A6FC56" w14:textId="53C5065F" w:rsidR="003D4ECF" w:rsidRPr="003776A2" w:rsidRDefault="003D4ECF" w:rsidP="003D4ECF">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5263" w:history="1">
            <w:r w:rsidRPr="003776A2">
              <w:rPr>
                <w:rStyle w:val="Hyperlink"/>
                <w:rFonts w:ascii="Arial" w:hAnsi="Arial" w:cs="Arial"/>
                <w:b w:val="0"/>
                <w:bCs w:val="0"/>
                <w:noProof/>
                <w:sz w:val="24"/>
                <w:szCs w:val="24"/>
              </w:rPr>
              <w:t>3.2 Octopus Energy (Follower)</w:t>
            </w:r>
            <w:r w:rsidRPr="003776A2">
              <w:rPr>
                <w:rFonts w:ascii="Arial" w:hAnsi="Arial" w:cs="Arial"/>
                <w:b w:val="0"/>
                <w:bCs w:val="0"/>
                <w:noProof/>
                <w:webHidden/>
                <w:sz w:val="24"/>
                <w:szCs w:val="24"/>
              </w:rPr>
              <w:tab/>
            </w:r>
            <w:r w:rsidRPr="003776A2">
              <w:rPr>
                <w:rFonts w:ascii="Arial" w:hAnsi="Arial" w:cs="Arial"/>
                <w:b w:val="0"/>
                <w:bCs w:val="0"/>
                <w:noProof/>
                <w:webHidden/>
                <w:sz w:val="24"/>
                <w:szCs w:val="24"/>
              </w:rPr>
              <w:fldChar w:fldCharType="begin"/>
            </w:r>
            <w:r w:rsidRPr="003776A2">
              <w:rPr>
                <w:rFonts w:ascii="Arial" w:hAnsi="Arial" w:cs="Arial"/>
                <w:b w:val="0"/>
                <w:bCs w:val="0"/>
                <w:noProof/>
                <w:webHidden/>
                <w:sz w:val="24"/>
                <w:szCs w:val="24"/>
              </w:rPr>
              <w:instrText xml:space="preserve"> PAGEREF _Toc214495263 \h </w:instrText>
            </w:r>
            <w:r w:rsidRPr="003776A2">
              <w:rPr>
                <w:rFonts w:ascii="Arial" w:hAnsi="Arial" w:cs="Arial"/>
                <w:b w:val="0"/>
                <w:bCs w:val="0"/>
                <w:noProof/>
                <w:webHidden/>
                <w:sz w:val="24"/>
                <w:szCs w:val="24"/>
              </w:rPr>
            </w:r>
            <w:r w:rsidRPr="003776A2">
              <w:rPr>
                <w:rFonts w:ascii="Arial" w:hAnsi="Arial" w:cs="Arial"/>
                <w:b w:val="0"/>
                <w:bCs w:val="0"/>
                <w:noProof/>
                <w:webHidden/>
                <w:sz w:val="24"/>
                <w:szCs w:val="24"/>
              </w:rPr>
              <w:fldChar w:fldCharType="separate"/>
            </w:r>
            <w:r w:rsidRPr="003776A2">
              <w:rPr>
                <w:rFonts w:ascii="Arial" w:hAnsi="Arial" w:cs="Arial"/>
                <w:b w:val="0"/>
                <w:bCs w:val="0"/>
                <w:noProof/>
                <w:webHidden/>
                <w:sz w:val="24"/>
                <w:szCs w:val="24"/>
              </w:rPr>
              <w:t>9</w:t>
            </w:r>
            <w:r w:rsidRPr="003776A2">
              <w:rPr>
                <w:rFonts w:ascii="Arial" w:hAnsi="Arial" w:cs="Arial"/>
                <w:b w:val="0"/>
                <w:bCs w:val="0"/>
                <w:noProof/>
                <w:webHidden/>
                <w:sz w:val="24"/>
                <w:szCs w:val="24"/>
              </w:rPr>
              <w:fldChar w:fldCharType="end"/>
            </w:r>
          </w:hyperlink>
        </w:p>
        <w:p w14:paraId="252B5A9E" w14:textId="5B02CB46"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64" w:history="1">
            <w:r w:rsidRPr="003776A2">
              <w:rPr>
                <w:rStyle w:val="Hyperlink"/>
                <w:rFonts w:ascii="Arial" w:hAnsi="Arial" w:cs="Arial"/>
                <w:noProof/>
                <w:sz w:val="24"/>
                <w:szCs w:val="24"/>
              </w:rPr>
              <w:t>3.2.1 Strategic Logic Under Ansoff</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_Toc214495264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9</w:t>
            </w:r>
            <w:r w:rsidRPr="003776A2">
              <w:rPr>
                <w:rFonts w:ascii="Arial" w:hAnsi="Arial" w:cs="Arial"/>
                <w:noProof/>
                <w:webHidden/>
                <w:sz w:val="24"/>
                <w:szCs w:val="24"/>
              </w:rPr>
              <w:fldChar w:fldCharType="end"/>
            </w:r>
          </w:hyperlink>
        </w:p>
        <w:p w14:paraId="0B401E0B" w14:textId="4DB785AD"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65" w:history="1">
            <w:r w:rsidRPr="003776A2">
              <w:rPr>
                <w:rStyle w:val="Hyperlink"/>
                <w:rFonts w:ascii="Arial" w:hAnsi="Arial" w:cs="Arial"/>
                <w:noProof/>
                <w:sz w:val="24"/>
                <w:szCs w:val="24"/>
              </w:rPr>
              <w:t>3.2.2 Response to Political–Regulatory Forces (Market Development)</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_Toc214495265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9</w:t>
            </w:r>
            <w:r w:rsidRPr="003776A2">
              <w:rPr>
                <w:rFonts w:ascii="Arial" w:hAnsi="Arial" w:cs="Arial"/>
                <w:noProof/>
                <w:webHidden/>
                <w:sz w:val="24"/>
                <w:szCs w:val="24"/>
              </w:rPr>
              <w:fldChar w:fldCharType="end"/>
            </w:r>
          </w:hyperlink>
        </w:p>
        <w:p w14:paraId="35CD39C7" w14:textId="5B24B324"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66" w:history="1">
            <w:r w:rsidRPr="003776A2">
              <w:rPr>
                <w:rStyle w:val="Hyperlink"/>
                <w:rFonts w:ascii="Arial" w:hAnsi="Arial" w:cs="Arial"/>
                <w:noProof/>
                <w:sz w:val="24"/>
                <w:szCs w:val="24"/>
              </w:rPr>
              <w:t>3.2.3 Response to Environmental Forces (Product Development)</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_Toc214495266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9</w:t>
            </w:r>
            <w:r w:rsidRPr="003776A2">
              <w:rPr>
                <w:rFonts w:ascii="Arial" w:hAnsi="Arial" w:cs="Arial"/>
                <w:noProof/>
                <w:webHidden/>
                <w:sz w:val="24"/>
                <w:szCs w:val="24"/>
              </w:rPr>
              <w:fldChar w:fldCharType="end"/>
            </w:r>
          </w:hyperlink>
        </w:p>
        <w:p w14:paraId="1D2E6076" w14:textId="3BC0E5BC" w:rsidR="003D4ECF" w:rsidRPr="003776A2" w:rsidRDefault="003D4ECF" w:rsidP="003D4ECF">
          <w:pPr>
            <w:pStyle w:val="TOC3"/>
            <w:tabs>
              <w:tab w:val="right" w:leader="dot" w:pos="9010"/>
            </w:tabs>
            <w:rPr>
              <w:rFonts w:ascii="Arial" w:eastAsiaTheme="minorEastAsia" w:hAnsi="Arial" w:cs="Arial"/>
              <w:noProof/>
              <w:kern w:val="2"/>
              <w:sz w:val="24"/>
              <w:szCs w:val="24"/>
              <w14:ligatures w14:val="standardContextual"/>
            </w:rPr>
          </w:pPr>
          <w:hyperlink w:anchor="_Toc214495267" w:history="1">
            <w:r w:rsidRPr="003776A2">
              <w:rPr>
                <w:rStyle w:val="Hyperlink"/>
                <w:rFonts w:ascii="Arial" w:hAnsi="Arial" w:cs="Arial"/>
                <w:noProof/>
                <w:sz w:val="24"/>
                <w:szCs w:val="24"/>
              </w:rPr>
              <w:t>3.2.4 Critical Evaluation</w:t>
            </w:r>
            <w:r w:rsidRPr="003776A2">
              <w:rPr>
                <w:rFonts w:ascii="Arial" w:hAnsi="Arial" w:cs="Arial"/>
                <w:noProof/>
                <w:webHidden/>
                <w:sz w:val="24"/>
                <w:szCs w:val="24"/>
              </w:rPr>
              <w:tab/>
            </w:r>
            <w:r w:rsidRPr="003776A2">
              <w:rPr>
                <w:rFonts w:ascii="Arial" w:hAnsi="Arial" w:cs="Arial"/>
                <w:noProof/>
                <w:webHidden/>
                <w:sz w:val="24"/>
                <w:szCs w:val="24"/>
              </w:rPr>
              <w:fldChar w:fldCharType="begin"/>
            </w:r>
            <w:r w:rsidRPr="003776A2">
              <w:rPr>
                <w:rFonts w:ascii="Arial" w:hAnsi="Arial" w:cs="Arial"/>
                <w:noProof/>
                <w:webHidden/>
                <w:sz w:val="24"/>
                <w:szCs w:val="24"/>
              </w:rPr>
              <w:instrText xml:space="preserve"> PAGEREF _Toc214495267 \h </w:instrText>
            </w:r>
            <w:r w:rsidRPr="003776A2">
              <w:rPr>
                <w:rFonts w:ascii="Arial" w:hAnsi="Arial" w:cs="Arial"/>
                <w:noProof/>
                <w:webHidden/>
                <w:sz w:val="24"/>
                <w:szCs w:val="24"/>
              </w:rPr>
            </w:r>
            <w:r w:rsidRPr="003776A2">
              <w:rPr>
                <w:rFonts w:ascii="Arial" w:hAnsi="Arial" w:cs="Arial"/>
                <w:noProof/>
                <w:webHidden/>
                <w:sz w:val="24"/>
                <w:szCs w:val="24"/>
              </w:rPr>
              <w:fldChar w:fldCharType="separate"/>
            </w:r>
            <w:r w:rsidRPr="003776A2">
              <w:rPr>
                <w:rFonts w:ascii="Arial" w:hAnsi="Arial" w:cs="Arial"/>
                <w:noProof/>
                <w:webHidden/>
                <w:sz w:val="24"/>
                <w:szCs w:val="24"/>
              </w:rPr>
              <w:t>10</w:t>
            </w:r>
            <w:r w:rsidRPr="003776A2">
              <w:rPr>
                <w:rFonts w:ascii="Arial" w:hAnsi="Arial" w:cs="Arial"/>
                <w:noProof/>
                <w:webHidden/>
                <w:sz w:val="24"/>
                <w:szCs w:val="24"/>
              </w:rPr>
              <w:fldChar w:fldCharType="end"/>
            </w:r>
          </w:hyperlink>
        </w:p>
        <w:p w14:paraId="17374831" w14:textId="452A8F17" w:rsidR="003D4ECF" w:rsidRPr="003776A2" w:rsidRDefault="003D4ECF" w:rsidP="003D4ECF">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5268" w:history="1">
            <w:r w:rsidRPr="003776A2">
              <w:rPr>
                <w:rStyle w:val="Hyperlink"/>
                <w:rFonts w:ascii="Arial" w:hAnsi="Arial" w:cs="Arial"/>
                <w:b w:val="0"/>
                <w:bCs w:val="0"/>
                <w:i w:val="0"/>
                <w:iCs w:val="0"/>
                <w:noProof/>
              </w:rPr>
              <w:t>4. Conclusion</w:t>
            </w:r>
            <w:r w:rsidRPr="003776A2">
              <w:rPr>
                <w:rFonts w:ascii="Arial" w:hAnsi="Arial" w:cs="Arial"/>
                <w:b w:val="0"/>
                <w:bCs w:val="0"/>
                <w:i w:val="0"/>
                <w:iCs w:val="0"/>
                <w:noProof/>
                <w:webHidden/>
              </w:rPr>
              <w:tab/>
            </w:r>
            <w:r w:rsidRPr="003776A2">
              <w:rPr>
                <w:rFonts w:ascii="Arial" w:hAnsi="Arial" w:cs="Arial"/>
                <w:b w:val="0"/>
                <w:bCs w:val="0"/>
                <w:i w:val="0"/>
                <w:iCs w:val="0"/>
                <w:noProof/>
                <w:webHidden/>
              </w:rPr>
              <w:fldChar w:fldCharType="begin"/>
            </w:r>
            <w:r w:rsidRPr="003776A2">
              <w:rPr>
                <w:rFonts w:ascii="Arial" w:hAnsi="Arial" w:cs="Arial"/>
                <w:b w:val="0"/>
                <w:bCs w:val="0"/>
                <w:i w:val="0"/>
                <w:iCs w:val="0"/>
                <w:noProof/>
                <w:webHidden/>
              </w:rPr>
              <w:instrText xml:space="preserve"> PAGEREF _Toc214495268 \h </w:instrText>
            </w:r>
            <w:r w:rsidRPr="003776A2">
              <w:rPr>
                <w:rFonts w:ascii="Arial" w:hAnsi="Arial" w:cs="Arial"/>
                <w:b w:val="0"/>
                <w:bCs w:val="0"/>
                <w:i w:val="0"/>
                <w:iCs w:val="0"/>
                <w:noProof/>
                <w:webHidden/>
              </w:rPr>
            </w:r>
            <w:r w:rsidRPr="003776A2">
              <w:rPr>
                <w:rFonts w:ascii="Arial" w:hAnsi="Arial" w:cs="Arial"/>
                <w:b w:val="0"/>
                <w:bCs w:val="0"/>
                <w:i w:val="0"/>
                <w:iCs w:val="0"/>
                <w:noProof/>
                <w:webHidden/>
              </w:rPr>
              <w:fldChar w:fldCharType="separate"/>
            </w:r>
            <w:r w:rsidRPr="003776A2">
              <w:rPr>
                <w:rFonts w:ascii="Arial" w:hAnsi="Arial" w:cs="Arial"/>
                <w:b w:val="0"/>
                <w:bCs w:val="0"/>
                <w:i w:val="0"/>
                <w:iCs w:val="0"/>
                <w:noProof/>
                <w:webHidden/>
              </w:rPr>
              <w:t>11</w:t>
            </w:r>
            <w:r w:rsidRPr="003776A2">
              <w:rPr>
                <w:rFonts w:ascii="Arial" w:hAnsi="Arial" w:cs="Arial"/>
                <w:b w:val="0"/>
                <w:bCs w:val="0"/>
                <w:i w:val="0"/>
                <w:iCs w:val="0"/>
                <w:noProof/>
                <w:webHidden/>
              </w:rPr>
              <w:fldChar w:fldCharType="end"/>
            </w:r>
          </w:hyperlink>
        </w:p>
        <w:p w14:paraId="3ED9318E" w14:textId="17342B45" w:rsidR="003D4ECF" w:rsidRPr="003776A2" w:rsidRDefault="003D4ECF" w:rsidP="003D4ECF">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5269" w:history="1">
            <w:r w:rsidRPr="003776A2">
              <w:rPr>
                <w:rStyle w:val="Hyperlink"/>
                <w:rFonts w:ascii="Arial" w:hAnsi="Arial" w:cs="Arial"/>
                <w:b w:val="0"/>
                <w:bCs w:val="0"/>
                <w:i w:val="0"/>
                <w:iCs w:val="0"/>
                <w:noProof/>
                <w:lang w:val="en-US"/>
              </w:rPr>
              <w:t xml:space="preserve">5. </w:t>
            </w:r>
            <w:r w:rsidRPr="003776A2">
              <w:rPr>
                <w:rStyle w:val="Hyperlink"/>
                <w:rFonts w:ascii="Arial" w:hAnsi="Arial" w:cs="Arial"/>
                <w:b w:val="0"/>
                <w:bCs w:val="0"/>
                <w:i w:val="0"/>
                <w:iCs w:val="0"/>
                <w:noProof/>
              </w:rPr>
              <w:t>Reference</w:t>
            </w:r>
            <w:r w:rsidRPr="003776A2">
              <w:rPr>
                <w:rFonts w:ascii="Arial" w:hAnsi="Arial" w:cs="Arial"/>
                <w:b w:val="0"/>
                <w:bCs w:val="0"/>
                <w:i w:val="0"/>
                <w:iCs w:val="0"/>
                <w:noProof/>
                <w:webHidden/>
              </w:rPr>
              <w:tab/>
            </w:r>
            <w:r w:rsidRPr="003776A2">
              <w:rPr>
                <w:rFonts w:ascii="Arial" w:hAnsi="Arial" w:cs="Arial"/>
                <w:b w:val="0"/>
                <w:bCs w:val="0"/>
                <w:i w:val="0"/>
                <w:iCs w:val="0"/>
                <w:noProof/>
                <w:webHidden/>
              </w:rPr>
              <w:fldChar w:fldCharType="begin"/>
            </w:r>
            <w:r w:rsidRPr="003776A2">
              <w:rPr>
                <w:rFonts w:ascii="Arial" w:hAnsi="Arial" w:cs="Arial"/>
                <w:b w:val="0"/>
                <w:bCs w:val="0"/>
                <w:i w:val="0"/>
                <w:iCs w:val="0"/>
                <w:noProof/>
                <w:webHidden/>
              </w:rPr>
              <w:instrText xml:space="preserve"> PAGEREF _Toc214495269 \h </w:instrText>
            </w:r>
            <w:r w:rsidRPr="003776A2">
              <w:rPr>
                <w:rFonts w:ascii="Arial" w:hAnsi="Arial" w:cs="Arial"/>
                <w:b w:val="0"/>
                <w:bCs w:val="0"/>
                <w:i w:val="0"/>
                <w:iCs w:val="0"/>
                <w:noProof/>
                <w:webHidden/>
              </w:rPr>
            </w:r>
            <w:r w:rsidRPr="003776A2">
              <w:rPr>
                <w:rFonts w:ascii="Arial" w:hAnsi="Arial" w:cs="Arial"/>
                <w:b w:val="0"/>
                <w:bCs w:val="0"/>
                <w:i w:val="0"/>
                <w:iCs w:val="0"/>
                <w:noProof/>
                <w:webHidden/>
              </w:rPr>
              <w:fldChar w:fldCharType="separate"/>
            </w:r>
            <w:r w:rsidRPr="003776A2">
              <w:rPr>
                <w:rFonts w:ascii="Arial" w:hAnsi="Arial" w:cs="Arial"/>
                <w:b w:val="0"/>
                <w:bCs w:val="0"/>
                <w:i w:val="0"/>
                <w:iCs w:val="0"/>
                <w:noProof/>
                <w:webHidden/>
              </w:rPr>
              <w:t>12</w:t>
            </w:r>
            <w:r w:rsidRPr="003776A2">
              <w:rPr>
                <w:rFonts w:ascii="Arial" w:hAnsi="Arial" w:cs="Arial"/>
                <w:b w:val="0"/>
                <w:bCs w:val="0"/>
                <w:i w:val="0"/>
                <w:iCs w:val="0"/>
                <w:noProof/>
                <w:webHidden/>
              </w:rPr>
              <w:fldChar w:fldCharType="end"/>
            </w:r>
          </w:hyperlink>
        </w:p>
        <w:p w14:paraId="430DAD55" w14:textId="476CC112" w:rsidR="003D4ECF" w:rsidRPr="003776A2" w:rsidRDefault="003D4ECF" w:rsidP="003D4ECF">
          <w:pPr>
            <w:rPr>
              <w:rFonts w:ascii="Arial" w:hAnsi="Arial" w:cs="Arial"/>
            </w:rPr>
          </w:pPr>
          <w:r w:rsidRPr="003776A2">
            <w:rPr>
              <w:rFonts w:ascii="Arial" w:hAnsi="Arial" w:cs="Arial"/>
              <w:noProof/>
            </w:rPr>
            <w:fldChar w:fldCharType="end"/>
          </w:r>
        </w:p>
      </w:sdtContent>
    </w:sdt>
    <w:p w14:paraId="721669E5" w14:textId="2FEDD72F" w:rsidR="003D4ECF" w:rsidRPr="003776A2" w:rsidRDefault="003D4ECF" w:rsidP="003D4ECF">
      <w:pPr>
        <w:rPr>
          <w:rFonts w:ascii="Arial" w:hAnsi="Arial" w:cs="Arial"/>
        </w:rPr>
      </w:pPr>
      <w:r w:rsidRPr="003776A2">
        <w:rPr>
          <w:rFonts w:ascii="Arial" w:hAnsi="Arial" w:cs="Arial"/>
        </w:rPr>
        <w:br w:type="page"/>
      </w:r>
    </w:p>
    <w:p w14:paraId="600B4511" w14:textId="20AF95F4" w:rsidR="003D4ECF" w:rsidRPr="003776A2" w:rsidRDefault="003D4ECF" w:rsidP="003D4ECF">
      <w:pPr>
        <w:pStyle w:val="Heading1"/>
        <w:rPr>
          <w:rFonts w:ascii="Arial" w:hAnsi="Arial" w:cs="Arial"/>
          <w:color w:val="000000"/>
        </w:rPr>
      </w:pPr>
      <w:bookmarkStart w:id="0" w:name="_Toc214495247"/>
      <w:r w:rsidRPr="003776A2">
        <w:rPr>
          <w:rFonts w:ascii="Arial" w:hAnsi="Arial" w:cs="Arial"/>
          <w:color w:val="000000"/>
        </w:rPr>
        <w:lastRenderedPageBreak/>
        <w:t xml:space="preserve">1. </w:t>
      </w:r>
      <w:r w:rsidRPr="003776A2">
        <w:rPr>
          <w:rFonts w:ascii="Arial" w:hAnsi="Arial" w:cs="Arial"/>
        </w:rPr>
        <w:t>Introduction</w:t>
      </w:r>
      <w:bookmarkEnd w:id="0"/>
    </w:p>
    <w:p w14:paraId="2B658DCB" w14:textId="59B55FBE" w:rsidR="003D4ECF" w:rsidRPr="003776A2" w:rsidRDefault="00F62A04" w:rsidP="003D4ECF">
      <w:pPr>
        <w:rPr>
          <w:rFonts w:ascii="Arial" w:hAnsi="Arial" w:cs="Arial"/>
          <w:color w:val="000000"/>
        </w:rPr>
      </w:pPr>
      <w:r w:rsidRPr="003776A2">
        <w:rPr>
          <w:rFonts w:ascii="Arial" w:hAnsi="Arial" w:cs="Arial"/>
          <w:color w:val="000000"/>
        </w:rPr>
        <w:t xml:space="preserve">The industries that face </w:t>
      </w:r>
      <w:r w:rsidRPr="003776A2">
        <w:rPr>
          <w:rFonts w:ascii="Arial" w:hAnsi="Arial" w:cs="Arial"/>
          <w:color w:val="000000"/>
          <w:lang w:val="en-US"/>
        </w:rPr>
        <w:t>a</w:t>
      </w:r>
      <w:r w:rsidRPr="003776A2">
        <w:rPr>
          <w:rFonts w:ascii="Arial" w:hAnsi="Arial" w:cs="Arial"/>
          <w:color w:val="000000"/>
        </w:rPr>
        <w:t xml:space="preserve"> high level of control and the growing sustainability pressure demand strong strategic management of marketing. This is illustrated in the United Kingdom energy sector</w:t>
      </w:r>
      <w:r w:rsidRPr="003776A2">
        <w:rPr>
          <w:rFonts w:ascii="Arial" w:hAnsi="Arial" w:cs="Arial"/>
          <w:color w:val="000000"/>
          <w:lang w:val="en-US"/>
        </w:rPr>
        <w:t>,</w:t>
      </w:r>
      <w:r w:rsidRPr="003776A2">
        <w:rPr>
          <w:rFonts w:ascii="Arial" w:hAnsi="Arial" w:cs="Arial"/>
          <w:color w:val="000000"/>
        </w:rPr>
        <w:t xml:space="preserve"> which is being constantly transformed by political decisions, price controls and strict environmental expectations. These forces create such a fast</w:t>
      </w:r>
      <w:r w:rsidRPr="003776A2">
        <w:rPr>
          <w:rFonts w:ascii="Arial" w:hAnsi="Arial" w:cs="Arial"/>
          <w:color w:val="000000"/>
          <w:lang w:val="en-US"/>
        </w:rPr>
        <w:t>-</w:t>
      </w:r>
      <w:r w:rsidRPr="003776A2">
        <w:rPr>
          <w:rFonts w:ascii="Arial" w:hAnsi="Arial" w:cs="Arial"/>
          <w:color w:val="000000"/>
        </w:rPr>
        <w:t>changing environment where companies have to change at the same pace or they will become obsolete. In this framework, British Gas is the traditional first mover whose structures are rooted in the national coverage and long histories, as compared to the agile follower, Octopus Energy, based on the technologies and green innovation (It Nguyen Van, Thanh Tiep Le and Kotaskova, 2023). The macro environment is something that a company cannot afford to be incomplete because it is political, regulatory and environmental pressures that can determine prices, investment choices, expectations and positioning of the customers and competitors. Changes in regulations and policies determine what energy companies can and cannot undertake</w:t>
      </w:r>
      <w:r w:rsidR="00C13D0D" w:rsidRPr="003776A2">
        <w:rPr>
          <w:rFonts w:ascii="Arial" w:hAnsi="Arial" w:cs="Arial"/>
          <w:color w:val="000000"/>
          <w:lang w:val="en-US"/>
        </w:rPr>
        <w:t>,</w:t>
      </w:r>
      <w:r w:rsidRPr="003776A2">
        <w:rPr>
          <w:rFonts w:ascii="Arial" w:hAnsi="Arial" w:cs="Arial"/>
          <w:color w:val="000000"/>
        </w:rPr>
        <w:t xml:space="preserve"> and sustainability pressures push them to low-carbon systems and renewable energy models. The report is structured clearly; Task 1 will assess political-regulatory and environmental variables; Task 2 will examine how British Gas and Octopus Energy reacted strategically to the situation according to the Growth Matrix developed by Ansoff; and the final part will provide the important strategic conclusions.</w:t>
      </w:r>
    </w:p>
    <w:p w14:paraId="71FD7ECF" w14:textId="77777777" w:rsidR="003D4ECF" w:rsidRPr="003776A2" w:rsidRDefault="003D4ECF" w:rsidP="003D4ECF">
      <w:pPr>
        <w:rPr>
          <w:rFonts w:ascii="Arial" w:hAnsi="Arial" w:cs="Arial"/>
          <w:color w:val="000000"/>
        </w:rPr>
      </w:pPr>
      <w:r w:rsidRPr="003776A2">
        <w:rPr>
          <w:rFonts w:ascii="Arial" w:hAnsi="Arial" w:cs="Arial"/>
          <w:color w:val="000000"/>
        </w:rPr>
        <w:br/>
      </w:r>
    </w:p>
    <w:p w14:paraId="664178A9" w14:textId="77777777" w:rsidR="003D4ECF" w:rsidRPr="003776A2" w:rsidRDefault="003D4ECF">
      <w:pPr>
        <w:spacing w:after="160" w:line="259" w:lineRule="auto"/>
        <w:jc w:val="left"/>
        <w:rPr>
          <w:rFonts w:ascii="Arial" w:hAnsi="Arial" w:cs="Arial"/>
          <w:color w:val="000000"/>
        </w:rPr>
      </w:pPr>
      <w:r w:rsidRPr="003776A2">
        <w:rPr>
          <w:rFonts w:ascii="Arial" w:hAnsi="Arial" w:cs="Arial"/>
          <w:color w:val="000000"/>
        </w:rPr>
        <w:br w:type="page"/>
      </w:r>
    </w:p>
    <w:p w14:paraId="24F6B1C7" w14:textId="6C85DB78" w:rsidR="003D4ECF" w:rsidRPr="003776A2" w:rsidRDefault="003D4ECF" w:rsidP="003D4ECF">
      <w:pPr>
        <w:pStyle w:val="Heading1"/>
        <w:rPr>
          <w:rFonts w:ascii="Arial" w:hAnsi="Arial" w:cs="Arial"/>
        </w:rPr>
      </w:pPr>
      <w:bookmarkStart w:id="1" w:name="_Toc214495248"/>
      <w:r w:rsidRPr="003776A2">
        <w:rPr>
          <w:rFonts w:ascii="Arial" w:hAnsi="Arial" w:cs="Arial"/>
        </w:rPr>
        <w:lastRenderedPageBreak/>
        <w:t>2.3 Critical Analysis of Each Actor</w:t>
      </w:r>
      <w:bookmarkEnd w:id="1"/>
    </w:p>
    <w:p w14:paraId="270EEC65" w14:textId="77777777" w:rsidR="003D4ECF" w:rsidRPr="003776A2" w:rsidRDefault="003D4ECF" w:rsidP="003D4ECF">
      <w:pPr>
        <w:pStyle w:val="Heading2"/>
        <w:rPr>
          <w:rFonts w:ascii="Arial" w:hAnsi="Arial" w:cs="Arial"/>
        </w:rPr>
      </w:pPr>
      <w:bookmarkStart w:id="2" w:name="_Toc214495249"/>
      <w:r w:rsidRPr="003776A2">
        <w:rPr>
          <w:rFonts w:ascii="Arial" w:hAnsi="Arial" w:cs="Arial"/>
        </w:rPr>
        <w:t>2.3.1 Political–Regulatory Actor</w:t>
      </w:r>
      <w:bookmarkEnd w:id="2"/>
      <w:r w:rsidRPr="003776A2">
        <w:rPr>
          <w:rFonts w:ascii="Arial" w:hAnsi="Arial" w:cs="Arial"/>
        </w:rPr>
        <w:t> </w:t>
      </w:r>
    </w:p>
    <w:p w14:paraId="028FB503" w14:textId="0EDE70DA" w:rsidR="003D4ECF" w:rsidRPr="003776A2" w:rsidRDefault="003D4ECF" w:rsidP="003D4ECF">
      <w:pPr>
        <w:rPr>
          <w:rFonts w:ascii="Arial" w:hAnsi="Arial" w:cs="Arial"/>
          <w:color w:val="000000"/>
        </w:rPr>
      </w:pPr>
      <w:r w:rsidRPr="003776A2">
        <w:rPr>
          <w:rFonts w:ascii="Arial" w:hAnsi="Arial" w:cs="Arial"/>
          <w:color w:val="000000"/>
        </w:rPr>
        <w:t>The most significant external factor in the energy industry of the United Kingdom is the political-regulatory environment. Direct manipulation of the functioning of firms, their competition and value communication is under the direct pressure of government dictates, Ofgem regulations, and obligatory price caps (Chung and Low, 2021). The rate at which regulations are being changed increases uncertainty and compliance expectations, specifically in relation to billing transparency, consumer switching rights, and tariff framework. Further pressure is caused by market volatility</w:t>
      </w:r>
      <w:r w:rsidRPr="003776A2">
        <w:rPr>
          <w:rFonts w:ascii="Arial" w:hAnsi="Arial" w:cs="Arial"/>
          <w:color w:val="000000"/>
          <w:lang w:val="en-US"/>
        </w:rPr>
        <w:t>,</w:t>
      </w:r>
      <w:r w:rsidRPr="003776A2">
        <w:rPr>
          <w:rFonts w:ascii="Arial" w:hAnsi="Arial" w:cs="Arial"/>
          <w:color w:val="000000"/>
        </w:rPr>
        <w:t xml:space="preserve"> which is brought about by geopolitical tensions and changes in wholesale prices over time. The main challenge faced by both the leading and the lagging companies is not the compliance with the policies but also the capacity to do it in a way that allows maintaining the trust and being competitive.</w:t>
      </w:r>
    </w:p>
    <w:p w14:paraId="198FF903" w14:textId="77777777" w:rsidR="003D4ECF" w:rsidRPr="003776A2" w:rsidRDefault="003D4ECF" w:rsidP="003D4ECF">
      <w:pPr>
        <w:pStyle w:val="Heading3"/>
        <w:rPr>
          <w:rFonts w:ascii="Arial" w:hAnsi="Arial" w:cs="Arial"/>
        </w:rPr>
      </w:pPr>
      <w:bookmarkStart w:id="3" w:name="_Toc214495250"/>
      <w:r w:rsidRPr="003776A2">
        <w:rPr>
          <w:rFonts w:ascii="Arial" w:hAnsi="Arial" w:cs="Arial"/>
        </w:rPr>
        <w:t>Impact on British Gas (Pioneer)</w:t>
      </w:r>
      <w:bookmarkEnd w:id="3"/>
    </w:p>
    <w:p w14:paraId="5E1FF128" w14:textId="2A5F0001" w:rsidR="003D4ECF" w:rsidRPr="003776A2" w:rsidRDefault="003D4ECF" w:rsidP="003D4ECF">
      <w:pPr>
        <w:rPr>
          <w:rFonts w:ascii="Arial" w:hAnsi="Arial" w:cs="Arial"/>
          <w:color w:val="000000"/>
        </w:rPr>
      </w:pPr>
      <w:r w:rsidRPr="003776A2">
        <w:rPr>
          <w:rFonts w:ascii="Arial" w:hAnsi="Arial" w:cs="Arial"/>
          <w:color w:val="000000"/>
        </w:rPr>
        <w:t>The forces are faced by British Gas differently because of its legacy role. </w:t>
      </w:r>
    </w:p>
    <w:p w14:paraId="0A7366CD" w14:textId="5A3FA1A9" w:rsidR="003D4ECF" w:rsidRPr="003776A2" w:rsidRDefault="003D4ECF" w:rsidP="003D4ECF">
      <w:pPr>
        <w:rPr>
          <w:rFonts w:ascii="Arial" w:hAnsi="Arial" w:cs="Arial"/>
          <w:color w:val="000000"/>
        </w:rPr>
      </w:pPr>
      <w:r w:rsidRPr="003776A2">
        <w:rPr>
          <w:rFonts w:ascii="Arial" w:hAnsi="Arial" w:cs="Arial"/>
          <w:b/>
          <w:bCs/>
          <w:color w:val="000000"/>
        </w:rPr>
        <w:t>Opportunities:</w:t>
      </w:r>
      <w:r w:rsidRPr="003776A2">
        <w:rPr>
          <w:rFonts w:ascii="Arial" w:hAnsi="Arial" w:cs="Arial"/>
          <w:color w:val="000000"/>
        </w:rPr>
        <w:t xml:space="preserve"> The company is profitable due to the fact that it is viewed as compliant and established. Its presence over the ages may serve as a boost to consumer trust</w:t>
      </w:r>
      <w:r w:rsidRPr="003776A2">
        <w:rPr>
          <w:rFonts w:ascii="Arial" w:hAnsi="Arial" w:cs="Arial"/>
          <w:color w:val="000000"/>
          <w:lang w:val="en-US"/>
        </w:rPr>
        <w:t>,</w:t>
      </w:r>
      <w:r w:rsidRPr="003776A2">
        <w:rPr>
          <w:rFonts w:ascii="Arial" w:hAnsi="Arial" w:cs="Arial"/>
          <w:color w:val="000000"/>
        </w:rPr>
        <w:t xml:space="preserve"> especially when the government effort emphasises customer protection (Gailani </w:t>
      </w:r>
      <w:r w:rsidRPr="003776A2">
        <w:rPr>
          <w:rFonts w:ascii="Arial" w:hAnsi="Arial" w:cs="Arial"/>
          <w:i/>
          <w:iCs/>
          <w:color w:val="000000"/>
        </w:rPr>
        <w:t>et al.</w:t>
      </w:r>
      <w:r w:rsidRPr="003776A2">
        <w:rPr>
          <w:rFonts w:ascii="Arial" w:hAnsi="Arial" w:cs="Arial"/>
          <w:color w:val="000000"/>
        </w:rPr>
        <w:t>, 2020). In addition, its size also supports the introduction of controlled tariffs more easily compared to the minor competitors. Being a leading incumbent, British Gas has some influence on policy discussions</w:t>
      </w:r>
      <w:r w:rsidRPr="003776A2">
        <w:rPr>
          <w:rFonts w:ascii="Arial" w:hAnsi="Arial" w:cs="Arial"/>
          <w:color w:val="000000"/>
          <w:lang w:val="en-US"/>
        </w:rPr>
        <w:t>,</w:t>
      </w:r>
      <w:r w:rsidRPr="003776A2">
        <w:rPr>
          <w:rFonts w:ascii="Arial" w:hAnsi="Arial" w:cs="Arial"/>
          <w:color w:val="000000"/>
        </w:rPr>
        <w:t xml:space="preserve"> hence playing a role in creating reforms in the sector.</w:t>
      </w:r>
    </w:p>
    <w:p w14:paraId="083B73BC" w14:textId="77777777" w:rsidR="003D4ECF" w:rsidRPr="003776A2" w:rsidRDefault="003D4ECF" w:rsidP="003D4ECF">
      <w:pPr>
        <w:rPr>
          <w:rFonts w:ascii="Arial" w:hAnsi="Arial" w:cs="Arial"/>
          <w:color w:val="000000"/>
        </w:rPr>
      </w:pPr>
    </w:p>
    <w:p w14:paraId="6BD39BAE" w14:textId="5629C595" w:rsidR="003D4ECF" w:rsidRPr="003776A2" w:rsidRDefault="003D4ECF" w:rsidP="003D4ECF">
      <w:pPr>
        <w:rPr>
          <w:rFonts w:ascii="Arial" w:hAnsi="Arial" w:cs="Arial"/>
          <w:color w:val="000000"/>
        </w:rPr>
      </w:pPr>
      <w:r w:rsidRPr="003776A2">
        <w:rPr>
          <w:rFonts w:ascii="Arial" w:hAnsi="Arial" w:cs="Arial"/>
          <w:b/>
          <w:bCs/>
          <w:color w:val="000000"/>
        </w:rPr>
        <w:t>Threats:</w:t>
      </w:r>
      <w:r w:rsidRPr="003776A2">
        <w:rPr>
          <w:rFonts w:ascii="Arial" w:hAnsi="Arial" w:cs="Arial"/>
          <w:color w:val="000000"/>
        </w:rPr>
        <w:t xml:space="preserve"> These benefits have significant expenses. The business model that British Gas adheres to is intricate and expensive, which makes regulation adjustment more costly and time-consuming. Its profit margins are significantly squeezed by prices set by the government. The scrutiny by the public is greater</w:t>
      </w:r>
      <w:r w:rsidRPr="003776A2">
        <w:rPr>
          <w:rFonts w:ascii="Arial" w:hAnsi="Arial" w:cs="Arial"/>
          <w:color w:val="000000"/>
          <w:lang w:val="en-US"/>
        </w:rPr>
        <w:t>,</w:t>
      </w:r>
      <w:r w:rsidRPr="003776A2">
        <w:rPr>
          <w:rFonts w:ascii="Arial" w:hAnsi="Arial" w:cs="Arial"/>
          <w:color w:val="000000"/>
        </w:rPr>
        <w:t xml:space="preserve"> especially when the government interventions are used to expose shortfalls in customer service or billing errors (Jerab and Mabrouk, 2023). There are also punishments that the company may face in case it does not adhere to the compliance standards within a reasonable amount of time. The weight of the legacy systems limits the flexibility in adapting to </w:t>
      </w:r>
      <w:r w:rsidRPr="003776A2">
        <w:rPr>
          <w:rFonts w:ascii="Arial" w:hAnsi="Arial" w:cs="Arial"/>
          <w:color w:val="000000"/>
        </w:rPr>
        <w:lastRenderedPageBreak/>
        <w:t>the change in regulations and makes every policy change disruptive and resource-consuming.</w:t>
      </w:r>
    </w:p>
    <w:p w14:paraId="30085EBE" w14:textId="77777777" w:rsidR="003D4ECF" w:rsidRPr="003776A2" w:rsidRDefault="003D4ECF" w:rsidP="003D4ECF">
      <w:pPr>
        <w:rPr>
          <w:rFonts w:ascii="Arial" w:hAnsi="Arial" w:cs="Arial"/>
          <w:color w:val="000000"/>
        </w:rPr>
      </w:pPr>
    </w:p>
    <w:p w14:paraId="653EC8C8" w14:textId="77777777" w:rsidR="003D4ECF" w:rsidRPr="003776A2" w:rsidRDefault="003D4ECF" w:rsidP="003D4ECF">
      <w:pPr>
        <w:pStyle w:val="Heading3"/>
        <w:rPr>
          <w:rFonts w:ascii="Arial" w:hAnsi="Arial" w:cs="Arial"/>
        </w:rPr>
      </w:pPr>
      <w:bookmarkStart w:id="4" w:name="_Toc214495251"/>
      <w:r w:rsidRPr="003776A2">
        <w:rPr>
          <w:rFonts w:ascii="Arial" w:hAnsi="Arial" w:cs="Arial"/>
        </w:rPr>
        <w:t>Impact on Octopus Energy (Follower)</w:t>
      </w:r>
      <w:bookmarkEnd w:id="4"/>
    </w:p>
    <w:p w14:paraId="75038B15" w14:textId="77777777" w:rsidR="003D4ECF" w:rsidRPr="003776A2" w:rsidRDefault="003D4ECF" w:rsidP="003D4ECF">
      <w:pPr>
        <w:rPr>
          <w:rFonts w:ascii="Arial" w:hAnsi="Arial" w:cs="Arial"/>
          <w:color w:val="000000"/>
        </w:rPr>
      </w:pPr>
      <w:r w:rsidRPr="003776A2">
        <w:rPr>
          <w:rFonts w:ascii="Arial" w:hAnsi="Arial" w:cs="Arial"/>
          <w:color w:val="000000"/>
        </w:rPr>
        <w:t>Octopus Energy faces a different set of dynamics.</w:t>
      </w:r>
    </w:p>
    <w:p w14:paraId="4C277484" w14:textId="5CE94299" w:rsidR="003D4ECF" w:rsidRPr="003776A2" w:rsidRDefault="003D4ECF" w:rsidP="003D4ECF">
      <w:pPr>
        <w:rPr>
          <w:rFonts w:ascii="Arial" w:hAnsi="Arial" w:cs="Arial"/>
          <w:color w:val="000000"/>
        </w:rPr>
      </w:pPr>
      <w:r w:rsidRPr="003776A2">
        <w:rPr>
          <w:rFonts w:ascii="Arial" w:hAnsi="Arial" w:cs="Arial"/>
          <w:b/>
          <w:bCs/>
          <w:color w:val="000000"/>
        </w:rPr>
        <w:t>Opportunities:</w:t>
      </w:r>
      <w:r w:rsidRPr="003776A2">
        <w:rPr>
          <w:rFonts w:ascii="Arial" w:hAnsi="Arial" w:cs="Arial"/>
          <w:color w:val="000000"/>
        </w:rPr>
        <w:t xml:space="preserve"> Opportunities being a new player, the company is more agile and can adapt tariffs faster. Its digital-first platform enables it to have transparent billing and consumer</w:t>
      </w:r>
      <w:r w:rsidRPr="003776A2">
        <w:rPr>
          <w:rFonts w:ascii="Arial" w:hAnsi="Arial" w:cs="Arial"/>
          <w:color w:val="000000"/>
          <w:lang w:val="en-US"/>
        </w:rPr>
        <w:t xml:space="preserve"> </w:t>
      </w:r>
      <w:r w:rsidRPr="003776A2">
        <w:rPr>
          <w:rFonts w:ascii="Arial" w:hAnsi="Arial" w:cs="Arial"/>
          <w:color w:val="000000"/>
        </w:rPr>
        <w:t>pricing, which aligns with the expectations of regulators (Gonçalves and Patrício, 2022). This is the ability to develop customer confidence in an industry that is often accused of being complex. Aggressive reforms to encourage innovation, switch among consumers, and competitive pricing are clearly in favour of agile companies like Octopus.</w:t>
      </w:r>
    </w:p>
    <w:p w14:paraId="20ADCF76" w14:textId="77777777" w:rsidR="003D4ECF" w:rsidRPr="003776A2" w:rsidRDefault="003D4ECF" w:rsidP="003D4ECF">
      <w:pPr>
        <w:rPr>
          <w:rFonts w:ascii="Arial" w:hAnsi="Arial" w:cs="Arial"/>
          <w:color w:val="000000"/>
        </w:rPr>
      </w:pPr>
    </w:p>
    <w:p w14:paraId="46FC9DBC" w14:textId="7BACCBAF" w:rsidR="003D4ECF" w:rsidRPr="003776A2" w:rsidRDefault="003D4ECF" w:rsidP="003D4ECF">
      <w:pPr>
        <w:rPr>
          <w:rFonts w:ascii="Arial" w:hAnsi="Arial" w:cs="Arial"/>
          <w:color w:val="000000"/>
        </w:rPr>
      </w:pPr>
      <w:r w:rsidRPr="003776A2">
        <w:rPr>
          <w:rFonts w:ascii="Arial" w:hAnsi="Arial" w:cs="Arial"/>
          <w:b/>
          <w:bCs/>
          <w:color w:val="000000"/>
        </w:rPr>
        <w:t>Threats:</w:t>
      </w:r>
      <w:r w:rsidRPr="003776A2">
        <w:rPr>
          <w:rFonts w:ascii="Arial" w:hAnsi="Arial" w:cs="Arial"/>
          <w:color w:val="000000"/>
        </w:rPr>
        <w:t xml:space="preserve"> Despite the fact, Octopus is more vulnerable to outside threats. Amendments in regulations may put demands on its few resources</w:t>
      </w:r>
      <w:r w:rsidRPr="003776A2">
        <w:rPr>
          <w:rFonts w:ascii="Arial" w:hAnsi="Arial" w:cs="Arial"/>
          <w:color w:val="000000"/>
          <w:lang w:val="en-US"/>
        </w:rPr>
        <w:t>,</w:t>
      </w:r>
      <w:r w:rsidRPr="003776A2">
        <w:rPr>
          <w:rFonts w:ascii="Arial" w:hAnsi="Arial" w:cs="Arial"/>
          <w:color w:val="000000"/>
        </w:rPr>
        <w:t xml:space="preserve"> especially during wholesale price surges. Blistering growth of the company contributes to the weakness of regulatory slip-ups (Olson </w:t>
      </w:r>
      <w:r w:rsidRPr="003776A2">
        <w:rPr>
          <w:rFonts w:ascii="Arial" w:hAnsi="Arial" w:cs="Arial"/>
          <w:i/>
          <w:iCs/>
          <w:color w:val="000000"/>
        </w:rPr>
        <w:t>et al.</w:t>
      </w:r>
      <w:r w:rsidRPr="003776A2">
        <w:rPr>
          <w:rFonts w:ascii="Arial" w:hAnsi="Arial" w:cs="Arial"/>
          <w:color w:val="000000"/>
        </w:rPr>
        <w:t>, 2021). Although agility is a strength, it is also a form of exposure because policy changes may require structural changes and require the capital or infrastructure that it does not currently have.</w:t>
      </w:r>
    </w:p>
    <w:p w14:paraId="643C1427" w14:textId="77777777" w:rsidR="003D4ECF" w:rsidRPr="003776A2" w:rsidRDefault="003D4ECF" w:rsidP="003D4ECF">
      <w:pPr>
        <w:rPr>
          <w:rFonts w:ascii="Arial" w:hAnsi="Arial" w:cs="Arial"/>
          <w:color w:val="000000"/>
        </w:rPr>
      </w:pPr>
    </w:p>
    <w:p w14:paraId="77872E5B" w14:textId="77777777" w:rsidR="003D4ECF" w:rsidRPr="003776A2" w:rsidRDefault="003D4ECF" w:rsidP="003D4ECF">
      <w:pPr>
        <w:pStyle w:val="Heading3"/>
        <w:rPr>
          <w:rFonts w:ascii="Arial" w:hAnsi="Arial" w:cs="Arial"/>
        </w:rPr>
      </w:pPr>
      <w:bookmarkStart w:id="5" w:name="_Toc214495252"/>
      <w:r w:rsidRPr="003776A2">
        <w:rPr>
          <w:rFonts w:ascii="Arial" w:hAnsi="Arial" w:cs="Arial"/>
        </w:rPr>
        <w:t>Strategic Implications</w:t>
      </w:r>
      <w:bookmarkEnd w:id="5"/>
    </w:p>
    <w:p w14:paraId="6FDE1AB8" w14:textId="3207B8F2" w:rsidR="003D4ECF" w:rsidRPr="003776A2" w:rsidRDefault="003D4ECF" w:rsidP="003D4ECF">
      <w:pPr>
        <w:rPr>
          <w:rFonts w:ascii="Arial" w:hAnsi="Arial" w:cs="Arial"/>
          <w:color w:val="000000"/>
        </w:rPr>
      </w:pPr>
      <w:r w:rsidRPr="003776A2">
        <w:rPr>
          <w:rFonts w:ascii="Arial" w:hAnsi="Arial" w:cs="Arial"/>
          <w:color w:val="000000"/>
        </w:rPr>
        <w:t>The political-regulatory actor requires a differen</w:t>
      </w:r>
      <w:r w:rsidRPr="003776A2">
        <w:rPr>
          <w:rFonts w:ascii="Arial" w:hAnsi="Arial" w:cs="Arial"/>
          <w:color w:val="000000"/>
          <w:lang w:val="en-US"/>
        </w:rPr>
        <w:t>t</w:t>
      </w:r>
      <w:r w:rsidRPr="003776A2">
        <w:rPr>
          <w:rFonts w:ascii="Arial" w:hAnsi="Arial" w:cs="Arial"/>
          <w:color w:val="000000"/>
        </w:rPr>
        <w:t xml:space="preserve"> strategy response. To survive in the increasing</w:t>
      </w:r>
      <w:proofErr w:type="spellStart"/>
      <w:r w:rsidRPr="003776A2">
        <w:rPr>
          <w:rFonts w:ascii="Arial" w:hAnsi="Arial" w:cs="Arial"/>
          <w:color w:val="000000"/>
          <w:lang w:val="en-US"/>
        </w:rPr>
        <w:t>ly</w:t>
      </w:r>
      <w:proofErr w:type="spellEnd"/>
      <w:r w:rsidRPr="003776A2">
        <w:rPr>
          <w:rFonts w:ascii="Arial" w:hAnsi="Arial" w:cs="Arial"/>
          <w:color w:val="000000"/>
        </w:rPr>
        <w:t xml:space="preserve"> regulated landscape, British Gas needs to become more cost</w:t>
      </w:r>
      <w:r w:rsidRPr="003776A2">
        <w:rPr>
          <w:rFonts w:ascii="Arial" w:hAnsi="Arial" w:cs="Arial"/>
          <w:color w:val="000000"/>
          <w:lang w:val="en-US"/>
        </w:rPr>
        <w:t>-</w:t>
      </w:r>
      <w:r w:rsidRPr="003776A2">
        <w:rPr>
          <w:rFonts w:ascii="Arial" w:hAnsi="Arial" w:cs="Arial"/>
          <w:color w:val="000000"/>
        </w:rPr>
        <w:t>efficient and modernise its processes that are outdated. Also, it has to restore consumer confidence, since policy changes often reveal service failures (Rastogi, 2025). Octopus Energy will have to strike a compromise between innovation and discipline in compliance. The difficult aspect of it is that it has to maintain agility without having to violate the regulations. The two companies must incorporate regulatory scanning in their long-term plan but the effect is deeper and structural to British Gas.</w:t>
      </w:r>
    </w:p>
    <w:p w14:paraId="36B3FD08" w14:textId="77777777" w:rsidR="003D4ECF" w:rsidRPr="003776A2" w:rsidRDefault="003D4ECF" w:rsidP="003D4ECF">
      <w:pPr>
        <w:rPr>
          <w:rFonts w:ascii="Arial" w:hAnsi="Arial" w:cs="Arial"/>
          <w:color w:val="000000"/>
        </w:rPr>
      </w:pPr>
    </w:p>
    <w:p w14:paraId="31FEDCDF" w14:textId="77777777" w:rsidR="003D4ECF" w:rsidRPr="003776A2" w:rsidRDefault="003D4ECF" w:rsidP="003D4ECF">
      <w:pPr>
        <w:pStyle w:val="Heading2"/>
        <w:rPr>
          <w:rFonts w:ascii="Arial" w:hAnsi="Arial" w:cs="Arial"/>
        </w:rPr>
      </w:pPr>
      <w:bookmarkStart w:id="6" w:name="_Toc214495253"/>
      <w:r w:rsidRPr="003776A2">
        <w:rPr>
          <w:rFonts w:ascii="Arial" w:hAnsi="Arial" w:cs="Arial"/>
        </w:rPr>
        <w:lastRenderedPageBreak/>
        <w:t>2.3.2 Environmental–Sustainability Actor</w:t>
      </w:r>
      <w:bookmarkEnd w:id="6"/>
    </w:p>
    <w:p w14:paraId="196C1CFF" w14:textId="77777777" w:rsidR="003D4ECF" w:rsidRPr="003776A2" w:rsidRDefault="003D4ECF" w:rsidP="003D4ECF">
      <w:pPr>
        <w:rPr>
          <w:rFonts w:ascii="Arial" w:hAnsi="Arial" w:cs="Arial"/>
          <w:color w:val="000000"/>
        </w:rPr>
      </w:pPr>
      <w:r w:rsidRPr="003776A2">
        <w:rPr>
          <w:rFonts w:ascii="Arial" w:hAnsi="Arial" w:cs="Arial"/>
          <w:color w:val="000000"/>
        </w:rPr>
        <w:t>The macro force that is prevalent in the energy sector is environmental sustainability. The net-zero targets of the United Kingdom are all that require suppliers to reduce carbon emissions, expand renewable services and offer transparency in revealing their environmental performance (Saura, Ribeiro-Soriano and Palacios-Marqués, 2021). The issue of climate is changing the demands of consumers towards more green tariffs, ethically sourced energy and low-emission solutions. These forces strain the existing business models and change the competitive patterns between the industry pioneers and followers.</w:t>
      </w:r>
    </w:p>
    <w:p w14:paraId="6CC2CFD9" w14:textId="77777777" w:rsidR="003D4ECF" w:rsidRPr="003776A2" w:rsidRDefault="003D4ECF" w:rsidP="003D4ECF">
      <w:pPr>
        <w:pStyle w:val="Heading3"/>
        <w:rPr>
          <w:rFonts w:ascii="Arial" w:hAnsi="Arial" w:cs="Arial"/>
        </w:rPr>
      </w:pPr>
      <w:bookmarkStart w:id="7" w:name="_Toc214495254"/>
      <w:r w:rsidRPr="003776A2">
        <w:rPr>
          <w:rFonts w:ascii="Arial" w:hAnsi="Arial" w:cs="Arial"/>
        </w:rPr>
        <w:t>Impact on British Gas (Pioneer)</w:t>
      </w:r>
      <w:bookmarkEnd w:id="7"/>
    </w:p>
    <w:p w14:paraId="63A12F23" w14:textId="09E33707" w:rsidR="003D4ECF" w:rsidRPr="003776A2" w:rsidRDefault="003D4ECF" w:rsidP="003D4ECF">
      <w:pPr>
        <w:rPr>
          <w:rFonts w:ascii="Arial" w:hAnsi="Arial" w:cs="Arial"/>
          <w:color w:val="000000"/>
        </w:rPr>
      </w:pPr>
      <w:r w:rsidRPr="003776A2">
        <w:rPr>
          <w:rFonts w:ascii="Arial" w:hAnsi="Arial" w:cs="Arial"/>
          <w:color w:val="000000"/>
        </w:rPr>
        <w:t>British Gas faces a complex environmental change.</w:t>
      </w:r>
    </w:p>
    <w:p w14:paraId="6D237A1F" w14:textId="4E9BFB54" w:rsidR="003D4ECF" w:rsidRPr="003776A2" w:rsidRDefault="003D4ECF" w:rsidP="003D4ECF">
      <w:pPr>
        <w:rPr>
          <w:rFonts w:ascii="Arial" w:hAnsi="Arial" w:cs="Arial"/>
          <w:color w:val="000000"/>
        </w:rPr>
      </w:pPr>
      <w:r w:rsidRPr="003776A2">
        <w:rPr>
          <w:rFonts w:ascii="Arial" w:hAnsi="Arial" w:cs="Arial"/>
          <w:b/>
          <w:bCs/>
          <w:color w:val="000000"/>
        </w:rPr>
        <w:t>Opportunities:</w:t>
      </w:r>
      <w:r w:rsidRPr="003776A2">
        <w:rPr>
          <w:rFonts w:ascii="Arial" w:hAnsi="Arial" w:cs="Arial"/>
          <w:color w:val="000000"/>
        </w:rPr>
        <w:t xml:space="preserve"> British Gas</w:t>
      </w:r>
      <w:r w:rsidRPr="003776A2">
        <w:rPr>
          <w:rFonts w:ascii="Arial" w:hAnsi="Arial" w:cs="Arial"/>
          <w:color w:val="000000"/>
          <w:lang w:val="en-US"/>
        </w:rPr>
        <w:t>,</w:t>
      </w:r>
      <w:r w:rsidRPr="003776A2">
        <w:rPr>
          <w:rFonts w:ascii="Arial" w:hAnsi="Arial" w:cs="Arial"/>
          <w:color w:val="000000"/>
        </w:rPr>
        <w:t xml:space="preserve"> as a large player</w:t>
      </w:r>
      <w:r w:rsidRPr="003776A2">
        <w:rPr>
          <w:rFonts w:ascii="Arial" w:hAnsi="Arial" w:cs="Arial"/>
          <w:color w:val="000000"/>
          <w:lang w:val="en-US"/>
        </w:rPr>
        <w:t>,</w:t>
      </w:r>
      <w:r w:rsidRPr="003776A2">
        <w:rPr>
          <w:rFonts w:ascii="Arial" w:hAnsi="Arial" w:cs="Arial"/>
          <w:color w:val="000000"/>
        </w:rPr>
        <w:t xml:space="preserve"> has the potential to invest heavily in renewable energy, green</w:t>
      </w:r>
      <w:r w:rsidRPr="003776A2">
        <w:rPr>
          <w:rFonts w:ascii="Arial" w:hAnsi="Arial" w:cs="Arial"/>
          <w:color w:val="000000"/>
          <w:lang w:val="en-US"/>
        </w:rPr>
        <w:t xml:space="preserve"> </w:t>
      </w:r>
      <w:r w:rsidRPr="003776A2">
        <w:rPr>
          <w:rFonts w:ascii="Arial" w:hAnsi="Arial" w:cs="Arial"/>
          <w:color w:val="000000"/>
        </w:rPr>
        <w:t xml:space="preserve">residential and infrastructural improvements. It possesses the financial capacity to engage in the massive decarbonisation efforts, including heat-pump applications or smart-metre rollouts (Oreggioni </w:t>
      </w:r>
      <w:r w:rsidRPr="003776A2">
        <w:rPr>
          <w:rFonts w:ascii="Arial" w:hAnsi="Arial" w:cs="Arial"/>
          <w:i/>
          <w:iCs/>
          <w:color w:val="000000"/>
        </w:rPr>
        <w:t>et al.</w:t>
      </w:r>
      <w:r w:rsidRPr="003776A2">
        <w:rPr>
          <w:rFonts w:ascii="Arial" w:hAnsi="Arial" w:cs="Arial"/>
          <w:color w:val="000000"/>
        </w:rPr>
        <w:t>, 2021). Its presence throughout the country also gives it the strength to influence the rate and direction of green-energy uptake by households.</w:t>
      </w:r>
    </w:p>
    <w:p w14:paraId="0510F5E5" w14:textId="77777777" w:rsidR="003D4ECF" w:rsidRPr="003776A2" w:rsidRDefault="003D4ECF" w:rsidP="003D4ECF">
      <w:pPr>
        <w:rPr>
          <w:rFonts w:ascii="Arial" w:hAnsi="Arial" w:cs="Arial"/>
          <w:color w:val="000000"/>
        </w:rPr>
      </w:pPr>
    </w:p>
    <w:p w14:paraId="76B6049D" w14:textId="09F33D56" w:rsidR="003D4ECF" w:rsidRPr="003776A2" w:rsidRDefault="003D4ECF" w:rsidP="003D4ECF">
      <w:pPr>
        <w:rPr>
          <w:rFonts w:ascii="Arial" w:hAnsi="Arial" w:cs="Arial"/>
          <w:color w:val="000000"/>
        </w:rPr>
      </w:pPr>
      <w:r w:rsidRPr="003776A2">
        <w:rPr>
          <w:rFonts w:ascii="Arial" w:hAnsi="Arial" w:cs="Arial"/>
          <w:b/>
          <w:bCs/>
          <w:color w:val="000000"/>
        </w:rPr>
        <w:t>Threats:</w:t>
      </w:r>
      <w:r w:rsidRPr="003776A2">
        <w:rPr>
          <w:rFonts w:ascii="Arial" w:hAnsi="Arial" w:cs="Arial"/>
          <w:color w:val="000000"/>
        </w:rPr>
        <w:t xml:space="preserve"> However, British Gas still has its legacy business that remains carbon-intensive</w:t>
      </w:r>
      <w:r w:rsidRPr="003776A2">
        <w:rPr>
          <w:rFonts w:ascii="Arial" w:hAnsi="Arial" w:cs="Arial"/>
          <w:color w:val="000000"/>
          <w:lang w:val="en-US"/>
        </w:rPr>
        <w:t>,</w:t>
      </w:r>
      <w:r w:rsidRPr="003776A2">
        <w:rPr>
          <w:rFonts w:ascii="Arial" w:hAnsi="Arial" w:cs="Arial"/>
          <w:color w:val="000000"/>
        </w:rPr>
        <w:t xml:space="preserve"> thus putting it at risk of reputational damage since consumers and regulators push to have greener options (Rego </w:t>
      </w:r>
      <w:r w:rsidRPr="003776A2">
        <w:rPr>
          <w:rFonts w:ascii="Arial" w:hAnsi="Arial" w:cs="Arial"/>
          <w:i/>
          <w:iCs/>
          <w:color w:val="000000"/>
        </w:rPr>
        <w:t>et al.</w:t>
      </w:r>
      <w:r w:rsidRPr="003776A2">
        <w:rPr>
          <w:rFonts w:ascii="Arial" w:hAnsi="Arial" w:cs="Arial"/>
          <w:color w:val="000000"/>
        </w:rPr>
        <w:t>, 2022). Upgrading its infrastructure is very costly, time</w:t>
      </w:r>
      <w:r w:rsidRPr="003776A2">
        <w:rPr>
          <w:rFonts w:ascii="Arial" w:hAnsi="Arial" w:cs="Arial"/>
          <w:color w:val="000000"/>
          <w:lang w:val="en-US"/>
        </w:rPr>
        <w:t>-</w:t>
      </w:r>
      <w:r w:rsidRPr="003776A2">
        <w:rPr>
          <w:rFonts w:ascii="Arial" w:hAnsi="Arial" w:cs="Arial"/>
          <w:color w:val="000000"/>
        </w:rPr>
        <w:t>consuming and disruptive. Any inconsistency between the claimed sustainability undertakings and the apparent activities will harm its reputation. British Gas has to balance between the moderni</w:t>
      </w:r>
      <w:r w:rsidRPr="003776A2">
        <w:rPr>
          <w:rFonts w:ascii="Arial" w:hAnsi="Arial" w:cs="Arial"/>
          <w:color w:val="000000"/>
          <w:lang w:val="en-US"/>
        </w:rPr>
        <w:t>s</w:t>
      </w:r>
      <w:r w:rsidRPr="003776A2">
        <w:rPr>
          <w:rFonts w:ascii="Arial" w:hAnsi="Arial" w:cs="Arial"/>
          <w:color w:val="000000"/>
        </w:rPr>
        <w:t>ation and maintenance of the service reliability of millions of customers.</w:t>
      </w:r>
    </w:p>
    <w:p w14:paraId="3FDC049B" w14:textId="77777777" w:rsidR="003D4ECF" w:rsidRPr="003776A2" w:rsidRDefault="003D4ECF" w:rsidP="003D4ECF">
      <w:pPr>
        <w:rPr>
          <w:rFonts w:ascii="Arial" w:hAnsi="Arial" w:cs="Arial"/>
          <w:color w:val="000000"/>
        </w:rPr>
      </w:pPr>
    </w:p>
    <w:p w14:paraId="76A974AA" w14:textId="77777777" w:rsidR="003D4ECF" w:rsidRPr="003776A2" w:rsidRDefault="003D4ECF" w:rsidP="003D4ECF">
      <w:pPr>
        <w:pStyle w:val="Heading3"/>
        <w:rPr>
          <w:rFonts w:ascii="Arial" w:hAnsi="Arial" w:cs="Arial"/>
        </w:rPr>
      </w:pPr>
      <w:bookmarkStart w:id="8" w:name="_Toc214495255"/>
      <w:r w:rsidRPr="003776A2">
        <w:rPr>
          <w:rFonts w:ascii="Arial" w:hAnsi="Arial" w:cs="Arial"/>
        </w:rPr>
        <w:t>Impact on Octopus Energy (Follower)</w:t>
      </w:r>
      <w:bookmarkEnd w:id="8"/>
    </w:p>
    <w:p w14:paraId="5DED8D1A" w14:textId="77777777" w:rsidR="003D4ECF" w:rsidRPr="003776A2" w:rsidRDefault="003D4ECF" w:rsidP="003D4ECF">
      <w:pPr>
        <w:rPr>
          <w:rFonts w:ascii="Arial" w:hAnsi="Arial" w:cs="Arial"/>
          <w:color w:val="000000"/>
        </w:rPr>
      </w:pPr>
      <w:r w:rsidRPr="003776A2">
        <w:rPr>
          <w:rFonts w:ascii="Arial" w:hAnsi="Arial" w:cs="Arial"/>
          <w:color w:val="000000"/>
        </w:rPr>
        <w:t>Octopus Energy is advantaged by an increase in the sustainability expectations.</w:t>
      </w:r>
    </w:p>
    <w:p w14:paraId="3D46A0AA" w14:textId="4F605FAF" w:rsidR="009F2276" w:rsidRPr="003776A2" w:rsidRDefault="009F2276" w:rsidP="009F2276">
      <w:pPr>
        <w:rPr>
          <w:rFonts w:ascii="Arial" w:hAnsi="Arial" w:cs="Arial"/>
          <w:color w:val="000000"/>
        </w:rPr>
      </w:pPr>
      <w:r w:rsidRPr="003776A2">
        <w:rPr>
          <w:rFonts w:ascii="Arial" w:hAnsi="Arial" w:cs="Arial"/>
          <w:b/>
          <w:bCs/>
          <w:color w:val="000000"/>
        </w:rPr>
        <w:t>Opportunities:</w:t>
      </w:r>
      <w:r w:rsidRPr="003776A2">
        <w:rPr>
          <w:rFonts w:ascii="Arial" w:hAnsi="Arial" w:cs="Arial"/>
          <w:color w:val="000000"/>
        </w:rPr>
        <w:t xml:space="preserve"> Octopus Energy has established a renewable-first positioning strategy, which is of great interest to green consumers. It has digital capability to support dynamic green tariffs, smart-grid optimisation</w:t>
      </w:r>
      <w:r w:rsidRPr="003776A2">
        <w:rPr>
          <w:rFonts w:ascii="Arial" w:hAnsi="Arial" w:cs="Arial"/>
          <w:color w:val="000000"/>
          <w:lang w:val="en-US"/>
        </w:rPr>
        <w:t>,</w:t>
      </w:r>
      <w:r w:rsidRPr="003776A2">
        <w:rPr>
          <w:rFonts w:ascii="Arial" w:hAnsi="Arial" w:cs="Arial"/>
          <w:color w:val="000000"/>
        </w:rPr>
        <w:t xml:space="preserve"> and connect to solar and home battery technologies (Jerab and Mabrouk, 2023). Such innovations make it more </w:t>
      </w:r>
      <w:r w:rsidRPr="003776A2">
        <w:rPr>
          <w:rFonts w:ascii="Arial" w:hAnsi="Arial" w:cs="Arial"/>
          <w:color w:val="000000"/>
        </w:rPr>
        <w:lastRenderedPageBreak/>
        <w:t xml:space="preserve">differentiated. </w:t>
      </w:r>
      <w:r w:rsidR="00863E55" w:rsidRPr="003776A2">
        <w:rPr>
          <w:rFonts w:ascii="Arial" w:hAnsi="Arial" w:cs="Arial"/>
          <w:color w:val="000000"/>
        </w:rPr>
        <w:t>Brand loyalty of the company, which is based on the philosophy of sustainability, helps the company to gain customer curiosity in its ethical and low-carbon preferences</w:t>
      </w:r>
      <w:r w:rsidRPr="003776A2">
        <w:rPr>
          <w:rFonts w:ascii="Arial" w:hAnsi="Arial" w:cs="Arial"/>
          <w:color w:val="000000"/>
        </w:rPr>
        <w:t>.</w:t>
      </w:r>
    </w:p>
    <w:p w14:paraId="598E63B6" w14:textId="77777777" w:rsidR="009F2276" w:rsidRPr="003776A2" w:rsidRDefault="009F2276" w:rsidP="009F2276">
      <w:pPr>
        <w:rPr>
          <w:rFonts w:ascii="Arial" w:hAnsi="Arial" w:cs="Arial"/>
          <w:color w:val="000000"/>
        </w:rPr>
      </w:pPr>
    </w:p>
    <w:p w14:paraId="6042F482" w14:textId="76BCA725" w:rsidR="003D4ECF" w:rsidRPr="003776A2" w:rsidRDefault="009F2276" w:rsidP="00863E55">
      <w:pPr>
        <w:rPr>
          <w:rFonts w:ascii="Arial" w:hAnsi="Arial" w:cs="Arial"/>
          <w:color w:val="000000"/>
          <w:lang w:val="en-US"/>
        </w:rPr>
      </w:pPr>
      <w:r w:rsidRPr="003776A2">
        <w:rPr>
          <w:rFonts w:ascii="Arial" w:hAnsi="Arial" w:cs="Arial"/>
          <w:b/>
          <w:bCs/>
          <w:color w:val="000000"/>
        </w:rPr>
        <w:t>Threats:</w:t>
      </w:r>
      <w:r w:rsidRPr="003776A2">
        <w:rPr>
          <w:rFonts w:ascii="Arial" w:hAnsi="Arial" w:cs="Arial"/>
          <w:color w:val="000000"/>
        </w:rPr>
        <w:t xml:space="preserve"> </w:t>
      </w:r>
      <w:r w:rsidR="00863E55" w:rsidRPr="003776A2">
        <w:rPr>
          <w:rFonts w:ascii="Arial" w:hAnsi="Arial" w:cs="Arial"/>
          <w:color w:val="000000"/>
          <w:lang w:val="en-US"/>
        </w:rPr>
        <w:t>O</w:t>
      </w:r>
      <w:r w:rsidR="00863E55" w:rsidRPr="003776A2">
        <w:rPr>
          <w:rFonts w:ascii="Arial" w:hAnsi="Arial" w:cs="Arial"/>
          <w:color w:val="000000"/>
        </w:rPr>
        <w:t xml:space="preserve">ctopus </w:t>
      </w:r>
      <w:r w:rsidR="00863E55" w:rsidRPr="003776A2">
        <w:rPr>
          <w:rFonts w:ascii="Arial" w:hAnsi="Arial" w:cs="Arial"/>
          <w:color w:val="000000"/>
          <w:lang w:val="en-US"/>
        </w:rPr>
        <w:t>E</w:t>
      </w:r>
      <w:r w:rsidR="00863E55" w:rsidRPr="003776A2">
        <w:rPr>
          <w:rFonts w:ascii="Arial" w:hAnsi="Arial" w:cs="Arial"/>
          <w:color w:val="000000"/>
        </w:rPr>
        <w:t xml:space="preserve">nergy </w:t>
      </w:r>
      <w:r w:rsidR="00863E55" w:rsidRPr="003776A2">
        <w:rPr>
          <w:rFonts w:ascii="Arial" w:hAnsi="Arial" w:cs="Arial"/>
          <w:color w:val="000000"/>
          <w:lang w:val="en-US"/>
        </w:rPr>
        <w:t xml:space="preserve">have a few </w:t>
      </w:r>
      <w:r w:rsidR="00863E55" w:rsidRPr="003776A2">
        <w:rPr>
          <w:rFonts w:ascii="Arial" w:hAnsi="Arial" w:cs="Arial"/>
          <w:color w:val="000000"/>
        </w:rPr>
        <w:t>limitations</w:t>
      </w:r>
      <w:r w:rsidR="00863E55" w:rsidRPr="003776A2">
        <w:rPr>
          <w:rFonts w:ascii="Arial" w:hAnsi="Arial" w:cs="Arial"/>
          <w:color w:val="000000"/>
          <w:lang w:val="en-US"/>
        </w:rPr>
        <w:t xml:space="preserve">.  </w:t>
      </w:r>
      <w:r w:rsidR="00863E55" w:rsidRPr="003776A2">
        <w:rPr>
          <w:rFonts w:ascii="Arial" w:hAnsi="Arial" w:cs="Arial"/>
          <w:color w:val="000000"/>
        </w:rPr>
        <w:t>Its business is still very reliant on government subsidies to enable it to expand in renewable energy.</w:t>
      </w:r>
      <w:r w:rsidR="00863E55" w:rsidRPr="003776A2">
        <w:rPr>
          <w:rFonts w:ascii="Arial" w:hAnsi="Arial" w:cs="Arial"/>
          <w:color w:val="000000"/>
          <w:lang w:val="en-US"/>
        </w:rPr>
        <w:t xml:space="preserve"> </w:t>
      </w:r>
      <w:r w:rsidR="00863E55" w:rsidRPr="003776A2">
        <w:rPr>
          <w:rFonts w:ascii="Arial" w:hAnsi="Arial" w:cs="Arial"/>
          <w:color w:val="000000"/>
        </w:rPr>
        <w:t xml:space="preserve">The threat of the potential new green entrants is also increasing. </w:t>
      </w:r>
      <w:r w:rsidRPr="003776A2">
        <w:rPr>
          <w:rFonts w:ascii="Arial" w:hAnsi="Arial" w:cs="Arial"/>
          <w:color w:val="000000"/>
        </w:rPr>
        <w:t xml:space="preserve">(Olson </w:t>
      </w:r>
      <w:r w:rsidRPr="003776A2">
        <w:rPr>
          <w:rFonts w:ascii="Arial" w:hAnsi="Arial" w:cs="Arial"/>
          <w:i/>
          <w:iCs/>
          <w:color w:val="000000"/>
        </w:rPr>
        <w:t>et al</w:t>
      </w:r>
      <w:r w:rsidRPr="003776A2">
        <w:rPr>
          <w:rFonts w:ascii="Arial" w:hAnsi="Arial" w:cs="Arial"/>
          <w:color w:val="000000"/>
        </w:rPr>
        <w:t xml:space="preserve">., 2021). With the expansion of the firm, it is more difficult to ensure 100 per cent renewable credibility. Its ability to align demand and available green energy sources could be limited by the supply limits. The rapid growth may also put pressure on capacity at the expense of </w:t>
      </w:r>
      <w:r w:rsidRPr="003776A2">
        <w:rPr>
          <w:rFonts w:ascii="Arial" w:hAnsi="Arial" w:cs="Arial"/>
          <w:color w:val="000000"/>
          <w:lang w:val="en-US"/>
        </w:rPr>
        <w:t xml:space="preserve">the </w:t>
      </w:r>
      <w:r w:rsidRPr="003776A2">
        <w:rPr>
          <w:rFonts w:ascii="Arial" w:hAnsi="Arial" w:cs="Arial"/>
          <w:color w:val="000000"/>
        </w:rPr>
        <w:t>quality of services.</w:t>
      </w:r>
    </w:p>
    <w:p w14:paraId="182D9A9B" w14:textId="77777777" w:rsidR="009F2276" w:rsidRPr="003776A2" w:rsidRDefault="009F2276" w:rsidP="009F2276">
      <w:pPr>
        <w:rPr>
          <w:rFonts w:ascii="Arial" w:hAnsi="Arial" w:cs="Arial"/>
          <w:color w:val="000000"/>
        </w:rPr>
      </w:pPr>
    </w:p>
    <w:p w14:paraId="50458D32" w14:textId="77777777" w:rsidR="003D4ECF" w:rsidRPr="003776A2" w:rsidRDefault="003D4ECF" w:rsidP="003D4ECF">
      <w:pPr>
        <w:pStyle w:val="Heading3"/>
        <w:rPr>
          <w:rFonts w:ascii="Arial" w:hAnsi="Arial" w:cs="Arial"/>
        </w:rPr>
      </w:pPr>
      <w:bookmarkStart w:id="9" w:name="_Toc214495256"/>
      <w:r w:rsidRPr="003776A2">
        <w:rPr>
          <w:rFonts w:ascii="Arial" w:hAnsi="Arial" w:cs="Arial"/>
        </w:rPr>
        <w:t>Strategic Implications</w:t>
      </w:r>
      <w:bookmarkEnd w:id="9"/>
    </w:p>
    <w:p w14:paraId="03AB0BCD" w14:textId="01A5CA11" w:rsidR="003D4ECF" w:rsidRPr="003776A2" w:rsidRDefault="003D4ECF" w:rsidP="003D4ECF">
      <w:pPr>
        <w:rPr>
          <w:rFonts w:ascii="Arial" w:hAnsi="Arial" w:cs="Arial"/>
          <w:color w:val="000000"/>
        </w:rPr>
      </w:pPr>
      <w:r w:rsidRPr="003776A2">
        <w:rPr>
          <w:rFonts w:ascii="Arial" w:hAnsi="Arial" w:cs="Arial"/>
          <w:color w:val="000000"/>
        </w:rPr>
        <w:t>Environmental forces require strategic adaptation from both firms. British Gas must accelerate decarbonisation without undermining system reliability. Its challenge is to prove commitment while modernising a large and ageing infrastructure. Octopus must safeguard its green identity while scaling sustainably (Gonçalves and Patrício, 2022). Its ability to maintain transparency and renewable integrity will determine long-term trust. In both cases, environmental sustainability is not optional; it is central to strategic positioning, customer loyalty and long-term survival.</w:t>
      </w:r>
    </w:p>
    <w:p w14:paraId="53F07284" w14:textId="77777777" w:rsidR="003D4ECF" w:rsidRPr="003776A2" w:rsidRDefault="003D4ECF" w:rsidP="003D4ECF">
      <w:pPr>
        <w:rPr>
          <w:rFonts w:ascii="Arial" w:hAnsi="Arial" w:cs="Arial"/>
          <w:color w:val="000000"/>
        </w:rPr>
      </w:pPr>
    </w:p>
    <w:p w14:paraId="4A6610E3" w14:textId="3637334E" w:rsidR="003D4ECF" w:rsidRPr="003776A2" w:rsidRDefault="003D4ECF" w:rsidP="003D4ECF">
      <w:pPr>
        <w:pStyle w:val="Heading1"/>
        <w:rPr>
          <w:rFonts w:ascii="Arial" w:hAnsi="Arial" w:cs="Arial"/>
        </w:rPr>
      </w:pPr>
      <w:bookmarkStart w:id="10" w:name="_Toc214495257"/>
      <w:r w:rsidRPr="003776A2">
        <w:rPr>
          <w:rFonts w:ascii="Arial" w:hAnsi="Arial" w:cs="Arial"/>
        </w:rPr>
        <w:t>3. Task 2: Strategic Responses Of Pioneer &amp; Follower Using Ansoff’s Growth Matrix</w:t>
      </w:r>
      <w:bookmarkEnd w:id="10"/>
    </w:p>
    <w:p w14:paraId="17495AA1" w14:textId="6528696A" w:rsidR="00622B8B" w:rsidRPr="003776A2" w:rsidRDefault="00622B8B" w:rsidP="00622B8B">
      <w:pPr>
        <w:rPr>
          <w:rFonts w:ascii="Arial" w:hAnsi="Arial" w:cs="Arial"/>
          <w:lang w:eastAsia="en-US"/>
        </w:rPr>
      </w:pPr>
      <w:r w:rsidRPr="003776A2">
        <w:rPr>
          <w:rFonts w:ascii="Arial" w:hAnsi="Arial" w:cs="Arial"/>
          <w:lang w:eastAsia="en-US"/>
        </w:rPr>
        <w:t>The Ansoff Matrix, often called the Product/Market Expansion Grid, is a two-by-two framework used by management teams and the analyst community to help plan and evaluate growth initiatives. In particular, the tool helps stakeholders conceptuali</w:t>
      </w:r>
      <w:r w:rsidRPr="003776A2">
        <w:rPr>
          <w:rFonts w:ascii="Arial" w:hAnsi="Arial" w:cs="Arial"/>
          <w:lang w:val="en-US" w:eastAsia="en-US"/>
        </w:rPr>
        <w:t>s</w:t>
      </w:r>
      <w:r w:rsidRPr="003776A2">
        <w:rPr>
          <w:rFonts w:ascii="Arial" w:hAnsi="Arial" w:cs="Arial"/>
          <w:lang w:eastAsia="en-US"/>
        </w:rPr>
        <w:t>e the level of risk associated with different growth strategies.</w:t>
      </w:r>
    </w:p>
    <w:p w14:paraId="3AAC523B" w14:textId="77777777" w:rsidR="00622B8B" w:rsidRPr="003776A2" w:rsidRDefault="00622B8B" w:rsidP="00622B8B">
      <w:pPr>
        <w:keepNext/>
        <w:jc w:val="center"/>
        <w:rPr>
          <w:rFonts w:ascii="Arial" w:hAnsi="Arial" w:cs="Arial"/>
        </w:rPr>
      </w:pPr>
      <w:r w:rsidRPr="003776A2">
        <w:rPr>
          <w:rFonts w:ascii="Arial" w:hAnsi="Arial" w:cs="Arial"/>
        </w:rPr>
        <w:lastRenderedPageBreak/>
        <w:fldChar w:fldCharType="begin"/>
      </w:r>
      <w:r w:rsidRPr="003776A2">
        <w:rPr>
          <w:rFonts w:ascii="Arial" w:hAnsi="Arial" w:cs="Arial"/>
        </w:rPr>
        <w:instrText xml:space="preserve"> INCLUDEPICTURE "/Users/ijtehad/Library/Group Containers/UBF8T346G9.ms/WebArchiveCopyPasteTempFiles/com.microsoft.Word/ansoff-matrix-1.png" \* MERGEFORMATINET </w:instrText>
      </w:r>
      <w:r w:rsidRPr="003776A2">
        <w:rPr>
          <w:rFonts w:ascii="Arial" w:hAnsi="Arial" w:cs="Arial"/>
        </w:rPr>
        <w:fldChar w:fldCharType="separate"/>
      </w:r>
      <w:r w:rsidRPr="003776A2">
        <w:rPr>
          <w:rFonts w:ascii="Arial" w:hAnsi="Arial" w:cs="Arial"/>
          <w:noProof/>
        </w:rPr>
        <w:drawing>
          <wp:inline distT="0" distB="0" distL="0" distR="0" wp14:anchorId="62D8ACCB" wp14:editId="54844371">
            <wp:extent cx="4969164" cy="2879581"/>
            <wp:effectExtent l="0" t="0" r="0" b="3810"/>
            <wp:docPr id="634398527" name="Picture 1" descr="Ansoff Matrix - Overview,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 Overview, Strategies and Practical Examp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3072" cy="2893435"/>
                    </a:xfrm>
                    <a:prstGeom prst="rect">
                      <a:avLst/>
                    </a:prstGeom>
                    <a:noFill/>
                    <a:ln>
                      <a:noFill/>
                    </a:ln>
                  </pic:spPr>
                </pic:pic>
              </a:graphicData>
            </a:graphic>
          </wp:inline>
        </w:drawing>
      </w:r>
      <w:r w:rsidRPr="003776A2">
        <w:rPr>
          <w:rFonts w:ascii="Arial" w:hAnsi="Arial" w:cs="Arial"/>
        </w:rPr>
        <w:fldChar w:fldCharType="end"/>
      </w:r>
    </w:p>
    <w:p w14:paraId="6C5FA47B" w14:textId="40C1A867" w:rsidR="00622B8B" w:rsidRPr="003776A2" w:rsidRDefault="00622B8B" w:rsidP="00622B8B">
      <w:pPr>
        <w:pStyle w:val="Caption"/>
        <w:rPr>
          <w:rFonts w:ascii="Arial" w:hAnsi="Arial" w:cs="Arial"/>
          <w:lang w:val="en-US"/>
        </w:rPr>
      </w:pPr>
      <w:r w:rsidRPr="003776A2">
        <w:rPr>
          <w:rFonts w:ascii="Arial" w:hAnsi="Arial" w:cs="Arial"/>
        </w:rPr>
        <w:t xml:space="preserve">Figure </w:t>
      </w:r>
      <w:r w:rsidRPr="003776A2">
        <w:rPr>
          <w:rFonts w:ascii="Arial" w:hAnsi="Arial" w:cs="Arial"/>
        </w:rPr>
        <w:fldChar w:fldCharType="begin"/>
      </w:r>
      <w:r w:rsidRPr="003776A2">
        <w:rPr>
          <w:rFonts w:ascii="Arial" w:hAnsi="Arial" w:cs="Arial"/>
        </w:rPr>
        <w:instrText xml:space="preserve"> SEQ Figure \* ARABIC </w:instrText>
      </w:r>
      <w:r w:rsidRPr="003776A2">
        <w:rPr>
          <w:rFonts w:ascii="Arial" w:hAnsi="Arial" w:cs="Arial"/>
        </w:rPr>
        <w:fldChar w:fldCharType="separate"/>
      </w:r>
      <w:r w:rsidRPr="003776A2">
        <w:rPr>
          <w:rFonts w:ascii="Arial" w:hAnsi="Arial" w:cs="Arial"/>
          <w:noProof/>
        </w:rPr>
        <w:t>1</w:t>
      </w:r>
      <w:r w:rsidRPr="003776A2">
        <w:rPr>
          <w:rFonts w:ascii="Arial" w:hAnsi="Arial" w:cs="Arial"/>
        </w:rPr>
        <w:fldChar w:fldCharType="end"/>
      </w:r>
      <w:r w:rsidRPr="003776A2">
        <w:rPr>
          <w:rFonts w:ascii="Arial" w:hAnsi="Arial" w:cs="Arial"/>
          <w:lang w:val="en-US"/>
        </w:rPr>
        <w:t>: Ansoff’s Growth Matrix</w:t>
      </w:r>
    </w:p>
    <w:p w14:paraId="6DBE127A" w14:textId="60665C6B" w:rsidR="00622B8B" w:rsidRPr="003776A2" w:rsidRDefault="00622B8B" w:rsidP="00622B8B">
      <w:pPr>
        <w:pStyle w:val="Caption"/>
        <w:rPr>
          <w:rFonts w:ascii="Arial" w:hAnsi="Arial" w:cs="Arial"/>
          <w:lang w:val="en-US"/>
        </w:rPr>
      </w:pPr>
      <w:r w:rsidRPr="003776A2">
        <w:rPr>
          <w:rFonts w:ascii="Arial" w:hAnsi="Arial" w:cs="Arial"/>
        </w:rPr>
        <w:t>(Chung and Low, 2021)</w:t>
      </w:r>
    </w:p>
    <w:p w14:paraId="10135FD6" w14:textId="77777777" w:rsidR="00622B8B" w:rsidRPr="003776A2" w:rsidRDefault="00622B8B" w:rsidP="00622B8B">
      <w:pPr>
        <w:rPr>
          <w:rFonts w:ascii="Arial" w:hAnsi="Arial" w:cs="Arial"/>
          <w:lang w:val="en-US" w:eastAsia="en-US"/>
        </w:rPr>
      </w:pPr>
    </w:p>
    <w:p w14:paraId="48A2B3A0" w14:textId="77777777" w:rsidR="003D4ECF" w:rsidRPr="003776A2" w:rsidRDefault="003D4ECF" w:rsidP="003D4ECF">
      <w:pPr>
        <w:pStyle w:val="Heading2"/>
        <w:rPr>
          <w:rFonts w:ascii="Arial" w:hAnsi="Arial" w:cs="Arial"/>
        </w:rPr>
      </w:pPr>
      <w:bookmarkStart w:id="11" w:name="_Toc214495258"/>
      <w:r w:rsidRPr="003776A2">
        <w:rPr>
          <w:rFonts w:ascii="Arial" w:hAnsi="Arial" w:cs="Arial"/>
        </w:rPr>
        <w:t>3.1 British Gas (Pioneer)</w:t>
      </w:r>
      <w:bookmarkEnd w:id="11"/>
    </w:p>
    <w:p w14:paraId="24D1CED4" w14:textId="77777777" w:rsidR="003D4ECF" w:rsidRPr="003776A2" w:rsidRDefault="003D4ECF" w:rsidP="003D4ECF">
      <w:pPr>
        <w:pStyle w:val="Heading3"/>
        <w:rPr>
          <w:rFonts w:ascii="Arial" w:hAnsi="Arial" w:cs="Arial"/>
        </w:rPr>
      </w:pPr>
      <w:bookmarkStart w:id="12" w:name="_Toc214495259"/>
      <w:r w:rsidRPr="003776A2">
        <w:rPr>
          <w:rFonts w:ascii="Arial" w:hAnsi="Arial" w:cs="Arial"/>
        </w:rPr>
        <w:t>3.1.1 Strategic Logic Under Ansoff</w:t>
      </w:r>
      <w:bookmarkEnd w:id="12"/>
    </w:p>
    <w:p w14:paraId="1FF85C5B" w14:textId="6C1500CC" w:rsidR="003D4ECF" w:rsidRPr="003776A2" w:rsidRDefault="003D4ECF" w:rsidP="003D4ECF">
      <w:pPr>
        <w:rPr>
          <w:rFonts w:ascii="Arial" w:hAnsi="Arial" w:cs="Arial"/>
          <w:color w:val="000000"/>
        </w:rPr>
      </w:pPr>
      <w:r w:rsidRPr="003776A2">
        <w:rPr>
          <w:rFonts w:ascii="Arial" w:hAnsi="Arial" w:cs="Arial"/>
          <w:color w:val="000000"/>
        </w:rPr>
        <w:t>British Gas uses a market penetration and product development strategy. This strategy indicates that it is a long-term innovator in a very controlled and sensitive sector</w:t>
      </w:r>
      <w:r w:rsidRPr="003776A2">
        <w:rPr>
          <w:rFonts w:ascii="Arial" w:hAnsi="Arial" w:cs="Arial"/>
          <w:color w:val="000000"/>
          <w:lang w:val="en-US"/>
        </w:rPr>
        <w:t>,</w:t>
      </w:r>
      <w:r w:rsidRPr="003776A2">
        <w:rPr>
          <w:rFonts w:ascii="Arial" w:hAnsi="Arial" w:cs="Arial"/>
          <w:color w:val="000000"/>
        </w:rPr>
        <w:t xml:space="preserve"> as far as the environment is concerned. In the Ansoff model, the market penetration is aimed at enhancing the relationship with customers that already exist, whereas product development models new</w:t>
      </w:r>
      <w:r w:rsidRPr="003776A2">
        <w:rPr>
          <w:rFonts w:ascii="Arial" w:hAnsi="Arial" w:cs="Arial"/>
          <w:color w:val="000000"/>
          <w:lang w:val="en-US"/>
        </w:rPr>
        <w:t>,</w:t>
      </w:r>
      <w:r w:rsidRPr="003776A2">
        <w:rPr>
          <w:rFonts w:ascii="Arial" w:hAnsi="Arial" w:cs="Arial"/>
          <w:color w:val="000000"/>
        </w:rPr>
        <w:t xml:space="preserve"> better or innovative products in the existing market. British Gas depends on both strategies due to the rapid changes in the operating environment and the possibility of its inability to manage risk, harming its national obligations (Chung and Low, 2021). Ansoff warns of the need to balance the innovation risk with the market stability in turbulent markets to grow in such a market. British Gas does conform to this recommendation by not diversifying too much in risky ventures but modernising in a step-by-step fashion. Researchers also indicate that big companies that have developed competenc</w:t>
      </w:r>
      <w:proofErr w:type="spellStart"/>
      <w:r w:rsidRPr="003776A2">
        <w:rPr>
          <w:rFonts w:ascii="Arial" w:hAnsi="Arial" w:cs="Arial"/>
          <w:color w:val="000000"/>
          <w:lang w:val="en-US"/>
        </w:rPr>
        <w:t>i</w:t>
      </w:r>
      <w:proofErr w:type="spellEnd"/>
      <w:r w:rsidRPr="003776A2">
        <w:rPr>
          <w:rFonts w:ascii="Arial" w:hAnsi="Arial" w:cs="Arial"/>
          <w:color w:val="000000"/>
        </w:rPr>
        <w:t>es enjoy incremental expansion. British Gas makes use of scale, trust and operational maturity to shield its customer base and offer greener services. This moderate course of action allows it to develop without compromising the credibility that a pioneer should have.</w:t>
      </w:r>
    </w:p>
    <w:p w14:paraId="15FBD186" w14:textId="77777777" w:rsidR="003D4ECF" w:rsidRPr="003776A2" w:rsidRDefault="003D4ECF" w:rsidP="003D4ECF">
      <w:pPr>
        <w:pStyle w:val="Heading3"/>
        <w:rPr>
          <w:rFonts w:ascii="Arial" w:hAnsi="Arial" w:cs="Arial"/>
        </w:rPr>
      </w:pPr>
      <w:bookmarkStart w:id="13" w:name="_Toc214495260"/>
      <w:r w:rsidRPr="003776A2">
        <w:rPr>
          <w:rFonts w:ascii="Arial" w:hAnsi="Arial" w:cs="Arial"/>
        </w:rPr>
        <w:lastRenderedPageBreak/>
        <w:t>3.1.2 Response to Political–Regulatory Forces (Market Penetration)</w:t>
      </w:r>
      <w:bookmarkEnd w:id="13"/>
    </w:p>
    <w:p w14:paraId="78A1B993" w14:textId="0F0F631C" w:rsidR="003D4ECF" w:rsidRPr="003776A2" w:rsidRDefault="003D4ECF" w:rsidP="003D4ECF">
      <w:pPr>
        <w:rPr>
          <w:rFonts w:ascii="Arial" w:hAnsi="Arial" w:cs="Arial"/>
          <w:color w:val="000000"/>
        </w:rPr>
      </w:pPr>
      <w:r w:rsidRPr="003776A2">
        <w:rPr>
          <w:rFonts w:ascii="Arial" w:hAnsi="Arial" w:cs="Arial"/>
          <w:color w:val="000000"/>
        </w:rPr>
        <w:t>Political-regulatory pressure motivates British Gas to strengthen its foothold in the already established markets. Price limits inhibit tariff elasticity, and in doing so, the company reorganises its prices in such a way that they allow it to stay competitive and at the same time not to break the law. This is a tactic that maintains retention of customers in a tight regulatory spectrum. Market penetration is also supported through the digital upgrades (Gonçalves and Patrício, 2022). The ability to satisfy the standards of consumer protection in British Gas is assisted by automated billing, better communication with customers, and better support possibilities. These programmes minimise complaints and build trust. The company also automates procedures in order to minimise regulatory fines and uses digital documents to achieve deadlines and cut the number of inefficiencies. These measures fit into the market-penetration strategy of Ansoff, a focus on retention, compliance and quality of service rather than expansion into new markets in time</w:t>
      </w:r>
      <w:r w:rsidRPr="003776A2">
        <w:rPr>
          <w:rFonts w:ascii="Arial" w:hAnsi="Arial" w:cs="Arial"/>
          <w:color w:val="000000"/>
          <w:lang w:val="en-US"/>
        </w:rPr>
        <w:t>s</w:t>
      </w:r>
      <w:r w:rsidRPr="003776A2">
        <w:rPr>
          <w:rFonts w:ascii="Arial" w:hAnsi="Arial" w:cs="Arial"/>
          <w:color w:val="000000"/>
        </w:rPr>
        <w:t xml:space="preserve"> of regulatory uncertainty.</w:t>
      </w:r>
    </w:p>
    <w:p w14:paraId="6F592992" w14:textId="77777777" w:rsidR="003D4ECF" w:rsidRPr="003776A2" w:rsidRDefault="003D4ECF" w:rsidP="003D4ECF">
      <w:pPr>
        <w:pStyle w:val="Heading3"/>
        <w:rPr>
          <w:rFonts w:ascii="Arial" w:hAnsi="Arial" w:cs="Arial"/>
        </w:rPr>
      </w:pPr>
      <w:bookmarkStart w:id="14" w:name="_Toc214495261"/>
      <w:r w:rsidRPr="003776A2">
        <w:rPr>
          <w:rFonts w:ascii="Arial" w:hAnsi="Arial" w:cs="Arial"/>
        </w:rPr>
        <w:t>3.1.3 Response to Environmental Forces (Product Development)</w:t>
      </w:r>
      <w:bookmarkEnd w:id="14"/>
    </w:p>
    <w:p w14:paraId="4A9CB8E7" w14:textId="2568720F" w:rsidR="003D4ECF" w:rsidRPr="003776A2" w:rsidRDefault="003D4ECF" w:rsidP="003D4ECF">
      <w:pPr>
        <w:rPr>
          <w:rFonts w:ascii="Arial" w:hAnsi="Arial" w:cs="Arial"/>
          <w:color w:val="000000"/>
        </w:rPr>
      </w:pPr>
      <w:r w:rsidRPr="003776A2">
        <w:rPr>
          <w:rFonts w:ascii="Arial" w:hAnsi="Arial" w:cs="Arial"/>
          <w:color w:val="000000"/>
        </w:rPr>
        <w:t>British Gas is under pressure due to environmental factors, which will push the company towards product development. It increases green products, including smart meters, heat pumps and energy-saving equipment. These will revitalise its conventional line</w:t>
      </w:r>
      <w:r w:rsidRPr="003776A2">
        <w:rPr>
          <w:rFonts w:ascii="Arial" w:hAnsi="Arial" w:cs="Arial"/>
          <w:color w:val="000000"/>
          <w:lang w:val="en-US"/>
        </w:rPr>
        <w:t>-</w:t>
      </w:r>
      <w:r w:rsidRPr="003776A2">
        <w:rPr>
          <w:rFonts w:ascii="Arial" w:hAnsi="Arial" w:cs="Arial"/>
          <w:color w:val="000000"/>
        </w:rPr>
        <w:t xml:space="preserve">up and attract customers who are concerned with sustainability (Olson </w:t>
      </w:r>
      <w:r w:rsidRPr="003776A2">
        <w:rPr>
          <w:rFonts w:ascii="Arial" w:hAnsi="Arial" w:cs="Arial"/>
          <w:i/>
          <w:iCs/>
          <w:color w:val="000000"/>
        </w:rPr>
        <w:t>et al.</w:t>
      </w:r>
      <w:r w:rsidRPr="003776A2">
        <w:rPr>
          <w:rFonts w:ascii="Arial" w:hAnsi="Arial" w:cs="Arial"/>
          <w:color w:val="000000"/>
        </w:rPr>
        <w:t>, 2021). British Gas is also committing resources to decarbonisation programmes to modernise infrastructure and lower emissions. Net-zero service packages offer bundled services to assist homeowners who are conscious of the environment. Such product improvements make the firm stay competitive within the expectations of the climate. The strategy fits the logic of Ansoff: innovate in the current market to minimise the risk and stay relevant.</w:t>
      </w:r>
    </w:p>
    <w:p w14:paraId="796E6149" w14:textId="77777777" w:rsidR="003D4ECF" w:rsidRPr="003776A2" w:rsidRDefault="003D4ECF" w:rsidP="003D4ECF">
      <w:pPr>
        <w:pStyle w:val="Heading3"/>
        <w:rPr>
          <w:rFonts w:ascii="Arial" w:hAnsi="Arial" w:cs="Arial"/>
        </w:rPr>
      </w:pPr>
      <w:bookmarkStart w:id="15" w:name="_Toc214495262"/>
      <w:r w:rsidRPr="003776A2">
        <w:rPr>
          <w:rFonts w:ascii="Arial" w:hAnsi="Arial" w:cs="Arial"/>
        </w:rPr>
        <w:t>3.1.4 Critical Evaluation</w:t>
      </w:r>
      <w:bookmarkEnd w:id="15"/>
    </w:p>
    <w:p w14:paraId="1A9738E4" w14:textId="29181EC1" w:rsidR="003D4ECF" w:rsidRPr="003776A2" w:rsidRDefault="003D4ECF" w:rsidP="003D4ECF">
      <w:pPr>
        <w:rPr>
          <w:rFonts w:ascii="Arial" w:hAnsi="Arial" w:cs="Arial"/>
          <w:color w:val="000000"/>
        </w:rPr>
      </w:pPr>
      <w:r w:rsidRPr="003776A2">
        <w:rPr>
          <w:rFonts w:ascii="Arial" w:hAnsi="Arial" w:cs="Arial"/>
          <w:color w:val="000000"/>
        </w:rPr>
        <w:t>British Gas has a high level of advantages. Its growth strategy is based on its size, brand name, and potential to invest in it. But legacy systems do not allow quick innovation, and the switching rate is high, which means vulnerability. Regulatory risk raises operation</w:t>
      </w:r>
      <w:r w:rsidRPr="003776A2">
        <w:rPr>
          <w:rFonts w:ascii="Arial" w:hAnsi="Arial" w:cs="Arial"/>
          <w:color w:val="000000"/>
          <w:lang w:val="en-US"/>
        </w:rPr>
        <w:t>al</w:t>
      </w:r>
      <w:r w:rsidRPr="003776A2">
        <w:rPr>
          <w:rFonts w:ascii="Arial" w:hAnsi="Arial" w:cs="Arial"/>
          <w:color w:val="000000"/>
        </w:rPr>
        <w:t xml:space="preserve"> risk. The problem is in the stability of a system and innovativeness (Gonçalves and Patrício, 2022). British Gas needs to maintain the combination of </w:t>
      </w:r>
      <w:r w:rsidRPr="003776A2">
        <w:rPr>
          <w:rFonts w:ascii="Arial" w:hAnsi="Arial" w:cs="Arial"/>
          <w:color w:val="000000"/>
        </w:rPr>
        <w:lastRenderedPageBreak/>
        <w:t>penetrating the market and product development in order to maintain its competitive status.</w:t>
      </w:r>
    </w:p>
    <w:p w14:paraId="366E309C" w14:textId="77777777" w:rsidR="003D4ECF" w:rsidRPr="003776A2" w:rsidRDefault="003D4ECF" w:rsidP="003D4ECF">
      <w:pPr>
        <w:rPr>
          <w:rFonts w:ascii="Arial" w:hAnsi="Arial" w:cs="Arial"/>
          <w:color w:val="000000"/>
        </w:rPr>
      </w:pPr>
    </w:p>
    <w:p w14:paraId="3C4BA9D6" w14:textId="77777777" w:rsidR="003D4ECF" w:rsidRPr="003776A2" w:rsidRDefault="003D4ECF" w:rsidP="003D4ECF">
      <w:pPr>
        <w:pStyle w:val="Heading2"/>
        <w:rPr>
          <w:rFonts w:ascii="Arial" w:hAnsi="Arial" w:cs="Arial"/>
        </w:rPr>
      </w:pPr>
      <w:bookmarkStart w:id="16" w:name="_Toc214495263"/>
      <w:r w:rsidRPr="003776A2">
        <w:rPr>
          <w:rFonts w:ascii="Arial" w:hAnsi="Arial" w:cs="Arial"/>
        </w:rPr>
        <w:t>3.2 Octopus Energy (Follower)</w:t>
      </w:r>
      <w:bookmarkEnd w:id="16"/>
    </w:p>
    <w:p w14:paraId="3DBF566D" w14:textId="77777777" w:rsidR="003D4ECF" w:rsidRPr="003776A2" w:rsidRDefault="003D4ECF" w:rsidP="003D4ECF">
      <w:pPr>
        <w:pStyle w:val="Heading3"/>
        <w:rPr>
          <w:rFonts w:ascii="Arial" w:hAnsi="Arial" w:cs="Arial"/>
        </w:rPr>
      </w:pPr>
      <w:bookmarkStart w:id="17" w:name="_Toc214495264"/>
      <w:r w:rsidRPr="003776A2">
        <w:rPr>
          <w:rFonts w:ascii="Arial" w:hAnsi="Arial" w:cs="Arial"/>
        </w:rPr>
        <w:t>3.2.1 Strategic Logic Under Ansoff</w:t>
      </w:r>
      <w:bookmarkEnd w:id="17"/>
    </w:p>
    <w:p w14:paraId="70636BB6" w14:textId="6C802FF0" w:rsidR="003D4ECF" w:rsidRPr="003776A2" w:rsidRDefault="003D4ECF" w:rsidP="003D4ECF">
      <w:pPr>
        <w:rPr>
          <w:rFonts w:ascii="Arial" w:hAnsi="Arial" w:cs="Arial"/>
          <w:color w:val="000000"/>
        </w:rPr>
      </w:pPr>
      <w:r w:rsidRPr="003776A2">
        <w:rPr>
          <w:rFonts w:ascii="Arial" w:hAnsi="Arial" w:cs="Arial"/>
          <w:color w:val="000000"/>
        </w:rPr>
        <w:t>Octopus Energy follows the strategies of market development and product development. It has a growth strategy as a follower by adding new segments and providing technologically-oriented energy solutions. The market development will allow it to target people who demand clear pricing and online services. Its product development promotes its renewable-first identity. The model which is appropriate in Octopus is the one developed by Ansoff since it advocates innovation and growth</w:t>
      </w:r>
      <w:r w:rsidRPr="003776A2">
        <w:rPr>
          <w:rFonts w:ascii="Arial" w:hAnsi="Arial" w:cs="Arial"/>
          <w:color w:val="000000"/>
          <w:lang w:val="en-US"/>
        </w:rPr>
        <w:t>,</w:t>
      </w:r>
      <w:r w:rsidRPr="003776A2">
        <w:rPr>
          <w:rFonts w:ascii="Arial" w:hAnsi="Arial" w:cs="Arial"/>
          <w:color w:val="000000"/>
        </w:rPr>
        <w:t xml:space="preserve"> which is controlled (Oreggioni </w:t>
      </w:r>
      <w:r w:rsidRPr="003776A2">
        <w:rPr>
          <w:rFonts w:ascii="Arial" w:hAnsi="Arial" w:cs="Arial"/>
          <w:i/>
          <w:iCs/>
          <w:color w:val="000000"/>
        </w:rPr>
        <w:t>et al.</w:t>
      </w:r>
      <w:r w:rsidRPr="003776A2">
        <w:rPr>
          <w:rFonts w:ascii="Arial" w:hAnsi="Arial" w:cs="Arial"/>
          <w:color w:val="000000"/>
        </w:rPr>
        <w:t>, 2021). To reach new groups, Octopus is dependent on digital platforms, automation, and customer-centric communication. It also invents clean-energy products that transform sector expectations. This has enabled the company to expand at a high rate and maintain differentiation and customer attraction.</w:t>
      </w:r>
    </w:p>
    <w:p w14:paraId="31281656" w14:textId="77777777" w:rsidR="003D4ECF" w:rsidRPr="003776A2" w:rsidRDefault="003D4ECF" w:rsidP="003D4ECF">
      <w:pPr>
        <w:pStyle w:val="Heading3"/>
        <w:rPr>
          <w:rFonts w:ascii="Arial" w:hAnsi="Arial" w:cs="Arial"/>
        </w:rPr>
      </w:pPr>
      <w:bookmarkStart w:id="18" w:name="_Toc214495265"/>
      <w:r w:rsidRPr="003776A2">
        <w:rPr>
          <w:rFonts w:ascii="Arial" w:hAnsi="Arial" w:cs="Arial"/>
        </w:rPr>
        <w:t>3.2.2 Response to Political–Regulatory Forces (Market Development)</w:t>
      </w:r>
      <w:bookmarkEnd w:id="18"/>
    </w:p>
    <w:p w14:paraId="69EDA666" w14:textId="767A1D68" w:rsidR="003D4ECF" w:rsidRPr="003776A2" w:rsidRDefault="003D4ECF" w:rsidP="003D4ECF">
      <w:pPr>
        <w:rPr>
          <w:rFonts w:ascii="Arial" w:hAnsi="Arial" w:cs="Arial"/>
          <w:color w:val="000000"/>
        </w:rPr>
      </w:pPr>
      <w:r w:rsidRPr="003776A2">
        <w:rPr>
          <w:rFonts w:ascii="Arial" w:hAnsi="Arial" w:cs="Arial"/>
          <w:color w:val="000000"/>
        </w:rPr>
        <w:t xml:space="preserve">Political-regulatory change is one of the opportunities that provide growth to Octopus. The company also responds quickly to changes in price caps, which is beneficial to consumers who are dissatisfied with slow traditional vendors. Clear billing builds trust and is in line with regulatory requirements. The quick adoption of policy modifications into digital systems increases compliance and quality of service (Rego </w:t>
      </w:r>
      <w:r w:rsidRPr="003776A2">
        <w:rPr>
          <w:rFonts w:ascii="Arial" w:hAnsi="Arial" w:cs="Arial"/>
          <w:i/>
          <w:iCs/>
          <w:color w:val="000000"/>
        </w:rPr>
        <w:t>et al.</w:t>
      </w:r>
      <w:r w:rsidRPr="003776A2">
        <w:rPr>
          <w:rFonts w:ascii="Arial" w:hAnsi="Arial" w:cs="Arial"/>
          <w:color w:val="000000"/>
        </w:rPr>
        <w:t>, 2022). The abilities will help Octopus to appeal to customers who appreciate the use of modern communication and dynamic pricing. The interference of the regulation is a driver towards growth. According to the market-development logic introduced by Ansoff, the policy changes allow Octopus to expand the range of its customers and support its image as a fair and innovative provider.</w:t>
      </w:r>
    </w:p>
    <w:p w14:paraId="5D1589FE" w14:textId="77777777" w:rsidR="003D4ECF" w:rsidRPr="003776A2" w:rsidRDefault="003D4ECF" w:rsidP="003D4ECF">
      <w:pPr>
        <w:pStyle w:val="Heading3"/>
        <w:rPr>
          <w:rFonts w:ascii="Arial" w:hAnsi="Arial" w:cs="Arial"/>
        </w:rPr>
      </w:pPr>
      <w:bookmarkStart w:id="19" w:name="_Toc214495266"/>
      <w:r w:rsidRPr="003776A2">
        <w:rPr>
          <w:rFonts w:ascii="Arial" w:hAnsi="Arial" w:cs="Arial"/>
        </w:rPr>
        <w:t>3.2.3 Response to Environmental Forces (Product Development)</w:t>
      </w:r>
      <w:bookmarkEnd w:id="19"/>
    </w:p>
    <w:p w14:paraId="1E5BC78B" w14:textId="1ACD07FD" w:rsidR="003D4ECF" w:rsidRPr="003776A2" w:rsidRDefault="003D4ECF" w:rsidP="003D4ECF">
      <w:pPr>
        <w:rPr>
          <w:rFonts w:ascii="Arial" w:hAnsi="Arial" w:cs="Arial"/>
          <w:color w:val="000000"/>
        </w:rPr>
      </w:pPr>
      <w:r w:rsidRPr="003776A2">
        <w:rPr>
          <w:rFonts w:ascii="Arial" w:hAnsi="Arial" w:cs="Arial"/>
          <w:color w:val="000000"/>
        </w:rPr>
        <w:t xml:space="preserve">The environmental forces compel Octopus to strong product development. It provides renewable-first tariffs, carbon-neutral plans, and smart-home. These are products that will attract environmentally friendly buyers of a credible green energy product (Saura, </w:t>
      </w:r>
      <w:r w:rsidRPr="003776A2">
        <w:rPr>
          <w:rFonts w:ascii="Arial" w:hAnsi="Arial" w:cs="Arial"/>
          <w:color w:val="000000"/>
        </w:rPr>
        <w:lastRenderedPageBreak/>
        <w:t>Ribeiro-Soriano and Palacios-Marqués, 2021). To improve its portfolio on renewable</w:t>
      </w:r>
      <w:r w:rsidRPr="003776A2">
        <w:rPr>
          <w:rFonts w:ascii="Arial" w:hAnsi="Arial" w:cs="Arial"/>
          <w:color w:val="000000"/>
          <w:lang w:val="en-US"/>
        </w:rPr>
        <w:t xml:space="preserve"> energy</w:t>
      </w:r>
      <w:r w:rsidRPr="003776A2">
        <w:rPr>
          <w:rFonts w:ascii="Arial" w:hAnsi="Arial" w:cs="Arial"/>
          <w:color w:val="000000"/>
        </w:rPr>
        <w:t>, Octopus invests in solar farms, wind collaborations, and smart</w:t>
      </w:r>
      <w:r w:rsidRPr="003776A2">
        <w:rPr>
          <w:rFonts w:ascii="Arial" w:hAnsi="Arial" w:cs="Arial"/>
          <w:color w:val="000000"/>
          <w:lang w:val="en-US"/>
        </w:rPr>
        <w:t xml:space="preserve"> </w:t>
      </w:r>
      <w:r w:rsidRPr="003776A2">
        <w:rPr>
          <w:rFonts w:ascii="Arial" w:hAnsi="Arial" w:cs="Arial"/>
          <w:color w:val="000000"/>
        </w:rPr>
        <w:t>grids. It makes sustainability available because its technology platform makes the customers aware of their environmental impact. These innovations fit into the product-development dimension of Ansoff by enabling Octopus to increase its offerings in the current markets in order to increase its loyalty and differentiation.</w:t>
      </w:r>
    </w:p>
    <w:p w14:paraId="4202D30C" w14:textId="77777777" w:rsidR="003D4ECF" w:rsidRPr="003776A2" w:rsidRDefault="003D4ECF" w:rsidP="003D4ECF">
      <w:pPr>
        <w:pStyle w:val="Heading3"/>
        <w:rPr>
          <w:rFonts w:ascii="Arial" w:hAnsi="Arial" w:cs="Arial"/>
        </w:rPr>
      </w:pPr>
      <w:bookmarkStart w:id="20" w:name="_Toc214495267"/>
      <w:r w:rsidRPr="003776A2">
        <w:rPr>
          <w:rFonts w:ascii="Arial" w:hAnsi="Arial" w:cs="Arial"/>
        </w:rPr>
        <w:t>3.2.4 Critical Evaluation</w:t>
      </w:r>
      <w:bookmarkEnd w:id="20"/>
    </w:p>
    <w:p w14:paraId="01674C01" w14:textId="7B7B127C" w:rsidR="003D4ECF" w:rsidRPr="003776A2" w:rsidRDefault="003D4ECF" w:rsidP="003D4ECF">
      <w:pPr>
        <w:rPr>
          <w:rFonts w:ascii="Arial" w:hAnsi="Arial" w:cs="Arial"/>
          <w:color w:val="000000"/>
        </w:rPr>
      </w:pPr>
      <w:r w:rsidRPr="003776A2">
        <w:rPr>
          <w:rFonts w:ascii="Arial" w:hAnsi="Arial" w:cs="Arial"/>
          <w:color w:val="000000"/>
        </w:rPr>
        <w:t>There are two obvious strong points associated with Octopus: agility, technological and strong green identity. These properties assist in market development and product development. Growth</w:t>
      </w:r>
      <w:r w:rsidRPr="003776A2">
        <w:rPr>
          <w:rFonts w:ascii="Arial" w:hAnsi="Arial" w:cs="Arial"/>
          <w:color w:val="000000"/>
          <w:lang w:val="en-US"/>
        </w:rPr>
        <w:t>,</w:t>
      </w:r>
      <w:r w:rsidRPr="003776A2">
        <w:rPr>
          <w:rFonts w:ascii="Arial" w:hAnsi="Arial" w:cs="Arial"/>
          <w:color w:val="000000"/>
        </w:rPr>
        <w:t xml:space="preserve"> however</w:t>
      </w:r>
      <w:r w:rsidRPr="003776A2">
        <w:rPr>
          <w:rFonts w:ascii="Arial" w:hAnsi="Arial" w:cs="Arial"/>
          <w:color w:val="000000"/>
          <w:lang w:val="en-US"/>
        </w:rPr>
        <w:t>,</w:t>
      </w:r>
      <w:r w:rsidRPr="003776A2">
        <w:rPr>
          <w:rFonts w:ascii="Arial" w:hAnsi="Arial" w:cs="Arial"/>
          <w:color w:val="000000"/>
        </w:rPr>
        <w:t xml:space="preserve"> brings dangers. Increasing the scale would require money, and fast growth can put pressure on the operations (Jerab and Mabrouk, 2023). Regulatory exposure increases in size. Octopus has to protect </w:t>
      </w:r>
      <w:r w:rsidRPr="003776A2">
        <w:rPr>
          <w:rFonts w:ascii="Arial" w:hAnsi="Arial" w:cs="Arial"/>
          <w:color w:val="000000"/>
          <w:lang w:val="en-US"/>
        </w:rPr>
        <w:t xml:space="preserve">its </w:t>
      </w:r>
      <w:r w:rsidRPr="003776A2">
        <w:rPr>
          <w:rFonts w:ascii="Arial" w:hAnsi="Arial" w:cs="Arial"/>
          <w:color w:val="000000"/>
        </w:rPr>
        <w:t>credibility and be transparent in its growth. The issue is how to strike a balance between being innovative and being disciplined. The sustainable nature of its renewable identity will be its future success as it scales on a long-term basis.</w:t>
      </w:r>
    </w:p>
    <w:p w14:paraId="72DB7144" w14:textId="77777777" w:rsidR="003D4ECF" w:rsidRPr="003776A2" w:rsidRDefault="003D4ECF" w:rsidP="003D4ECF">
      <w:pPr>
        <w:rPr>
          <w:rFonts w:ascii="Arial" w:hAnsi="Arial" w:cs="Arial"/>
          <w:color w:val="000000"/>
        </w:rPr>
      </w:pPr>
      <w:r w:rsidRPr="003776A2">
        <w:rPr>
          <w:rFonts w:ascii="Arial" w:hAnsi="Arial" w:cs="Arial"/>
          <w:color w:val="000000"/>
        </w:rPr>
        <w:br/>
      </w:r>
    </w:p>
    <w:p w14:paraId="79FCE990" w14:textId="77777777" w:rsidR="003D4ECF" w:rsidRPr="003776A2" w:rsidRDefault="003D4ECF">
      <w:pPr>
        <w:spacing w:after="160" w:line="259" w:lineRule="auto"/>
        <w:jc w:val="left"/>
        <w:rPr>
          <w:rFonts w:ascii="Arial" w:hAnsi="Arial" w:cs="Arial"/>
          <w:color w:val="000000"/>
        </w:rPr>
      </w:pPr>
      <w:r w:rsidRPr="003776A2">
        <w:rPr>
          <w:rFonts w:ascii="Arial" w:hAnsi="Arial" w:cs="Arial"/>
          <w:color w:val="000000"/>
        </w:rPr>
        <w:br w:type="page"/>
      </w:r>
    </w:p>
    <w:p w14:paraId="679532AA" w14:textId="59F29604" w:rsidR="003D4ECF" w:rsidRPr="003776A2" w:rsidRDefault="003D4ECF" w:rsidP="003D4ECF">
      <w:pPr>
        <w:pStyle w:val="Heading1"/>
        <w:rPr>
          <w:rFonts w:ascii="Arial" w:hAnsi="Arial" w:cs="Arial"/>
          <w:sz w:val="24"/>
          <w:szCs w:val="24"/>
        </w:rPr>
      </w:pPr>
      <w:bookmarkStart w:id="21" w:name="_Toc214495268"/>
      <w:r w:rsidRPr="003776A2">
        <w:rPr>
          <w:rFonts w:ascii="Arial" w:hAnsi="Arial" w:cs="Arial"/>
        </w:rPr>
        <w:lastRenderedPageBreak/>
        <w:t>4. Conclusion</w:t>
      </w:r>
      <w:bookmarkEnd w:id="21"/>
    </w:p>
    <w:p w14:paraId="61C59DD0" w14:textId="46E58D75" w:rsidR="003D4ECF" w:rsidRPr="003776A2" w:rsidRDefault="003D4ECF" w:rsidP="003D4ECF">
      <w:pPr>
        <w:rPr>
          <w:rFonts w:ascii="Arial" w:hAnsi="Arial" w:cs="Arial"/>
          <w:color w:val="000000"/>
        </w:rPr>
      </w:pPr>
      <w:r w:rsidRPr="003776A2">
        <w:rPr>
          <w:rFonts w:ascii="Arial" w:hAnsi="Arial" w:cs="Arial"/>
          <w:color w:val="000000"/>
        </w:rPr>
        <w:t>The UK energy industry is also undergoing a redefinition of the logic dependent on political, regulatory, and environmental forces. Such pressures affect the operation, competition and value communication of firms. Both British Gas and Octopus Energy are faced by the same external forces, but their reaction is different because of the scale, agility and strategic orientation. British Gas is an innovator that has significant infrastructure and legacy liabilities, and Octopus is a follower that takes advantage of speed and targeted innovation. Such a dynamic industry can never do without environmental scanning (Saura, Ribeiro-Soriano and Palacios-Marqués, 2021). To prevent strategic drift, firms need to monitor changes in the regulation</w:t>
      </w:r>
      <w:r w:rsidRPr="003776A2">
        <w:rPr>
          <w:rFonts w:ascii="Arial" w:hAnsi="Arial" w:cs="Arial"/>
          <w:color w:val="000000"/>
          <w:lang w:val="en-US"/>
        </w:rPr>
        <w:t>s</w:t>
      </w:r>
      <w:r w:rsidRPr="003776A2">
        <w:rPr>
          <w:rFonts w:ascii="Arial" w:hAnsi="Arial" w:cs="Arial"/>
          <w:color w:val="000000"/>
        </w:rPr>
        <w:t xml:space="preserve"> and sustainability expectations. Ansoff Growth Matrix aids in understanding why different firms react differently and why different structures are converted into opposite strategic behaviour. In the future, it will have to continue with its hybrid reinvention as British Gas will have to modernise its operations and keep its systems intact at the same time. Octopus has to protect its green differentiation and scale responsibly. The future of competitiveness in the long term will be based on responsiveness, discipline, and plausible environmental action.</w:t>
      </w:r>
    </w:p>
    <w:p w14:paraId="754430A4" w14:textId="77777777" w:rsidR="003D4ECF" w:rsidRPr="003776A2" w:rsidRDefault="003D4ECF" w:rsidP="003D4ECF">
      <w:pPr>
        <w:rPr>
          <w:rFonts w:ascii="Arial" w:hAnsi="Arial" w:cs="Arial"/>
          <w:color w:val="000000"/>
        </w:rPr>
      </w:pPr>
    </w:p>
    <w:p w14:paraId="4F20E3D6" w14:textId="77777777" w:rsidR="003D4ECF" w:rsidRPr="003776A2" w:rsidRDefault="003D4ECF">
      <w:pPr>
        <w:spacing w:after="160" w:line="259" w:lineRule="auto"/>
        <w:jc w:val="left"/>
        <w:rPr>
          <w:rFonts w:ascii="Arial" w:hAnsi="Arial" w:cs="Arial"/>
          <w:color w:val="000000"/>
          <w:lang w:val="en-US"/>
        </w:rPr>
      </w:pPr>
      <w:r w:rsidRPr="003776A2">
        <w:rPr>
          <w:rFonts w:ascii="Arial" w:hAnsi="Arial" w:cs="Arial"/>
          <w:color w:val="000000"/>
          <w:lang w:val="en-US"/>
        </w:rPr>
        <w:br w:type="page"/>
      </w:r>
    </w:p>
    <w:p w14:paraId="540AFBFD" w14:textId="6F70A2C2" w:rsidR="003D4ECF" w:rsidRPr="003776A2" w:rsidRDefault="003D4ECF" w:rsidP="003D4ECF">
      <w:pPr>
        <w:pStyle w:val="Heading1"/>
        <w:rPr>
          <w:rFonts w:ascii="Arial" w:hAnsi="Arial" w:cs="Arial"/>
        </w:rPr>
      </w:pPr>
      <w:bookmarkStart w:id="22" w:name="_Toc214495269"/>
      <w:r w:rsidRPr="003776A2">
        <w:rPr>
          <w:rFonts w:ascii="Arial" w:hAnsi="Arial" w:cs="Arial"/>
          <w:lang w:val="en-US"/>
        </w:rPr>
        <w:lastRenderedPageBreak/>
        <w:t xml:space="preserve">5. </w:t>
      </w:r>
      <w:r w:rsidRPr="003776A2">
        <w:rPr>
          <w:rFonts w:ascii="Arial" w:hAnsi="Arial" w:cs="Arial"/>
        </w:rPr>
        <w:t>Reference</w:t>
      </w:r>
      <w:bookmarkEnd w:id="22"/>
    </w:p>
    <w:p w14:paraId="787A5CEC" w14:textId="23EC2698" w:rsidR="00ED1892" w:rsidRPr="00ED1892" w:rsidRDefault="003D4ECF" w:rsidP="003D4ECF">
      <w:pPr>
        <w:rPr>
          <w:rFonts w:ascii="Arial" w:hAnsi="Arial" w:cs="Arial"/>
          <w:color w:val="000000"/>
          <w:lang w:val="en-US"/>
        </w:rPr>
      </w:pPr>
      <w:r w:rsidRPr="003776A2">
        <w:rPr>
          <w:rFonts w:ascii="Arial" w:hAnsi="Arial" w:cs="Arial"/>
          <w:color w:val="000000"/>
        </w:rPr>
        <w:t>Chung, T.S. and Low, A. (202</w:t>
      </w:r>
      <w:r w:rsidR="00ED1892">
        <w:rPr>
          <w:rFonts w:ascii="Arial" w:hAnsi="Arial" w:cs="Arial"/>
          <w:color w:val="000000"/>
          <w:lang w:val="en-US"/>
        </w:rPr>
        <w:t>2</w:t>
      </w:r>
      <w:r w:rsidRPr="003776A2">
        <w:rPr>
          <w:rFonts w:ascii="Arial" w:hAnsi="Arial" w:cs="Arial"/>
          <w:color w:val="000000"/>
        </w:rPr>
        <w:t xml:space="preserve">) ‘CEO regulatory focus and myopic marketing management’, </w:t>
      </w:r>
      <w:r w:rsidRPr="003776A2">
        <w:rPr>
          <w:rFonts w:ascii="Arial" w:hAnsi="Arial" w:cs="Arial"/>
          <w:i/>
          <w:iCs/>
          <w:color w:val="000000"/>
        </w:rPr>
        <w:t>International Journal of Research in Marketing</w:t>
      </w:r>
      <w:r w:rsidRPr="003776A2">
        <w:rPr>
          <w:rFonts w:ascii="Arial" w:hAnsi="Arial" w:cs="Arial"/>
          <w:color w:val="000000"/>
        </w:rPr>
        <w:t xml:space="preserve">, 39(1). Available at: </w:t>
      </w:r>
      <w:hyperlink r:id="rId10" w:history="1">
        <w:r w:rsidR="00ED1892" w:rsidRPr="00077197">
          <w:rPr>
            <w:rStyle w:val="Hyperlink"/>
            <w:rFonts w:ascii="Arial" w:hAnsi="Arial" w:cs="Arial"/>
          </w:rPr>
          <w:t>https://doi.org/10.1016/j.ijresmar.202</w:t>
        </w:r>
        <w:r w:rsidR="00ED1892" w:rsidRPr="00077197">
          <w:rPr>
            <w:rStyle w:val="Hyperlink"/>
            <w:rFonts w:ascii="Arial" w:hAnsi="Arial" w:cs="Arial"/>
          </w:rPr>
          <w:t>1</w:t>
        </w:r>
        <w:r w:rsidR="00ED1892" w:rsidRPr="00077197">
          <w:rPr>
            <w:rStyle w:val="Hyperlink"/>
            <w:rFonts w:ascii="Arial" w:hAnsi="Arial" w:cs="Arial"/>
          </w:rPr>
          <w:t>.09.004</w:t>
        </w:r>
      </w:hyperlink>
      <w:r w:rsidRPr="003776A2">
        <w:rPr>
          <w:rFonts w:ascii="Arial" w:hAnsi="Arial" w:cs="Arial"/>
          <w:color w:val="000000"/>
        </w:rPr>
        <w:t>.</w:t>
      </w:r>
    </w:p>
    <w:p w14:paraId="70F60E8C" w14:textId="41AC1DE2" w:rsidR="00ED1892" w:rsidRPr="00ED1892" w:rsidRDefault="003D4ECF" w:rsidP="003D4ECF">
      <w:pPr>
        <w:rPr>
          <w:rFonts w:ascii="Arial" w:hAnsi="Arial" w:cs="Arial"/>
          <w:color w:val="000000"/>
          <w:lang w:val="en-US"/>
        </w:rPr>
      </w:pPr>
      <w:r w:rsidRPr="003776A2">
        <w:rPr>
          <w:rFonts w:ascii="Arial" w:hAnsi="Arial" w:cs="Arial"/>
          <w:color w:val="000000"/>
        </w:rPr>
        <w:t xml:space="preserve">Gailani, A. </w:t>
      </w:r>
      <w:r w:rsidRPr="003776A2">
        <w:rPr>
          <w:rFonts w:ascii="Arial" w:hAnsi="Arial" w:cs="Arial"/>
          <w:i/>
          <w:iCs/>
          <w:color w:val="000000"/>
        </w:rPr>
        <w:t>et al.</w:t>
      </w:r>
      <w:r w:rsidRPr="003776A2">
        <w:rPr>
          <w:rFonts w:ascii="Arial" w:hAnsi="Arial" w:cs="Arial"/>
          <w:color w:val="000000"/>
        </w:rPr>
        <w:t xml:space="preserve"> (2020) ‘On the Role of Regulatory Policy on the Business Case for Energy Storage in Both EU and UK Energy Systems: Barriers and Enablers’, </w:t>
      </w:r>
      <w:r w:rsidRPr="003776A2">
        <w:rPr>
          <w:rFonts w:ascii="Arial" w:hAnsi="Arial" w:cs="Arial"/>
          <w:i/>
          <w:iCs/>
          <w:color w:val="000000"/>
        </w:rPr>
        <w:t>Energies</w:t>
      </w:r>
      <w:r w:rsidRPr="003776A2">
        <w:rPr>
          <w:rFonts w:ascii="Arial" w:hAnsi="Arial" w:cs="Arial"/>
          <w:color w:val="000000"/>
        </w:rPr>
        <w:t xml:space="preserve">, 13(5). Available at: </w:t>
      </w:r>
      <w:hyperlink r:id="rId11" w:history="1">
        <w:r w:rsidR="00ED1892" w:rsidRPr="00077197">
          <w:rPr>
            <w:rStyle w:val="Hyperlink"/>
            <w:rFonts w:ascii="Arial" w:hAnsi="Arial" w:cs="Arial"/>
          </w:rPr>
          <w:t>https://doi.org/10.3390/en13</w:t>
        </w:r>
        <w:r w:rsidR="00ED1892" w:rsidRPr="00077197">
          <w:rPr>
            <w:rStyle w:val="Hyperlink"/>
            <w:rFonts w:ascii="Arial" w:hAnsi="Arial" w:cs="Arial"/>
          </w:rPr>
          <w:t>0</w:t>
        </w:r>
        <w:r w:rsidR="00ED1892" w:rsidRPr="00077197">
          <w:rPr>
            <w:rStyle w:val="Hyperlink"/>
            <w:rFonts w:ascii="Arial" w:hAnsi="Arial" w:cs="Arial"/>
          </w:rPr>
          <w:t>51080</w:t>
        </w:r>
      </w:hyperlink>
      <w:r w:rsidRPr="003776A2">
        <w:rPr>
          <w:rFonts w:ascii="Arial" w:hAnsi="Arial" w:cs="Arial"/>
          <w:color w:val="000000"/>
        </w:rPr>
        <w:t>.</w:t>
      </w:r>
    </w:p>
    <w:p w14:paraId="4A05A788" w14:textId="294FBB81" w:rsidR="00ED1892" w:rsidRPr="00ED1892" w:rsidRDefault="003D4ECF" w:rsidP="003D4ECF">
      <w:pPr>
        <w:rPr>
          <w:rFonts w:ascii="Arial" w:hAnsi="Arial" w:cs="Arial"/>
          <w:color w:val="000000"/>
          <w:lang w:val="en-US"/>
        </w:rPr>
      </w:pPr>
      <w:r w:rsidRPr="003776A2">
        <w:rPr>
          <w:rFonts w:ascii="Arial" w:hAnsi="Arial" w:cs="Arial"/>
          <w:color w:val="000000"/>
        </w:rPr>
        <w:t xml:space="preserve">Gonçalves, L. and Patrício, L. (2022) ‘From smart technologies to value cocreation and customer engagement with smart energy services’, </w:t>
      </w:r>
      <w:r w:rsidRPr="003776A2">
        <w:rPr>
          <w:rFonts w:ascii="Arial" w:hAnsi="Arial" w:cs="Arial"/>
          <w:i/>
          <w:iCs/>
          <w:color w:val="000000"/>
        </w:rPr>
        <w:t>Energy Policy</w:t>
      </w:r>
      <w:r w:rsidRPr="003776A2">
        <w:rPr>
          <w:rFonts w:ascii="Arial" w:hAnsi="Arial" w:cs="Arial"/>
          <w:color w:val="000000"/>
        </w:rPr>
        <w:t xml:space="preserve">, 170. Available at: </w:t>
      </w:r>
      <w:hyperlink r:id="rId12" w:history="1">
        <w:r w:rsidR="00ED1892" w:rsidRPr="00077197">
          <w:rPr>
            <w:rStyle w:val="Hyperlink"/>
            <w:rFonts w:ascii="Arial" w:hAnsi="Arial" w:cs="Arial"/>
          </w:rPr>
          <w:t>https://doi.org/10.1016/j.enpol.20</w:t>
        </w:r>
        <w:r w:rsidR="00ED1892" w:rsidRPr="00077197">
          <w:rPr>
            <w:rStyle w:val="Hyperlink"/>
            <w:rFonts w:ascii="Arial" w:hAnsi="Arial" w:cs="Arial"/>
          </w:rPr>
          <w:t>2</w:t>
        </w:r>
        <w:r w:rsidR="00ED1892" w:rsidRPr="00077197">
          <w:rPr>
            <w:rStyle w:val="Hyperlink"/>
            <w:rFonts w:ascii="Arial" w:hAnsi="Arial" w:cs="Arial"/>
          </w:rPr>
          <w:t>2.113249</w:t>
        </w:r>
      </w:hyperlink>
      <w:r w:rsidRPr="003776A2">
        <w:rPr>
          <w:rFonts w:ascii="Arial" w:hAnsi="Arial" w:cs="Arial"/>
          <w:color w:val="000000"/>
        </w:rPr>
        <w:t>.</w:t>
      </w:r>
    </w:p>
    <w:p w14:paraId="2D1BE387" w14:textId="6EB493FF" w:rsidR="00ED1892" w:rsidRPr="00ED1892" w:rsidRDefault="003D4ECF" w:rsidP="003D4ECF">
      <w:pPr>
        <w:rPr>
          <w:rFonts w:ascii="Arial" w:hAnsi="Arial" w:cs="Arial"/>
          <w:color w:val="000000"/>
          <w:lang w:val="en-US"/>
        </w:rPr>
      </w:pPr>
      <w:r w:rsidRPr="003776A2">
        <w:rPr>
          <w:rFonts w:ascii="Arial" w:hAnsi="Arial" w:cs="Arial"/>
          <w:color w:val="000000"/>
        </w:rPr>
        <w:t xml:space="preserve">It Nguyen Van, Thanh Tiep Le and Kotaskova, A. (2023) ‘The role of brand and market orientation on competitive advantage in the food sector: Business strategy’s moderator role’, </w:t>
      </w:r>
      <w:r w:rsidRPr="003776A2">
        <w:rPr>
          <w:rFonts w:ascii="Arial" w:hAnsi="Arial" w:cs="Arial"/>
          <w:i/>
          <w:iCs/>
          <w:color w:val="000000"/>
        </w:rPr>
        <w:t>British Food Journal</w:t>
      </w:r>
      <w:r w:rsidRPr="003776A2">
        <w:rPr>
          <w:rFonts w:ascii="Arial" w:hAnsi="Arial" w:cs="Arial"/>
          <w:color w:val="000000"/>
        </w:rPr>
        <w:t xml:space="preserve">, 125(11). Available at: </w:t>
      </w:r>
      <w:hyperlink r:id="rId13" w:history="1">
        <w:r w:rsidR="00ED1892" w:rsidRPr="00077197">
          <w:rPr>
            <w:rStyle w:val="Hyperlink"/>
            <w:rFonts w:ascii="Arial" w:hAnsi="Arial" w:cs="Arial"/>
          </w:rPr>
          <w:t>https://doi.</w:t>
        </w:r>
        <w:r w:rsidR="00ED1892" w:rsidRPr="00077197">
          <w:rPr>
            <w:rStyle w:val="Hyperlink"/>
            <w:rFonts w:ascii="Arial" w:hAnsi="Arial" w:cs="Arial"/>
          </w:rPr>
          <w:t>o</w:t>
        </w:r>
        <w:r w:rsidR="00ED1892" w:rsidRPr="00077197">
          <w:rPr>
            <w:rStyle w:val="Hyperlink"/>
            <w:rFonts w:ascii="Arial" w:hAnsi="Arial" w:cs="Arial"/>
          </w:rPr>
          <w:t>rg/10.1108/bfj-01-2023-0010</w:t>
        </w:r>
      </w:hyperlink>
      <w:r w:rsidRPr="003776A2">
        <w:rPr>
          <w:rFonts w:ascii="Arial" w:hAnsi="Arial" w:cs="Arial"/>
          <w:color w:val="000000"/>
        </w:rPr>
        <w:t>.</w:t>
      </w:r>
    </w:p>
    <w:p w14:paraId="0DEAF8DA" w14:textId="39EBE14D" w:rsidR="00ED1892" w:rsidRPr="00ED1892" w:rsidRDefault="003D4ECF" w:rsidP="003D4ECF">
      <w:pPr>
        <w:rPr>
          <w:rFonts w:ascii="Arial" w:hAnsi="Arial" w:cs="Arial"/>
          <w:color w:val="000000"/>
          <w:lang w:val="en-US"/>
        </w:rPr>
      </w:pPr>
      <w:r w:rsidRPr="003776A2">
        <w:rPr>
          <w:rFonts w:ascii="Arial" w:hAnsi="Arial" w:cs="Arial"/>
          <w:color w:val="000000"/>
        </w:rPr>
        <w:t xml:space="preserve">Jerab, D.A. and Mabrouk, T. (2023) </w:t>
      </w:r>
      <w:r w:rsidRPr="003776A2">
        <w:rPr>
          <w:rFonts w:ascii="Arial" w:hAnsi="Arial" w:cs="Arial"/>
          <w:i/>
          <w:iCs/>
          <w:color w:val="000000"/>
        </w:rPr>
        <w:t>Strategic Excellence: Achieving Competitive Advantage through Differentiation Strategies</w:t>
      </w:r>
      <w:r w:rsidRPr="003776A2">
        <w:rPr>
          <w:rFonts w:ascii="Arial" w:hAnsi="Arial" w:cs="Arial"/>
          <w:color w:val="000000"/>
        </w:rPr>
        <w:t xml:space="preserve">, </w:t>
      </w:r>
      <w:r w:rsidRPr="003776A2">
        <w:rPr>
          <w:rFonts w:ascii="Arial" w:hAnsi="Arial" w:cs="Arial"/>
          <w:i/>
          <w:iCs/>
          <w:color w:val="000000"/>
        </w:rPr>
        <w:t>Social Science Research Network</w:t>
      </w:r>
      <w:r w:rsidRPr="003776A2">
        <w:rPr>
          <w:rFonts w:ascii="Arial" w:hAnsi="Arial" w:cs="Arial"/>
          <w:color w:val="000000"/>
        </w:rPr>
        <w:t xml:space="preserve">. Rochester, NY. Available at: </w:t>
      </w:r>
      <w:hyperlink r:id="rId14" w:history="1">
        <w:r w:rsidR="00ED1892" w:rsidRPr="00077197">
          <w:rPr>
            <w:rStyle w:val="Hyperlink"/>
            <w:rFonts w:ascii="Arial" w:hAnsi="Arial" w:cs="Arial"/>
          </w:rPr>
          <w:t>https://doi.org/10.2139/ssrn</w:t>
        </w:r>
        <w:r w:rsidR="00ED1892" w:rsidRPr="00077197">
          <w:rPr>
            <w:rStyle w:val="Hyperlink"/>
            <w:rFonts w:ascii="Arial" w:hAnsi="Arial" w:cs="Arial"/>
          </w:rPr>
          <w:t>.</w:t>
        </w:r>
        <w:r w:rsidR="00ED1892" w:rsidRPr="00077197">
          <w:rPr>
            <w:rStyle w:val="Hyperlink"/>
            <w:rFonts w:ascii="Arial" w:hAnsi="Arial" w:cs="Arial"/>
          </w:rPr>
          <w:t>4575042</w:t>
        </w:r>
      </w:hyperlink>
      <w:r w:rsidRPr="003776A2">
        <w:rPr>
          <w:rFonts w:ascii="Arial" w:hAnsi="Arial" w:cs="Arial"/>
          <w:color w:val="000000"/>
        </w:rPr>
        <w:t>.</w:t>
      </w:r>
    </w:p>
    <w:p w14:paraId="7D09563B" w14:textId="52BCCBD5" w:rsidR="00ED1892" w:rsidRPr="00ED1892" w:rsidRDefault="003D4ECF" w:rsidP="003D4ECF">
      <w:pPr>
        <w:rPr>
          <w:rFonts w:ascii="Arial" w:hAnsi="Arial" w:cs="Arial"/>
          <w:color w:val="000000"/>
          <w:lang w:val="en-US"/>
        </w:rPr>
      </w:pPr>
      <w:r w:rsidRPr="003776A2">
        <w:rPr>
          <w:rFonts w:ascii="Arial" w:hAnsi="Arial" w:cs="Arial"/>
          <w:color w:val="000000"/>
        </w:rPr>
        <w:t xml:space="preserve">Olson, E.M. </w:t>
      </w:r>
      <w:r w:rsidRPr="003776A2">
        <w:rPr>
          <w:rFonts w:ascii="Arial" w:hAnsi="Arial" w:cs="Arial"/>
          <w:i/>
          <w:iCs/>
          <w:color w:val="000000"/>
        </w:rPr>
        <w:t>et al.</w:t>
      </w:r>
      <w:r w:rsidRPr="003776A2">
        <w:rPr>
          <w:rFonts w:ascii="Arial" w:hAnsi="Arial" w:cs="Arial"/>
          <w:color w:val="000000"/>
        </w:rPr>
        <w:t xml:space="preserve"> (2021) ‘Business Strategy and the Management of Digital Marketing’, </w:t>
      </w:r>
      <w:r w:rsidRPr="003776A2">
        <w:rPr>
          <w:rFonts w:ascii="Arial" w:hAnsi="Arial" w:cs="Arial"/>
          <w:i/>
          <w:iCs/>
          <w:color w:val="000000"/>
        </w:rPr>
        <w:t>Business Horizons</w:t>
      </w:r>
      <w:r w:rsidRPr="003776A2">
        <w:rPr>
          <w:rFonts w:ascii="Arial" w:hAnsi="Arial" w:cs="Arial"/>
          <w:color w:val="000000"/>
        </w:rPr>
        <w:t xml:space="preserve">, 64(2), pp. 285–293. Available at: </w:t>
      </w:r>
      <w:hyperlink r:id="rId15" w:history="1">
        <w:r w:rsidR="00ED1892" w:rsidRPr="00077197">
          <w:rPr>
            <w:rStyle w:val="Hyperlink"/>
            <w:rFonts w:ascii="Arial" w:hAnsi="Arial" w:cs="Arial"/>
          </w:rPr>
          <w:t>https://doi.org/10.1016/j.bushor.20</w:t>
        </w:r>
        <w:r w:rsidR="00ED1892" w:rsidRPr="00077197">
          <w:rPr>
            <w:rStyle w:val="Hyperlink"/>
            <w:rFonts w:ascii="Arial" w:hAnsi="Arial" w:cs="Arial"/>
          </w:rPr>
          <w:t>2</w:t>
        </w:r>
        <w:r w:rsidR="00ED1892" w:rsidRPr="00077197">
          <w:rPr>
            <w:rStyle w:val="Hyperlink"/>
            <w:rFonts w:ascii="Arial" w:hAnsi="Arial" w:cs="Arial"/>
          </w:rPr>
          <w:t>0.12.004</w:t>
        </w:r>
      </w:hyperlink>
      <w:r w:rsidRPr="003776A2">
        <w:rPr>
          <w:rFonts w:ascii="Arial" w:hAnsi="Arial" w:cs="Arial"/>
          <w:color w:val="000000"/>
        </w:rPr>
        <w:t>.</w:t>
      </w:r>
    </w:p>
    <w:p w14:paraId="0C50482D" w14:textId="549E2EC3" w:rsidR="00ED1892" w:rsidRPr="00ED1892" w:rsidRDefault="003D4ECF" w:rsidP="003D4ECF">
      <w:pPr>
        <w:rPr>
          <w:rFonts w:ascii="Arial" w:hAnsi="Arial" w:cs="Arial"/>
          <w:color w:val="000000"/>
          <w:lang w:val="en-US"/>
        </w:rPr>
      </w:pPr>
      <w:r w:rsidRPr="003776A2">
        <w:rPr>
          <w:rFonts w:ascii="Arial" w:hAnsi="Arial" w:cs="Arial"/>
          <w:color w:val="000000"/>
        </w:rPr>
        <w:t xml:space="preserve">Oreggioni, G.D. </w:t>
      </w:r>
      <w:r w:rsidRPr="003776A2">
        <w:rPr>
          <w:rFonts w:ascii="Arial" w:hAnsi="Arial" w:cs="Arial"/>
          <w:i/>
          <w:iCs/>
          <w:color w:val="000000"/>
        </w:rPr>
        <w:t>et al.</w:t>
      </w:r>
      <w:r w:rsidRPr="003776A2">
        <w:rPr>
          <w:rFonts w:ascii="Arial" w:hAnsi="Arial" w:cs="Arial"/>
          <w:color w:val="000000"/>
        </w:rPr>
        <w:t xml:space="preserve"> (2021) ‘Climate change in a changing world: Socio-economic and technological transitions, regulatory frameworks and trends on global greenhouse gas emissions from EDGAR v.5.0’, </w:t>
      </w:r>
      <w:r w:rsidRPr="003776A2">
        <w:rPr>
          <w:rFonts w:ascii="Arial" w:hAnsi="Arial" w:cs="Arial"/>
          <w:i/>
          <w:iCs/>
          <w:color w:val="000000"/>
        </w:rPr>
        <w:t>Global Environmental Change</w:t>
      </w:r>
      <w:r w:rsidRPr="003776A2">
        <w:rPr>
          <w:rFonts w:ascii="Arial" w:hAnsi="Arial" w:cs="Arial"/>
          <w:color w:val="000000"/>
        </w:rPr>
        <w:t xml:space="preserve">, 70. Available at: </w:t>
      </w:r>
      <w:hyperlink r:id="rId16" w:history="1">
        <w:r w:rsidR="00ED1892" w:rsidRPr="00077197">
          <w:rPr>
            <w:rStyle w:val="Hyperlink"/>
            <w:rFonts w:ascii="Arial" w:hAnsi="Arial" w:cs="Arial"/>
          </w:rPr>
          <w:t>https://doi.org/10.1016/j.gl</w:t>
        </w:r>
        <w:r w:rsidR="00ED1892" w:rsidRPr="00077197">
          <w:rPr>
            <w:rStyle w:val="Hyperlink"/>
            <w:rFonts w:ascii="Arial" w:hAnsi="Arial" w:cs="Arial"/>
          </w:rPr>
          <w:t>o</w:t>
        </w:r>
        <w:r w:rsidR="00ED1892" w:rsidRPr="00077197">
          <w:rPr>
            <w:rStyle w:val="Hyperlink"/>
            <w:rFonts w:ascii="Arial" w:hAnsi="Arial" w:cs="Arial"/>
          </w:rPr>
          <w:t>envcha.2021.102350</w:t>
        </w:r>
      </w:hyperlink>
      <w:r w:rsidRPr="003776A2">
        <w:rPr>
          <w:rFonts w:ascii="Arial" w:hAnsi="Arial" w:cs="Arial"/>
          <w:color w:val="000000"/>
        </w:rPr>
        <w:t>.</w:t>
      </w:r>
    </w:p>
    <w:p w14:paraId="6EDED0ED" w14:textId="0C959EA5" w:rsidR="00ED1892" w:rsidRPr="00ED1892" w:rsidRDefault="003D4ECF" w:rsidP="003D4ECF">
      <w:pPr>
        <w:rPr>
          <w:rFonts w:ascii="Arial" w:hAnsi="Arial" w:cs="Arial"/>
          <w:color w:val="000000"/>
          <w:lang w:val="en-US"/>
        </w:rPr>
      </w:pPr>
      <w:r w:rsidRPr="003776A2">
        <w:rPr>
          <w:rFonts w:ascii="Arial" w:hAnsi="Arial" w:cs="Arial"/>
          <w:color w:val="000000"/>
        </w:rPr>
        <w:t xml:space="preserve">Rastogi, A. (2025) ‘The Role of Green Supply Chain Practices: Exploring Customer Preferences and Perception in Marketing Sustainability’, </w:t>
      </w:r>
      <w:r w:rsidRPr="003776A2">
        <w:rPr>
          <w:rFonts w:ascii="Arial" w:hAnsi="Arial" w:cs="Arial"/>
          <w:i/>
          <w:iCs/>
          <w:color w:val="000000"/>
        </w:rPr>
        <w:t>INTERNATIONAL JOURNAL OF SCIENTIFIC RESEARCH IN ENGINEERING AND MANAGEMENT</w:t>
      </w:r>
      <w:r w:rsidRPr="003776A2">
        <w:rPr>
          <w:rFonts w:ascii="Arial" w:hAnsi="Arial" w:cs="Arial"/>
          <w:color w:val="000000"/>
        </w:rPr>
        <w:t xml:space="preserve">, 09(05), pp. 1–9. Available at: </w:t>
      </w:r>
      <w:hyperlink r:id="rId17" w:history="1">
        <w:r w:rsidR="00ED1892" w:rsidRPr="00077197">
          <w:rPr>
            <w:rStyle w:val="Hyperlink"/>
            <w:rFonts w:ascii="Arial" w:hAnsi="Arial" w:cs="Arial"/>
          </w:rPr>
          <w:t>https://doi.org/10.55041</w:t>
        </w:r>
        <w:r w:rsidR="00ED1892" w:rsidRPr="00077197">
          <w:rPr>
            <w:rStyle w:val="Hyperlink"/>
            <w:rFonts w:ascii="Arial" w:hAnsi="Arial" w:cs="Arial"/>
          </w:rPr>
          <w:t>/</w:t>
        </w:r>
        <w:r w:rsidR="00ED1892" w:rsidRPr="00077197">
          <w:rPr>
            <w:rStyle w:val="Hyperlink"/>
            <w:rFonts w:ascii="Arial" w:hAnsi="Arial" w:cs="Arial"/>
          </w:rPr>
          <w:t>ijsrem49232</w:t>
        </w:r>
      </w:hyperlink>
      <w:r w:rsidRPr="003776A2">
        <w:rPr>
          <w:rFonts w:ascii="Arial" w:hAnsi="Arial" w:cs="Arial"/>
          <w:color w:val="000000"/>
        </w:rPr>
        <w:t>.</w:t>
      </w:r>
    </w:p>
    <w:p w14:paraId="45572973" w14:textId="07623FC8" w:rsidR="00ED1892" w:rsidRPr="00ED1892" w:rsidRDefault="003D4ECF" w:rsidP="003D4ECF">
      <w:pPr>
        <w:rPr>
          <w:rFonts w:ascii="Arial" w:hAnsi="Arial" w:cs="Arial"/>
          <w:color w:val="000000"/>
          <w:lang w:val="en-US"/>
        </w:rPr>
      </w:pPr>
      <w:r w:rsidRPr="003776A2">
        <w:rPr>
          <w:rFonts w:ascii="Arial" w:hAnsi="Arial" w:cs="Arial"/>
          <w:color w:val="000000"/>
        </w:rPr>
        <w:t xml:space="preserve">Rego, L. </w:t>
      </w:r>
      <w:r w:rsidRPr="003776A2">
        <w:rPr>
          <w:rFonts w:ascii="Arial" w:hAnsi="Arial" w:cs="Arial"/>
          <w:i/>
          <w:iCs/>
          <w:color w:val="000000"/>
        </w:rPr>
        <w:t>et al.</w:t>
      </w:r>
      <w:r w:rsidRPr="003776A2">
        <w:rPr>
          <w:rFonts w:ascii="Arial" w:hAnsi="Arial" w:cs="Arial"/>
          <w:color w:val="000000"/>
        </w:rPr>
        <w:t xml:space="preserve"> (2022) ‘Brand Response To Environmental Turbulence:A Framework And Propositions For Resistance, Recovery And Reinvention’, </w:t>
      </w:r>
      <w:r w:rsidRPr="003776A2">
        <w:rPr>
          <w:rFonts w:ascii="Arial" w:hAnsi="Arial" w:cs="Arial"/>
          <w:i/>
          <w:iCs/>
          <w:color w:val="000000"/>
        </w:rPr>
        <w:t>International Journal of Research in Marketing</w:t>
      </w:r>
      <w:r w:rsidRPr="003776A2">
        <w:rPr>
          <w:rFonts w:ascii="Arial" w:hAnsi="Arial" w:cs="Arial"/>
          <w:color w:val="000000"/>
        </w:rPr>
        <w:t xml:space="preserve">, 39(2). Available at: </w:t>
      </w:r>
      <w:hyperlink r:id="rId18" w:history="1">
        <w:r w:rsidR="00ED1892" w:rsidRPr="00077197">
          <w:rPr>
            <w:rStyle w:val="Hyperlink"/>
            <w:rFonts w:ascii="Arial" w:hAnsi="Arial" w:cs="Arial"/>
          </w:rPr>
          <w:t>https://doi.org/10.1016/j.ijresmar.202</w:t>
        </w:r>
        <w:r w:rsidR="00ED1892" w:rsidRPr="00077197">
          <w:rPr>
            <w:rStyle w:val="Hyperlink"/>
            <w:rFonts w:ascii="Arial" w:hAnsi="Arial" w:cs="Arial"/>
          </w:rPr>
          <w:t>1</w:t>
        </w:r>
        <w:r w:rsidR="00ED1892" w:rsidRPr="00077197">
          <w:rPr>
            <w:rStyle w:val="Hyperlink"/>
            <w:rFonts w:ascii="Arial" w:hAnsi="Arial" w:cs="Arial"/>
          </w:rPr>
          <w:t>.10.006</w:t>
        </w:r>
      </w:hyperlink>
      <w:r w:rsidRPr="003776A2">
        <w:rPr>
          <w:rFonts w:ascii="Arial" w:hAnsi="Arial" w:cs="Arial"/>
          <w:color w:val="000000"/>
        </w:rPr>
        <w:t>.</w:t>
      </w:r>
    </w:p>
    <w:p w14:paraId="25C4BD99" w14:textId="09538BA6" w:rsidR="003D4ECF" w:rsidRDefault="003D4ECF" w:rsidP="003D4ECF">
      <w:pPr>
        <w:rPr>
          <w:rFonts w:ascii="Arial" w:hAnsi="Arial" w:cs="Arial"/>
          <w:color w:val="000000"/>
          <w:lang w:val="en-US"/>
        </w:rPr>
      </w:pPr>
      <w:r w:rsidRPr="003776A2">
        <w:rPr>
          <w:rFonts w:ascii="Arial" w:hAnsi="Arial" w:cs="Arial"/>
          <w:color w:val="000000"/>
        </w:rPr>
        <w:lastRenderedPageBreak/>
        <w:t xml:space="preserve">Saura, J.R., Ribeiro-Soriano, D. and Palacios-Marqués, D. (2021) ‘Setting B2B digital marketing in artificial intelligence-based CRMs: A review and directions for future research’, </w:t>
      </w:r>
      <w:r w:rsidRPr="003776A2">
        <w:rPr>
          <w:rFonts w:ascii="Arial" w:hAnsi="Arial" w:cs="Arial"/>
          <w:i/>
          <w:iCs/>
          <w:color w:val="000000"/>
        </w:rPr>
        <w:t>Industrial Marketing Management</w:t>
      </w:r>
      <w:r w:rsidRPr="003776A2">
        <w:rPr>
          <w:rFonts w:ascii="Arial" w:hAnsi="Arial" w:cs="Arial"/>
          <w:color w:val="000000"/>
        </w:rPr>
        <w:t xml:space="preserve">, 98, pp. 161–178. Available at: </w:t>
      </w:r>
      <w:hyperlink r:id="rId19" w:history="1">
        <w:r w:rsidR="00ED1892" w:rsidRPr="00077197">
          <w:rPr>
            <w:rStyle w:val="Hyperlink"/>
            <w:rFonts w:ascii="Arial" w:hAnsi="Arial" w:cs="Arial"/>
          </w:rPr>
          <w:t>https://doi.org/10.1016/j.indmarman.20</w:t>
        </w:r>
        <w:r w:rsidR="00ED1892" w:rsidRPr="00077197">
          <w:rPr>
            <w:rStyle w:val="Hyperlink"/>
            <w:rFonts w:ascii="Arial" w:hAnsi="Arial" w:cs="Arial"/>
          </w:rPr>
          <w:t>2</w:t>
        </w:r>
        <w:r w:rsidR="00ED1892" w:rsidRPr="00077197">
          <w:rPr>
            <w:rStyle w:val="Hyperlink"/>
            <w:rFonts w:ascii="Arial" w:hAnsi="Arial" w:cs="Arial"/>
          </w:rPr>
          <w:t>1.08.006</w:t>
        </w:r>
      </w:hyperlink>
      <w:r w:rsidRPr="003776A2">
        <w:rPr>
          <w:rFonts w:ascii="Arial" w:hAnsi="Arial" w:cs="Arial"/>
          <w:color w:val="000000"/>
        </w:rPr>
        <w:t>.</w:t>
      </w:r>
    </w:p>
    <w:p w14:paraId="3E89C6FA" w14:textId="77777777" w:rsidR="00ED1892" w:rsidRPr="00ED1892" w:rsidRDefault="00ED1892" w:rsidP="003D4ECF">
      <w:pPr>
        <w:rPr>
          <w:rFonts w:ascii="Arial" w:hAnsi="Arial" w:cs="Arial"/>
          <w:color w:val="000000"/>
          <w:lang w:val="en-US"/>
        </w:rPr>
      </w:pPr>
    </w:p>
    <w:p w14:paraId="07AA6E7A" w14:textId="77777777" w:rsidR="003D4ECF" w:rsidRPr="003776A2" w:rsidRDefault="003D4ECF" w:rsidP="003D4ECF">
      <w:pPr>
        <w:rPr>
          <w:rFonts w:ascii="Arial" w:hAnsi="Arial" w:cs="Arial"/>
        </w:rPr>
      </w:pPr>
    </w:p>
    <w:p w14:paraId="305CF445" w14:textId="77777777" w:rsidR="003D4ECF" w:rsidRPr="003776A2" w:rsidRDefault="003D4ECF" w:rsidP="003D4ECF">
      <w:pPr>
        <w:rPr>
          <w:rFonts w:ascii="Arial" w:hAnsi="Arial" w:cs="Arial"/>
        </w:rPr>
      </w:pPr>
    </w:p>
    <w:p w14:paraId="690F07AA" w14:textId="77777777" w:rsidR="00834369" w:rsidRPr="003776A2" w:rsidRDefault="00834369" w:rsidP="003D4ECF">
      <w:pPr>
        <w:rPr>
          <w:rFonts w:ascii="Arial" w:hAnsi="Arial" w:cs="Arial"/>
        </w:rPr>
      </w:pPr>
    </w:p>
    <w:sectPr w:rsidR="00834369" w:rsidRPr="003776A2" w:rsidSect="00562DF2">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5FA4C" w14:textId="77777777" w:rsidR="002341EB" w:rsidRDefault="002341EB" w:rsidP="00CD3D2B">
      <w:r>
        <w:separator/>
      </w:r>
    </w:p>
  </w:endnote>
  <w:endnote w:type="continuationSeparator" w:id="0">
    <w:p w14:paraId="553C3CF9" w14:textId="77777777" w:rsidR="002341EB" w:rsidRDefault="002341EB"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8EBE9" w14:textId="77777777" w:rsidR="002341EB" w:rsidRDefault="002341EB" w:rsidP="00CD3D2B">
      <w:r>
        <w:separator/>
      </w:r>
    </w:p>
  </w:footnote>
  <w:footnote w:type="continuationSeparator" w:id="0">
    <w:p w14:paraId="47BC527C" w14:textId="77777777" w:rsidR="002341EB" w:rsidRDefault="002341EB"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17"/>
  </w:num>
  <w:num w:numId="2" w16cid:durableId="2122604883">
    <w:abstractNumId w:val="1"/>
  </w:num>
  <w:num w:numId="3" w16cid:durableId="1286472407">
    <w:abstractNumId w:val="8"/>
  </w:num>
  <w:num w:numId="4" w16cid:durableId="331644281">
    <w:abstractNumId w:val="20"/>
  </w:num>
  <w:num w:numId="5" w16cid:durableId="980620283">
    <w:abstractNumId w:val="10"/>
  </w:num>
  <w:num w:numId="6" w16cid:durableId="1510290980">
    <w:abstractNumId w:val="18"/>
  </w:num>
  <w:num w:numId="7" w16cid:durableId="644555557">
    <w:abstractNumId w:val="5"/>
  </w:num>
  <w:num w:numId="8" w16cid:durableId="1079444970">
    <w:abstractNumId w:val="2"/>
  </w:num>
  <w:num w:numId="9" w16cid:durableId="697318361">
    <w:abstractNumId w:val="9"/>
  </w:num>
  <w:num w:numId="10" w16cid:durableId="1805997788">
    <w:abstractNumId w:val="6"/>
  </w:num>
  <w:num w:numId="11" w16cid:durableId="168755656">
    <w:abstractNumId w:val="4"/>
  </w:num>
  <w:num w:numId="12" w16cid:durableId="2027949617">
    <w:abstractNumId w:val="11"/>
  </w:num>
  <w:num w:numId="13" w16cid:durableId="49959725">
    <w:abstractNumId w:val="12"/>
  </w:num>
  <w:num w:numId="14" w16cid:durableId="1234389626">
    <w:abstractNumId w:val="19"/>
  </w:num>
  <w:num w:numId="15" w16cid:durableId="465972463">
    <w:abstractNumId w:val="3"/>
  </w:num>
  <w:num w:numId="16" w16cid:durableId="298726687">
    <w:abstractNumId w:val="15"/>
  </w:num>
  <w:num w:numId="17" w16cid:durableId="1875531569">
    <w:abstractNumId w:val="14"/>
  </w:num>
  <w:num w:numId="18" w16cid:durableId="950672849">
    <w:abstractNumId w:val="0"/>
  </w:num>
  <w:num w:numId="19" w16cid:durableId="1900554292">
    <w:abstractNumId w:val="13"/>
  </w:num>
  <w:num w:numId="20" w16cid:durableId="95445685">
    <w:abstractNumId w:val="16"/>
  </w:num>
  <w:num w:numId="21" w16cid:durableId="1028457272">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173E0"/>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41EB"/>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2503"/>
    <w:rsid w:val="00345654"/>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776A2"/>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4ECF"/>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2B8B"/>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3E55"/>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0504"/>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76"/>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6695"/>
    <w:rsid w:val="00A676C5"/>
    <w:rsid w:val="00A71DC1"/>
    <w:rsid w:val="00A74763"/>
    <w:rsid w:val="00A77F6D"/>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12133"/>
    <w:rsid w:val="00C13D0D"/>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05A"/>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3F1F"/>
    <w:rsid w:val="00DD4713"/>
    <w:rsid w:val="00DD73F8"/>
    <w:rsid w:val="00DF11C2"/>
    <w:rsid w:val="00DF160C"/>
    <w:rsid w:val="00DF69A4"/>
    <w:rsid w:val="00DF772B"/>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1892"/>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2A04"/>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8C3790"/>
    <w:pPr>
      <w:keepNext/>
      <w:keepLines/>
      <w:spacing w:before="240"/>
      <w:outlineLvl w:val="0"/>
    </w:pPr>
    <w:rPr>
      <w:rFonts w:cstheme="majorBidi"/>
      <w:b/>
      <w:sz w:val="32"/>
      <w:szCs w:val="32"/>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lang/>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IntenseQuote">
    <w:name w:val="Intense Quote"/>
    <w:basedOn w:val="Normal"/>
    <w:next w:val="Normal"/>
    <w:link w:val="IntenseQuoteChar"/>
    <w:uiPriority w:val="30"/>
    <w:qFormat/>
    <w:rsid w:val="00D1605A"/>
    <w:pPr>
      <w:pBdr>
        <w:top w:val="single" w:sz="4" w:space="10" w:color="4472C4" w:themeColor="accent1"/>
        <w:bottom w:val="single" w:sz="4" w:space="10" w:color="4472C4" w:themeColor="accent1"/>
      </w:pBdr>
      <w:spacing w:before="360" w:after="360"/>
      <w:ind w:left="864" w:right="864"/>
      <w:jc w:val="center"/>
    </w:pPr>
    <w:rPr>
      <w:rFonts w:eastAsiaTheme="minorEastAsia" w:cstheme="minorBidi"/>
      <w:i/>
      <w:iCs/>
      <w:color w:val="4472C4" w:themeColor="accent1"/>
      <w:szCs w:val="21"/>
      <w:lang w:val="en-GB" w:eastAsia="en-US" w:bidi="ar-SA"/>
      <w14:ligatures w14:val="standardContextual"/>
    </w:rPr>
  </w:style>
  <w:style w:type="character" w:customStyle="1" w:styleId="IntenseQuoteChar">
    <w:name w:val="Intense Quote Char"/>
    <w:basedOn w:val="DefaultParagraphFont"/>
    <w:link w:val="IntenseQuote"/>
    <w:uiPriority w:val="30"/>
    <w:rsid w:val="00D1605A"/>
    <w:rPr>
      <w:rFonts w:ascii="Times New Roman" w:eastAsiaTheme="minorEastAsia" w:hAnsi="Times New Roman"/>
      <w:i/>
      <w:iCs/>
      <w:color w:val="4472C4" w:themeColor="accent1"/>
      <w:sz w:val="24"/>
      <w:szCs w:val="21"/>
      <w:lang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56202631">
      <w:bodyDiv w:val="1"/>
      <w:marLeft w:val="0"/>
      <w:marRight w:val="0"/>
      <w:marTop w:val="0"/>
      <w:marBottom w:val="0"/>
      <w:divBdr>
        <w:top w:val="none" w:sz="0" w:space="0" w:color="auto"/>
        <w:left w:val="none" w:sz="0" w:space="0" w:color="auto"/>
        <w:bottom w:val="none" w:sz="0" w:space="0" w:color="auto"/>
        <w:right w:val="none" w:sz="0" w:space="0" w:color="auto"/>
      </w:divBdr>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5961183">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429218">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1388144">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14317">
      <w:bodyDiv w:val="1"/>
      <w:marLeft w:val="0"/>
      <w:marRight w:val="0"/>
      <w:marTop w:val="0"/>
      <w:marBottom w:val="0"/>
      <w:divBdr>
        <w:top w:val="none" w:sz="0" w:space="0" w:color="auto"/>
        <w:left w:val="none" w:sz="0" w:space="0" w:color="auto"/>
        <w:bottom w:val="none" w:sz="0" w:space="0" w:color="auto"/>
        <w:right w:val="none" w:sz="0" w:space="0" w:color="auto"/>
      </w:divBdr>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209606">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08/bfj-01-2023-0010" TargetMode="External"/><Relationship Id="rId18" Type="http://schemas.openxmlformats.org/officeDocument/2006/relationships/hyperlink" Target="https://doi.org/10.1016/j.ijresmar.2021.10.0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enpol.2022.113249" TargetMode="External"/><Relationship Id="rId17" Type="http://schemas.openxmlformats.org/officeDocument/2006/relationships/hyperlink" Target="https://doi.org/10.55041/ijsrem49232" TargetMode="External"/><Relationship Id="rId2" Type="http://schemas.openxmlformats.org/officeDocument/2006/relationships/numbering" Target="numbering.xml"/><Relationship Id="rId16" Type="http://schemas.openxmlformats.org/officeDocument/2006/relationships/hyperlink" Target="https://doi.org/10.1016/j.gloenvcha.2021.10235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en13051080" TargetMode="External"/><Relationship Id="rId5" Type="http://schemas.openxmlformats.org/officeDocument/2006/relationships/webSettings" Target="webSettings.xml"/><Relationship Id="rId15" Type="http://schemas.openxmlformats.org/officeDocument/2006/relationships/hyperlink" Target="https://doi.org/10.1016/j.bushor.2020.12.004" TargetMode="External"/><Relationship Id="rId10" Type="http://schemas.openxmlformats.org/officeDocument/2006/relationships/hyperlink" Target="https://doi.org/10.1016/j.ijresmar.2021.09.004" TargetMode="External"/><Relationship Id="rId19" Type="http://schemas.openxmlformats.org/officeDocument/2006/relationships/hyperlink" Target="https://doi.org/10.1016/j.indmarman.2021.08.00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39/ssrn.457504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3588</Words>
  <Characters>20457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2025-11-19T19:40:00Z</dcterms:created>
  <dcterms:modified xsi:type="dcterms:W3CDTF">2025-11-20T23:08:00Z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