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86663" w14:textId="465AADF7" w:rsidR="0ECF722B" w:rsidRDefault="22FED36F" w:rsidP="0ECF722B">
      <w:pPr>
        <w:spacing w:line="360" w:lineRule="auto"/>
        <w:jc w:val="both"/>
        <w:rPr>
          <w:rFonts w:ascii="Calibri" w:hAnsi="Calibri" w:cs="Calibri"/>
          <w:sz w:val="40"/>
          <w:szCs w:val="40"/>
          <w:u w:val="single"/>
        </w:rPr>
      </w:pPr>
      <w:r w:rsidRPr="210912F8">
        <w:rPr>
          <w:rFonts w:ascii="Calibri" w:hAnsi="Calibri" w:cs="Calibri"/>
          <w:sz w:val="40"/>
          <w:szCs w:val="40"/>
          <w:u w:val="single"/>
        </w:rPr>
        <w:t xml:space="preserve">Contents Page: </w:t>
      </w:r>
    </w:p>
    <w:p w14:paraId="45A22C7C" w14:textId="5D401CD6" w:rsidR="003A45EF" w:rsidRPr="00A54597" w:rsidRDefault="003A45EF" w:rsidP="07DCC5A9">
      <w:pPr>
        <w:spacing w:line="360" w:lineRule="auto"/>
        <w:jc w:val="both"/>
        <w:rPr>
          <w:rFonts w:ascii="Calibri" w:hAnsi="Calibri" w:cs="Calibri"/>
          <w:sz w:val="40"/>
          <w:szCs w:val="40"/>
          <w:u w:val="single"/>
        </w:rPr>
      </w:pPr>
    </w:p>
    <w:p w14:paraId="6ADD6056" w14:textId="6FB8E019" w:rsidR="003A45EF" w:rsidRPr="00A54597" w:rsidRDefault="003A45EF" w:rsidP="07DCC5A9">
      <w:pPr>
        <w:spacing w:line="360" w:lineRule="auto"/>
        <w:jc w:val="both"/>
        <w:rPr>
          <w:rFonts w:ascii="Calibri" w:hAnsi="Calibri" w:cs="Calibri"/>
          <w:sz w:val="40"/>
          <w:szCs w:val="40"/>
          <w:u w:val="single"/>
        </w:rPr>
      </w:pPr>
    </w:p>
    <w:sdt>
      <w:sdtPr>
        <w:id w:val="902885628"/>
        <w:docPartObj>
          <w:docPartGallery w:val="Table of Contents"/>
          <w:docPartUnique/>
        </w:docPartObj>
      </w:sdtPr>
      <w:sdtEndPr/>
      <w:sdtContent>
        <w:p w14:paraId="30E1D1F3" w14:textId="751EEF3D" w:rsidR="2683CBEE" w:rsidRDefault="309B7FDD" w:rsidP="735DD207">
          <w:pPr>
            <w:pStyle w:val="TOC1"/>
            <w:tabs>
              <w:tab w:val="right" w:leader="dot" w:pos="9015"/>
            </w:tabs>
            <w:spacing w:line="360" w:lineRule="auto"/>
            <w:rPr>
              <w:rStyle w:val="Hyperlink"/>
            </w:rPr>
          </w:pPr>
          <w:r>
            <w:fldChar w:fldCharType="begin"/>
          </w:r>
          <w:r w:rsidR="2777EBF8">
            <w:instrText>TOC \o "1-9" \z \u \h</w:instrText>
          </w:r>
          <w:r>
            <w:fldChar w:fldCharType="separate"/>
          </w:r>
          <w:hyperlink w:anchor="_Toc478882361">
            <w:r w:rsidR="2079AE57" w:rsidRPr="2079AE57">
              <w:rPr>
                <w:rStyle w:val="Hyperlink"/>
              </w:rPr>
              <w:t>2.0 Introduction</w:t>
            </w:r>
            <w:r w:rsidR="2777EBF8">
              <w:tab/>
            </w:r>
            <w:r w:rsidR="2777EBF8">
              <w:fldChar w:fldCharType="begin"/>
            </w:r>
            <w:r w:rsidR="2777EBF8">
              <w:instrText>PAGEREF _Toc478882361 \h</w:instrText>
            </w:r>
            <w:r w:rsidR="2777EBF8">
              <w:fldChar w:fldCharType="separate"/>
            </w:r>
            <w:r w:rsidR="2079AE57" w:rsidRPr="2079AE57">
              <w:rPr>
                <w:rStyle w:val="Hyperlink"/>
              </w:rPr>
              <w:t>1</w:t>
            </w:r>
            <w:r w:rsidR="2777EBF8">
              <w:fldChar w:fldCharType="end"/>
            </w:r>
          </w:hyperlink>
        </w:p>
        <w:p w14:paraId="71E5B335" w14:textId="5B2F7446" w:rsidR="2683CBEE" w:rsidRDefault="0003182A" w:rsidP="735DD207">
          <w:pPr>
            <w:pStyle w:val="TOC1"/>
            <w:tabs>
              <w:tab w:val="right" w:leader="dot" w:pos="9015"/>
            </w:tabs>
            <w:spacing w:line="360" w:lineRule="auto"/>
            <w:rPr>
              <w:rStyle w:val="Hyperlink"/>
            </w:rPr>
          </w:pPr>
          <w:hyperlink w:anchor="_Toc1358506926">
            <w:r w:rsidR="2079AE57" w:rsidRPr="2079AE57">
              <w:rPr>
                <w:rStyle w:val="Hyperlink"/>
              </w:rPr>
              <w:t>2.1 Youth sport</w:t>
            </w:r>
            <w:r w:rsidR="309B7FDD">
              <w:tab/>
            </w:r>
            <w:r w:rsidR="309B7FDD">
              <w:fldChar w:fldCharType="begin"/>
            </w:r>
            <w:r w:rsidR="309B7FDD">
              <w:instrText>PAGEREF _Toc1358506926 \h</w:instrText>
            </w:r>
            <w:r w:rsidR="309B7FDD">
              <w:fldChar w:fldCharType="separate"/>
            </w:r>
            <w:r w:rsidR="2079AE57" w:rsidRPr="2079AE57">
              <w:rPr>
                <w:rStyle w:val="Hyperlink"/>
              </w:rPr>
              <w:t>2</w:t>
            </w:r>
            <w:r w:rsidR="309B7FDD">
              <w:fldChar w:fldCharType="end"/>
            </w:r>
          </w:hyperlink>
        </w:p>
        <w:p w14:paraId="04396847" w14:textId="4E4A1A26" w:rsidR="2683CBEE" w:rsidRDefault="0003182A" w:rsidP="735DD207">
          <w:pPr>
            <w:pStyle w:val="TOC1"/>
            <w:tabs>
              <w:tab w:val="right" w:leader="dot" w:pos="9015"/>
            </w:tabs>
            <w:spacing w:line="360" w:lineRule="auto"/>
            <w:rPr>
              <w:rStyle w:val="Hyperlink"/>
            </w:rPr>
          </w:pPr>
          <w:hyperlink w:anchor="_Toc1253910080">
            <w:r w:rsidR="2079AE57" w:rsidRPr="2079AE57">
              <w:rPr>
                <w:rStyle w:val="Hyperlink"/>
              </w:rPr>
              <w:t>2.2 Talent development pathways</w:t>
            </w:r>
            <w:r w:rsidR="309B7FDD">
              <w:tab/>
            </w:r>
            <w:r w:rsidR="309B7FDD">
              <w:fldChar w:fldCharType="begin"/>
            </w:r>
            <w:r w:rsidR="309B7FDD">
              <w:instrText>PAGEREF _Toc1253910080 \h</w:instrText>
            </w:r>
            <w:r w:rsidR="309B7FDD">
              <w:fldChar w:fldCharType="separate"/>
            </w:r>
            <w:r w:rsidR="2079AE57" w:rsidRPr="2079AE57">
              <w:rPr>
                <w:rStyle w:val="Hyperlink"/>
              </w:rPr>
              <w:t>4</w:t>
            </w:r>
            <w:r w:rsidR="309B7FDD">
              <w:fldChar w:fldCharType="end"/>
            </w:r>
          </w:hyperlink>
        </w:p>
        <w:p w14:paraId="524F3E27" w14:textId="785D95CF" w:rsidR="2683CBEE" w:rsidRDefault="0003182A" w:rsidP="735DD207">
          <w:pPr>
            <w:pStyle w:val="TOC1"/>
            <w:tabs>
              <w:tab w:val="right" w:leader="dot" w:pos="9015"/>
            </w:tabs>
            <w:spacing w:line="360" w:lineRule="auto"/>
            <w:rPr>
              <w:rStyle w:val="Hyperlink"/>
            </w:rPr>
          </w:pPr>
          <w:hyperlink w:anchor="_Toc453382366">
            <w:r w:rsidR="2079AE57" w:rsidRPr="2079AE57">
              <w:rPr>
                <w:rStyle w:val="Hyperlink"/>
              </w:rPr>
              <w:t>2.3 Youth Football Development</w:t>
            </w:r>
            <w:r w:rsidR="309B7FDD">
              <w:tab/>
            </w:r>
            <w:r w:rsidR="309B7FDD">
              <w:fldChar w:fldCharType="begin"/>
            </w:r>
            <w:r w:rsidR="309B7FDD">
              <w:instrText>PAGEREF _Toc453382366 \h</w:instrText>
            </w:r>
            <w:r w:rsidR="309B7FDD">
              <w:fldChar w:fldCharType="separate"/>
            </w:r>
            <w:r w:rsidR="2079AE57" w:rsidRPr="2079AE57">
              <w:rPr>
                <w:rStyle w:val="Hyperlink"/>
              </w:rPr>
              <w:t>6</w:t>
            </w:r>
            <w:r w:rsidR="309B7FDD">
              <w:fldChar w:fldCharType="end"/>
            </w:r>
          </w:hyperlink>
        </w:p>
        <w:p w14:paraId="6C4F1D3F" w14:textId="7DAD86E2" w:rsidR="2683CBEE" w:rsidRDefault="0003182A" w:rsidP="735DD207">
          <w:pPr>
            <w:pStyle w:val="TOC1"/>
            <w:tabs>
              <w:tab w:val="right" w:leader="dot" w:pos="9015"/>
            </w:tabs>
            <w:spacing w:line="360" w:lineRule="auto"/>
            <w:rPr>
              <w:rStyle w:val="Hyperlink"/>
            </w:rPr>
          </w:pPr>
          <w:hyperlink w:anchor="_Toc1318915528">
            <w:r w:rsidR="2079AE57" w:rsidRPr="2079AE57">
              <w:rPr>
                <w:rStyle w:val="Hyperlink"/>
              </w:rPr>
              <w:t>2.4 Coach Education and Continuous learning</w:t>
            </w:r>
            <w:r w:rsidR="309B7FDD">
              <w:tab/>
            </w:r>
            <w:r w:rsidR="309B7FDD">
              <w:fldChar w:fldCharType="begin"/>
            </w:r>
            <w:r w:rsidR="309B7FDD">
              <w:instrText>PAGEREF _Toc1318915528 \h</w:instrText>
            </w:r>
            <w:r w:rsidR="309B7FDD">
              <w:fldChar w:fldCharType="separate"/>
            </w:r>
            <w:r w:rsidR="2079AE57" w:rsidRPr="2079AE57">
              <w:rPr>
                <w:rStyle w:val="Hyperlink"/>
              </w:rPr>
              <w:t>7</w:t>
            </w:r>
            <w:r w:rsidR="309B7FDD">
              <w:fldChar w:fldCharType="end"/>
            </w:r>
          </w:hyperlink>
        </w:p>
        <w:p w14:paraId="2FFA8618" w14:textId="69E1C087" w:rsidR="2683CBEE" w:rsidRDefault="0003182A" w:rsidP="735DD207">
          <w:pPr>
            <w:pStyle w:val="TOC1"/>
            <w:tabs>
              <w:tab w:val="right" w:leader="dot" w:pos="9015"/>
            </w:tabs>
            <w:spacing w:line="360" w:lineRule="auto"/>
            <w:rPr>
              <w:rStyle w:val="Hyperlink"/>
            </w:rPr>
          </w:pPr>
          <w:hyperlink w:anchor="_Toc1685647832">
            <w:r w:rsidR="2079AE57" w:rsidRPr="2079AE57">
              <w:rPr>
                <w:rStyle w:val="Hyperlink"/>
              </w:rPr>
              <w:t>2.5 Coaching Practice</w:t>
            </w:r>
            <w:r w:rsidR="309B7FDD">
              <w:tab/>
            </w:r>
            <w:r w:rsidR="309B7FDD">
              <w:fldChar w:fldCharType="begin"/>
            </w:r>
            <w:r w:rsidR="309B7FDD">
              <w:instrText>PAGEREF _Toc1685647832 \h</w:instrText>
            </w:r>
            <w:r w:rsidR="309B7FDD">
              <w:fldChar w:fldCharType="separate"/>
            </w:r>
            <w:r w:rsidR="2079AE57" w:rsidRPr="2079AE57">
              <w:rPr>
                <w:rStyle w:val="Hyperlink"/>
              </w:rPr>
              <w:t>8</w:t>
            </w:r>
            <w:r w:rsidR="309B7FDD">
              <w:fldChar w:fldCharType="end"/>
            </w:r>
          </w:hyperlink>
        </w:p>
        <w:p w14:paraId="79614889" w14:textId="64D7FE4E" w:rsidR="2683CBEE" w:rsidRDefault="0003182A" w:rsidP="2777EBF8">
          <w:pPr>
            <w:pStyle w:val="TOC2"/>
            <w:tabs>
              <w:tab w:val="right" w:leader="dot" w:pos="9015"/>
            </w:tabs>
            <w:spacing w:line="360" w:lineRule="auto"/>
            <w:rPr>
              <w:rStyle w:val="Hyperlink"/>
            </w:rPr>
          </w:pPr>
          <w:hyperlink w:anchor="_Toc1053397439">
            <w:r w:rsidR="2079AE57" w:rsidRPr="2079AE57">
              <w:rPr>
                <w:rStyle w:val="Hyperlink"/>
              </w:rPr>
              <w:t>2.5a Behaviourist Learning Theory</w:t>
            </w:r>
            <w:r w:rsidR="309B7FDD">
              <w:tab/>
            </w:r>
            <w:r w:rsidR="309B7FDD">
              <w:fldChar w:fldCharType="begin"/>
            </w:r>
            <w:r w:rsidR="309B7FDD">
              <w:instrText>PAGEREF _Toc1053397439 \h</w:instrText>
            </w:r>
            <w:r w:rsidR="309B7FDD">
              <w:fldChar w:fldCharType="separate"/>
            </w:r>
            <w:r w:rsidR="2079AE57" w:rsidRPr="2079AE57">
              <w:rPr>
                <w:rStyle w:val="Hyperlink"/>
              </w:rPr>
              <w:t>9</w:t>
            </w:r>
            <w:r w:rsidR="309B7FDD">
              <w:fldChar w:fldCharType="end"/>
            </w:r>
          </w:hyperlink>
        </w:p>
        <w:p w14:paraId="21F8AAC9" w14:textId="7B5F3D37" w:rsidR="2683CBEE" w:rsidRDefault="0003182A" w:rsidP="2777EBF8">
          <w:pPr>
            <w:pStyle w:val="TOC2"/>
            <w:tabs>
              <w:tab w:val="right" w:leader="dot" w:pos="9015"/>
            </w:tabs>
            <w:spacing w:line="360" w:lineRule="auto"/>
            <w:rPr>
              <w:rStyle w:val="Hyperlink"/>
            </w:rPr>
          </w:pPr>
          <w:hyperlink w:anchor="_Toc1054454378">
            <w:r w:rsidR="2079AE57" w:rsidRPr="2079AE57">
              <w:rPr>
                <w:rStyle w:val="Hyperlink"/>
              </w:rPr>
              <w:t>2.5b Cognitivist Learning Theories</w:t>
            </w:r>
            <w:r w:rsidR="309B7FDD">
              <w:tab/>
            </w:r>
            <w:r w:rsidR="309B7FDD">
              <w:fldChar w:fldCharType="begin"/>
            </w:r>
            <w:r w:rsidR="309B7FDD">
              <w:instrText>PAGEREF _Toc1054454378 \h</w:instrText>
            </w:r>
            <w:r w:rsidR="309B7FDD">
              <w:fldChar w:fldCharType="separate"/>
            </w:r>
            <w:r w:rsidR="2079AE57" w:rsidRPr="2079AE57">
              <w:rPr>
                <w:rStyle w:val="Hyperlink"/>
              </w:rPr>
              <w:t>9</w:t>
            </w:r>
            <w:r w:rsidR="309B7FDD">
              <w:fldChar w:fldCharType="end"/>
            </w:r>
          </w:hyperlink>
        </w:p>
        <w:p w14:paraId="4B5827B9" w14:textId="6D660269" w:rsidR="2683CBEE" w:rsidRDefault="0003182A" w:rsidP="2777EBF8">
          <w:pPr>
            <w:pStyle w:val="TOC2"/>
            <w:tabs>
              <w:tab w:val="right" w:leader="dot" w:pos="9015"/>
            </w:tabs>
            <w:spacing w:line="360" w:lineRule="auto"/>
            <w:rPr>
              <w:rStyle w:val="Hyperlink"/>
            </w:rPr>
          </w:pPr>
          <w:hyperlink w:anchor="_Toc660381865">
            <w:r w:rsidR="2079AE57" w:rsidRPr="2079AE57">
              <w:rPr>
                <w:rStyle w:val="Hyperlink"/>
              </w:rPr>
              <w:t>2.5c Constructivist Learning Theories</w:t>
            </w:r>
            <w:r w:rsidR="309B7FDD">
              <w:tab/>
            </w:r>
            <w:r w:rsidR="309B7FDD">
              <w:fldChar w:fldCharType="begin"/>
            </w:r>
            <w:r w:rsidR="309B7FDD">
              <w:instrText>PAGEREF _Toc660381865 \h</w:instrText>
            </w:r>
            <w:r w:rsidR="309B7FDD">
              <w:fldChar w:fldCharType="separate"/>
            </w:r>
            <w:r w:rsidR="2079AE57" w:rsidRPr="2079AE57">
              <w:rPr>
                <w:rStyle w:val="Hyperlink"/>
              </w:rPr>
              <w:t>9</w:t>
            </w:r>
            <w:r w:rsidR="309B7FDD">
              <w:fldChar w:fldCharType="end"/>
            </w:r>
          </w:hyperlink>
        </w:p>
        <w:p w14:paraId="15AAB2CE" w14:textId="077F07EF" w:rsidR="2777EBF8" w:rsidRDefault="0003182A" w:rsidP="2777EBF8">
          <w:pPr>
            <w:pStyle w:val="TOC1"/>
            <w:tabs>
              <w:tab w:val="right" w:leader="dot" w:pos="9015"/>
            </w:tabs>
            <w:rPr>
              <w:rStyle w:val="Hyperlink"/>
            </w:rPr>
          </w:pPr>
          <w:hyperlink w:anchor="_Toc299216595">
            <w:r w:rsidR="2079AE57" w:rsidRPr="2079AE57">
              <w:rPr>
                <w:rStyle w:val="Hyperlink"/>
              </w:rPr>
              <w:t>2.6 Conclusion</w:t>
            </w:r>
            <w:r w:rsidR="309B7FDD">
              <w:tab/>
            </w:r>
            <w:r w:rsidR="309B7FDD">
              <w:fldChar w:fldCharType="begin"/>
            </w:r>
            <w:r w:rsidR="309B7FDD">
              <w:instrText>PAGEREF _Toc299216595 \h</w:instrText>
            </w:r>
            <w:r w:rsidR="309B7FDD">
              <w:fldChar w:fldCharType="separate"/>
            </w:r>
            <w:r w:rsidR="2079AE57" w:rsidRPr="2079AE57">
              <w:rPr>
                <w:rStyle w:val="Hyperlink"/>
              </w:rPr>
              <w:t>10</w:t>
            </w:r>
            <w:r w:rsidR="309B7FDD">
              <w:fldChar w:fldCharType="end"/>
            </w:r>
          </w:hyperlink>
        </w:p>
        <w:p w14:paraId="7955A65A" w14:textId="1508EE03" w:rsidR="4D88F8CF" w:rsidRDefault="0003182A" w:rsidP="4D88F8CF">
          <w:pPr>
            <w:pStyle w:val="TOC1"/>
            <w:tabs>
              <w:tab w:val="right" w:leader="dot" w:pos="9015"/>
            </w:tabs>
            <w:rPr>
              <w:rStyle w:val="Hyperlink"/>
            </w:rPr>
          </w:pPr>
          <w:hyperlink w:anchor="_Toc1985847755">
            <w:r w:rsidR="2079AE57" w:rsidRPr="2079AE57">
              <w:rPr>
                <w:rStyle w:val="Hyperlink"/>
              </w:rPr>
              <w:t>2.7 Reference page</w:t>
            </w:r>
            <w:r w:rsidR="309B7FDD">
              <w:tab/>
            </w:r>
            <w:r w:rsidR="309B7FDD">
              <w:fldChar w:fldCharType="begin"/>
            </w:r>
            <w:r w:rsidR="309B7FDD">
              <w:instrText>PAGEREF _Toc1985847755 \h</w:instrText>
            </w:r>
            <w:r w:rsidR="309B7FDD">
              <w:fldChar w:fldCharType="separate"/>
            </w:r>
            <w:r w:rsidR="2079AE57" w:rsidRPr="2079AE57">
              <w:rPr>
                <w:rStyle w:val="Hyperlink"/>
              </w:rPr>
              <w:t>12</w:t>
            </w:r>
            <w:r w:rsidR="309B7FDD">
              <w:fldChar w:fldCharType="end"/>
            </w:r>
          </w:hyperlink>
          <w:r w:rsidR="309B7FDD">
            <w:fldChar w:fldCharType="end"/>
          </w:r>
        </w:p>
      </w:sdtContent>
    </w:sdt>
    <w:p w14:paraId="1B6547EF" w14:textId="68AA2C59" w:rsidR="210912F8" w:rsidRDefault="210912F8" w:rsidP="210912F8">
      <w:pPr>
        <w:spacing w:line="360" w:lineRule="auto"/>
        <w:jc w:val="both"/>
        <w:rPr>
          <w:rFonts w:ascii="Calibri" w:hAnsi="Calibri" w:cs="Calibri"/>
          <w:sz w:val="40"/>
          <w:szCs w:val="40"/>
          <w:u w:val="single"/>
        </w:rPr>
      </w:pPr>
    </w:p>
    <w:p w14:paraId="0A2B5B37" w14:textId="74BA76AE" w:rsidR="20B23020" w:rsidRDefault="20B23020" w:rsidP="20B23020">
      <w:pPr>
        <w:spacing w:line="360" w:lineRule="auto"/>
        <w:jc w:val="both"/>
        <w:rPr>
          <w:rFonts w:ascii="Calibri" w:hAnsi="Calibri" w:cs="Calibri"/>
          <w:u w:val="single"/>
        </w:rPr>
      </w:pPr>
    </w:p>
    <w:p w14:paraId="459430E0" w14:textId="655878BF" w:rsidR="0ECF722B" w:rsidRDefault="0ECF722B" w:rsidP="0ECF722B">
      <w:pPr>
        <w:spacing w:line="360" w:lineRule="auto"/>
        <w:jc w:val="both"/>
        <w:rPr>
          <w:rFonts w:ascii="Calibri" w:hAnsi="Calibri" w:cs="Calibri"/>
          <w:u w:val="single"/>
        </w:rPr>
      </w:pPr>
    </w:p>
    <w:p w14:paraId="38BA0CED" w14:textId="005B48CF" w:rsidR="0ECF722B" w:rsidRDefault="0ECF722B" w:rsidP="0ECF722B">
      <w:pPr>
        <w:spacing w:line="360" w:lineRule="auto"/>
        <w:jc w:val="both"/>
        <w:rPr>
          <w:rFonts w:ascii="Calibri" w:hAnsi="Calibri" w:cs="Calibri"/>
          <w:u w:val="single"/>
        </w:rPr>
      </w:pPr>
    </w:p>
    <w:p w14:paraId="74B9F0D7" w14:textId="4197DFDA" w:rsidR="0ECF722B" w:rsidRDefault="0ECF722B" w:rsidP="0ECF722B">
      <w:pPr>
        <w:spacing w:line="360" w:lineRule="auto"/>
        <w:jc w:val="both"/>
        <w:rPr>
          <w:rFonts w:ascii="Calibri" w:hAnsi="Calibri" w:cs="Calibri"/>
          <w:u w:val="single"/>
        </w:rPr>
      </w:pPr>
    </w:p>
    <w:p w14:paraId="6FC15756" w14:textId="6BA6D897" w:rsidR="0ECF722B" w:rsidRDefault="0ECF722B" w:rsidP="0ECF722B">
      <w:pPr>
        <w:spacing w:line="360" w:lineRule="auto"/>
        <w:jc w:val="both"/>
        <w:rPr>
          <w:rFonts w:ascii="Calibri" w:hAnsi="Calibri" w:cs="Calibri"/>
          <w:u w:val="single"/>
        </w:rPr>
      </w:pPr>
    </w:p>
    <w:p w14:paraId="57C00E38" w14:textId="2CB1AC61" w:rsidR="0ECF722B" w:rsidRDefault="0ECF722B" w:rsidP="0ECF722B">
      <w:pPr>
        <w:spacing w:line="360" w:lineRule="auto"/>
        <w:jc w:val="both"/>
        <w:rPr>
          <w:rFonts w:ascii="Calibri" w:hAnsi="Calibri" w:cs="Calibri"/>
          <w:u w:val="single"/>
        </w:rPr>
      </w:pPr>
    </w:p>
    <w:p w14:paraId="3C941673" w14:textId="21AD42B1" w:rsidR="0ECF722B" w:rsidRDefault="0ECF722B" w:rsidP="0ECF722B">
      <w:pPr>
        <w:spacing w:line="360" w:lineRule="auto"/>
        <w:jc w:val="both"/>
        <w:rPr>
          <w:rFonts w:ascii="Calibri" w:hAnsi="Calibri" w:cs="Calibri"/>
          <w:u w:val="single"/>
        </w:rPr>
      </w:pPr>
    </w:p>
    <w:p w14:paraId="121119B6" w14:textId="4EBDC29C" w:rsidR="0ECF722B" w:rsidRDefault="0ECF722B" w:rsidP="0ECF722B">
      <w:pPr>
        <w:spacing w:line="360" w:lineRule="auto"/>
        <w:jc w:val="both"/>
        <w:rPr>
          <w:rFonts w:ascii="Calibri" w:hAnsi="Calibri" w:cs="Calibri"/>
          <w:u w:val="single"/>
        </w:rPr>
      </w:pPr>
    </w:p>
    <w:p w14:paraId="189B5201" w14:textId="787D8592" w:rsidR="0ECF722B" w:rsidRDefault="0ECF722B" w:rsidP="0ECF722B">
      <w:pPr>
        <w:spacing w:line="360" w:lineRule="auto"/>
        <w:jc w:val="both"/>
        <w:rPr>
          <w:rFonts w:ascii="Calibri" w:hAnsi="Calibri" w:cs="Calibri"/>
          <w:u w:val="single"/>
        </w:rPr>
      </w:pPr>
    </w:p>
    <w:p w14:paraId="724A0604" w14:textId="086F1D07" w:rsidR="0957208E" w:rsidRDefault="0957208E" w:rsidP="0957208E">
      <w:pPr>
        <w:pStyle w:val="Heading1"/>
        <w:spacing w:line="360" w:lineRule="auto"/>
        <w:jc w:val="both"/>
      </w:pPr>
    </w:p>
    <w:p w14:paraId="7E346127" w14:textId="73013324" w:rsidR="003A45EF" w:rsidRPr="00A54597" w:rsidRDefault="07F6F489" w:rsidP="735DD207">
      <w:pPr>
        <w:pStyle w:val="Heading1"/>
        <w:spacing w:line="360" w:lineRule="auto"/>
        <w:jc w:val="both"/>
        <w:rPr>
          <w:rFonts w:ascii="Calibri" w:hAnsi="Calibri" w:cs="Calibri"/>
          <w:color w:val="000000"/>
          <w:u w:val="single"/>
        </w:rPr>
      </w:pPr>
      <w:bookmarkStart w:id="0" w:name="_Toc478882361"/>
      <w:r>
        <w:t xml:space="preserve">2.0 </w:t>
      </w:r>
      <w:r w:rsidR="003A45EF">
        <w:t>Introduction</w:t>
      </w:r>
      <w:bookmarkEnd w:id="0"/>
    </w:p>
    <w:p w14:paraId="12D2F2F7" w14:textId="77777777" w:rsidR="00EB5DEC" w:rsidRPr="00A54597" w:rsidRDefault="00EB5DEC" w:rsidP="54C53DD2">
      <w:pPr>
        <w:spacing w:line="360" w:lineRule="auto"/>
        <w:jc w:val="both"/>
        <w:rPr>
          <w:rFonts w:ascii="Calibri" w:hAnsi="Calibri" w:cs="Calibri"/>
          <w:color w:val="000000"/>
        </w:rPr>
      </w:pPr>
    </w:p>
    <w:p w14:paraId="6A429700" w14:textId="173FCDF7" w:rsidR="00EB5DEC" w:rsidRPr="00A54597" w:rsidRDefault="00EB5DEC" w:rsidP="54C53DD2">
      <w:pPr>
        <w:spacing w:line="360" w:lineRule="auto"/>
        <w:jc w:val="both"/>
        <w:rPr>
          <w:rFonts w:ascii="Calibri" w:hAnsi="Calibri" w:cs="Calibri"/>
          <w:color w:val="000000"/>
        </w:rPr>
      </w:pPr>
      <w:r w:rsidRPr="00A54597">
        <w:rPr>
          <w:rFonts w:ascii="Calibri" w:hAnsi="Calibri" w:cs="Calibri"/>
          <w:color w:val="000000" w:themeColor="text1"/>
        </w:rPr>
        <w:t>The integration of digital technologies within sport has increased significantly, particularly in relation to learning, development and coach education</w:t>
      </w:r>
      <w:r w:rsidR="00962879" w:rsidRPr="00A54597">
        <w:rPr>
          <w:rFonts w:ascii="Calibri" w:hAnsi="Calibri" w:cs="Calibri"/>
          <w:color w:val="000000" w:themeColor="text1"/>
        </w:rPr>
        <w:t xml:space="preserve"> </w:t>
      </w:r>
      <w:r w:rsidR="00962879" w:rsidRPr="00A54597">
        <w:rPr>
          <w:rFonts w:ascii="Calibri" w:hAnsi="Calibri" w:cs="Calibri"/>
          <w:color w:val="000000"/>
        </w:rPr>
        <w:t>(Ratten</w:t>
      </w:r>
      <w:r w:rsidR="00B85B5A" w:rsidRPr="00A54597">
        <w:rPr>
          <w:rFonts w:ascii="Calibri" w:hAnsi="Calibri" w:cs="Calibri"/>
          <w:color w:val="000000"/>
        </w:rPr>
        <w:t xml:space="preserve"> 2020)</w:t>
      </w:r>
      <w:r w:rsidR="00B85B5A" w:rsidRPr="00A54597">
        <w:rPr>
          <w:rFonts w:ascii="Calibri" w:hAnsi="Calibri" w:cs="Calibri"/>
          <w:color w:val="000000" w:themeColor="text1"/>
        </w:rPr>
        <w:t>.</w:t>
      </w:r>
      <w:r w:rsidRPr="00A54597">
        <w:rPr>
          <w:rFonts w:ascii="Calibri" w:hAnsi="Calibri" w:cs="Calibri"/>
          <w:color w:val="000000" w:themeColor="text1"/>
        </w:rPr>
        <w:t xml:space="preserve"> At grassroots level, football clubs often face challenges in providing consistent and accessible learning opportunities for both players and coaches due to constraints such as time, funding and access to formal qualifications</w:t>
      </w:r>
      <w:r w:rsidR="00524B0D" w:rsidRPr="00A54597">
        <w:rPr>
          <w:rFonts w:ascii="Calibri" w:hAnsi="Calibri" w:cs="Calibri"/>
          <w:color w:val="000000" w:themeColor="text1"/>
        </w:rPr>
        <w:t xml:space="preserve"> </w:t>
      </w:r>
      <w:r w:rsidR="00243A0D" w:rsidRPr="00A54597">
        <w:rPr>
          <w:rFonts w:ascii="Calibri" w:hAnsi="Calibri" w:cs="Calibri"/>
          <w:color w:val="000000"/>
        </w:rPr>
        <w:t xml:space="preserve">(Nelson </w:t>
      </w:r>
      <w:r w:rsidR="000775D6" w:rsidRPr="00A54597">
        <w:rPr>
          <w:rFonts w:ascii="Calibri" w:hAnsi="Calibri" w:cs="Calibri"/>
          <w:color w:val="000000"/>
        </w:rPr>
        <w:t>2006).</w:t>
      </w:r>
      <w:r w:rsidR="00762472" w:rsidRPr="00A54597">
        <w:rPr>
          <w:rFonts w:ascii="Calibri" w:hAnsi="Calibri" w:cs="Calibri"/>
          <w:color w:val="000000"/>
        </w:rPr>
        <w:t xml:space="preserve"> Consequently, digital learning platforms, including websites, are increasingly recognised as effective tools for supporting player development and continued coach education within community-based football settings</w:t>
      </w:r>
      <w:r w:rsidR="00F57BDD" w:rsidRPr="00A54597">
        <w:rPr>
          <w:rFonts w:ascii="Calibri" w:hAnsi="Calibri" w:cs="Calibri"/>
          <w:color w:val="000000"/>
        </w:rPr>
        <w:t xml:space="preserve"> (Callary &amp; Gearity, 2019).</w:t>
      </w:r>
      <w:r w:rsidR="00762472" w:rsidRPr="00A54597">
        <w:rPr>
          <w:rStyle w:val="apple-converted-space"/>
          <w:rFonts w:ascii="Calibri" w:eastAsiaTheme="majorEastAsia" w:hAnsi="Calibri" w:cs="Calibri"/>
          <w:color w:val="000000"/>
        </w:rPr>
        <w:t> </w:t>
      </w:r>
      <w:r w:rsidR="00251761" w:rsidRPr="00A54597">
        <w:rPr>
          <w:rFonts w:ascii="Calibri" w:hAnsi="Calibri" w:cs="Calibri"/>
          <w:color w:val="000000"/>
        </w:rPr>
        <w:t>Consequently, this literature review explores the role of digital learning platforms in youth football, with specific reference to the development of a website to support learning and development for Llandarcy AFC junior teams (Ratten &amp; Jones, 2021).</w:t>
      </w:r>
    </w:p>
    <w:p w14:paraId="653C43F5" w14:textId="77777777" w:rsidR="004327DF" w:rsidRPr="00A54597" w:rsidRDefault="004327DF" w:rsidP="54C53DD2">
      <w:pPr>
        <w:spacing w:line="360" w:lineRule="auto"/>
        <w:jc w:val="both"/>
        <w:rPr>
          <w:rFonts w:ascii="Calibri" w:hAnsi="Calibri" w:cs="Calibri"/>
          <w:color w:val="000000"/>
        </w:rPr>
      </w:pPr>
    </w:p>
    <w:p w14:paraId="365A59D2" w14:textId="2C7904F1" w:rsidR="00E32035" w:rsidRPr="00A54597" w:rsidRDefault="004327DF" w:rsidP="54C53DD2">
      <w:pPr>
        <w:spacing w:line="360" w:lineRule="auto"/>
        <w:jc w:val="both"/>
        <w:rPr>
          <w:rFonts w:ascii="Calibri" w:hAnsi="Calibri" w:cs="Calibri"/>
          <w:color w:val="000000" w:themeColor="text1"/>
        </w:rPr>
      </w:pPr>
      <w:r w:rsidRPr="00A54597">
        <w:rPr>
          <w:rFonts w:ascii="Calibri" w:hAnsi="Calibri" w:cs="Calibri"/>
          <w:color w:val="000000" w:themeColor="text1"/>
        </w:rPr>
        <w:t>The aim of this project the creation of a digital learning website that enhances player development and supports ongoing coach education within Llandarcy AFC. To achieve this aim, three objectives have been identified</w:t>
      </w:r>
      <w:r w:rsidR="009F5192" w:rsidRPr="00A54597">
        <w:rPr>
          <w:rFonts w:ascii="Calibri" w:hAnsi="Calibri" w:cs="Calibri"/>
          <w:color w:val="000000" w:themeColor="text1"/>
        </w:rPr>
        <w:t>, my three objectives that are going to help me create this project are:</w:t>
      </w:r>
    </w:p>
    <w:p w14:paraId="6B3B4DD2" w14:textId="2C1E1641" w:rsidR="00E32035" w:rsidRPr="00A54597" w:rsidRDefault="00E32035" w:rsidP="54C53DD2">
      <w:pPr>
        <w:spacing w:line="360" w:lineRule="auto"/>
        <w:jc w:val="both"/>
        <w:rPr>
          <w:rFonts w:ascii="Calibri" w:hAnsi="Calibri" w:cs="Calibri"/>
          <w:color w:val="000000" w:themeColor="text1"/>
        </w:rPr>
      </w:pPr>
    </w:p>
    <w:p w14:paraId="47FAE596" w14:textId="70B9B2D7" w:rsidR="00E32035" w:rsidRPr="00A54597" w:rsidRDefault="00D26088" w:rsidP="54C53DD2">
      <w:pPr>
        <w:pStyle w:val="ListParagraph"/>
        <w:numPr>
          <w:ilvl w:val="0"/>
          <w:numId w:val="26"/>
        </w:numPr>
        <w:spacing w:line="360" w:lineRule="auto"/>
        <w:jc w:val="both"/>
        <w:rPr>
          <w:rFonts w:ascii="Calibri" w:eastAsia="Times New Roman" w:hAnsi="Calibri" w:cs="Calibri"/>
          <w:color w:val="000000" w:themeColor="text1"/>
        </w:rPr>
      </w:pPr>
      <w:r w:rsidRPr="00A54597">
        <w:rPr>
          <w:rFonts w:ascii="Calibri" w:eastAsia="Times New Roman" w:hAnsi="Calibri" w:cs="Calibri"/>
          <w:color w:val="000000" w:themeColor="text1"/>
        </w:rPr>
        <w:t>to design and present a detailed virtual project proposal that outlines the goals, purpose, and ethical considerations of creating a learning and development website for Llandarcy AFC Juniors</w:t>
      </w:r>
      <w:r w:rsidR="00B40DB2" w:rsidRPr="00A54597">
        <w:rPr>
          <w:rFonts w:ascii="Calibri" w:eastAsia="Times New Roman" w:hAnsi="Calibri" w:cs="Calibri"/>
          <w:color w:val="000000" w:themeColor="text1"/>
        </w:rPr>
        <w:t xml:space="preserve">. </w:t>
      </w:r>
    </w:p>
    <w:p w14:paraId="6CF5F9A3" w14:textId="321D0D0E" w:rsidR="00E32035" w:rsidRPr="00A54597" w:rsidRDefault="00B40DB2" w:rsidP="54C53DD2">
      <w:pPr>
        <w:pStyle w:val="ListParagraph"/>
        <w:numPr>
          <w:ilvl w:val="0"/>
          <w:numId w:val="26"/>
        </w:numPr>
        <w:spacing w:line="360" w:lineRule="auto"/>
        <w:jc w:val="both"/>
        <w:rPr>
          <w:rFonts w:ascii="Calibri" w:eastAsia="Times New Roman" w:hAnsi="Calibri" w:cs="Calibri"/>
          <w:color w:val="000000" w:themeColor="text1"/>
        </w:rPr>
      </w:pPr>
      <w:r w:rsidRPr="00A54597">
        <w:rPr>
          <w:rFonts w:ascii="Calibri" w:eastAsia="Times New Roman" w:hAnsi="Calibri" w:cs="Calibri"/>
          <w:color w:val="000000" w:themeColor="text1"/>
        </w:rPr>
        <w:t xml:space="preserve">My second objective </w:t>
      </w:r>
      <w:r w:rsidR="00A35E0C" w:rsidRPr="00A54597">
        <w:rPr>
          <w:rFonts w:ascii="Calibri" w:eastAsia="Times New Roman" w:hAnsi="Calibri" w:cs="Calibri"/>
          <w:color w:val="000000" w:themeColor="text1"/>
        </w:rPr>
        <w:t>to</w:t>
      </w:r>
      <w:r w:rsidR="00561AE1" w:rsidRPr="00A54597">
        <w:rPr>
          <w:rFonts w:ascii="Calibri" w:eastAsia="Times New Roman" w:hAnsi="Calibri" w:cs="Calibri"/>
          <w:color w:val="000000" w:themeColor="text1"/>
        </w:rPr>
        <w:t xml:space="preserve"> research existing literature on digital learning platforms, youth football development, and online recruitment tools, with </w:t>
      </w:r>
    </w:p>
    <w:p w14:paraId="5EAD24B0" w14:textId="16312055" w:rsidR="00FE505E" w:rsidRPr="00A54597" w:rsidRDefault="00561AE1" w:rsidP="492D23E8">
      <w:pPr>
        <w:pStyle w:val="ListParagraph"/>
        <w:numPr>
          <w:ilvl w:val="0"/>
          <w:numId w:val="26"/>
        </w:numPr>
        <w:spacing w:line="360" w:lineRule="auto"/>
        <w:jc w:val="both"/>
        <w:rPr>
          <w:rFonts w:ascii="Calibri" w:eastAsia="Times New Roman" w:hAnsi="Calibri" w:cs="Calibri"/>
        </w:rPr>
      </w:pPr>
      <w:r w:rsidRPr="00A54597">
        <w:rPr>
          <w:rFonts w:ascii="Calibri" w:eastAsia="Times New Roman" w:hAnsi="Calibri" w:cs="Calibri"/>
          <w:color w:val="000000" w:themeColor="text1"/>
        </w:rPr>
        <w:t>my final ob</w:t>
      </w:r>
      <w:r w:rsidR="00C7082D" w:rsidRPr="00A54597">
        <w:rPr>
          <w:rFonts w:ascii="Calibri" w:eastAsia="Times New Roman" w:hAnsi="Calibri" w:cs="Calibri"/>
          <w:color w:val="000000" w:themeColor="text1"/>
        </w:rPr>
        <w:t xml:space="preserve">jective being </w:t>
      </w:r>
      <w:r w:rsidR="001B5DDE" w:rsidRPr="00A54597">
        <w:rPr>
          <w:rFonts w:ascii="Calibri" w:eastAsia="Times New Roman" w:hAnsi="Calibri" w:cs="Calibri"/>
          <w:color w:val="000000" w:themeColor="text1"/>
        </w:rPr>
        <w:t>to</w:t>
      </w:r>
      <w:r w:rsidR="00C7082D" w:rsidRPr="00A54597">
        <w:rPr>
          <w:rFonts w:ascii="Calibri" w:eastAsia="Times New Roman" w:hAnsi="Calibri" w:cs="Calibri"/>
          <w:color w:val="000000" w:themeColor="text1"/>
        </w:rPr>
        <w:t xml:space="preserve"> design and develop an interactive, user-friendly website that offers accessible learning resources,</w:t>
      </w:r>
      <w:r w:rsidR="00FE505E" w:rsidRPr="00A54597">
        <w:rPr>
          <w:rFonts w:ascii="Calibri" w:eastAsia="Times New Roman" w:hAnsi="Calibri" w:cs="Calibri"/>
          <w:color w:val="000000" w:themeColor="text1"/>
        </w:rPr>
        <w:t xml:space="preserve"> </w:t>
      </w:r>
      <w:r w:rsidR="00C7082D" w:rsidRPr="00A54597">
        <w:rPr>
          <w:rFonts w:ascii="Calibri" w:eastAsia="Times New Roman" w:hAnsi="Calibri" w:cs="Calibri"/>
          <w:color w:val="000000" w:themeColor="text1"/>
        </w:rPr>
        <w:t>and development tracking tools for Llandarcy AFC Juniors</w:t>
      </w:r>
      <w:r w:rsidR="54DECEE9" w:rsidRPr="00A54597">
        <w:rPr>
          <w:rFonts w:ascii="Calibri" w:eastAsia="Times New Roman" w:hAnsi="Calibri" w:cs="Calibri"/>
          <w:color w:val="000000" w:themeColor="text1"/>
        </w:rPr>
        <w:t xml:space="preserve"> </w:t>
      </w:r>
    </w:p>
    <w:p w14:paraId="4F60343C" w14:textId="77777777" w:rsidR="00FE505E" w:rsidRPr="00A54597" w:rsidRDefault="00FE505E" w:rsidP="00FE505E">
      <w:pPr>
        <w:pStyle w:val="ListParagraph"/>
        <w:spacing w:line="360" w:lineRule="auto"/>
        <w:jc w:val="both"/>
        <w:rPr>
          <w:rFonts w:ascii="Calibri" w:eastAsia="Times New Roman" w:hAnsi="Calibri" w:cs="Calibri"/>
        </w:rPr>
      </w:pPr>
    </w:p>
    <w:p w14:paraId="39538A15" w14:textId="3C601747" w:rsidR="09AB0A84" w:rsidRPr="00A54597" w:rsidRDefault="004F0E32" w:rsidP="54C53DD2">
      <w:pPr>
        <w:spacing w:line="360" w:lineRule="auto"/>
        <w:jc w:val="both"/>
        <w:rPr>
          <w:rFonts w:ascii="Calibri" w:hAnsi="Calibri" w:cs="Calibri"/>
        </w:rPr>
      </w:pPr>
      <w:r w:rsidRPr="00A54597">
        <w:rPr>
          <w:rFonts w:ascii="Calibri" w:hAnsi="Calibri" w:cs="Calibri"/>
          <w:color w:val="000000"/>
        </w:rPr>
        <w:lastRenderedPageBreak/>
        <w:t xml:space="preserve">Key research on coach learning, online education, and long-term athlete development will be critically examined throughout this literature review, and to find successful methods for learning and development in youth football, both theoretical frameworks and applied research will be considered; emphasis will be placed on informal and non-formal learning, which are widely regarded as central to coach development at grassroots level (Nelson, Cushion &amp; Potrac, 2006). </w:t>
      </w:r>
      <w:r w:rsidR="00364C4B" w:rsidRPr="00A54597">
        <w:rPr>
          <w:rFonts w:ascii="Calibri" w:hAnsi="Calibri" w:cs="Calibri"/>
          <w:color w:val="000000" w:themeColor="text1"/>
        </w:rPr>
        <w:t xml:space="preserve">The </w:t>
      </w:r>
      <w:r w:rsidR="004F7E96" w:rsidRPr="00A54597">
        <w:rPr>
          <w:rFonts w:ascii="Calibri" w:hAnsi="Calibri" w:cs="Calibri"/>
          <w:color w:val="000000" w:themeColor="text1"/>
        </w:rPr>
        <w:t xml:space="preserve">literature </w:t>
      </w:r>
      <w:r w:rsidR="00364C4B" w:rsidRPr="00A54597">
        <w:rPr>
          <w:rFonts w:ascii="Calibri" w:hAnsi="Calibri" w:cs="Calibri"/>
          <w:color w:val="000000" w:themeColor="text1"/>
        </w:rPr>
        <w:t xml:space="preserve">review will conclude by synthesising the key findings and identifying gaps in current practice within grassroots football provision. This will provide a clear justification for the development of the proposed website and lead into the rationale for completing </w:t>
      </w:r>
      <w:r w:rsidR="00FE505E" w:rsidRPr="00A54597">
        <w:rPr>
          <w:rFonts w:ascii="Calibri" w:hAnsi="Calibri" w:cs="Calibri"/>
          <w:color w:val="000000" w:themeColor="text1"/>
        </w:rPr>
        <w:t>Element.</w:t>
      </w:r>
      <w:r w:rsidR="00364C4B" w:rsidRPr="00A54597">
        <w:rPr>
          <w:rFonts w:ascii="Calibri" w:hAnsi="Calibri" w:cs="Calibri"/>
          <w:color w:val="000000" w:themeColor="text1"/>
        </w:rPr>
        <w:t xml:space="preserve"> </w:t>
      </w:r>
    </w:p>
    <w:p w14:paraId="27D255D2" w14:textId="77777777" w:rsidR="0040110F" w:rsidRPr="00A54597" w:rsidRDefault="0040110F" w:rsidP="54C53DD2">
      <w:pPr>
        <w:spacing w:line="360" w:lineRule="auto"/>
        <w:jc w:val="both"/>
        <w:rPr>
          <w:rFonts w:ascii="Calibri" w:hAnsi="Calibri" w:cs="Calibri"/>
          <w:b/>
          <w:color w:val="000000" w:themeColor="text1"/>
          <w:u w:val="single"/>
        </w:rPr>
      </w:pPr>
    </w:p>
    <w:p w14:paraId="63A00AFF" w14:textId="7DF07B80" w:rsidR="003C6563" w:rsidRPr="00A54597" w:rsidRDefault="003F1E0E" w:rsidP="15AE4954">
      <w:pPr>
        <w:pStyle w:val="Heading1"/>
        <w:rPr>
          <w:rFonts w:ascii="Calibri" w:hAnsi="Calibri" w:cs="Calibri"/>
          <w:b/>
          <w:color w:val="000000" w:themeColor="text1"/>
          <w:u w:val="single"/>
        </w:rPr>
      </w:pPr>
      <w:bookmarkStart w:id="1" w:name="_Toc1358506926"/>
      <w:r>
        <w:t>2.1</w:t>
      </w:r>
      <w:r w:rsidR="7C24B435">
        <w:t xml:space="preserve"> </w:t>
      </w:r>
      <w:r>
        <w:t>Youth sport</w:t>
      </w:r>
      <w:bookmarkEnd w:id="1"/>
    </w:p>
    <w:p w14:paraId="6C0AA2A6" w14:textId="5B977216" w:rsidR="004718A0" w:rsidRPr="00A54597" w:rsidRDefault="004718A0" w:rsidP="54C53DD2">
      <w:pPr>
        <w:spacing w:line="360" w:lineRule="auto"/>
        <w:jc w:val="both"/>
        <w:rPr>
          <w:rFonts w:ascii="Calibri" w:hAnsi="Calibri" w:cs="Calibri"/>
          <w:color w:val="000000"/>
        </w:rPr>
      </w:pPr>
      <w:r w:rsidRPr="00A54597">
        <w:rPr>
          <w:rFonts w:ascii="Calibri" w:hAnsi="Calibri" w:cs="Calibri"/>
          <w:color w:val="000000" w:themeColor="text1"/>
        </w:rPr>
        <w:t>The contemporary</w:t>
      </w:r>
      <w:r w:rsidRPr="00A54597">
        <w:rPr>
          <w:rStyle w:val="apple-converted-space"/>
          <w:rFonts w:ascii="Calibri" w:hAnsi="Calibri" w:cs="Calibri"/>
          <w:color w:val="000000" w:themeColor="text1"/>
        </w:rPr>
        <w:t> </w:t>
      </w:r>
      <w:r w:rsidRPr="00A54597">
        <w:rPr>
          <w:rStyle w:val="Strong"/>
          <w:rFonts w:ascii="Calibri" w:hAnsi="Calibri" w:cs="Calibri"/>
          <w:b w:val="0"/>
          <w:color w:val="000000" w:themeColor="text1"/>
        </w:rPr>
        <w:t>youth sport</w:t>
      </w:r>
      <w:r w:rsidRPr="00A54597">
        <w:rPr>
          <w:rFonts w:ascii="Calibri" w:hAnsi="Calibri" w:cs="Calibri"/>
          <w:color w:val="000000" w:themeColor="text1"/>
        </w:rPr>
        <w:t xml:space="preserve"> is characterised by organised sports participation that has shifted over recent decades from school</w:t>
      </w:r>
      <w:r w:rsidR="5EE7CCDF" w:rsidRPr="00A54597">
        <w:rPr>
          <w:rFonts w:ascii="Calibri" w:hAnsi="Calibri" w:cs="Calibri"/>
          <w:color w:val="000000" w:themeColor="text1"/>
        </w:rPr>
        <w:t xml:space="preserve"> </w:t>
      </w:r>
      <w:r w:rsidRPr="00A54597">
        <w:rPr>
          <w:rFonts w:ascii="Calibri" w:hAnsi="Calibri" w:cs="Calibri"/>
          <w:color w:val="000000" w:themeColor="text1"/>
        </w:rPr>
        <w:t xml:space="preserve">based and seasonal involvement to </w:t>
      </w:r>
      <w:r w:rsidR="004C13D3" w:rsidRPr="00A54597">
        <w:rPr>
          <w:rFonts w:ascii="Calibri" w:hAnsi="Calibri" w:cs="Calibri"/>
          <w:color w:val="000000" w:themeColor="text1"/>
        </w:rPr>
        <w:t>year-round</w:t>
      </w:r>
      <w:r w:rsidRPr="00A54597">
        <w:rPr>
          <w:rFonts w:ascii="Calibri" w:hAnsi="Calibri" w:cs="Calibri"/>
          <w:color w:val="000000" w:themeColor="text1"/>
        </w:rPr>
        <w:t xml:space="preserve">, </w:t>
      </w:r>
      <w:r w:rsidR="0040110F" w:rsidRPr="00A54597">
        <w:rPr>
          <w:rFonts w:ascii="Calibri" w:hAnsi="Calibri" w:cs="Calibri"/>
          <w:color w:val="000000" w:themeColor="text1"/>
        </w:rPr>
        <w:t>club-oriented</w:t>
      </w:r>
      <w:r w:rsidRPr="00A54597">
        <w:rPr>
          <w:rFonts w:ascii="Calibri" w:hAnsi="Calibri" w:cs="Calibri"/>
          <w:color w:val="000000" w:themeColor="text1"/>
        </w:rPr>
        <w:t xml:space="preserve"> activity, reflecting broader institutional and cultural changes in sport </w:t>
      </w:r>
      <w:r w:rsidR="00DB4116" w:rsidRPr="00A54597">
        <w:rPr>
          <w:rFonts w:ascii="Calibri" w:hAnsi="Calibri" w:cs="Calibri"/>
          <w:color w:val="000000" w:themeColor="text1"/>
        </w:rPr>
        <w:t>engagement</w:t>
      </w:r>
      <w:r w:rsidR="006B240B" w:rsidRPr="00A54597">
        <w:rPr>
          <w:rFonts w:ascii="Calibri" w:hAnsi="Calibri" w:cs="Calibri"/>
          <w:color w:val="000000" w:themeColor="text1"/>
        </w:rPr>
        <w:t xml:space="preserve"> </w:t>
      </w:r>
      <w:r w:rsidR="00FE6728" w:rsidRPr="00A54597">
        <w:rPr>
          <w:rFonts w:ascii="Calibri" w:hAnsi="Calibri" w:cs="Calibri"/>
          <w:color w:val="000000" w:themeColor="text1"/>
        </w:rPr>
        <w:t>(Pandya</w:t>
      </w:r>
      <w:r w:rsidR="004C13D3" w:rsidRPr="00A54597">
        <w:rPr>
          <w:rFonts w:ascii="Calibri" w:hAnsi="Calibri" w:cs="Calibri"/>
          <w:color w:val="000000" w:themeColor="text1"/>
        </w:rPr>
        <w:t>, 2021</w:t>
      </w:r>
      <w:r w:rsidR="00FE6728" w:rsidRPr="00A54597">
        <w:rPr>
          <w:rFonts w:ascii="Calibri" w:hAnsi="Calibri" w:cs="Calibri"/>
          <w:color w:val="000000" w:themeColor="text1"/>
        </w:rPr>
        <w:t>)</w:t>
      </w:r>
      <w:r w:rsidR="006B240B" w:rsidRPr="00A54597">
        <w:rPr>
          <w:rFonts w:ascii="Calibri" w:hAnsi="Calibri" w:cs="Calibri"/>
          <w:color w:val="000000" w:themeColor="text1"/>
        </w:rPr>
        <w:t xml:space="preserve">. Youth sports are widely recognised as a global social institution that contributes to physical activity levels, psychosocial development, and community cohesion among </w:t>
      </w:r>
      <w:r w:rsidR="00644987" w:rsidRPr="00A54597">
        <w:rPr>
          <w:rFonts w:ascii="Calibri" w:hAnsi="Calibri" w:cs="Calibri"/>
          <w:color w:val="000000" w:themeColor="text1"/>
        </w:rPr>
        <w:t>children.</w:t>
      </w:r>
      <w:r w:rsidR="006B240B" w:rsidRPr="00A54597">
        <w:rPr>
          <w:rFonts w:ascii="Calibri" w:hAnsi="Calibri" w:cs="Calibri"/>
          <w:color w:val="000000" w:themeColor="text1"/>
        </w:rPr>
        <w:t xml:space="preserve"> </w:t>
      </w:r>
      <w:r w:rsidR="008D25D1" w:rsidRPr="00A54597">
        <w:rPr>
          <w:rFonts w:ascii="Calibri" w:hAnsi="Calibri" w:cs="Calibri"/>
          <w:color w:val="000000" w:themeColor="text1"/>
        </w:rPr>
        <w:t>(“(PDF</w:t>
      </w:r>
      <w:r w:rsidR="004C13D3" w:rsidRPr="00A54597">
        <w:rPr>
          <w:rFonts w:ascii="Calibri" w:hAnsi="Calibri" w:cs="Calibri"/>
          <w:color w:val="000000" w:themeColor="text1"/>
        </w:rPr>
        <w:t xml:space="preserve">, </w:t>
      </w:r>
      <w:r w:rsidR="00DD0F5C" w:rsidRPr="00A54597">
        <w:rPr>
          <w:rFonts w:ascii="Calibri" w:hAnsi="Calibri" w:cs="Calibri"/>
          <w:i/>
          <w:color w:val="000000" w:themeColor="text1"/>
        </w:rPr>
        <w:t xml:space="preserve">ResearchGate, March </w:t>
      </w:r>
      <w:r w:rsidR="00EC6FBB" w:rsidRPr="00A54597">
        <w:rPr>
          <w:rFonts w:ascii="Calibri" w:hAnsi="Calibri" w:cs="Calibri"/>
          <w:i/>
          <w:color w:val="000000" w:themeColor="text1"/>
        </w:rPr>
        <w:t>2009)</w:t>
      </w:r>
      <w:r w:rsidR="008D25D1" w:rsidRPr="00A54597">
        <w:rPr>
          <w:rFonts w:ascii="Calibri" w:hAnsi="Calibri" w:cs="Calibri"/>
          <w:color w:val="000000" w:themeColor="text1"/>
        </w:rPr>
        <w:t xml:space="preserve"> Youth Sport Participation-A View of the Issues: Introduction to the Special Section”)</w:t>
      </w:r>
      <w:r w:rsidR="00CC5BF0" w:rsidRPr="00A54597">
        <w:rPr>
          <w:rFonts w:ascii="Calibri" w:hAnsi="Calibri" w:cs="Calibri"/>
        </w:rPr>
        <w:t xml:space="preserve">. </w:t>
      </w:r>
      <w:r w:rsidR="00CC5BF0" w:rsidRPr="00A54597">
        <w:rPr>
          <w:rFonts w:ascii="Calibri" w:hAnsi="Calibri" w:cs="Calibri"/>
          <w:color w:val="000000" w:themeColor="text1"/>
        </w:rPr>
        <w:t>Participation in organised sports varies by area and age group worldwide, with younger children (ages 6 to 12) continuously exhibiting greater rates than older adolescents, whose involvement falls noticeably as they enter adulthood.</w:t>
      </w:r>
      <w:r w:rsidR="003E29A5" w:rsidRPr="00A54597">
        <w:rPr>
          <w:rFonts w:ascii="Calibri" w:hAnsi="Calibri" w:cs="Calibri"/>
          <w:color w:val="000000" w:themeColor="text1"/>
        </w:rPr>
        <w:t xml:space="preserve"> </w:t>
      </w:r>
      <w:r w:rsidR="009465A2" w:rsidRPr="00A54597">
        <w:rPr>
          <w:rFonts w:ascii="Calibri" w:hAnsi="Calibri" w:cs="Calibri"/>
          <w:color w:val="000000" w:themeColor="text1"/>
        </w:rPr>
        <w:t>(</w:t>
      </w:r>
      <w:r w:rsidR="009465A2" w:rsidRPr="00A54597">
        <w:rPr>
          <w:rFonts w:ascii="Calibri" w:hAnsi="Calibri" w:cs="Calibri"/>
          <w:i/>
          <w:color w:val="000000" w:themeColor="text1"/>
        </w:rPr>
        <w:t>Globalsportsinsights.com</w:t>
      </w:r>
      <w:r w:rsidR="009465A2" w:rsidRPr="00A54597">
        <w:rPr>
          <w:rFonts w:ascii="Calibri" w:hAnsi="Calibri" w:cs="Calibri"/>
          <w:color w:val="000000" w:themeColor="text1"/>
        </w:rPr>
        <w:t>, 2024)</w:t>
      </w:r>
      <w:r w:rsidR="00A00D15" w:rsidRPr="00A54597">
        <w:rPr>
          <w:rFonts w:ascii="Calibri" w:hAnsi="Calibri" w:cs="Calibri"/>
          <w:color w:val="000000" w:themeColor="text1"/>
        </w:rPr>
        <w:t xml:space="preserve">. Research indicates that team sports such as football basketball, and baseball remain among the most popular disciplines for youth, although recent trends show emerging growth in activities like flag football in some </w:t>
      </w:r>
      <w:r w:rsidR="00D75151" w:rsidRPr="00A54597">
        <w:rPr>
          <w:rFonts w:ascii="Calibri" w:hAnsi="Calibri" w:cs="Calibri"/>
          <w:color w:val="000000" w:themeColor="text1"/>
        </w:rPr>
        <w:t>contexts. (Sports</w:t>
      </w:r>
      <w:r w:rsidR="004D7404" w:rsidRPr="00A54597">
        <w:rPr>
          <w:rFonts w:ascii="Calibri" w:hAnsi="Calibri" w:cs="Calibri"/>
          <w:color w:val="000000" w:themeColor="text1"/>
        </w:rPr>
        <w:t>, youth</w:t>
      </w:r>
      <w:r w:rsidR="00D75151" w:rsidRPr="00A54597">
        <w:rPr>
          <w:rFonts w:ascii="Calibri" w:hAnsi="Calibri" w:cs="Calibri"/>
          <w:color w:val="000000" w:themeColor="text1"/>
        </w:rPr>
        <w:t>)</w:t>
      </w:r>
      <w:r w:rsidR="00DD41A0" w:rsidRPr="00A54597">
        <w:rPr>
          <w:rFonts w:ascii="Calibri" w:hAnsi="Calibri" w:cs="Calibri"/>
          <w:color w:val="000000" w:themeColor="text1"/>
        </w:rPr>
        <w:t xml:space="preserve"> Participation figures also highlight a gendered dynamic: males are generally more likely to engage in organised sport than females in early adolescence, with declines in participation evident during later teenage years for both genders</w:t>
      </w:r>
      <w:r w:rsidR="006C284B" w:rsidRPr="00A54597">
        <w:rPr>
          <w:rFonts w:ascii="Calibri" w:hAnsi="Calibri" w:cs="Calibri"/>
          <w:color w:val="000000" w:themeColor="text1"/>
        </w:rPr>
        <w:t xml:space="preserve"> (Emmonds et al</w:t>
      </w:r>
      <w:r w:rsidR="006C284B" w:rsidRPr="1C0264FC">
        <w:rPr>
          <w:rFonts w:ascii="Calibri" w:hAnsi="Calibri" w:cs="Calibri"/>
          <w:color w:val="000000" w:themeColor="text1"/>
        </w:rPr>
        <w:t>.</w:t>
      </w:r>
      <w:r w:rsidR="2A9F2F61" w:rsidRPr="1C0264FC">
        <w:rPr>
          <w:rFonts w:ascii="Calibri" w:hAnsi="Calibri" w:cs="Calibri"/>
          <w:color w:val="000000" w:themeColor="text1"/>
        </w:rPr>
        <w:t>,</w:t>
      </w:r>
      <w:r w:rsidR="00DD0F5C" w:rsidRPr="00A54597">
        <w:rPr>
          <w:rFonts w:ascii="Calibri" w:hAnsi="Calibri" w:cs="Calibri"/>
          <w:color w:val="000000" w:themeColor="text1"/>
        </w:rPr>
        <w:t xml:space="preserve"> 2023</w:t>
      </w:r>
      <w:r w:rsidR="006C284B" w:rsidRPr="00A54597">
        <w:rPr>
          <w:rFonts w:ascii="Calibri" w:hAnsi="Calibri" w:cs="Calibri"/>
          <w:color w:val="000000" w:themeColor="text1"/>
        </w:rPr>
        <w:t>).</w:t>
      </w:r>
    </w:p>
    <w:p w14:paraId="06458C69" w14:textId="77777777" w:rsidR="006C284B" w:rsidRPr="00A54597" w:rsidRDefault="006C284B" w:rsidP="54C53DD2">
      <w:pPr>
        <w:spacing w:line="360" w:lineRule="auto"/>
        <w:jc w:val="both"/>
        <w:rPr>
          <w:rFonts w:ascii="Calibri" w:hAnsi="Calibri" w:cs="Calibri"/>
          <w:color w:val="000000"/>
        </w:rPr>
      </w:pPr>
    </w:p>
    <w:p w14:paraId="63EFFB31" w14:textId="61B1CFD1" w:rsidR="006C284B" w:rsidRPr="00A54597" w:rsidRDefault="008911A7" w:rsidP="54C53DD2">
      <w:pPr>
        <w:spacing w:line="360" w:lineRule="auto"/>
        <w:jc w:val="both"/>
        <w:rPr>
          <w:rFonts w:ascii="Calibri" w:hAnsi="Calibri" w:cs="Calibri"/>
          <w:color w:val="000000"/>
        </w:rPr>
      </w:pPr>
      <w:r w:rsidRPr="00A54597">
        <w:rPr>
          <w:rFonts w:ascii="Calibri" w:hAnsi="Calibri" w:cs="Calibri"/>
          <w:color w:val="000000" w:themeColor="text1"/>
        </w:rPr>
        <w:t>In youth sports, governing bodies' responsibilities include developing policies, enforcing regulations, and organising contests with the goals of boosting participation, protecting athlete welfare, and fostering fair access to sporting activities.</w:t>
      </w:r>
      <w:r w:rsidR="00826447" w:rsidRPr="00A54597">
        <w:rPr>
          <w:rFonts w:ascii="Calibri" w:hAnsi="Calibri" w:cs="Calibri"/>
          <w:color w:val="000000" w:themeColor="text1"/>
        </w:rPr>
        <w:t xml:space="preserve"> National governing bodies </w:t>
      </w:r>
      <w:r w:rsidR="00826447" w:rsidRPr="00A54597">
        <w:rPr>
          <w:rFonts w:ascii="Calibri" w:hAnsi="Calibri" w:cs="Calibri"/>
          <w:color w:val="000000" w:themeColor="text1"/>
        </w:rPr>
        <w:lastRenderedPageBreak/>
        <w:t>(NGBs) and international federations act as pivotal agents in structuring sport environments, implementing strategic initiatives to enhance quality coaching, competition standards, and outreach programs that specifically target youth involvement</w:t>
      </w:r>
      <w:r w:rsidR="00C81AE8" w:rsidRPr="00A54597">
        <w:rPr>
          <w:rFonts w:ascii="Calibri" w:hAnsi="Calibri" w:cs="Calibri"/>
          <w:color w:val="000000" w:themeColor="text1"/>
        </w:rPr>
        <w:t xml:space="preserve"> (Dowling et al.</w:t>
      </w:r>
      <w:r w:rsidR="00E27593" w:rsidRPr="00A54597">
        <w:rPr>
          <w:rFonts w:ascii="Calibri" w:hAnsi="Calibri" w:cs="Calibri"/>
          <w:color w:val="000000" w:themeColor="text1"/>
        </w:rPr>
        <w:t xml:space="preserve"> 2018</w:t>
      </w:r>
      <w:r w:rsidR="00C81AE8" w:rsidRPr="00A54597">
        <w:rPr>
          <w:rFonts w:ascii="Calibri" w:hAnsi="Calibri" w:cs="Calibri"/>
          <w:color w:val="000000" w:themeColor="text1"/>
        </w:rPr>
        <w:t>)</w:t>
      </w:r>
      <w:r w:rsidR="00193EFD" w:rsidRPr="00A54597">
        <w:rPr>
          <w:rFonts w:ascii="Calibri" w:hAnsi="Calibri" w:cs="Calibri"/>
          <w:color w:val="000000" w:themeColor="text1"/>
        </w:rPr>
        <w:t xml:space="preserve"> Such organisations also play a key role in partnerships with schools, community groups, and public health agencies to promote sports participation as part of broader social and health policy agendas</w:t>
      </w:r>
      <w:r w:rsidR="00193EFD" w:rsidRPr="00A54597">
        <w:rPr>
          <w:rStyle w:val="apple-converted-space"/>
          <w:rFonts w:ascii="Calibri" w:hAnsi="Calibri" w:cs="Calibri"/>
          <w:color w:val="000000" w:themeColor="text1"/>
        </w:rPr>
        <w:t> </w:t>
      </w:r>
      <w:r w:rsidR="00F82AD7" w:rsidRPr="00A54597">
        <w:rPr>
          <w:rFonts w:ascii="Calibri" w:hAnsi="Calibri" w:cs="Calibri"/>
          <w:color w:val="000000" w:themeColor="text1"/>
        </w:rPr>
        <w:t>(Harris and Houlihan</w:t>
      </w:r>
      <w:r w:rsidR="003E3200">
        <w:rPr>
          <w:rFonts w:ascii="Calibri" w:hAnsi="Calibri" w:cs="Calibri"/>
          <w:color w:val="000000" w:themeColor="text1"/>
        </w:rPr>
        <w:t xml:space="preserve"> 2015</w:t>
      </w:r>
      <w:r w:rsidR="00F82AD7" w:rsidRPr="00A54597">
        <w:rPr>
          <w:rFonts w:ascii="Calibri" w:hAnsi="Calibri" w:cs="Calibri"/>
          <w:color w:val="000000" w:themeColor="text1"/>
        </w:rPr>
        <w:t>)</w:t>
      </w:r>
      <w:r w:rsidR="00614B6F" w:rsidRPr="00A54597">
        <w:rPr>
          <w:rFonts w:ascii="Calibri" w:hAnsi="Calibri" w:cs="Calibri"/>
          <w:color w:val="000000" w:themeColor="text1"/>
        </w:rPr>
        <w:t xml:space="preserve">, At the international level, sport governing bodies such as the International Olympic Committee and World Athletics have been conceptualised as “agents of diffusion,” advocating for wider participation and accessibility across diverse cultural and socioeconomic </w:t>
      </w:r>
      <w:r w:rsidR="004412C8" w:rsidRPr="00A54597">
        <w:rPr>
          <w:rFonts w:ascii="Calibri" w:hAnsi="Calibri" w:cs="Calibri"/>
          <w:color w:val="000000" w:themeColor="text1"/>
        </w:rPr>
        <w:t>contexts.</w:t>
      </w:r>
      <w:r w:rsidR="00F536DB" w:rsidRPr="00A54597">
        <w:rPr>
          <w:rFonts w:ascii="Calibri" w:hAnsi="Calibri" w:cs="Calibri"/>
          <w:color w:val="000000" w:themeColor="text1"/>
        </w:rPr>
        <w:t xml:space="preserve"> (Konjer et al</w:t>
      </w:r>
      <w:r w:rsidR="7849B7FA" w:rsidRPr="0957208E">
        <w:rPr>
          <w:rFonts w:ascii="Calibri" w:hAnsi="Calibri" w:cs="Calibri"/>
          <w:color w:val="000000" w:themeColor="text1"/>
        </w:rPr>
        <w:t>.,</w:t>
      </w:r>
      <w:r w:rsidR="00094F36">
        <w:rPr>
          <w:rFonts w:ascii="Calibri" w:hAnsi="Calibri" w:cs="Calibri"/>
          <w:color w:val="000000" w:themeColor="text1"/>
        </w:rPr>
        <w:t xml:space="preserve"> 2022</w:t>
      </w:r>
      <w:r w:rsidR="00F536DB" w:rsidRPr="00A54597">
        <w:rPr>
          <w:rFonts w:ascii="Calibri" w:hAnsi="Calibri" w:cs="Calibri"/>
          <w:color w:val="000000" w:themeColor="text1"/>
        </w:rPr>
        <w:t>)</w:t>
      </w:r>
    </w:p>
    <w:p w14:paraId="261719B9" w14:textId="77777777" w:rsidR="00EB0090" w:rsidRPr="00A54597" w:rsidRDefault="00EB0090" w:rsidP="54C53DD2">
      <w:pPr>
        <w:spacing w:line="360" w:lineRule="auto"/>
        <w:jc w:val="both"/>
        <w:rPr>
          <w:rFonts w:ascii="Calibri" w:hAnsi="Calibri" w:cs="Calibri"/>
          <w:color w:val="000000"/>
        </w:rPr>
      </w:pPr>
    </w:p>
    <w:p w14:paraId="21F94BB4" w14:textId="0AB085CD" w:rsidR="004718A0" w:rsidRPr="00A54597" w:rsidRDefault="00EB0090" w:rsidP="6DD4EC61">
      <w:pPr>
        <w:spacing w:line="360" w:lineRule="auto"/>
        <w:jc w:val="both"/>
        <w:rPr>
          <w:rFonts w:ascii="Calibri" w:hAnsi="Calibri" w:cs="Calibri"/>
          <w:color w:val="0A0A0A"/>
        </w:rPr>
      </w:pPr>
      <w:r w:rsidRPr="00A54597">
        <w:rPr>
          <w:rFonts w:ascii="Calibri" w:hAnsi="Calibri" w:cs="Calibri"/>
          <w:color w:val="000000" w:themeColor="text1"/>
        </w:rPr>
        <w:t>Despite encouraging developments, there are still issues with youth sports, especially with relation to access and equity. Economic obstacles that prevent young people from lower-income households from regularly participating in sports programs include participation fees, equipment prices, and travel expenses.</w:t>
      </w:r>
      <w:r w:rsidR="00587FE6" w:rsidRPr="0139EB4F">
        <w:rPr>
          <w:rFonts w:ascii="Calibri" w:hAnsi="Calibri" w:cs="Calibri"/>
          <w:color w:val="000000" w:themeColor="text1"/>
        </w:rPr>
        <w:t xml:space="preserve"> (Pandya</w:t>
      </w:r>
      <w:r w:rsidR="003F757B" w:rsidRPr="0139EB4F">
        <w:rPr>
          <w:rFonts w:ascii="Calibri" w:hAnsi="Calibri" w:cs="Calibri"/>
          <w:color w:val="000000" w:themeColor="text1"/>
        </w:rPr>
        <w:t xml:space="preserve"> Ni</w:t>
      </w:r>
      <w:r w:rsidR="00D654E2" w:rsidRPr="0139EB4F">
        <w:rPr>
          <w:rFonts w:ascii="Calibri" w:hAnsi="Calibri" w:cs="Calibri"/>
          <w:color w:val="000000" w:themeColor="text1"/>
        </w:rPr>
        <w:t>rav</w:t>
      </w:r>
      <w:r w:rsidR="003F757B" w:rsidRPr="0139EB4F">
        <w:rPr>
          <w:rFonts w:ascii="Calibri" w:hAnsi="Calibri" w:cs="Calibri"/>
          <w:color w:val="000000" w:themeColor="text1"/>
        </w:rPr>
        <w:t>, 2021</w:t>
      </w:r>
      <w:r w:rsidR="00D654E2" w:rsidRPr="0139EB4F">
        <w:rPr>
          <w:rFonts w:ascii="Calibri" w:hAnsi="Calibri" w:cs="Calibri"/>
          <w:color w:val="000000" w:themeColor="text1"/>
        </w:rPr>
        <w:t>)</w:t>
      </w:r>
      <w:r w:rsidRPr="00A54597">
        <w:rPr>
          <w:rFonts w:ascii="Calibri" w:hAnsi="Calibri" w:cs="Calibri"/>
          <w:color w:val="000000" w:themeColor="text1"/>
        </w:rPr>
        <w:t xml:space="preserve"> This leads to differences in both enrolment and retention rates.</w:t>
      </w:r>
      <w:r w:rsidR="00BE32F3" w:rsidRPr="00A54597">
        <w:rPr>
          <w:rFonts w:ascii="Calibri" w:hAnsi="Calibri" w:cs="Calibri"/>
          <w:color w:val="000000" w:themeColor="text1"/>
        </w:rPr>
        <w:t xml:space="preserve"> Inequities in access to quality coaching, facilities, and community programming further exacerbate these participation gaps, particularly in rural or </w:t>
      </w:r>
      <w:r w:rsidR="002E26DB" w:rsidRPr="00A54597">
        <w:rPr>
          <w:rFonts w:ascii="Calibri" w:hAnsi="Calibri" w:cs="Calibri"/>
          <w:color w:val="000000" w:themeColor="text1"/>
        </w:rPr>
        <w:t>under resourced</w:t>
      </w:r>
      <w:r w:rsidR="00BE32F3" w:rsidRPr="00A54597">
        <w:rPr>
          <w:rFonts w:ascii="Calibri" w:hAnsi="Calibri" w:cs="Calibri"/>
          <w:color w:val="000000" w:themeColor="text1"/>
        </w:rPr>
        <w:t xml:space="preserve"> regions</w:t>
      </w:r>
      <w:r w:rsidR="00E00266" w:rsidRPr="00A54597">
        <w:rPr>
          <w:rFonts w:ascii="Calibri" w:hAnsi="Calibri" w:cs="Calibri"/>
          <w:color w:val="000000" w:themeColor="text1"/>
        </w:rPr>
        <w:t xml:space="preserve"> (</w:t>
      </w:r>
      <w:r w:rsidR="009C109C" w:rsidRPr="00A54597">
        <w:rPr>
          <w:rFonts w:ascii="Calibri" w:hAnsi="Calibri" w:cs="Calibri"/>
          <w:color w:val="000000" w:themeColor="text1"/>
        </w:rPr>
        <w:t>Marine Litter 2022</w:t>
      </w:r>
      <w:r w:rsidR="00E00266" w:rsidRPr="00A54597">
        <w:rPr>
          <w:rFonts w:ascii="Calibri" w:hAnsi="Calibri" w:cs="Calibri"/>
          <w:color w:val="000000" w:themeColor="text1"/>
        </w:rPr>
        <w:t>)</w:t>
      </w:r>
      <w:r w:rsidR="0008487E" w:rsidRPr="00A54597">
        <w:rPr>
          <w:rFonts w:ascii="Calibri" w:hAnsi="Calibri" w:cs="Calibri"/>
          <w:color w:val="000000" w:themeColor="text1"/>
        </w:rPr>
        <w:t>.</w:t>
      </w:r>
      <w:r w:rsidR="005F0D08" w:rsidRPr="00A54597">
        <w:rPr>
          <w:rFonts w:ascii="Calibri" w:hAnsi="Calibri" w:cs="Calibri"/>
          <w:color w:val="000000" w:themeColor="text1"/>
        </w:rPr>
        <w:t xml:space="preserve"> Furthermore, a significant problem is the dropout issue, which occurs when young people stop participating in organised sports during adolescence</w:t>
      </w:r>
      <w:r w:rsidR="0027377E" w:rsidRPr="00A54597">
        <w:rPr>
          <w:rFonts w:ascii="Calibri" w:hAnsi="Calibri" w:cs="Calibri"/>
          <w:color w:val="000000" w:themeColor="text1"/>
        </w:rPr>
        <w:t xml:space="preserve">, </w:t>
      </w:r>
      <w:r w:rsidR="0027377E" w:rsidRPr="00A54597">
        <w:rPr>
          <w:rFonts w:ascii="Calibri" w:hAnsi="Calibri" w:cs="Calibri"/>
          <w:color w:val="0A0A0A"/>
        </w:rPr>
        <w:t>start dropping out of organized sports</w:t>
      </w:r>
      <w:r w:rsidR="0027377E" w:rsidRPr="00A54597">
        <w:rPr>
          <w:rStyle w:val="apple-converted-space"/>
          <w:rFonts w:ascii="Calibri" w:eastAsiaTheme="majorEastAsia" w:hAnsi="Calibri" w:cs="Calibri"/>
          <w:color w:val="0A0A0A"/>
        </w:rPr>
        <w:t> </w:t>
      </w:r>
      <w:r w:rsidR="0027377E" w:rsidRPr="00A54597">
        <w:rPr>
          <w:rFonts w:ascii="Calibri" w:hAnsi="Calibri" w:cs="Calibri"/>
          <w:color w:val="0A0A0A"/>
        </w:rPr>
        <w:t>around</w:t>
      </w:r>
      <w:r w:rsidR="0027377E" w:rsidRPr="00A54597">
        <w:rPr>
          <w:rStyle w:val="apple-converted-space"/>
          <w:rFonts w:ascii="Calibri" w:eastAsiaTheme="majorEastAsia" w:hAnsi="Calibri" w:cs="Calibri"/>
          <w:color w:val="0A0A0A"/>
        </w:rPr>
        <w:t> </w:t>
      </w:r>
      <w:r w:rsidR="0027377E" w:rsidRPr="00A54597">
        <w:rPr>
          <w:rStyle w:val="Strong"/>
          <w:rFonts w:ascii="Calibri" w:eastAsiaTheme="majorEastAsia" w:hAnsi="Calibri" w:cs="Calibri"/>
          <w:b w:val="0"/>
          <w:bCs w:val="0"/>
          <w:color w:val="0A0A0A"/>
        </w:rPr>
        <w:t>age 11 to 13</w:t>
      </w:r>
      <w:r w:rsidR="0027377E" w:rsidRPr="00A54597">
        <w:rPr>
          <w:rFonts w:ascii="Calibri" w:hAnsi="Calibri" w:cs="Calibri"/>
          <w:color w:val="0A0A0A"/>
        </w:rPr>
        <w:t>, with some studies showing 70% quitting by 13, primarily because sports stop being fun due to excessive pressure, overemphasis on winning, poor coaching, or burnout from specialization, though dropout rates are higher for girls and vary by sport.</w:t>
      </w:r>
      <w:r w:rsidR="00395785" w:rsidRPr="0139EB4F">
        <w:rPr>
          <w:rFonts w:ascii="Calibri" w:hAnsi="Calibri" w:cs="Calibri"/>
          <w:color w:val="000000" w:themeColor="text1"/>
        </w:rPr>
        <w:t xml:space="preserve"> (BBC)</w:t>
      </w:r>
      <w:r w:rsidR="00395785" w:rsidRPr="00A54597">
        <w:rPr>
          <w:rFonts w:ascii="Calibri" w:hAnsi="Calibri" w:cs="Calibri"/>
          <w:color w:val="0A0A0A"/>
        </w:rPr>
        <w:t xml:space="preserve">. </w:t>
      </w:r>
      <w:r w:rsidR="005F0D08" w:rsidRPr="00A54597">
        <w:rPr>
          <w:rFonts w:ascii="Calibri" w:hAnsi="Calibri" w:cs="Calibri"/>
          <w:color w:val="000000" w:themeColor="text1"/>
        </w:rPr>
        <w:t xml:space="preserve"> Studies have connected </w:t>
      </w:r>
      <w:r w:rsidR="0008487E" w:rsidRPr="00A54597">
        <w:rPr>
          <w:rFonts w:ascii="Calibri" w:hAnsi="Calibri" w:cs="Calibri"/>
          <w:color w:val="000000" w:themeColor="text1"/>
        </w:rPr>
        <w:t>this phenomenon</w:t>
      </w:r>
      <w:r w:rsidR="005F0D08" w:rsidRPr="00A54597">
        <w:rPr>
          <w:rFonts w:ascii="Calibri" w:hAnsi="Calibri" w:cs="Calibri"/>
          <w:color w:val="000000" w:themeColor="text1"/>
        </w:rPr>
        <w:t xml:space="preserve"> to decreased enjoyment, social pressures, and conflicting obligations like academics.</w:t>
      </w:r>
      <w:r w:rsidR="009337B9" w:rsidRPr="00A54597">
        <w:rPr>
          <w:rFonts w:ascii="Calibri" w:hAnsi="Calibri" w:cs="Calibri"/>
          <w:color w:val="000000" w:themeColor="text1"/>
        </w:rPr>
        <w:t xml:space="preserve"> (Battaglia et a</w:t>
      </w:r>
      <w:r w:rsidR="00D55BE5">
        <w:rPr>
          <w:rFonts w:ascii="Calibri" w:hAnsi="Calibri" w:cs="Calibri"/>
          <w:color w:val="000000" w:themeColor="text1"/>
        </w:rPr>
        <w:t>l 2024</w:t>
      </w:r>
      <w:r w:rsidR="002E26DB" w:rsidRPr="00A54597">
        <w:rPr>
          <w:rFonts w:ascii="Calibri" w:hAnsi="Calibri" w:cs="Calibri"/>
          <w:color w:val="000000" w:themeColor="text1"/>
        </w:rPr>
        <w:t>). In</w:t>
      </w:r>
      <w:r w:rsidR="000C2890" w:rsidRPr="00A54597">
        <w:rPr>
          <w:rStyle w:val="apple-converted-space"/>
          <w:rFonts w:ascii="Calibri" w:hAnsi="Calibri" w:cs="Calibri"/>
          <w:color w:val="000000" w:themeColor="text1"/>
        </w:rPr>
        <w:t> </w:t>
      </w:r>
      <w:r w:rsidR="000C2890" w:rsidRPr="00A54597">
        <w:rPr>
          <w:rStyle w:val="Strong"/>
          <w:rFonts w:ascii="Calibri" w:hAnsi="Calibri" w:cs="Calibri"/>
          <w:b w:val="0"/>
          <w:color w:val="000000" w:themeColor="text1"/>
        </w:rPr>
        <w:t>youth football</w:t>
      </w:r>
      <w:r w:rsidR="000C2890" w:rsidRPr="00A54597">
        <w:rPr>
          <w:rStyle w:val="Strong"/>
          <w:rFonts w:ascii="Calibri" w:hAnsi="Calibri" w:cs="Calibri"/>
          <w:color w:val="000000" w:themeColor="text1"/>
        </w:rPr>
        <w:t xml:space="preserve"> </w:t>
      </w:r>
      <w:r w:rsidR="000C2890" w:rsidRPr="00A54597">
        <w:rPr>
          <w:rFonts w:ascii="Calibri" w:hAnsi="Calibri" w:cs="Calibri"/>
          <w:color w:val="000000" w:themeColor="text1"/>
        </w:rPr>
        <w:t xml:space="preserve">these broader challenges are compounded by early specialisation pressures, competitive intensity, and injury risks that can undermine sustained engagement and </w:t>
      </w:r>
      <w:r w:rsidR="001B2590" w:rsidRPr="00A54597">
        <w:rPr>
          <w:rFonts w:ascii="Calibri" w:hAnsi="Calibri" w:cs="Calibri"/>
          <w:color w:val="000000" w:themeColor="text1"/>
        </w:rPr>
        <w:t>development.</w:t>
      </w:r>
      <w:r w:rsidR="006C6224" w:rsidRPr="00A54597">
        <w:rPr>
          <w:rFonts w:ascii="Calibri" w:hAnsi="Calibri" w:cs="Calibri"/>
          <w:color w:val="000000" w:themeColor="text1"/>
        </w:rPr>
        <w:t xml:space="preserve"> Concerns about injuries, particularly those related to inadequate movement foundational skills, highlight the need for developmentally appropriate coaching and support structures for young footballers</w:t>
      </w:r>
      <w:r w:rsidR="009A0B5E" w:rsidRPr="00A54597">
        <w:rPr>
          <w:rFonts w:ascii="Calibri" w:hAnsi="Calibri" w:cs="Calibri"/>
          <w:color w:val="000000" w:themeColor="text1"/>
        </w:rPr>
        <w:t xml:space="preserve"> (Ewing</w:t>
      </w:r>
      <w:r w:rsidR="00B940C6">
        <w:rPr>
          <w:rFonts w:ascii="Calibri" w:hAnsi="Calibri" w:cs="Calibri"/>
          <w:color w:val="000000" w:themeColor="text1"/>
        </w:rPr>
        <w:t xml:space="preserve"> 2025</w:t>
      </w:r>
      <w:r w:rsidR="009A0B5E" w:rsidRPr="00A54597">
        <w:rPr>
          <w:rFonts w:ascii="Calibri" w:hAnsi="Calibri" w:cs="Calibri"/>
          <w:color w:val="000000" w:themeColor="text1"/>
        </w:rPr>
        <w:t>)</w:t>
      </w:r>
      <w:r w:rsidR="008C574B" w:rsidRPr="00A54597">
        <w:rPr>
          <w:rFonts w:ascii="Calibri" w:hAnsi="Calibri" w:cs="Calibri"/>
          <w:color w:val="000000" w:themeColor="text1"/>
        </w:rPr>
        <w:t>. Furthermore, in club-based football environments, growing participation prices and competitive pressures represent a kind of "race to the bottom," where increased performance expectations can marginalise leisure play and limit inclusive opportunities for all young people.</w:t>
      </w:r>
      <w:r w:rsidR="00C240EA" w:rsidRPr="00A54597">
        <w:rPr>
          <w:rFonts w:ascii="Calibri" w:hAnsi="Calibri" w:cs="Calibri"/>
          <w:color w:val="000000" w:themeColor="text1"/>
        </w:rPr>
        <w:t xml:space="preserve"> </w:t>
      </w:r>
    </w:p>
    <w:p w14:paraId="279642C2" w14:textId="4E7FD04C" w:rsidR="005C4BEE" w:rsidRPr="00A54597" w:rsidRDefault="005C4BEE" w:rsidP="54C53DD2">
      <w:pPr>
        <w:spacing w:line="360" w:lineRule="auto"/>
        <w:jc w:val="both"/>
        <w:rPr>
          <w:rFonts w:ascii="Calibri" w:hAnsi="Calibri" w:cs="Calibri"/>
          <w:color w:val="000000"/>
        </w:rPr>
      </w:pPr>
    </w:p>
    <w:p w14:paraId="11D9FD2B" w14:textId="299E1847" w:rsidR="003C6563" w:rsidRPr="00A54597" w:rsidRDefault="003C6563" w:rsidP="47FACB4B">
      <w:pPr>
        <w:pStyle w:val="Heading1"/>
        <w:rPr>
          <w:rFonts w:ascii="Calibri" w:hAnsi="Calibri" w:cs="Calibri"/>
          <w:b/>
          <w:color w:val="000000" w:themeColor="text1"/>
          <w:u w:val="single"/>
        </w:rPr>
      </w:pPr>
      <w:bookmarkStart w:id="2" w:name="_Toc1253910080"/>
      <w:r>
        <w:t xml:space="preserve">2.2 </w:t>
      </w:r>
      <w:r w:rsidR="6BF21C68">
        <w:t>T</w:t>
      </w:r>
      <w:r w:rsidR="752DFE8F">
        <w:t>alent</w:t>
      </w:r>
      <w:r>
        <w:t xml:space="preserve"> development pathways</w:t>
      </w:r>
      <w:bookmarkEnd w:id="2"/>
    </w:p>
    <w:p w14:paraId="583E9EF0" w14:textId="634C277B" w:rsidR="00BF40A8" w:rsidRPr="00A54597" w:rsidRDefault="00741DA0" w:rsidP="54C53DD2">
      <w:pPr>
        <w:spacing w:line="360" w:lineRule="auto"/>
        <w:jc w:val="both"/>
        <w:rPr>
          <w:rFonts w:ascii="Calibri" w:hAnsi="Calibri" w:cs="Calibri"/>
          <w:color w:val="000000"/>
        </w:rPr>
      </w:pPr>
      <w:r w:rsidRPr="00A54597">
        <w:rPr>
          <w:rFonts w:ascii="Calibri" w:hAnsi="Calibri" w:cs="Calibri"/>
          <w:color w:val="000000" w:themeColor="text1"/>
        </w:rPr>
        <w:t>Talent development pathways in youth football are designed to facilitate the long-term progression of players through structured and developmentally appropriate stages of participation and performance (Williams &amp; Ford, 2008).</w:t>
      </w:r>
      <w:r w:rsidR="00F85FDF" w:rsidRPr="00A54597">
        <w:rPr>
          <w:rFonts w:ascii="Calibri" w:hAnsi="Calibri" w:cs="Calibri"/>
          <w:color w:val="000000" w:themeColor="text1"/>
        </w:rPr>
        <w:t xml:space="preserve"> </w:t>
      </w:r>
      <w:r w:rsidR="00685E75" w:rsidRPr="00A54597">
        <w:rPr>
          <w:rFonts w:ascii="Calibri" w:hAnsi="Calibri" w:cs="Calibri"/>
          <w:color w:val="000000" w:themeColor="text1"/>
        </w:rPr>
        <w:t>T</w:t>
      </w:r>
      <w:r w:rsidR="0061119C" w:rsidRPr="00A54597">
        <w:rPr>
          <w:rFonts w:ascii="Calibri" w:hAnsi="Calibri" w:cs="Calibri"/>
          <w:color w:val="000000" w:themeColor="text1"/>
        </w:rPr>
        <w:t>he</w:t>
      </w:r>
      <w:r w:rsidR="0061119C" w:rsidRPr="00A54597">
        <w:rPr>
          <w:rStyle w:val="apple-converted-space"/>
          <w:rFonts w:ascii="Calibri" w:hAnsi="Calibri" w:cs="Calibri"/>
          <w:color w:val="000000" w:themeColor="text1"/>
        </w:rPr>
        <w:t> </w:t>
      </w:r>
      <w:r w:rsidR="0061119C" w:rsidRPr="00A54597">
        <w:rPr>
          <w:rStyle w:val="Strong"/>
          <w:rFonts w:ascii="Calibri" w:hAnsi="Calibri" w:cs="Calibri"/>
          <w:b w:val="0"/>
          <w:color w:val="000000" w:themeColor="text1"/>
        </w:rPr>
        <w:t>Long-Term Athlete Development (LTAD)</w:t>
      </w:r>
      <w:r w:rsidR="0061119C" w:rsidRPr="00A54597">
        <w:rPr>
          <w:rStyle w:val="apple-converted-space"/>
          <w:rFonts w:ascii="Calibri" w:hAnsi="Calibri" w:cs="Calibri"/>
          <w:color w:val="000000" w:themeColor="text1"/>
        </w:rPr>
        <w:t> </w:t>
      </w:r>
      <w:r w:rsidR="0061119C" w:rsidRPr="00A54597">
        <w:rPr>
          <w:rFonts w:ascii="Calibri" w:hAnsi="Calibri" w:cs="Calibri"/>
          <w:color w:val="000000" w:themeColor="text1"/>
        </w:rPr>
        <w:t>model is one of the most influential frameworks in contemporary sport, outlining sequential stages of athlete preparation across the lifespan, from fundamental movement to elite performance and eventual transition or retirement</w:t>
      </w:r>
      <w:r w:rsidR="00685E75" w:rsidRPr="00A54597">
        <w:rPr>
          <w:rFonts w:ascii="Calibri" w:hAnsi="Calibri" w:cs="Calibri"/>
          <w:color w:val="000000" w:themeColor="text1"/>
        </w:rPr>
        <w:t xml:space="preserve"> (Balyi et al</w:t>
      </w:r>
      <w:r w:rsidR="006D50C2">
        <w:rPr>
          <w:rFonts w:ascii="Calibri" w:hAnsi="Calibri" w:cs="Calibri"/>
          <w:color w:val="000000" w:themeColor="text1"/>
        </w:rPr>
        <w:t xml:space="preserve"> 2013)</w:t>
      </w:r>
      <w:r w:rsidR="00E7764B" w:rsidRPr="00A54597">
        <w:rPr>
          <w:rFonts w:ascii="Calibri" w:hAnsi="Calibri" w:cs="Calibri"/>
          <w:color w:val="000000" w:themeColor="text1"/>
        </w:rPr>
        <w:t>. LTAD emphasises developmentally appropriate training that aligns with</w:t>
      </w:r>
      <w:r w:rsidR="00E7764B" w:rsidRPr="00A54597">
        <w:rPr>
          <w:rStyle w:val="apple-converted-space"/>
          <w:rFonts w:ascii="Calibri" w:hAnsi="Calibri" w:cs="Calibri"/>
          <w:color w:val="000000" w:themeColor="text1"/>
        </w:rPr>
        <w:t> </w:t>
      </w:r>
      <w:r w:rsidR="00E7764B" w:rsidRPr="00A54597">
        <w:rPr>
          <w:rStyle w:val="Strong"/>
          <w:rFonts w:ascii="Calibri" w:hAnsi="Calibri" w:cs="Calibri"/>
          <w:b w:val="0"/>
          <w:color w:val="000000" w:themeColor="text1"/>
        </w:rPr>
        <w:t>biological maturation and motor skill acquisition</w:t>
      </w:r>
      <w:r w:rsidR="00E7764B" w:rsidRPr="00A54597">
        <w:rPr>
          <w:rFonts w:ascii="Calibri" w:hAnsi="Calibri" w:cs="Calibri"/>
          <w:color w:val="000000" w:themeColor="text1"/>
        </w:rPr>
        <w:t>, rather than strictly chronological age, thereby fostering long-term success and lifelong physical activity engagement.</w:t>
      </w:r>
      <w:r w:rsidR="00AE0455" w:rsidRPr="00A54597">
        <w:rPr>
          <w:rFonts w:ascii="Calibri" w:hAnsi="Calibri" w:cs="Calibri"/>
          <w:color w:val="000000" w:themeColor="text1"/>
        </w:rPr>
        <w:t xml:space="preserve"> </w:t>
      </w:r>
      <w:r w:rsidR="00E71DB3" w:rsidRPr="00A54597">
        <w:rPr>
          <w:rFonts w:ascii="Calibri" w:hAnsi="Calibri" w:cs="Calibri"/>
          <w:color w:val="000000" w:themeColor="text1"/>
        </w:rPr>
        <w:t>(LTAD</w:t>
      </w:r>
      <w:r w:rsidR="006D4FD5" w:rsidRPr="00A54597">
        <w:rPr>
          <w:rFonts w:ascii="Calibri" w:hAnsi="Calibri" w:cs="Calibri"/>
          <w:color w:val="000000" w:themeColor="text1"/>
        </w:rPr>
        <w:t xml:space="preserve">, </w:t>
      </w:r>
      <w:r w:rsidR="00E71DB3" w:rsidRPr="00A54597">
        <w:rPr>
          <w:rFonts w:ascii="Calibri" w:hAnsi="Calibri" w:cs="Calibri"/>
          <w:color w:val="000000" w:themeColor="text1"/>
        </w:rPr>
        <w:t>EBSCO</w:t>
      </w:r>
      <w:r w:rsidR="006D4FD5" w:rsidRPr="00A54597">
        <w:rPr>
          <w:rFonts w:ascii="Calibri" w:hAnsi="Calibri" w:cs="Calibri"/>
          <w:color w:val="000000" w:themeColor="text1"/>
        </w:rPr>
        <w:t xml:space="preserve"> 2023)</w:t>
      </w:r>
      <w:r w:rsidR="00D3098D" w:rsidRPr="00A54597">
        <w:rPr>
          <w:rFonts w:ascii="Calibri" w:hAnsi="Calibri" w:cs="Calibri"/>
          <w:color w:val="000000" w:themeColor="text1"/>
        </w:rPr>
        <w:t>. Despite being widely used, LTAD has drawn criticism for its primarily physiologic focus and little empirical support, with critics calling for a more comprehensive body of research to back up its presumptions.</w:t>
      </w:r>
      <w:r w:rsidR="007573EE" w:rsidRPr="00A54597">
        <w:rPr>
          <w:rFonts w:ascii="Calibri" w:hAnsi="Calibri" w:cs="Calibri"/>
          <w:color w:val="000000" w:themeColor="text1"/>
        </w:rPr>
        <w:t xml:space="preserve"> (Ford et al.</w:t>
      </w:r>
      <w:r w:rsidR="006D4FD5" w:rsidRPr="00A54597">
        <w:rPr>
          <w:rFonts w:ascii="Calibri" w:hAnsi="Calibri" w:cs="Calibri"/>
          <w:color w:val="000000" w:themeColor="text1"/>
        </w:rPr>
        <w:t xml:space="preserve"> 2011</w:t>
      </w:r>
      <w:r w:rsidR="007573EE" w:rsidRPr="00A54597">
        <w:rPr>
          <w:rFonts w:ascii="Calibri" w:hAnsi="Calibri" w:cs="Calibri"/>
          <w:color w:val="000000" w:themeColor="text1"/>
        </w:rPr>
        <w:t>)</w:t>
      </w:r>
      <w:r w:rsidR="00AE0E98" w:rsidRPr="00A54597">
        <w:rPr>
          <w:rFonts w:ascii="Calibri" w:hAnsi="Calibri" w:cs="Calibri"/>
          <w:color w:val="000000" w:themeColor="text1"/>
        </w:rPr>
        <w:t xml:space="preserve"> Research examining LTAD implementation highlights the importance of</w:t>
      </w:r>
      <w:r w:rsidR="00AE0E98" w:rsidRPr="00A54597">
        <w:rPr>
          <w:rStyle w:val="apple-converted-space"/>
          <w:rFonts w:ascii="Calibri" w:hAnsi="Calibri" w:cs="Calibri"/>
          <w:color w:val="000000" w:themeColor="text1"/>
        </w:rPr>
        <w:t xml:space="preserve"> development</w:t>
      </w:r>
      <w:r w:rsidR="00AE0E98" w:rsidRPr="00A54597">
        <w:rPr>
          <w:rStyle w:val="Strong"/>
          <w:rFonts w:ascii="Calibri" w:hAnsi="Calibri" w:cs="Calibri"/>
          <w:color w:val="000000" w:themeColor="text1"/>
        </w:rPr>
        <w:t xml:space="preserve"> </w:t>
      </w:r>
      <w:r w:rsidR="00AE0E98" w:rsidRPr="00A54597">
        <w:rPr>
          <w:rStyle w:val="Strong"/>
          <w:rFonts w:ascii="Calibri" w:hAnsi="Calibri" w:cs="Calibri"/>
          <w:b w:val="0"/>
          <w:color w:val="000000" w:themeColor="text1"/>
        </w:rPr>
        <w:t>environments</w:t>
      </w:r>
      <w:r w:rsidR="00AE0E98" w:rsidRPr="00A54597">
        <w:rPr>
          <w:rFonts w:ascii="Calibri" w:hAnsi="Calibri" w:cs="Calibri"/>
          <w:color w:val="000000" w:themeColor="text1"/>
        </w:rPr>
        <w:t xml:space="preserve">, acknowledging physiological and social factors that converge to influence athlete </w:t>
      </w:r>
      <w:r w:rsidR="00872987" w:rsidRPr="00A54597">
        <w:rPr>
          <w:rFonts w:ascii="Calibri" w:hAnsi="Calibri" w:cs="Calibri"/>
          <w:color w:val="000000" w:themeColor="text1"/>
        </w:rPr>
        <w:t>pathway</w:t>
      </w:r>
      <w:r w:rsidR="008D5BFF" w:rsidRPr="00A54597">
        <w:rPr>
          <w:rFonts w:ascii="Calibri" w:hAnsi="Calibri" w:cs="Calibri"/>
          <w:color w:val="000000" w:themeColor="text1"/>
        </w:rPr>
        <w:t xml:space="preserve"> (Söker et al</w:t>
      </w:r>
      <w:r w:rsidR="60DAB38A" w:rsidRPr="7E2322DB">
        <w:rPr>
          <w:rFonts w:ascii="Calibri" w:hAnsi="Calibri" w:cs="Calibri"/>
          <w:color w:val="000000" w:themeColor="text1"/>
        </w:rPr>
        <w:t>.,</w:t>
      </w:r>
      <w:r w:rsidR="00130AD1">
        <w:rPr>
          <w:rFonts w:ascii="Calibri" w:hAnsi="Calibri" w:cs="Calibri"/>
          <w:color w:val="000000" w:themeColor="text1"/>
        </w:rPr>
        <w:t xml:space="preserve"> 2025)</w:t>
      </w:r>
    </w:p>
    <w:p w14:paraId="5D438566" w14:textId="77777777" w:rsidR="000E6E1B" w:rsidRPr="00A54597" w:rsidRDefault="000E6E1B" w:rsidP="54C53DD2">
      <w:pPr>
        <w:spacing w:line="360" w:lineRule="auto"/>
        <w:jc w:val="both"/>
        <w:rPr>
          <w:rFonts w:ascii="Calibri" w:hAnsi="Calibri" w:cs="Calibri"/>
          <w:color w:val="000000"/>
        </w:rPr>
      </w:pPr>
    </w:p>
    <w:p w14:paraId="7342A059" w14:textId="08150854" w:rsidR="000E6E1B" w:rsidRPr="00A54597" w:rsidRDefault="32AF47C8" w:rsidP="54C53DD2">
      <w:pPr>
        <w:spacing w:line="360" w:lineRule="auto"/>
        <w:jc w:val="both"/>
        <w:rPr>
          <w:rFonts w:ascii="Calibri" w:hAnsi="Calibri" w:cs="Calibri"/>
          <w:color w:val="000000"/>
        </w:rPr>
      </w:pPr>
      <w:r w:rsidRPr="775A0FD1">
        <w:rPr>
          <w:rFonts w:ascii="Calibri" w:hAnsi="Calibri" w:cs="Calibri"/>
          <w:color w:val="000000" w:themeColor="text1"/>
        </w:rPr>
        <w:t>T</w:t>
      </w:r>
      <w:r w:rsidR="000E6E1B" w:rsidRPr="775A0FD1">
        <w:rPr>
          <w:rFonts w:ascii="Calibri" w:hAnsi="Calibri" w:cs="Calibri"/>
          <w:color w:val="000000" w:themeColor="text1"/>
        </w:rPr>
        <w:t>he</w:t>
      </w:r>
      <w:r w:rsidR="000E6E1B" w:rsidRPr="00A54597">
        <w:rPr>
          <w:rStyle w:val="apple-converted-space"/>
          <w:rFonts w:ascii="Calibri" w:hAnsi="Calibri" w:cs="Calibri"/>
          <w:color w:val="000000" w:themeColor="text1"/>
        </w:rPr>
        <w:t> </w:t>
      </w:r>
      <w:r w:rsidR="000E6E1B" w:rsidRPr="00A54597">
        <w:rPr>
          <w:rStyle w:val="Strong"/>
          <w:rFonts w:ascii="Calibri" w:hAnsi="Calibri" w:cs="Calibri"/>
          <w:b w:val="0"/>
          <w:color w:val="000000" w:themeColor="text1"/>
        </w:rPr>
        <w:t>Developmental Model of Sport Participation (DMSP</w:t>
      </w:r>
      <w:r w:rsidR="00412405" w:rsidRPr="00A54597">
        <w:rPr>
          <w:rStyle w:val="Strong"/>
          <w:rFonts w:ascii="Calibri" w:hAnsi="Calibri" w:cs="Calibri"/>
          <w:color w:val="000000" w:themeColor="text1"/>
        </w:rPr>
        <w:t>)</w:t>
      </w:r>
      <w:r w:rsidR="000E6E1B" w:rsidRPr="00A54597">
        <w:rPr>
          <w:rStyle w:val="apple-converted-space"/>
          <w:rFonts w:ascii="Calibri" w:hAnsi="Calibri" w:cs="Calibri"/>
          <w:color w:val="000000" w:themeColor="text1"/>
        </w:rPr>
        <w:t> </w:t>
      </w:r>
      <w:r w:rsidR="000E6E1B" w:rsidRPr="00A54597">
        <w:rPr>
          <w:rFonts w:ascii="Calibri" w:hAnsi="Calibri" w:cs="Calibri"/>
          <w:color w:val="000000" w:themeColor="text1"/>
        </w:rPr>
        <w:t>offers a talent development perspective grounded in sport participation patterns, delineating the sampling, specialising, and investment years of athlete growth</w:t>
      </w:r>
      <w:r w:rsidR="00B85781" w:rsidRPr="00A54597">
        <w:rPr>
          <w:rFonts w:ascii="Calibri" w:hAnsi="Calibri" w:cs="Calibri"/>
          <w:color w:val="000000" w:themeColor="text1"/>
        </w:rPr>
        <w:t xml:space="preserve"> which really helps with talent development pathways</w:t>
      </w:r>
      <w:r w:rsidR="00412405" w:rsidRPr="00A54597">
        <w:rPr>
          <w:rFonts w:ascii="Calibri" w:hAnsi="Calibri" w:cs="Calibri"/>
          <w:color w:val="000000" w:themeColor="text1"/>
        </w:rPr>
        <w:t>. The DMSP role in talent development is</w:t>
      </w:r>
      <w:r w:rsidR="00412405" w:rsidRPr="00A54597">
        <w:rPr>
          <w:rStyle w:val="apple-converted-space"/>
          <w:rFonts w:ascii="Calibri" w:hAnsi="Calibri" w:cs="Calibri"/>
          <w:color w:val="000000" w:themeColor="text1"/>
        </w:rPr>
        <w:t> </w:t>
      </w:r>
      <w:r w:rsidR="00412405" w:rsidRPr="00A54597">
        <w:rPr>
          <w:rStyle w:val="Strong"/>
          <w:rFonts w:ascii="Calibri" w:hAnsi="Calibri" w:cs="Calibri"/>
          <w:b w:val="0"/>
          <w:color w:val="000000" w:themeColor="text1"/>
        </w:rPr>
        <w:t>early diversified sport engagement and deliberate play</w:t>
      </w:r>
      <w:r w:rsidR="00412405" w:rsidRPr="00A54597">
        <w:rPr>
          <w:rFonts w:ascii="Calibri" w:hAnsi="Calibri" w:cs="Calibri"/>
          <w:color w:val="000000" w:themeColor="text1"/>
        </w:rPr>
        <w:t>, suggesting that broad participation may support intrinsic motivation and later specialised expertise.</w:t>
      </w:r>
      <w:r w:rsidR="00A04FD4" w:rsidRPr="00A54597">
        <w:rPr>
          <w:rFonts w:ascii="Calibri" w:hAnsi="Calibri" w:cs="Calibri"/>
          <w:color w:val="000000" w:themeColor="text1"/>
        </w:rPr>
        <w:t xml:space="preserve"> (Pichardo et al</w:t>
      </w:r>
      <w:r w:rsidR="00001F20">
        <w:rPr>
          <w:rFonts w:ascii="Calibri" w:hAnsi="Calibri" w:cs="Calibri"/>
          <w:color w:val="000000" w:themeColor="text1"/>
        </w:rPr>
        <w:t xml:space="preserve"> 2018)</w:t>
      </w:r>
      <w:r w:rsidR="0082732D" w:rsidRPr="00A54597">
        <w:rPr>
          <w:rFonts w:ascii="Calibri" w:hAnsi="Calibri" w:cs="Calibri"/>
          <w:color w:val="000000" w:themeColor="text1"/>
        </w:rPr>
        <w:t xml:space="preserve"> looking at </w:t>
      </w:r>
      <w:r w:rsidR="004A30BA" w:rsidRPr="00A54597">
        <w:rPr>
          <w:rFonts w:ascii="Calibri" w:hAnsi="Calibri" w:cs="Calibri"/>
          <w:color w:val="000000" w:themeColor="text1"/>
        </w:rPr>
        <w:t>research</w:t>
      </w:r>
      <w:r w:rsidR="0082732D" w:rsidRPr="00A54597">
        <w:rPr>
          <w:rFonts w:ascii="Calibri" w:hAnsi="Calibri" w:cs="Calibri"/>
          <w:color w:val="000000" w:themeColor="text1"/>
        </w:rPr>
        <w:t xml:space="preserve"> from online locations reviews indicates that the DMSP has received considerable research support relative to other models, underscoring its relevance in talent development scholarship</w:t>
      </w:r>
      <w:r w:rsidR="004A30BA" w:rsidRPr="00A54597">
        <w:rPr>
          <w:rFonts w:ascii="Calibri" w:hAnsi="Calibri" w:cs="Calibri"/>
          <w:color w:val="000000" w:themeColor="text1"/>
        </w:rPr>
        <w:t xml:space="preserve"> (Gallant and Bélanger</w:t>
      </w:r>
      <w:r w:rsidR="00AD2E4D">
        <w:rPr>
          <w:rFonts w:ascii="Calibri" w:hAnsi="Calibri" w:cs="Calibri"/>
          <w:color w:val="000000" w:themeColor="text1"/>
        </w:rPr>
        <w:t xml:space="preserve"> 2021)</w:t>
      </w:r>
      <w:r w:rsidR="00C87FAD" w:rsidRPr="00A54597">
        <w:rPr>
          <w:rFonts w:ascii="Calibri" w:hAnsi="Calibri" w:cs="Calibri"/>
          <w:color w:val="000000" w:themeColor="text1"/>
        </w:rPr>
        <w:t xml:space="preserve">. The DMSP’s emphasis </w:t>
      </w:r>
      <w:r w:rsidR="00956F7A" w:rsidRPr="00A54597">
        <w:rPr>
          <w:rFonts w:ascii="Calibri" w:hAnsi="Calibri" w:cs="Calibri"/>
          <w:color w:val="000000" w:themeColor="text1"/>
        </w:rPr>
        <w:t>on enjoyment</w:t>
      </w:r>
      <w:r w:rsidR="00C87FAD" w:rsidRPr="00A54597">
        <w:rPr>
          <w:rFonts w:ascii="Calibri" w:hAnsi="Calibri" w:cs="Calibri"/>
          <w:color w:val="000000" w:themeColor="text1"/>
        </w:rPr>
        <w:t xml:space="preserve"> and gradual commitment contrasts with the more structured progression of LTAD, yet both models share a</w:t>
      </w:r>
      <w:r w:rsidR="00C87FAD" w:rsidRPr="00A54597">
        <w:rPr>
          <w:rStyle w:val="apple-converted-space"/>
          <w:rFonts w:ascii="Calibri" w:hAnsi="Calibri" w:cs="Calibri"/>
          <w:color w:val="000000" w:themeColor="text1"/>
        </w:rPr>
        <w:t> </w:t>
      </w:r>
      <w:r w:rsidR="00C87FAD" w:rsidRPr="00A54597">
        <w:rPr>
          <w:rStyle w:val="Strong"/>
          <w:rFonts w:ascii="Calibri" w:hAnsi="Calibri" w:cs="Calibri"/>
          <w:b w:val="0"/>
          <w:color w:val="000000" w:themeColor="text1"/>
        </w:rPr>
        <w:t>long-term developmental</w:t>
      </w:r>
      <w:r w:rsidR="00C87FAD" w:rsidRPr="00A54597">
        <w:rPr>
          <w:rStyle w:val="Strong"/>
          <w:rFonts w:ascii="Calibri" w:hAnsi="Calibri" w:cs="Calibri"/>
          <w:color w:val="000000" w:themeColor="text1"/>
        </w:rPr>
        <w:t xml:space="preserve"> </w:t>
      </w:r>
      <w:r w:rsidR="00C87FAD" w:rsidRPr="00A54597">
        <w:rPr>
          <w:rFonts w:ascii="Calibri" w:hAnsi="Calibri" w:cs="Calibri"/>
          <w:color w:val="000000" w:themeColor="text1"/>
        </w:rPr>
        <w:t>that accommodates individual variability</w:t>
      </w:r>
      <w:r w:rsidR="00812AF2" w:rsidRPr="00A54597">
        <w:rPr>
          <w:rFonts w:ascii="Calibri" w:hAnsi="Calibri" w:cs="Calibri"/>
          <w:color w:val="000000" w:themeColor="text1"/>
        </w:rPr>
        <w:t>.</w:t>
      </w:r>
    </w:p>
    <w:p w14:paraId="3CA850FF" w14:textId="77777777" w:rsidR="00006A09" w:rsidRPr="00A54597" w:rsidRDefault="00006A09" w:rsidP="54C53DD2">
      <w:pPr>
        <w:spacing w:line="360" w:lineRule="auto"/>
        <w:jc w:val="both"/>
        <w:rPr>
          <w:rFonts w:ascii="Calibri" w:hAnsi="Calibri" w:cs="Calibri"/>
          <w:color w:val="000000"/>
        </w:rPr>
      </w:pPr>
    </w:p>
    <w:p w14:paraId="4D4AF829" w14:textId="67BE6315" w:rsidR="009C5B2D" w:rsidRPr="00A54597" w:rsidRDefault="00037E4C" w:rsidP="54C53DD2">
      <w:pPr>
        <w:spacing w:line="360" w:lineRule="auto"/>
        <w:jc w:val="both"/>
        <w:rPr>
          <w:rFonts w:ascii="Calibri" w:hAnsi="Calibri" w:cs="Calibri"/>
          <w:color w:val="000000" w:themeColor="text1"/>
        </w:rPr>
      </w:pPr>
      <w:r w:rsidRPr="00A54597">
        <w:rPr>
          <w:rFonts w:ascii="Calibri" w:hAnsi="Calibri" w:cs="Calibri"/>
          <w:color w:val="000000" w:themeColor="text1"/>
        </w:rPr>
        <w:lastRenderedPageBreak/>
        <w:t xml:space="preserve">Furthermore, </w:t>
      </w:r>
      <w:r w:rsidR="00987963" w:rsidRPr="00A54597">
        <w:rPr>
          <w:rFonts w:ascii="Calibri" w:hAnsi="Calibri" w:cs="Calibri"/>
          <w:color w:val="000000" w:themeColor="text1"/>
        </w:rPr>
        <w:t xml:space="preserve">I have found </w:t>
      </w:r>
      <w:r w:rsidR="00174DF4" w:rsidRPr="00A54597">
        <w:rPr>
          <w:rFonts w:ascii="Calibri" w:hAnsi="Calibri" w:cs="Calibri"/>
          <w:color w:val="000000" w:themeColor="text1"/>
        </w:rPr>
        <w:t>t</w:t>
      </w:r>
      <w:r w:rsidR="00987963" w:rsidRPr="00A54597">
        <w:rPr>
          <w:rFonts w:ascii="Calibri" w:hAnsi="Calibri" w:cs="Calibri"/>
          <w:color w:val="000000" w:themeColor="text1"/>
        </w:rPr>
        <w:t>he</w:t>
      </w:r>
      <w:r w:rsidR="00987963" w:rsidRPr="00A54597">
        <w:rPr>
          <w:rStyle w:val="apple-converted-space"/>
          <w:rFonts w:ascii="Calibri" w:hAnsi="Calibri" w:cs="Calibri"/>
          <w:color w:val="000000" w:themeColor="text1"/>
        </w:rPr>
        <w:t> </w:t>
      </w:r>
      <w:r w:rsidR="00987963" w:rsidRPr="00A54597">
        <w:rPr>
          <w:rStyle w:val="Strong"/>
          <w:rFonts w:ascii="Calibri" w:hAnsi="Calibri" w:cs="Calibri"/>
          <w:b w:val="0"/>
          <w:color w:val="000000" w:themeColor="text1"/>
        </w:rPr>
        <w:t>Australian Institute of Sport (AIS</w:t>
      </w:r>
      <w:r w:rsidR="00106E18" w:rsidRPr="00A54597">
        <w:rPr>
          <w:rStyle w:val="Strong"/>
          <w:rFonts w:ascii="Calibri" w:hAnsi="Calibri" w:cs="Calibri"/>
          <w:b w:val="0"/>
          <w:color w:val="000000" w:themeColor="text1"/>
        </w:rPr>
        <w:t>)</w:t>
      </w:r>
      <w:r w:rsidR="00174DF4" w:rsidRPr="00A54597">
        <w:rPr>
          <w:rStyle w:val="Strong"/>
          <w:rFonts w:ascii="Calibri" w:hAnsi="Calibri" w:cs="Calibri"/>
          <w:b w:val="0"/>
          <w:color w:val="000000" w:themeColor="text1"/>
        </w:rPr>
        <w:t xml:space="preserve"> which has</w:t>
      </w:r>
      <w:r w:rsidR="003A4804" w:rsidRPr="00A54597">
        <w:rPr>
          <w:rStyle w:val="Strong"/>
          <w:rFonts w:ascii="Calibri" w:hAnsi="Calibri" w:cs="Calibri"/>
          <w:color w:val="000000" w:themeColor="text1"/>
        </w:rPr>
        <w:t xml:space="preserve"> </w:t>
      </w:r>
      <w:r w:rsidR="003A4804" w:rsidRPr="00A54597">
        <w:rPr>
          <w:rFonts w:ascii="Calibri" w:hAnsi="Calibri" w:cs="Calibri"/>
          <w:color w:val="000000" w:themeColor="text1"/>
        </w:rPr>
        <w:t xml:space="preserve">played a foundational role within the Australian high performance sport system by structuring talent development pathways that support athletes’ progression from early engagement to elite performance. Established to unify and enhance sport science, coaching, and athlete support, the AIS underpins talent identification and development through </w:t>
      </w:r>
      <w:r w:rsidRPr="00A54597">
        <w:rPr>
          <w:rFonts w:ascii="Calibri" w:hAnsi="Calibri" w:cs="Calibri"/>
          <w:color w:val="000000" w:themeColor="text1"/>
        </w:rPr>
        <w:t>evidence i</w:t>
      </w:r>
      <w:r w:rsidR="003A4804" w:rsidRPr="00A54597">
        <w:rPr>
          <w:rFonts w:ascii="Calibri" w:hAnsi="Calibri" w:cs="Calibri"/>
          <w:color w:val="000000" w:themeColor="text1"/>
        </w:rPr>
        <w:t>nformed frameworks such as the</w:t>
      </w:r>
      <w:r w:rsidR="003A4804" w:rsidRPr="00A54597">
        <w:rPr>
          <w:rStyle w:val="apple-converted-space"/>
          <w:rFonts w:ascii="Calibri" w:hAnsi="Calibri" w:cs="Calibri"/>
          <w:color w:val="000000" w:themeColor="text1"/>
        </w:rPr>
        <w:t> </w:t>
      </w:r>
      <w:r w:rsidR="003A4804" w:rsidRPr="00A54597">
        <w:rPr>
          <w:rStyle w:val="Strong"/>
          <w:rFonts w:ascii="Calibri" w:hAnsi="Calibri" w:cs="Calibri"/>
          <w:b w:val="0"/>
          <w:color w:val="000000" w:themeColor="text1"/>
        </w:rPr>
        <w:t>Foundations, Talent, Elite, and Mastery (FTEM)</w:t>
      </w:r>
      <w:r w:rsidR="003A4804" w:rsidRPr="00A54597">
        <w:rPr>
          <w:rStyle w:val="apple-converted-space"/>
          <w:rFonts w:ascii="Calibri" w:hAnsi="Calibri" w:cs="Calibri"/>
          <w:color w:val="000000" w:themeColor="text1"/>
        </w:rPr>
        <w:t> </w:t>
      </w:r>
      <w:r w:rsidR="003A4804" w:rsidRPr="00A54597">
        <w:rPr>
          <w:rFonts w:ascii="Calibri" w:hAnsi="Calibri" w:cs="Calibri"/>
          <w:color w:val="000000" w:themeColor="text1"/>
        </w:rPr>
        <w:t>model, which articulates phased progression and aligns development across active lifestyle, participation and excellence domains</w:t>
      </w:r>
      <w:r w:rsidR="00D918EE" w:rsidRPr="00A54597">
        <w:rPr>
          <w:rFonts w:ascii="Calibri" w:hAnsi="Calibri" w:cs="Calibri"/>
          <w:color w:val="000000" w:themeColor="text1"/>
        </w:rPr>
        <w:t xml:space="preserve"> (“Australian Sports Commission | Foundations - Talent - Elite - Mastery (FTEM) Pathways”)</w:t>
      </w:r>
      <w:r w:rsidR="00E149A7" w:rsidRPr="00A54597">
        <w:rPr>
          <w:rFonts w:ascii="Calibri" w:hAnsi="Calibri" w:cs="Calibri"/>
          <w:color w:val="000000" w:themeColor="text1"/>
        </w:rPr>
        <w:t xml:space="preserve">. Gulbin et al. (2013) </w:t>
      </w:r>
      <w:r w:rsidR="00A35E0C" w:rsidRPr="00A54597">
        <w:rPr>
          <w:rFonts w:ascii="Calibri" w:hAnsi="Calibri" w:cs="Calibri"/>
          <w:color w:val="000000" w:themeColor="text1"/>
        </w:rPr>
        <w:t>explains</w:t>
      </w:r>
      <w:r w:rsidR="00E149A7" w:rsidRPr="00A54597">
        <w:rPr>
          <w:rFonts w:ascii="Calibri" w:hAnsi="Calibri" w:cs="Calibri"/>
          <w:color w:val="000000" w:themeColor="text1"/>
        </w:rPr>
        <w:t xml:space="preserve"> that the FTEM framework, developed through practitioner research at the AIS, integrates multidisciplinary insights to optimise athlete and sport development pathways, emphasising functional transitions rather than rigid chronological </w:t>
      </w:r>
      <w:r w:rsidR="00D71113" w:rsidRPr="00A54597">
        <w:rPr>
          <w:rFonts w:ascii="Calibri" w:hAnsi="Calibri" w:cs="Calibri"/>
          <w:color w:val="000000" w:themeColor="text1"/>
        </w:rPr>
        <w:t>stages. (Gulbin et al.</w:t>
      </w:r>
      <w:r w:rsidR="00C07CDF">
        <w:rPr>
          <w:rFonts w:ascii="Calibri" w:hAnsi="Calibri" w:cs="Calibri"/>
          <w:color w:val="000000" w:themeColor="text1"/>
        </w:rPr>
        <w:t xml:space="preserve"> 2013</w:t>
      </w:r>
      <w:r w:rsidR="00D71113" w:rsidRPr="50DF5821">
        <w:rPr>
          <w:rFonts w:ascii="Calibri" w:hAnsi="Calibri" w:cs="Calibri"/>
          <w:color w:val="000000" w:themeColor="text1"/>
        </w:rPr>
        <w:t>)</w:t>
      </w:r>
      <w:r w:rsidR="0492D094" w:rsidRPr="50DF5821">
        <w:rPr>
          <w:rFonts w:ascii="Calibri" w:hAnsi="Calibri" w:cs="Calibri"/>
          <w:color w:val="000000" w:themeColor="text1"/>
        </w:rPr>
        <w:t>.</w:t>
      </w:r>
      <w:r w:rsidR="0089318D" w:rsidRPr="00A54597">
        <w:rPr>
          <w:rFonts w:ascii="Calibri" w:hAnsi="Calibri" w:cs="Calibri"/>
          <w:color w:val="000000" w:themeColor="text1"/>
        </w:rPr>
        <w:t xml:space="preserve"> Empirical research indicates that such national instituteled frameworks enhance clarity in talent progression and provide structured support to athletes and coaches, facilitating more systematic development and transition toward elite performance outcomes.</w:t>
      </w:r>
    </w:p>
    <w:p w14:paraId="0F17F3A2" w14:textId="1E31732E" w:rsidR="1F29420B" w:rsidRDefault="1F29420B" w:rsidP="1F29420B">
      <w:pPr>
        <w:spacing w:line="360" w:lineRule="auto"/>
        <w:jc w:val="both"/>
        <w:rPr>
          <w:rFonts w:ascii="Calibri" w:hAnsi="Calibri" w:cs="Calibri"/>
          <w:color w:val="000000" w:themeColor="text1"/>
        </w:rPr>
      </w:pPr>
    </w:p>
    <w:p w14:paraId="7CC201AF" w14:textId="123F74DD" w:rsidR="00A766E7" w:rsidRPr="00A54597" w:rsidRDefault="00A766E7" w:rsidP="4C682F35">
      <w:pPr>
        <w:pStyle w:val="Heading1"/>
        <w:rPr>
          <w:rFonts w:ascii="Calibri" w:hAnsi="Calibri" w:cs="Calibri"/>
          <w:b/>
          <w:color w:val="000000" w:themeColor="text1"/>
          <w:u w:val="single"/>
        </w:rPr>
      </w:pPr>
      <w:bookmarkStart w:id="3" w:name="_Toc453382366"/>
      <w:r>
        <w:t>2.3 Youth Football Development</w:t>
      </w:r>
      <w:bookmarkEnd w:id="3"/>
    </w:p>
    <w:p w14:paraId="5F01402A" w14:textId="37B124C1" w:rsidR="00567ADD" w:rsidRPr="00A54597" w:rsidRDefault="002A448F" w:rsidP="54C53DD2">
      <w:pPr>
        <w:spacing w:line="360" w:lineRule="auto"/>
        <w:jc w:val="both"/>
        <w:rPr>
          <w:rFonts w:ascii="Calibri" w:hAnsi="Calibri" w:cs="Calibri"/>
          <w:color w:val="000000"/>
        </w:rPr>
      </w:pPr>
      <w:r w:rsidRPr="00A54597">
        <w:rPr>
          <w:rStyle w:val="Strong"/>
          <w:rFonts w:ascii="Calibri" w:hAnsi="Calibri" w:cs="Calibri"/>
          <w:b w:val="0"/>
          <w:color w:val="000000" w:themeColor="text1"/>
        </w:rPr>
        <w:t>Youth football development</w:t>
      </w:r>
      <w:r w:rsidRPr="00A54597">
        <w:rPr>
          <w:rStyle w:val="apple-converted-space"/>
          <w:rFonts w:ascii="Calibri" w:hAnsi="Calibri" w:cs="Calibri"/>
          <w:color w:val="000000" w:themeColor="text1"/>
        </w:rPr>
        <w:t> </w:t>
      </w:r>
      <w:r w:rsidRPr="00A54597">
        <w:rPr>
          <w:rFonts w:ascii="Calibri" w:hAnsi="Calibri" w:cs="Calibri"/>
          <w:color w:val="000000" w:themeColor="text1"/>
        </w:rPr>
        <w:t xml:space="preserve">is a structured process designed to cultivate technical, tactical, physical, and psychosocial skills in young players through age-appropriate coaching, progressive game formats, and pathways, aiming to transition talent from grassroots to elite performance </w:t>
      </w:r>
      <w:r w:rsidR="006357B9" w:rsidRPr="00A54597">
        <w:rPr>
          <w:rFonts w:ascii="Calibri" w:hAnsi="Calibri" w:cs="Calibri"/>
          <w:color w:val="000000" w:themeColor="text1"/>
        </w:rPr>
        <w:t>(Williams and Reilly</w:t>
      </w:r>
      <w:r w:rsidR="00C618FD">
        <w:rPr>
          <w:rFonts w:ascii="Calibri" w:hAnsi="Calibri" w:cs="Calibri"/>
          <w:color w:val="000000" w:themeColor="text1"/>
        </w:rPr>
        <w:t xml:space="preserve"> 2000</w:t>
      </w:r>
      <w:r w:rsidR="006357B9" w:rsidRPr="00A54597">
        <w:rPr>
          <w:rFonts w:ascii="Calibri" w:hAnsi="Calibri" w:cs="Calibri"/>
          <w:color w:val="000000" w:themeColor="text1"/>
        </w:rPr>
        <w:t>)</w:t>
      </w:r>
      <w:r w:rsidR="00C618FD">
        <w:rPr>
          <w:rFonts w:ascii="Calibri" w:hAnsi="Calibri" w:cs="Calibri"/>
          <w:color w:val="000000" w:themeColor="text1"/>
        </w:rPr>
        <w:t xml:space="preserve"> </w:t>
      </w:r>
      <w:r w:rsidR="00182BEA" w:rsidRPr="00A54597">
        <w:rPr>
          <w:rFonts w:ascii="Calibri" w:hAnsi="Calibri" w:cs="Calibri"/>
          <w:color w:val="000000" w:themeColor="text1"/>
        </w:rPr>
        <w:t xml:space="preserve">Then focusing </w:t>
      </w:r>
      <w:r w:rsidR="00D0527F" w:rsidRPr="00A54597">
        <w:rPr>
          <w:rFonts w:ascii="Calibri" w:hAnsi="Calibri" w:cs="Calibri"/>
          <w:color w:val="000000" w:themeColor="text1"/>
        </w:rPr>
        <w:t xml:space="preserve">professional </w:t>
      </w:r>
      <w:r w:rsidR="007A31A6" w:rsidRPr="00A54597">
        <w:rPr>
          <w:rFonts w:ascii="Calibri" w:hAnsi="Calibri" w:cs="Calibri"/>
          <w:color w:val="000000" w:themeColor="text1"/>
        </w:rPr>
        <w:t>academy</w:t>
      </w:r>
      <w:r w:rsidR="00182BEA" w:rsidRPr="00A54597">
        <w:rPr>
          <w:rFonts w:ascii="Calibri" w:hAnsi="Calibri" w:cs="Calibri"/>
          <w:color w:val="000000" w:themeColor="text1"/>
        </w:rPr>
        <w:t xml:space="preserve"> for football development </w:t>
      </w:r>
      <w:r w:rsidR="00D0527F" w:rsidRPr="00A54597">
        <w:rPr>
          <w:rFonts w:ascii="Calibri" w:hAnsi="Calibri" w:cs="Calibri"/>
          <w:color w:val="000000" w:themeColor="text1"/>
        </w:rPr>
        <w:t>s are typically structured into sequential phases, with the</w:t>
      </w:r>
      <w:r w:rsidR="00D0527F" w:rsidRPr="00A54597">
        <w:rPr>
          <w:rStyle w:val="apple-converted-space"/>
          <w:rFonts w:ascii="Calibri" w:hAnsi="Calibri" w:cs="Calibri"/>
          <w:color w:val="000000" w:themeColor="text1"/>
        </w:rPr>
        <w:t> </w:t>
      </w:r>
      <w:r w:rsidR="00D0527F" w:rsidRPr="00A54597">
        <w:rPr>
          <w:rStyle w:val="Strong"/>
          <w:rFonts w:ascii="Calibri" w:hAnsi="Calibri" w:cs="Calibri"/>
          <w:b w:val="0"/>
          <w:color w:val="000000" w:themeColor="text1"/>
        </w:rPr>
        <w:t>Foundation Phase (approx. U8–U11)</w:t>
      </w:r>
      <w:r w:rsidR="00D0527F" w:rsidRPr="00A54597">
        <w:rPr>
          <w:rStyle w:val="apple-converted-space"/>
          <w:rFonts w:ascii="Calibri" w:hAnsi="Calibri" w:cs="Calibri"/>
          <w:color w:val="000000" w:themeColor="text1"/>
        </w:rPr>
        <w:t> </w:t>
      </w:r>
      <w:r w:rsidR="00D0527F" w:rsidRPr="00A54597">
        <w:rPr>
          <w:rFonts w:ascii="Calibri" w:hAnsi="Calibri" w:cs="Calibri"/>
          <w:color w:val="000000" w:themeColor="text1"/>
        </w:rPr>
        <w:t xml:space="preserve">emphasising fundamental technical skills and </w:t>
      </w:r>
      <w:r w:rsidR="00084448" w:rsidRPr="00A54597">
        <w:rPr>
          <w:rFonts w:ascii="Calibri" w:hAnsi="Calibri" w:cs="Calibri"/>
          <w:color w:val="000000" w:themeColor="text1"/>
        </w:rPr>
        <w:t>small sided</w:t>
      </w:r>
      <w:r w:rsidR="00D0527F" w:rsidRPr="00A54597">
        <w:rPr>
          <w:rFonts w:ascii="Calibri" w:hAnsi="Calibri" w:cs="Calibri"/>
          <w:color w:val="000000" w:themeColor="text1"/>
        </w:rPr>
        <w:t xml:space="preserve"> play, the</w:t>
      </w:r>
      <w:r w:rsidR="00D0527F" w:rsidRPr="00A54597">
        <w:rPr>
          <w:rStyle w:val="apple-converted-space"/>
          <w:rFonts w:ascii="Calibri" w:hAnsi="Calibri" w:cs="Calibri"/>
          <w:color w:val="000000" w:themeColor="text1"/>
        </w:rPr>
        <w:t> </w:t>
      </w:r>
      <w:r w:rsidR="00D0527F" w:rsidRPr="00A54597">
        <w:rPr>
          <w:rStyle w:val="Strong"/>
          <w:rFonts w:ascii="Calibri" w:hAnsi="Calibri" w:cs="Calibri"/>
          <w:b w:val="0"/>
          <w:color w:val="000000" w:themeColor="text1"/>
        </w:rPr>
        <w:t>Youth Development Phase (approx. U12–U16)</w:t>
      </w:r>
      <w:r w:rsidR="00D0527F" w:rsidRPr="00A54597">
        <w:rPr>
          <w:rStyle w:val="apple-converted-space"/>
          <w:rFonts w:ascii="Calibri" w:hAnsi="Calibri" w:cs="Calibri"/>
          <w:color w:val="000000" w:themeColor="text1"/>
        </w:rPr>
        <w:t> </w:t>
      </w:r>
      <w:r w:rsidR="00D0527F" w:rsidRPr="00A54597">
        <w:rPr>
          <w:rFonts w:ascii="Calibri" w:hAnsi="Calibri" w:cs="Calibri"/>
          <w:color w:val="000000" w:themeColor="text1"/>
        </w:rPr>
        <w:t>targeting tactical understanding and physical preparation, and the</w:t>
      </w:r>
      <w:r w:rsidR="00D0527F" w:rsidRPr="00A54597">
        <w:rPr>
          <w:rStyle w:val="apple-converted-space"/>
          <w:rFonts w:ascii="Calibri" w:hAnsi="Calibri" w:cs="Calibri"/>
          <w:color w:val="000000" w:themeColor="text1"/>
        </w:rPr>
        <w:t> </w:t>
      </w:r>
      <w:r w:rsidR="00D0527F" w:rsidRPr="00A54597">
        <w:rPr>
          <w:rStyle w:val="Strong"/>
          <w:rFonts w:ascii="Calibri" w:hAnsi="Calibri" w:cs="Calibri"/>
          <w:b w:val="0"/>
          <w:color w:val="000000" w:themeColor="text1"/>
        </w:rPr>
        <w:t>Professional Development Phase (approx. U17–U21)</w:t>
      </w:r>
      <w:r w:rsidR="00D0527F" w:rsidRPr="00A54597">
        <w:rPr>
          <w:rStyle w:val="apple-converted-space"/>
          <w:rFonts w:ascii="Calibri" w:hAnsi="Calibri" w:cs="Calibri"/>
          <w:color w:val="000000" w:themeColor="text1"/>
        </w:rPr>
        <w:t> </w:t>
      </w:r>
      <w:r w:rsidR="00D0527F" w:rsidRPr="00A54597">
        <w:rPr>
          <w:rFonts w:ascii="Calibri" w:hAnsi="Calibri" w:cs="Calibri"/>
          <w:color w:val="000000" w:themeColor="text1"/>
        </w:rPr>
        <w:t xml:space="preserve">focused on preparing players for senior </w:t>
      </w:r>
      <w:r w:rsidR="008665B9" w:rsidRPr="00ED1DEC">
        <w:rPr>
          <w:rFonts w:ascii="Calibri" w:hAnsi="Calibri" w:cs="Calibri"/>
          <w:color w:val="000000" w:themeColor="text1"/>
        </w:rPr>
        <w:t>competition (Kelly</w:t>
      </w:r>
      <w:r w:rsidR="008665B9" w:rsidRPr="00A54597">
        <w:rPr>
          <w:rFonts w:ascii="Calibri" w:hAnsi="Calibri" w:cs="Calibri"/>
          <w:color w:val="000000" w:themeColor="text1"/>
        </w:rPr>
        <w:t xml:space="preserve"> et al</w:t>
      </w:r>
      <w:r w:rsidR="008665B9" w:rsidRPr="3011A9B0">
        <w:rPr>
          <w:rFonts w:ascii="Calibri" w:hAnsi="Calibri" w:cs="Calibri"/>
          <w:color w:val="000000" w:themeColor="text1"/>
        </w:rPr>
        <w:t>.</w:t>
      </w:r>
      <w:r w:rsidR="0BC65EFC" w:rsidRPr="3011A9B0">
        <w:rPr>
          <w:rFonts w:ascii="Calibri" w:hAnsi="Calibri" w:cs="Calibri"/>
          <w:color w:val="000000" w:themeColor="text1"/>
        </w:rPr>
        <w:t>,</w:t>
      </w:r>
      <w:r w:rsidR="00794AD6" w:rsidRPr="00A54597">
        <w:rPr>
          <w:rFonts w:ascii="Calibri" w:hAnsi="Calibri" w:cs="Calibri"/>
          <w:color w:val="000000" w:themeColor="text1"/>
        </w:rPr>
        <w:t xml:space="preserve"> 2022</w:t>
      </w:r>
      <w:r w:rsidR="008665B9" w:rsidRPr="00A54597">
        <w:rPr>
          <w:rFonts w:ascii="Calibri" w:hAnsi="Calibri" w:cs="Calibri"/>
          <w:color w:val="000000" w:themeColor="text1"/>
        </w:rPr>
        <w:t>).</w:t>
      </w:r>
      <w:r w:rsidR="00F26508" w:rsidRPr="00A54597">
        <w:rPr>
          <w:rFonts w:ascii="Calibri" w:hAnsi="Calibri" w:cs="Calibri"/>
          <w:color w:val="000000" w:themeColor="text1"/>
        </w:rPr>
        <w:t xml:space="preserve"> </w:t>
      </w:r>
      <w:r w:rsidR="00084448" w:rsidRPr="00A54597">
        <w:rPr>
          <w:rFonts w:ascii="Calibri" w:hAnsi="Calibri" w:cs="Calibri"/>
          <w:color w:val="000000" w:themeColor="text1"/>
        </w:rPr>
        <w:t>Small</w:t>
      </w:r>
      <w:r w:rsidR="470D518A" w:rsidRPr="65F05B74">
        <w:rPr>
          <w:rFonts w:ascii="Calibri" w:hAnsi="Calibri" w:cs="Calibri"/>
          <w:color w:val="000000" w:themeColor="text1"/>
        </w:rPr>
        <w:t>-</w:t>
      </w:r>
      <w:r w:rsidR="00084448" w:rsidRPr="00A54597">
        <w:rPr>
          <w:rFonts w:ascii="Calibri" w:hAnsi="Calibri" w:cs="Calibri"/>
          <w:color w:val="000000" w:themeColor="text1"/>
        </w:rPr>
        <w:t>sided</w:t>
      </w:r>
      <w:r w:rsidR="00F26508" w:rsidRPr="00A54597">
        <w:rPr>
          <w:rFonts w:ascii="Calibri" w:hAnsi="Calibri" w:cs="Calibri"/>
          <w:color w:val="000000" w:themeColor="text1"/>
        </w:rPr>
        <w:t xml:space="preserve"> games, such as</w:t>
      </w:r>
      <w:r w:rsidR="00F26508" w:rsidRPr="00A54597">
        <w:rPr>
          <w:rStyle w:val="apple-converted-space"/>
          <w:rFonts w:ascii="Calibri" w:hAnsi="Calibri" w:cs="Calibri"/>
          <w:color w:val="000000" w:themeColor="text1"/>
        </w:rPr>
        <w:t> </w:t>
      </w:r>
      <w:r w:rsidR="00F26508" w:rsidRPr="00A54597">
        <w:rPr>
          <w:rStyle w:val="Strong"/>
          <w:rFonts w:ascii="Calibri" w:hAnsi="Calibri" w:cs="Calibri"/>
          <w:b w:val="0"/>
          <w:color w:val="000000" w:themeColor="text1"/>
        </w:rPr>
        <w:t>4v4 formats without goalkeepers</w:t>
      </w:r>
      <w:r w:rsidR="00F26508" w:rsidRPr="00A54597">
        <w:rPr>
          <w:rStyle w:val="apple-converted-space"/>
          <w:rFonts w:ascii="Calibri" w:hAnsi="Calibri" w:cs="Calibri"/>
          <w:color w:val="000000" w:themeColor="text1"/>
        </w:rPr>
        <w:t> </w:t>
      </w:r>
      <w:r w:rsidR="00F26508" w:rsidRPr="00A54597">
        <w:rPr>
          <w:rFonts w:ascii="Calibri" w:hAnsi="Calibri" w:cs="Calibri"/>
          <w:color w:val="000000" w:themeColor="text1"/>
        </w:rPr>
        <w:t xml:space="preserve">in early phases, are widely used because they increase ball touches, </w:t>
      </w:r>
      <w:r w:rsidR="00084448" w:rsidRPr="00A54597">
        <w:rPr>
          <w:rFonts w:ascii="Calibri" w:hAnsi="Calibri" w:cs="Calibri"/>
          <w:color w:val="000000" w:themeColor="text1"/>
        </w:rPr>
        <w:t>decision-making</w:t>
      </w:r>
      <w:r w:rsidR="00F26508" w:rsidRPr="00A54597">
        <w:rPr>
          <w:rFonts w:ascii="Calibri" w:hAnsi="Calibri" w:cs="Calibri"/>
          <w:color w:val="000000" w:themeColor="text1"/>
        </w:rPr>
        <w:t xml:space="preserve"> opportunities, and engagement compared with larger team formats, thereby promoting skill acquisition within </w:t>
      </w:r>
      <w:r w:rsidR="00084448" w:rsidRPr="00A54597">
        <w:rPr>
          <w:rFonts w:ascii="Calibri" w:hAnsi="Calibri" w:cs="Calibri"/>
          <w:color w:val="000000" w:themeColor="text1"/>
        </w:rPr>
        <w:t>game representative</w:t>
      </w:r>
      <w:r w:rsidR="00F26508" w:rsidRPr="00A54597">
        <w:rPr>
          <w:rFonts w:ascii="Calibri" w:hAnsi="Calibri" w:cs="Calibri"/>
          <w:color w:val="000000" w:themeColor="text1"/>
        </w:rPr>
        <w:t xml:space="preserve"> contexts</w:t>
      </w:r>
      <w:r w:rsidR="00811084" w:rsidRPr="00A54597">
        <w:rPr>
          <w:rFonts w:ascii="Calibri" w:hAnsi="Calibri" w:cs="Calibri"/>
          <w:color w:val="000000" w:themeColor="text1"/>
        </w:rPr>
        <w:t xml:space="preserve"> (Towlson et al</w:t>
      </w:r>
      <w:r w:rsidR="22967BAD" w:rsidRPr="4848A861">
        <w:rPr>
          <w:rFonts w:ascii="Calibri" w:hAnsi="Calibri" w:cs="Calibri"/>
          <w:color w:val="000000" w:themeColor="text1"/>
        </w:rPr>
        <w:t>.,</w:t>
      </w:r>
      <w:r w:rsidR="009F5CA0" w:rsidRPr="00A54597">
        <w:rPr>
          <w:rFonts w:ascii="Calibri" w:hAnsi="Calibri" w:cs="Calibri"/>
          <w:color w:val="000000" w:themeColor="text1"/>
        </w:rPr>
        <w:t xml:space="preserve"> 2021</w:t>
      </w:r>
      <w:r w:rsidR="00811084" w:rsidRPr="00A54597">
        <w:rPr>
          <w:rFonts w:ascii="Calibri" w:hAnsi="Calibri" w:cs="Calibri"/>
          <w:color w:val="000000" w:themeColor="text1"/>
        </w:rPr>
        <w:t>)</w:t>
      </w:r>
      <w:r w:rsidR="004B452D" w:rsidRPr="00A54597">
        <w:rPr>
          <w:rFonts w:ascii="Calibri" w:hAnsi="Calibri" w:cs="Calibri"/>
          <w:color w:val="000000" w:themeColor="text1"/>
        </w:rPr>
        <w:t xml:space="preserve">. According to research, youth players' technical skills and psychological traits can be </w:t>
      </w:r>
      <w:r w:rsidR="004B452D" w:rsidRPr="00A54597">
        <w:rPr>
          <w:rFonts w:ascii="Calibri" w:hAnsi="Calibri" w:cs="Calibri"/>
          <w:color w:val="000000" w:themeColor="text1"/>
        </w:rPr>
        <w:lastRenderedPageBreak/>
        <w:t>improved by smaller teams and limited game formats, especially when they allow for greater individual participation.</w:t>
      </w:r>
      <w:r w:rsidR="00962B5A" w:rsidRPr="00A54597">
        <w:rPr>
          <w:rFonts w:ascii="Calibri" w:hAnsi="Calibri" w:cs="Calibri"/>
          <w:color w:val="000000" w:themeColor="text1"/>
        </w:rPr>
        <w:t xml:space="preserve"> (King et al</w:t>
      </w:r>
      <w:r w:rsidR="00794AD6" w:rsidRPr="00A54597">
        <w:rPr>
          <w:rFonts w:ascii="Calibri" w:hAnsi="Calibri" w:cs="Calibri"/>
          <w:color w:val="000000" w:themeColor="text1"/>
        </w:rPr>
        <w:t xml:space="preserve"> 2025</w:t>
      </w:r>
      <w:r w:rsidR="00962B5A" w:rsidRPr="00A54597">
        <w:rPr>
          <w:rFonts w:ascii="Calibri" w:hAnsi="Calibri" w:cs="Calibri"/>
          <w:color w:val="000000" w:themeColor="text1"/>
        </w:rPr>
        <w:t>)</w:t>
      </w:r>
      <w:r w:rsidR="00CE1F6F" w:rsidRPr="00A54597">
        <w:rPr>
          <w:rFonts w:ascii="Calibri" w:hAnsi="Calibri" w:cs="Calibri"/>
          <w:color w:val="000000" w:themeColor="text1"/>
        </w:rPr>
        <w:t xml:space="preserve">, The progression from very </w:t>
      </w:r>
      <w:r w:rsidR="00084448" w:rsidRPr="00A54597">
        <w:rPr>
          <w:rFonts w:ascii="Calibri" w:hAnsi="Calibri" w:cs="Calibri"/>
          <w:color w:val="000000" w:themeColor="text1"/>
        </w:rPr>
        <w:t>small sided</w:t>
      </w:r>
      <w:r w:rsidR="00CE1F6F" w:rsidRPr="00A54597">
        <w:rPr>
          <w:rFonts w:ascii="Calibri" w:hAnsi="Calibri" w:cs="Calibri"/>
          <w:color w:val="000000" w:themeColor="text1"/>
        </w:rPr>
        <w:t xml:space="preserve"> games toward</w:t>
      </w:r>
      <w:r w:rsidR="00CE1F6F" w:rsidRPr="00A54597">
        <w:rPr>
          <w:rStyle w:val="apple-converted-space"/>
          <w:rFonts w:ascii="Calibri" w:hAnsi="Calibri" w:cs="Calibri"/>
          <w:color w:val="000000" w:themeColor="text1"/>
        </w:rPr>
        <w:t> </w:t>
      </w:r>
      <w:r w:rsidR="00CE1F6F" w:rsidRPr="00A54597">
        <w:rPr>
          <w:rStyle w:val="Strong"/>
          <w:rFonts w:ascii="Calibri" w:hAnsi="Calibri" w:cs="Calibri"/>
          <w:b w:val="0"/>
          <w:color w:val="000000" w:themeColor="text1"/>
        </w:rPr>
        <w:t>9v9 and full 11v11 match play</w:t>
      </w:r>
      <w:r w:rsidR="00CE1F6F" w:rsidRPr="00A54597">
        <w:rPr>
          <w:rStyle w:val="apple-converted-space"/>
          <w:rFonts w:ascii="Calibri" w:hAnsi="Calibri" w:cs="Calibri"/>
          <w:color w:val="000000" w:themeColor="text1"/>
        </w:rPr>
        <w:t> </w:t>
      </w:r>
      <w:r w:rsidR="00CE1F6F" w:rsidRPr="00A54597">
        <w:rPr>
          <w:rFonts w:ascii="Calibri" w:hAnsi="Calibri" w:cs="Calibri"/>
          <w:color w:val="000000" w:themeColor="text1"/>
        </w:rPr>
        <w:t xml:space="preserve">in later stages reflects developmental emphasis </w:t>
      </w:r>
      <w:r w:rsidR="00311369" w:rsidRPr="00A54597">
        <w:rPr>
          <w:rFonts w:ascii="Calibri" w:hAnsi="Calibri" w:cs="Calibri"/>
          <w:color w:val="000000" w:themeColor="text1"/>
        </w:rPr>
        <w:t>on awareness</w:t>
      </w:r>
      <w:r w:rsidR="00CE1F6F" w:rsidRPr="00A54597">
        <w:rPr>
          <w:rFonts w:ascii="Calibri" w:hAnsi="Calibri" w:cs="Calibri"/>
          <w:color w:val="000000" w:themeColor="text1"/>
        </w:rPr>
        <w:t>, collective tactics, and physical capacity</w:t>
      </w:r>
      <w:r w:rsidR="00A774F1" w:rsidRPr="00A54597">
        <w:rPr>
          <w:rFonts w:ascii="Calibri" w:hAnsi="Calibri" w:cs="Calibri"/>
          <w:color w:val="000000" w:themeColor="text1"/>
        </w:rPr>
        <w:t>, However, differential maturation among young players creates performance variances across chronological age groups, with</w:t>
      </w:r>
      <w:r w:rsidR="00A774F1" w:rsidRPr="00A54597">
        <w:rPr>
          <w:rStyle w:val="apple-converted-space"/>
          <w:rFonts w:ascii="Calibri" w:hAnsi="Calibri" w:cs="Calibri"/>
          <w:color w:val="000000" w:themeColor="text1"/>
        </w:rPr>
        <w:t> </w:t>
      </w:r>
      <w:r w:rsidR="00084448" w:rsidRPr="00A54597">
        <w:rPr>
          <w:rStyle w:val="Strong"/>
          <w:rFonts w:ascii="Calibri" w:hAnsi="Calibri" w:cs="Calibri"/>
          <w:b w:val="0"/>
          <w:bCs w:val="0"/>
          <w:color w:val="000000" w:themeColor="text1"/>
        </w:rPr>
        <w:t>early maturing</w:t>
      </w:r>
      <w:r w:rsidR="00A774F1" w:rsidRPr="00A54597">
        <w:rPr>
          <w:rStyle w:val="Strong"/>
          <w:rFonts w:ascii="Calibri" w:hAnsi="Calibri" w:cs="Calibri"/>
          <w:b w:val="0"/>
          <w:color w:val="000000" w:themeColor="text1"/>
        </w:rPr>
        <w:t xml:space="preserve"> players often advantaged</w:t>
      </w:r>
      <w:r w:rsidR="00A774F1" w:rsidRPr="00A54597">
        <w:rPr>
          <w:rStyle w:val="apple-converted-space"/>
          <w:rFonts w:ascii="Calibri" w:hAnsi="Calibri" w:cs="Calibri"/>
          <w:color w:val="000000" w:themeColor="text1"/>
        </w:rPr>
        <w:t> </w:t>
      </w:r>
      <w:r w:rsidR="00A774F1" w:rsidRPr="00A54597">
        <w:rPr>
          <w:rFonts w:ascii="Calibri" w:hAnsi="Calibri" w:cs="Calibri"/>
          <w:color w:val="000000" w:themeColor="text1"/>
        </w:rPr>
        <w:t>due to size and physicality</w:t>
      </w:r>
      <w:r w:rsidR="00F019CC" w:rsidRPr="00A54597">
        <w:rPr>
          <w:rFonts w:ascii="Calibri" w:hAnsi="Calibri" w:cs="Calibri"/>
          <w:color w:val="000000" w:themeColor="text1"/>
        </w:rPr>
        <w:t xml:space="preserve"> (Shahidi et al.</w:t>
      </w:r>
      <w:r w:rsidR="00ED1DEC">
        <w:rPr>
          <w:rFonts w:ascii="Calibri" w:hAnsi="Calibri" w:cs="Calibri"/>
          <w:color w:val="000000" w:themeColor="text1"/>
        </w:rPr>
        <w:t xml:space="preserve"> 2024</w:t>
      </w:r>
      <w:r w:rsidR="00F019CC" w:rsidRPr="00A54597">
        <w:rPr>
          <w:rFonts w:ascii="Calibri" w:hAnsi="Calibri" w:cs="Calibri"/>
          <w:color w:val="000000" w:themeColor="text1"/>
        </w:rPr>
        <w:t>)</w:t>
      </w:r>
      <w:r w:rsidR="000247FC" w:rsidRPr="00A54597">
        <w:rPr>
          <w:rFonts w:ascii="Calibri" w:hAnsi="Calibri" w:cs="Calibri"/>
          <w:color w:val="000000" w:themeColor="text1"/>
        </w:rPr>
        <w:t xml:space="preserve"> </w:t>
      </w:r>
      <w:r w:rsidR="00311369" w:rsidRPr="00A54597">
        <w:rPr>
          <w:rFonts w:ascii="Calibri" w:hAnsi="Calibri" w:cs="Calibri"/>
          <w:color w:val="000000" w:themeColor="text1"/>
        </w:rPr>
        <w:t>To</w:t>
      </w:r>
      <w:r w:rsidR="000247FC" w:rsidRPr="00A54597">
        <w:rPr>
          <w:rFonts w:ascii="Calibri" w:hAnsi="Calibri" w:cs="Calibri"/>
          <w:color w:val="000000" w:themeColor="text1"/>
        </w:rPr>
        <w:t xml:space="preserve"> solve this, academy programs have implemented bio-banding, which groups players based on physiological maturity rather than age. This creates more egalitarian competition situations that can encourage both early and late </w:t>
      </w:r>
      <w:r w:rsidR="00311369" w:rsidRPr="00A54597">
        <w:rPr>
          <w:rFonts w:ascii="Calibri" w:hAnsi="Calibri" w:cs="Calibri"/>
          <w:color w:val="000000" w:themeColor="text1"/>
        </w:rPr>
        <w:t>matures</w:t>
      </w:r>
      <w:r w:rsidR="000247FC" w:rsidRPr="00A54597">
        <w:rPr>
          <w:rFonts w:ascii="Calibri" w:hAnsi="Calibri" w:cs="Calibri"/>
          <w:color w:val="000000" w:themeColor="text1"/>
        </w:rPr>
        <w:t>' technical and tactical development.</w:t>
      </w:r>
      <w:r w:rsidR="00311369" w:rsidRPr="00A54597">
        <w:rPr>
          <w:rFonts w:ascii="Calibri" w:hAnsi="Calibri" w:cs="Calibri"/>
          <w:color w:val="000000" w:themeColor="text1"/>
        </w:rPr>
        <w:t xml:space="preserve"> (Bradley et al</w:t>
      </w:r>
      <w:r w:rsidR="243607B5" w:rsidRPr="3011A9B0">
        <w:rPr>
          <w:rFonts w:ascii="Calibri" w:hAnsi="Calibri" w:cs="Calibri"/>
          <w:color w:val="000000" w:themeColor="text1"/>
        </w:rPr>
        <w:t>.,</w:t>
      </w:r>
      <w:r w:rsidR="009F5CA0" w:rsidRPr="00A54597">
        <w:rPr>
          <w:rFonts w:ascii="Calibri" w:hAnsi="Calibri" w:cs="Calibri"/>
          <w:color w:val="000000" w:themeColor="text1"/>
        </w:rPr>
        <w:t xml:space="preserve"> 2019</w:t>
      </w:r>
      <w:r w:rsidR="5C3F2C88" w:rsidRPr="3011A9B0">
        <w:rPr>
          <w:rFonts w:ascii="Calibri" w:hAnsi="Calibri" w:cs="Calibri"/>
          <w:color w:val="000000" w:themeColor="text1"/>
        </w:rPr>
        <w:t>)</w:t>
      </w:r>
      <w:r w:rsidR="00BD6A03" w:rsidRPr="3011A9B0">
        <w:rPr>
          <w:rFonts w:ascii="Calibri" w:hAnsi="Calibri" w:cs="Calibri"/>
          <w:color w:val="000000" w:themeColor="text1"/>
        </w:rPr>
        <w:t>.</w:t>
      </w:r>
      <w:r w:rsidR="00BD6A03" w:rsidRPr="00A54597">
        <w:rPr>
          <w:rFonts w:ascii="Calibri" w:hAnsi="Calibri" w:cs="Calibri"/>
          <w:color w:val="000000" w:themeColor="text1"/>
        </w:rPr>
        <w:t xml:space="preserve"> </w:t>
      </w:r>
      <w:r w:rsidR="0044485D" w:rsidRPr="00A54597">
        <w:rPr>
          <w:rFonts w:ascii="Calibri" w:hAnsi="Calibri" w:cs="Calibri"/>
          <w:color w:val="000000" w:themeColor="text1"/>
        </w:rPr>
        <w:t xml:space="preserve">This </w:t>
      </w:r>
      <w:r w:rsidR="00BD6A03" w:rsidRPr="00A54597">
        <w:rPr>
          <w:rFonts w:ascii="Calibri" w:hAnsi="Calibri" w:cs="Calibri"/>
          <w:color w:val="000000" w:themeColor="text1"/>
        </w:rPr>
        <w:t>stud</w:t>
      </w:r>
      <w:r w:rsidR="0044485D" w:rsidRPr="00A54597">
        <w:rPr>
          <w:rFonts w:ascii="Calibri" w:hAnsi="Calibri" w:cs="Calibri"/>
          <w:color w:val="000000" w:themeColor="text1"/>
        </w:rPr>
        <w:t>y that I’ve reached shows</w:t>
      </w:r>
      <w:r w:rsidR="00BD6A03" w:rsidRPr="00A54597">
        <w:rPr>
          <w:rFonts w:ascii="Calibri" w:hAnsi="Calibri" w:cs="Calibri"/>
          <w:color w:val="000000" w:themeColor="text1"/>
        </w:rPr>
        <w:t xml:space="preserve"> that </w:t>
      </w:r>
      <w:r w:rsidR="00084448" w:rsidRPr="00A54597">
        <w:rPr>
          <w:rFonts w:ascii="Calibri" w:hAnsi="Calibri" w:cs="Calibri"/>
          <w:color w:val="000000" w:themeColor="text1"/>
        </w:rPr>
        <w:t>bio banded</w:t>
      </w:r>
      <w:r w:rsidR="00BD6A03" w:rsidRPr="00A54597">
        <w:rPr>
          <w:rFonts w:ascii="Calibri" w:hAnsi="Calibri" w:cs="Calibri"/>
          <w:color w:val="000000" w:themeColor="text1"/>
        </w:rPr>
        <w:t xml:space="preserve"> </w:t>
      </w:r>
      <w:r w:rsidR="00084448" w:rsidRPr="00A54597">
        <w:rPr>
          <w:rFonts w:ascii="Calibri" w:hAnsi="Calibri" w:cs="Calibri"/>
          <w:color w:val="000000" w:themeColor="text1"/>
        </w:rPr>
        <w:t>small</w:t>
      </w:r>
      <w:r w:rsidR="012FFCF6" w:rsidRPr="0957208E">
        <w:rPr>
          <w:rFonts w:ascii="Calibri" w:hAnsi="Calibri" w:cs="Calibri"/>
          <w:color w:val="000000" w:themeColor="text1"/>
        </w:rPr>
        <w:t>-</w:t>
      </w:r>
      <w:r w:rsidR="00084448" w:rsidRPr="00A54597">
        <w:rPr>
          <w:rFonts w:ascii="Calibri" w:hAnsi="Calibri" w:cs="Calibri"/>
          <w:color w:val="000000" w:themeColor="text1"/>
        </w:rPr>
        <w:t>sided</w:t>
      </w:r>
      <w:r w:rsidR="00BD6A03" w:rsidRPr="00A54597">
        <w:rPr>
          <w:rFonts w:ascii="Calibri" w:hAnsi="Calibri" w:cs="Calibri"/>
          <w:color w:val="000000" w:themeColor="text1"/>
        </w:rPr>
        <w:t xml:space="preserve"> games can alter technical and tactical demands, offering </w:t>
      </w:r>
      <w:r w:rsidR="00084448" w:rsidRPr="00A54597">
        <w:rPr>
          <w:rFonts w:ascii="Calibri" w:hAnsi="Calibri" w:cs="Calibri"/>
          <w:color w:val="000000" w:themeColor="text1"/>
        </w:rPr>
        <w:t>late maturing</w:t>
      </w:r>
      <w:r w:rsidR="00BD6A03" w:rsidRPr="00A54597">
        <w:rPr>
          <w:rFonts w:ascii="Calibri" w:hAnsi="Calibri" w:cs="Calibri"/>
          <w:color w:val="000000" w:themeColor="text1"/>
        </w:rPr>
        <w:t xml:space="preserve"> players greater opportunities to demonstrate skill and </w:t>
      </w:r>
      <w:r w:rsidR="00084448" w:rsidRPr="00A54597">
        <w:rPr>
          <w:rFonts w:ascii="Calibri" w:hAnsi="Calibri" w:cs="Calibri"/>
          <w:color w:val="000000" w:themeColor="text1"/>
        </w:rPr>
        <w:t>early maturing</w:t>
      </w:r>
      <w:r w:rsidR="00BD6A03" w:rsidRPr="00A54597">
        <w:rPr>
          <w:rFonts w:ascii="Calibri" w:hAnsi="Calibri" w:cs="Calibri"/>
          <w:color w:val="000000" w:themeColor="text1"/>
        </w:rPr>
        <w:t xml:space="preserve"> players novel challenges that foster holistic development</w:t>
      </w:r>
      <w:r w:rsidR="00B05C3C" w:rsidRPr="00A54597">
        <w:rPr>
          <w:rFonts w:ascii="Calibri" w:hAnsi="Calibri" w:cs="Calibri"/>
          <w:color w:val="000000" w:themeColor="text1"/>
        </w:rPr>
        <w:t xml:space="preserve"> (Romann et al.</w:t>
      </w:r>
      <w:r w:rsidR="00A54DBF">
        <w:rPr>
          <w:rFonts w:ascii="Calibri" w:hAnsi="Calibri" w:cs="Calibri"/>
          <w:color w:val="000000" w:themeColor="text1"/>
        </w:rPr>
        <w:t xml:space="preserve"> 2020</w:t>
      </w:r>
      <w:r w:rsidR="00B05C3C" w:rsidRPr="00A54597">
        <w:rPr>
          <w:rFonts w:ascii="Calibri" w:hAnsi="Calibri" w:cs="Calibri"/>
          <w:color w:val="000000" w:themeColor="text1"/>
        </w:rPr>
        <w:t xml:space="preserve">). While promising, implementing </w:t>
      </w:r>
      <w:r w:rsidR="00084448" w:rsidRPr="00A54597">
        <w:rPr>
          <w:rFonts w:ascii="Calibri" w:hAnsi="Calibri" w:cs="Calibri"/>
          <w:color w:val="000000" w:themeColor="text1"/>
        </w:rPr>
        <w:t>bio banding</w:t>
      </w:r>
      <w:r w:rsidR="00B05C3C" w:rsidRPr="00A54597">
        <w:rPr>
          <w:rFonts w:ascii="Calibri" w:hAnsi="Calibri" w:cs="Calibri"/>
          <w:color w:val="000000" w:themeColor="text1"/>
        </w:rPr>
        <w:t xml:space="preserve"> requires resources and planning to ensure developmental benefits are realised within existing pathway </w:t>
      </w:r>
      <w:r w:rsidR="001B5DDE" w:rsidRPr="00A54597">
        <w:rPr>
          <w:rFonts w:ascii="Calibri" w:hAnsi="Calibri" w:cs="Calibri"/>
          <w:color w:val="000000" w:themeColor="text1"/>
        </w:rPr>
        <w:t>structures.</w:t>
      </w:r>
    </w:p>
    <w:p w14:paraId="0D8498D5" w14:textId="77777777" w:rsidR="00567ADD" w:rsidRPr="00A54597" w:rsidRDefault="00567ADD" w:rsidP="54C53DD2">
      <w:pPr>
        <w:spacing w:line="360" w:lineRule="auto"/>
        <w:jc w:val="both"/>
        <w:rPr>
          <w:rFonts w:ascii="Calibri" w:hAnsi="Calibri" w:cs="Calibri"/>
          <w:color w:val="000000"/>
        </w:rPr>
      </w:pPr>
    </w:p>
    <w:p w14:paraId="067A5B15" w14:textId="77777777" w:rsidR="00567ADD" w:rsidRPr="00A54597" w:rsidRDefault="00567ADD" w:rsidP="54C53DD2">
      <w:pPr>
        <w:spacing w:line="360" w:lineRule="auto"/>
        <w:jc w:val="both"/>
        <w:rPr>
          <w:rFonts w:ascii="Calibri" w:hAnsi="Calibri" w:cs="Calibri"/>
          <w:color w:val="000000"/>
        </w:rPr>
      </w:pPr>
    </w:p>
    <w:p w14:paraId="54F7A6B5" w14:textId="44D00228" w:rsidR="00A766E7" w:rsidRPr="00A54597" w:rsidRDefault="00A766E7" w:rsidP="54C53DD2">
      <w:pPr>
        <w:spacing w:line="360" w:lineRule="auto"/>
        <w:jc w:val="both"/>
        <w:rPr>
          <w:rFonts w:ascii="Calibri" w:hAnsi="Calibri" w:cs="Calibri"/>
          <w:color w:val="000000" w:themeColor="text1"/>
        </w:rPr>
      </w:pPr>
      <w:r w:rsidRPr="00A54597">
        <w:rPr>
          <w:rFonts w:ascii="Calibri" w:hAnsi="Calibri" w:cs="Calibri"/>
          <w:color w:val="000000" w:themeColor="text1"/>
        </w:rPr>
        <w:t>Following this I have researched that Elite Player Performance Plan (EPPP) plays a significant part into development pathways. The EPPP, introduced by the Premier League to modernise youth development, articulates age-related phases including foundation, youth development, and professional development, mirroring principles of structured progression from foundational skills toward elite performance (Steenbok et al</w:t>
      </w:r>
      <w:r w:rsidRPr="177FA9B8">
        <w:rPr>
          <w:rFonts w:ascii="Calibri" w:hAnsi="Calibri" w:cs="Calibri"/>
          <w:color w:val="000000" w:themeColor="text1"/>
        </w:rPr>
        <w:t>.</w:t>
      </w:r>
      <w:r w:rsidR="6DA136C0" w:rsidRPr="177FA9B8">
        <w:rPr>
          <w:rFonts w:ascii="Calibri" w:hAnsi="Calibri" w:cs="Calibri"/>
          <w:color w:val="000000" w:themeColor="text1"/>
        </w:rPr>
        <w:t>, Year</w:t>
      </w:r>
      <w:r w:rsidRPr="177FA9B8">
        <w:rPr>
          <w:rFonts w:ascii="Calibri" w:hAnsi="Calibri" w:cs="Calibri"/>
          <w:color w:val="000000" w:themeColor="text1"/>
        </w:rPr>
        <w:t>)</w:t>
      </w:r>
      <w:r w:rsidRPr="00A54597">
        <w:rPr>
          <w:rFonts w:ascii="Calibri" w:hAnsi="Calibri" w:cs="Calibri"/>
        </w:rPr>
        <w:t xml:space="preserve"> </w:t>
      </w:r>
      <w:r w:rsidRPr="00A54597">
        <w:rPr>
          <w:rFonts w:ascii="Calibri" w:hAnsi="Calibri" w:cs="Calibri"/>
          <w:color w:val="000000" w:themeColor="text1"/>
        </w:rPr>
        <w:t>Following its implementation in top academy settings, the EPPP has been investigated academically in terms of its impact on aspects like injury incidence, showing varying effects among age groups. (Tears et al</w:t>
      </w:r>
      <w:r w:rsidR="008C5DBE">
        <w:rPr>
          <w:rFonts w:ascii="Calibri" w:hAnsi="Calibri" w:cs="Calibri"/>
          <w:color w:val="000000" w:themeColor="text1"/>
        </w:rPr>
        <w:t xml:space="preserve"> 2018</w:t>
      </w:r>
      <w:r w:rsidRPr="00A54597">
        <w:rPr>
          <w:rFonts w:ascii="Calibri" w:hAnsi="Calibri" w:cs="Calibri"/>
          <w:color w:val="000000" w:themeColor="text1"/>
        </w:rPr>
        <w:t>) investigations further reveal how EPPP frameworks influence holistic practice, including integration of</w:t>
      </w:r>
      <w:r w:rsidRPr="00A54597">
        <w:rPr>
          <w:rStyle w:val="apple-converted-space"/>
          <w:rFonts w:ascii="Calibri" w:hAnsi="Calibri" w:cs="Calibri"/>
          <w:color w:val="000000" w:themeColor="text1"/>
        </w:rPr>
        <w:t> </w:t>
      </w:r>
      <w:r w:rsidRPr="00A54597">
        <w:rPr>
          <w:rStyle w:val="Strong"/>
          <w:rFonts w:ascii="Calibri" w:hAnsi="Calibri" w:cs="Calibri"/>
          <w:b w:val="0"/>
          <w:color w:val="000000" w:themeColor="text1"/>
        </w:rPr>
        <w:t>academic and welfare support</w:t>
      </w:r>
      <w:r w:rsidRPr="00A54597">
        <w:rPr>
          <w:rFonts w:ascii="Calibri" w:hAnsi="Calibri" w:cs="Calibri"/>
          <w:color w:val="000000" w:themeColor="text1"/>
        </w:rPr>
        <w:t>, reflecting a broader commitment to athlete wellbeing alongside performance objectives. While applied within football, the EPPP represents an</w:t>
      </w:r>
      <w:r w:rsidRPr="00A54597">
        <w:rPr>
          <w:rStyle w:val="apple-converted-space"/>
          <w:rFonts w:ascii="Calibri" w:hAnsi="Calibri" w:cs="Calibri"/>
          <w:color w:val="000000" w:themeColor="text1"/>
        </w:rPr>
        <w:t> </w:t>
      </w:r>
      <w:r w:rsidRPr="00A54597">
        <w:rPr>
          <w:rStyle w:val="Strong"/>
          <w:rFonts w:ascii="Calibri" w:hAnsi="Calibri" w:cs="Calibri"/>
          <w:b w:val="0"/>
          <w:color w:val="000000" w:themeColor="text1"/>
        </w:rPr>
        <w:t>example of how talent development frameworks operationalise model-based principles into sporting systems</w:t>
      </w:r>
      <w:r w:rsidRPr="00A54597">
        <w:rPr>
          <w:rFonts w:ascii="Calibri" w:hAnsi="Calibri" w:cs="Calibri"/>
          <w:color w:val="000000" w:themeColor="text1"/>
        </w:rPr>
        <w:t>, translating theoretical constructs into strategic development pathways (Barraclough et al</w:t>
      </w:r>
      <w:r w:rsidRPr="48263BD8">
        <w:rPr>
          <w:rFonts w:ascii="Calibri" w:hAnsi="Calibri" w:cs="Calibri"/>
          <w:color w:val="000000" w:themeColor="text1"/>
        </w:rPr>
        <w:t>.</w:t>
      </w:r>
      <w:r w:rsidR="6AFCDD38" w:rsidRPr="48263BD8">
        <w:rPr>
          <w:rFonts w:ascii="Calibri" w:hAnsi="Calibri" w:cs="Calibri"/>
          <w:color w:val="000000" w:themeColor="text1"/>
        </w:rPr>
        <w:t>, Year</w:t>
      </w:r>
      <w:r w:rsidR="00F01847">
        <w:rPr>
          <w:rFonts w:ascii="Calibri" w:hAnsi="Calibri" w:cs="Calibri"/>
          <w:color w:val="000000" w:themeColor="text1"/>
        </w:rPr>
        <w:t xml:space="preserve"> 2024)</w:t>
      </w:r>
      <w:r w:rsidRPr="48263BD8">
        <w:rPr>
          <w:rFonts w:ascii="Calibri" w:hAnsi="Calibri" w:cs="Calibri"/>
          <w:color w:val="000000" w:themeColor="text1"/>
        </w:rPr>
        <w:t>.</w:t>
      </w:r>
    </w:p>
    <w:p w14:paraId="5C440E6A" w14:textId="77777777" w:rsidR="007A34A1" w:rsidRPr="00A54597" w:rsidRDefault="007A34A1" w:rsidP="54C53DD2">
      <w:pPr>
        <w:spacing w:line="360" w:lineRule="auto"/>
        <w:jc w:val="both"/>
        <w:rPr>
          <w:rFonts w:ascii="Calibri" w:hAnsi="Calibri" w:cs="Calibri"/>
          <w:color w:val="000000" w:themeColor="text1"/>
        </w:rPr>
      </w:pPr>
    </w:p>
    <w:p w14:paraId="5D8D2B98" w14:textId="2E4D4AB3" w:rsidR="007A34A1" w:rsidRPr="00A54597" w:rsidRDefault="007A34A1" w:rsidP="282BEB2F">
      <w:pPr>
        <w:pStyle w:val="Heading1"/>
        <w:rPr>
          <w:rFonts w:ascii="Calibri" w:hAnsi="Calibri" w:cs="Calibri"/>
          <w:b/>
          <w:bCs/>
          <w:color w:val="000000" w:themeColor="text1"/>
          <w:sz w:val="28"/>
          <w:szCs w:val="28"/>
          <w:u w:val="single"/>
        </w:rPr>
      </w:pPr>
      <w:bookmarkStart w:id="4" w:name="_Toc1318915528"/>
      <w:r>
        <w:lastRenderedPageBreak/>
        <w:t>2.4</w:t>
      </w:r>
      <w:r w:rsidR="006614A1">
        <w:t xml:space="preserve"> Coach </w:t>
      </w:r>
      <w:r w:rsidR="6466DC92">
        <w:t>E</w:t>
      </w:r>
      <w:r w:rsidR="006614A1">
        <w:t>ducation an</w:t>
      </w:r>
      <w:r w:rsidR="00A114BA">
        <w:t xml:space="preserve">d </w:t>
      </w:r>
      <w:r w:rsidR="00385772">
        <w:t>Continuous learning</w:t>
      </w:r>
      <w:bookmarkEnd w:id="4"/>
      <w:r w:rsidR="00385772">
        <w:t xml:space="preserve"> </w:t>
      </w:r>
    </w:p>
    <w:p w14:paraId="1657285F" w14:textId="3172D653" w:rsidR="007A34A1" w:rsidRPr="00A54597" w:rsidRDefault="000D4203" w:rsidP="54C53DD2">
      <w:pPr>
        <w:spacing w:line="360" w:lineRule="auto"/>
        <w:jc w:val="both"/>
        <w:rPr>
          <w:rFonts w:ascii="Calibri" w:hAnsi="Calibri" w:cs="Calibri"/>
          <w:color w:val="000000"/>
        </w:rPr>
      </w:pPr>
      <w:r w:rsidRPr="00A54597">
        <w:rPr>
          <w:rFonts w:ascii="Calibri" w:hAnsi="Calibri" w:cs="Calibri"/>
          <w:color w:val="000000"/>
        </w:rPr>
        <w:t>Research in coach education highlights that structured educational programmes and continuing professional development are central to how coaches accumulate knowledge and skills across their coaching careers, with formal qualifications and ongoing learning helping coaches progress from introductory stages to higher-level practice and responsibility</w:t>
      </w:r>
      <w:r w:rsidR="00627994" w:rsidRPr="00A54597">
        <w:rPr>
          <w:rFonts w:ascii="Calibri" w:hAnsi="Calibri" w:cs="Calibri"/>
          <w:color w:val="000000"/>
        </w:rPr>
        <w:t>. (Cushion et al</w:t>
      </w:r>
      <w:r w:rsidR="000D233E" w:rsidRPr="00A54597">
        <w:rPr>
          <w:rFonts w:ascii="Calibri" w:hAnsi="Calibri" w:cs="Calibri"/>
          <w:color w:val="000000"/>
        </w:rPr>
        <w:t xml:space="preserve"> 2003</w:t>
      </w:r>
      <w:r w:rsidR="00381642" w:rsidRPr="00A54597">
        <w:rPr>
          <w:rFonts w:ascii="Calibri" w:hAnsi="Calibri" w:cs="Calibri"/>
          <w:color w:val="000000"/>
        </w:rPr>
        <w:t xml:space="preserve">. Research in coach education highlights the importance of ongoing professional development in enhancing coaching knowledge, skills, and </w:t>
      </w:r>
      <w:r w:rsidR="009C3831" w:rsidRPr="00A54597">
        <w:rPr>
          <w:rFonts w:ascii="Calibri" w:hAnsi="Calibri" w:cs="Calibri"/>
          <w:color w:val="000000"/>
        </w:rPr>
        <w:t>effectiveness. (Selimi et al.</w:t>
      </w:r>
      <w:r w:rsidR="000D233E" w:rsidRPr="00A54597">
        <w:rPr>
          <w:rFonts w:ascii="Calibri" w:hAnsi="Calibri" w:cs="Calibri"/>
          <w:color w:val="000000"/>
        </w:rPr>
        <w:t xml:space="preserve"> 2023</w:t>
      </w:r>
      <w:r w:rsidR="009C3831" w:rsidRPr="00A54597">
        <w:rPr>
          <w:rFonts w:ascii="Calibri" w:hAnsi="Calibri" w:cs="Calibri"/>
          <w:color w:val="000000"/>
        </w:rPr>
        <w:t>)</w:t>
      </w:r>
    </w:p>
    <w:p w14:paraId="0E34357D" w14:textId="77777777" w:rsidR="0077326F" w:rsidRPr="00A54597" w:rsidRDefault="0077326F" w:rsidP="54C53DD2">
      <w:pPr>
        <w:spacing w:line="360" w:lineRule="auto"/>
        <w:jc w:val="both"/>
        <w:rPr>
          <w:rFonts w:ascii="Calibri" w:hAnsi="Calibri" w:cs="Calibri"/>
          <w:color w:val="000000"/>
        </w:rPr>
      </w:pPr>
    </w:p>
    <w:p w14:paraId="1A53B96F" w14:textId="187B7CEF" w:rsidR="00C87698" w:rsidRPr="00A54597" w:rsidRDefault="00C87698" w:rsidP="54C53DD2">
      <w:pPr>
        <w:spacing w:line="360" w:lineRule="auto"/>
        <w:jc w:val="both"/>
        <w:rPr>
          <w:rFonts w:ascii="Calibri" w:hAnsi="Calibri" w:cs="Calibri"/>
          <w:color w:val="000000"/>
        </w:rPr>
      </w:pPr>
      <w:r w:rsidRPr="00A54597">
        <w:rPr>
          <w:rFonts w:ascii="Calibri" w:hAnsi="Calibri" w:cs="Calibri"/>
          <w:color w:val="000000"/>
        </w:rPr>
        <w:t>In Wales, The Football Association of Wales (FAW) delivers a structured coaching pathway rooted in UEFA’s Coaching Convention, which sets common benchmarks for coaching qualifications across Europe (UEFA, 2025)</w:t>
      </w:r>
      <w:r w:rsidR="00983C78" w:rsidRPr="00A54597">
        <w:rPr>
          <w:rFonts w:ascii="Calibri" w:hAnsi="Calibri" w:cs="Calibri"/>
          <w:color w:val="000000"/>
        </w:rPr>
        <w:t>, The FAW Coach Education Pathway begins with entry-level awards such as the FAW Introduction to Coaching Football and the UEFA Grassroots Leaders Award, which introduce coaches to technical, physical, psychological, and social aspects of modern football (FAW, 2025)</w:t>
      </w:r>
      <w:r w:rsidR="00663640" w:rsidRPr="00A54597">
        <w:rPr>
          <w:rFonts w:ascii="Calibri" w:hAnsi="Calibri" w:cs="Calibri"/>
          <w:color w:val="000000"/>
        </w:rPr>
        <w:t>. Progression through the pathway leads to the FAW/UEFA C Licence and beyond, culminating in advanced certifications like the FAW/UEFA Pro Licence, each requiring preceding qualifications and practical experience to ensure coaches are prepared for increasing tactical, leadership, and pedagogical responsibilities (FAW, 2025)</w:t>
      </w:r>
      <w:r w:rsidR="00D03C9B" w:rsidRPr="00A54597">
        <w:rPr>
          <w:rFonts w:ascii="Calibri" w:hAnsi="Calibri" w:cs="Calibri"/>
          <w:color w:val="000000"/>
        </w:rPr>
        <w:t>. The FAW also integrates continuous professional development (CPD) through platforms such as Coach Cymru+, providing coaches with ongoing access to webinars, mentoring, and reflective learning resources that support longitudinal learning beyond formal courses (FAW, 2024)</w:t>
      </w:r>
      <w:r w:rsidR="009E5106" w:rsidRPr="00A54597">
        <w:rPr>
          <w:rFonts w:ascii="Calibri" w:hAnsi="Calibri" w:cs="Calibri"/>
          <w:color w:val="000000"/>
        </w:rPr>
        <w:t>.</w:t>
      </w:r>
    </w:p>
    <w:p w14:paraId="1A54632B" w14:textId="77777777" w:rsidR="009E5106" w:rsidRPr="00A54597" w:rsidRDefault="009E5106" w:rsidP="54C53DD2">
      <w:pPr>
        <w:spacing w:line="360" w:lineRule="auto"/>
        <w:jc w:val="both"/>
        <w:rPr>
          <w:rFonts w:ascii="Calibri" w:hAnsi="Calibri" w:cs="Calibri"/>
          <w:color w:val="000000"/>
        </w:rPr>
      </w:pPr>
    </w:p>
    <w:p w14:paraId="20F54492" w14:textId="5C087F31" w:rsidR="009E5106" w:rsidRPr="00A54597" w:rsidRDefault="009E5106" w:rsidP="54C53DD2">
      <w:pPr>
        <w:spacing w:line="360" w:lineRule="auto"/>
        <w:jc w:val="both"/>
        <w:rPr>
          <w:rFonts w:ascii="Calibri" w:hAnsi="Calibri" w:cs="Calibri"/>
          <w:color w:val="000000"/>
        </w:rPr>
      </w:pPr>
      <w:r w:rsidRPr="00A54597">
        <w:rPr>
          <w:rFonts w:ascii="Calibri" w:hAnsi="Calibri" w:cs="Calibri"/>
          <w:color w:val="000000"/>
        </w:rPr>
        <w:t>Comparatively, the United States Soccer Federation (USSF) offers a similarly tiered coaching pathway, with grassroots modules progressing to D, C, B, and A licences, each incorporating blended learning, mentorship, and practical competencies tailored to age-appropriate coaching contexts (USSF, 2025</w:t>
      </w:r>
      <w:r w:rsidR="00752E74" w:rsidRPr="00A54597">
        <w:rPr>
          <w:rFonts w:ascii="Calibri" w:hAnsi="Calibri" w:cs="Calibri"/>
          <w:color w:val="000000"/>
        </w:rPr>
        <w:t>). Research suggests that such structured pathways, including those used in the U.S., emphasize incremental skill acquisition and facilitate coaches’ professional trajectories by matching learning content to developmental stages and coaching environments.</w:t>
      </w:r>
      <w:r w:rsidR="00484F0B" w:rsidRPr="00A54597">
        <w:rPr>
          <w:rFonts w:ascii="Calibri" w:hAnsi="Calibri" w:cs="Calibri"/>
          <w:color w:val="000000"/>
        </w:rPr>
        <w:t xml:space="preserve"> (“USSF License Courses | NorCal Premier</w:t>
      </w:r>
      <w:r w:rsidR="003D1D1B" w:rsidRPr="00A54597">
        <w:rPr>
          <w:rFonts w:ascii="Calibri" w:hAnsi="Calibri" w:cs="Calibri"/>
          <w:color w:val="000000"/>
        </w:rPr>
        <w:t xml:space="preserve"> 2025)</w:t>
      </w:r>
      <w:r w:rsidR="003728D0" w:rsidRPr="00A54597">
        <w:rPr>
          <w:rFonts w:ascii="Calibri" w:hAnsi="Calibri" w:cs="Calibri"/>
          <w:color w:val="000000"/>
        </w:rPr>
        <w:t>.</w:t>
      </w:r>
    </w:p>
    <w:p w14:paraId="3A6966AA" w14:textId="77777777" w:rsidR="003728D0" w:rsidRPr="00A54597" w:rsidRDefault="003728D0" w:rsidP="54C53DD2">
      <w:pPr>
        <w:spacing w:line="360" w:lineRule="auto"/>
        <w:jc w:val="both"/>
        <w:rPr>
          <w:rFonts w:ascii="Calibri" w:hAnsi="Calibri" w:cs="Calibri"/>
          <w:color w:val="000000"/>
        </w:rPr>
      </w:pPr>
    </w:p>
    <w:p w14:paraId="6E8546DB" w14:textId="14D2FC5F" w:rsidR="003728D0" w:rsidRPr="00A54597" w:rsidRDefault="003728D0" w:rsidP="54C53DD2">
      <w:pPr>
        <w:spacing w:line="360" w:lineRule="auto"/>
        <w:jc w:val="both"/>
        <w:rPr>
          <w:rFonts w:ascii="Calibri" w:hAnsi="Calibri" w:cs="Calibri"/>
          <w:color w:val="000000"/>
        </w:rPr>
      </w:pPr>
      <w:r w:rsidRPr="46FC6BFD">
        <w:rPr>
          <w:rFonts w:ascii="Calibri" w:hAnsi="Calibri" w:cs="Calibri"/>
          <w:color w:val="000000" w:themeColor="text1"/>
        </w:rPr>
        <w:lastRenderedPageBreak/>
        <w:t>According to research, ongoing professional development raises coaching standards by encouraging contextual learning, mentoring, and reflective practice that goes beyond official qualifications.</w:t>
      </w:r>
      <w:r w:rsidR="001222BD" w:rsidRPr="46FC6BFD">
        <w:rPr>
          <w:rFonts w:ascii="Calibri" w:hAnsi="Calibri" w:cs="Calibri"/>
          <w:color w:val="000000" w:themeColor="text1"/>
        </w:rPr>
        <w:t xml:space="preserve"> (Walton et al</w:t>
      </w:r>
      <w:r w:rsidR="009A2A1B" w:rsidRPr="46FC6BFD">
        <w:rPr>
          <w:rFonts w:ascii="Calibri" w:hAnsi="Calibri" w:cs="Calibri"/>
          <w:color w:val="000000" w:themeColor="text1"/>
        </w:rPr>
        <w:t xml:space="preserve"> 2024</w:t>
      </w:r>
      <w:r w:rsidR="001222BD" w:rsidRPr="46FC6BFD">
        <w:rPr>
          <w:rFonts w:ascii="Calibri" w:hAnsi="Calibri" w:cs="Calibri"/>
          <w:color w:val="000000" w:themeColor="text1"/>
        </w:rPr>
        <w:t>)</w:t>
      </w:r>
      <w:r w:rsidR="00086320" w:rsidRPr="46FC6BFD">
        <w:rPr>
          <w:rFonts w:ascii="Calibri" w:hAnsi="Calibri" w:cs="Calibri"/>
          <w:color w:val="000000" w:themeColor="text1"/>
        </w:rPr>
        <w:t xml:space="preserve"> However, scholars also note gaps in the alignment between formal education and practical application, suggesting that coach education must increasingly integrate experiential, adaptive, and context-specific learning opportunities to meet the complex demands of contemporary </w:t>
      </w:r>
      <w:r w:rsidR="00430793" w:rsidRPr="46FC6BFD">
        <w:rPr>
          <w:rFonts w:ascii="Calibri" w:hAnsi="Calibri" w:cs="Calibri"/>
          <w:color w:val="000000" w:themeColor="text1"/>
        </w:rPr>
        <w:t>coaching</w:t>
      </w:r>
      <w:r w:rsidR="00AD757D" w:rsidRPr="46FC6BFD">
        <w:rPr>
          <w:rFonts w:ascii="Calibri" w:hAnsi="Calibri" w:cs="Calibri"/>
          <w:color w:val="000000" w:themeColor="text1"/>
        </w:rPr>
        <w:t xml:space="preserve"> (Selimi et al</w:t>
      </w:r>
      <w:r w:rsidR="2282EA30" w:rsidRPr="46FC6BFD">
        <w:rPr>
          <w:rFonts w:ascii="Calibri" w:hAnsi="Calibri" w:cs="Calibri"/>
          <w:color w:val="000000" w:themeColor="text1"/>
        </w:rPr>
        <w:t>.,</w:t>
      </w:r>
      <w:r w:rsidR="008F5A80" w:rsidRPr="46FC6BFD">
        <w:rPr>
          <w:rFonts w:ascii="Calibri" w:hAnsi="Calibri" w:cs="Calibri"/>
          <w:color w:val="000000" w:themeColor="text1"/>
        </w:rPr>
        <w:t xml:space="preserve"> 2023)</w:t>
      </w:r>
    </w:p>
    <w:p w14:paraId="5BB388B8" w14:textId="77777777" w:rsidR="005A7F61" w:rsidRPr="00A54597" w:rsidRDefault="005A7F61" w:rsidP="54C53DD2">
      <w:pPr>
        <w:spacing w:line="360" w:lineRule="auto"/>
        <w:jc w:val="both"/>
        <w:rPr>
          <w:rFonts w:ascii="Calibri" w:hAnsi="Calibri" w:cs="Calibri"/>
          <w:color w:val="000000"/>
        </w:rPr>
      </w:pPr>
    </w:p>
    <w:p w14:paraId="68098199" w14:textId="7FDD80FC" w:rsidR="005A7F61" w:rsidRPr="00A54597" w:rsidRDefault="005A7F61" w:rsidP="775A6182">
      <w:pPr>
        <w:pStyle w:val="Heading1"/>
        <w:rPr>
          <w:rFonts w:ascii="Calibri" w:hAnsi="Calibri" w:cs="Calibri"/>
          <w:b/>
          <w:color w:val="000000" w:themeColor="text1"/>
          <w:sz w:val="28"/>
          <w:szCs w:val="28"/>
          <w:u w:val="single"/>
        </w:rPr>
      </w:pPr>
      <w:bookmarkStart w:id="5" w:name="_Toc1685647832"/>
      <w:r>
        <w:t>2.5</w:t>
      </w:r>
      <w:r w:rsidR="00240572">
        <w:t xml:space="preserve"> Coaching Practice</w:t>
      </w:r>
      <w:bookmarkEnd w:id="5"/>
    </w:p>
    <w:p w14:paraId="6178B3A7" w14:textId="1B87746A" w:rsidR="78CD1FC8" w:rsidRDefault="78CD1FC8" w:rsidP="78CD1FC8"/>
    <w:p w14:paraId="7DA35F14" w14:textId="28C7DEFD" w:rsidR="005A7F61" w:rsidRPr="00A54597" w:rsidRDefault="00F041DC" w:rsidP="54C53DD2">
      <w:pPr>
        <w:spacing w:line="360" w:lineRule="auto"/>
        <w:jc w:val="both"/>
        <w:rPr>
          <w:rFonts w:ascii="Calibri" w:hAnsi="Calibri" w:cs="Calibri"/>
          <w:color w:val="000000"/>
        </w:rPr>
      </w:pPr>
      <w:r w:rsidRPr="34031202">
        <w:rPr>
          <w:rFonts w:ascii="Calibri" w:hAnsi="Calibri" w:cs="Calibri"/>
          <w:color w:val="000000" w:themeColor="text1"/>
        </w:rPr>
        <w:t>Coaching practice in football is underpinned by pedagogical approaches that shape how learning environments are structured and how athletes acquire skills, knowledge, and decision-making capabilities (Cushion, Armour, &amp; Jones, 2003)</w:t>
      </w:r>
      <w:r w:rsidR="00FC32FA" w:rsidRPr="34031202">
        <w:rPr>
          <w:rFonts w:ascii="Calibri" w:hAnsi="Calibri" w:cs="Calibri"/>
          <w:color w:val="000000" w:themeColor="text1"/>
        </w:rPr>
        <w:t>. The deliberate choice of instructional techniques, practice plans, and feedback techniques used to affect learning objectives and player development is known as coaching pedagogy</w:t>
      </w:r>
      <w:r w:rsidR="478FD587" w:rsidRPr="4E9C26BA">
        <w:rPr>
          <w:rFonts w:ascii="Calibri" w:hAnsi="Calibri" w:cs="Calibri"/>
          <w:color w:val="000000" w:themeColor="text1"/>
        </w:rPr>
        <w:t xml:space="preserve"> </w:t>
      </w:r>
      <w:r w:rsidR="003D5E61" w:rsidRPr="37F1B53D">
        <w:rPr>
          <w:rFonts w:ascii="Calibri" w:hAnsi="Calibri" w:cs="Calibri"/>
          <w:color w:val="000000" w:themeColor="text1"/>
        </w:rPr>
        <w:t>(</w:t>
      </w:r>
      <w:r w:rsidR="003D5E61" w:rsidRPr="34031202">
        <w:rPr>
          <w:rFonts w:ascii="Calibri" w:hAnsi="Calibri" w:cs="Calibri"/>
          <w:color w:val="000000" w:themeColor="text1"/>
        </w:rPr>
        <w:t xml:space="preserve">Baker </w:t>
      </w:r>
      <w:r w:rsidR="005F7824" w:rsidRPr="34031202">
        <w:rPr>
          <w:rFonts w:ascii="Calibri" w:hAnsi="Calibri" w:cs="Calibri"/>
          <w:color w:val="000000" w:themeColor="text1"/>
        </w:rPr>
        <w:t>2006)</w:t>
      </w:r>
      <w:r w:rsidR="004B376D" w:rsidRPr="34031202">
        <w:rPr>
          <w:rFonts w:ascii="Calibri" w:hAnsi="Calibri" w:cs="Calibri"/>
          <w:color w:val="000000" w:themeColor="text1"/>
        </w:rPr>
        <w:t>. Research suggests that effective coaching pedagogy requires alignment with learning theories to support how athletes acquire, process, and apply knowledge in performance settings</w:t>
      </w:r>
      <w:r w:rsidR="00BB0DAB" w:rsidRPr="34031202">
        <w:rPr>
          <w:rFonts w:ascii="Calibri" w:hAnsi="Calibri" w:cs="Calibri"/>
          <w:color w:val="000000" w:themeColor="text1"/>
        </w:rPr>
        <w:t xml:space="preserve"> (Light 2008)</w:t>
      </w:r>
      <w:r w:rsidR="009B3DE4" w:rsidRPr="34031202">
        <w:rPr>
          <w:rFonts w:ascii="Calibri" w:hAnsi="Calibri" w:cs="Calibri"/>
          <w:color w:val="000000" w:themeColor="text1"/>
        </w:rPr>
        <w:t>.</w:t>
      </w:r>
    </w:p>
    <w:p w14:paraId="4AC5A9D0" w14:textId="2314ABC8" w:rsidR="4E551115" w:rsidRDefault="4E551115" w:rsidP="4E551115">
      <w:pPr>
        <w:spacing w:line="360" w:lineRule="auto"/>
        <w:jc w:val="both"/>
        <w:rPr>
          <w:rFonts w:ascii="Calibri" w:hAnsi="Calibri" w:cs="Calibri"/>
          <w:color w:val="000000" w:themeColor="text1"/>
        </w:rPr>
      </w:pPr>
    </w:p>
    <w:p w14:paraId="4BFFFD38" w14:textId="2548D3C9" w:rsidR="009B3DE4" w:rsidRPr="00A54597" w:rsidRDefault="03491A95" w:rsidP="4118FD4F">
      <w:pPr>
        <w:pStyle w:val="Heading2"/>
        <w:rPr>
          <w:rFonts w:ascii="Calibri" w:hAnsi="Calibri" w:cs="Calibri"/>
          <w:color w:val="000000" w:themeColor="text1"/>
        </w:rPr>
      </w:pPr>
      <w:bookmarkStart w:id="6" w:name="_Toc1053397439"/>
      <w:r>
        <w:t xml:space="preserve">2.5a Behaviourist </w:t>
      </w:r>
      <w:r w:rsidR="2155B879">
        <w:t>L</w:t>
      </w:r>
      <w:r>
        <w:t xml:space="preserve">earning </w:t>
      </w:r>
      <w:r w:rsidR="2C331FB3">
        <w:t>T</w:t>
      </w:r>
      <w:r>
        <w:t>heory</w:t>
      </w:r>
      <w:bookmarkEnd w:id="6"/>
    </w:p>
    <w:p w14:paraId="038CE15B" w14:textId="1AB5E2A7" w:rsidR="009B3DE4" w:rsidRPr="00A54597" w:rsidRDefault="009B3DE4" w:rsidP="54C53DD2">
      <w:pPr>
        <w:spacing w:line="360" w:lineRule="auto"/>
        <w:jc w:val="both"/>
        <w:rPr>
          <w:rFonts w:ascii="Calibri" w:hAnsi="Calibri" w:cs="Calibri"/>
          <w:b/>
          <w:bCs/>
          <w:color w:val="000000"/>
        </w:rPr>
      </w:pPr>
      <w:r w:rsidRPr="00A54597">
        <w:rPr>
          <w:rFonts w:ascii="Calibri" w:hAnsi="Calibri" w:cs="Calibri"/>
          <w:color w:val="000000"/>
        </w:rPr>
        <w:t>Behaviourist learning theory has historically influenced football coaching through repetition-based drills, direct instruction, and reinforcement, with learning measured through observable behavioural change</w:t>
      </w:r>
      <w:r w:rsidR="0066747A" w:rsidRPr="00A54597">
        <w:rPr>
          <w:rFonts w:ascii="Calibri" w:hAnsi="Calibri" w:cs="Calibri"/>
          <w:color w:val="000000"/>
        </w:rPr>
        <w:t xml:space="preserve"> (“Science and Human Behavior: Extended Edition</w:t>
      </w:r>
      <w:r w:rsidR="00A66184" w:rsidRPr="00A54597">
        <w:rPr>
          <w:rFonts w:ascii="Calibri" w:hAnsi="Calibri" w:cs="Calibri"/>
          <w:color w:val="000000"/>
        </w:rPr>
        <w:t xml:space="preserve">, </w:t>
      </w:r>
      <w:r w:rsidR="0066747A" w:rsidRPr="00A54597">
        <w:rPr>
          <w:rFonts w:ascii="Calibri" w:hAnsi="Calibri" w:cs="Calibri"/>
          <w:color w:val="000000"/>
        </w:rPr>
        <w:t>Hard Cover</w:t>
      </w:r>
      <w:r w:rsidR="00A66184" w:rsidRPr="00A54597">
        <w:rPr>
          <w:rFonts w:ascii="Calibri" w:hAnsi="Calibri" w:cs="Calibri"/>
          <w:color w:val="000000"/>
        </w:rPr>
        <w:t xml:space="preserve"> 2024). In football context behaviourist approaches are commonly associated with coach-led sessions that prioritise technique repetition and error correction</w:t>
      </w:r>
      <w:r w:rsidR="008459DB" w:rsidRPr="00A54597">
        <w:rPr>
          <w:rStyle w:val="apple-converted-space"/>
          <w:rFonts w:ascii="Calibri" w:eastAsiaTheme="majorEastAsia" w:hAnsi="Calibri" w:cs="Calibri"/>
          <w:color w:val="000000"/>
        </w:rPr>
        <w:t xml:space="preserve">. </w:t>
      </w:r>
      <w:r w:rsidR="008459DB" w:rsidRPr="00A54597">
        <w:rPr>
          <w:rFonts w:ascii="Calibri" w:hAnsi="Calibri" w:cs="Calibri"/>
          <w:color w:val="000000"/>
        </w:rPr>
        <w:t>(Williams and Hodges 2005).</w:t>
      </w:r>
      <w:r w:rsidR="00D7708C" w:rsidRPr="00A54597">
        <w:rPr>
          <w:rFonts w:ascii="Calibri" w:hAnsi="Calibri" w:cs="Calibri"/>
          <w:color w:val="000000"/>
        </w:rPr>
        <w:t xml:space="preserve"> While such methods may support early technical acquisition, literature suggests they offer limited transfer to game performance due to a lack of contextual decision-making opportunities. (“Dynamics of Skill Acquisition-2nd Edition” 2021)</w:t>
      </w:r>
    </w:p>
    <w:p w14:paraId="52DD56A3" w14:textId="245D6B77" w:rsidR="009C3831" w:rsidRPr="00A54597" w:rsidRDefault="009C3831" w:rsidP="54C53DD2">
      <w:pPr>
        <w:spacing w:line="360" w:lineRule="auto"/>
        <w:jc w:val="both"/>
        <w:rPr>
          <w:rFonts w:ascii="Calibri" w:hAnsi="Calibri" w:cs="Calibri"/>
          <w:color w:val="000000"/>
        </w:rPr>
      </w:pPr>
    </w:p>
    <w:p w14:paraId="24B8BE57" w14:textId="1AB97EC9" w:rsidR="2C362ACC" w:rsidRDefault="321BFEC3" w:rsidP="71F4B178">
      <w:pPr>
        <w:pStyle w:val="Heading2"/>
        <w:rPr>
          <w:rFonts w:ascii="Calibri" w:hAnsi="Calibri" w:cs="Calibri"/>
          <w:color w:val="000000" w:themeColor="text1"/>
        </w:rPr>
      </w:pPr>
      <w:bookmarkStart w:id="7" w:name="_Toc1054454378"/>
      <w:r>
        <w:lastRenderedPageBreak/>
        <w:t xml:space="preserve">2.5b Cognitivist </w:t>
      </w:r>
      <w:r w:rsidR="07A44F1B">
        <w:t>L</w:t>
      </w:r>
      <w:r>
        <w:t xml:space="preserve">earning </w:t>
      </w:r>
      <w:r w:rsidR="6A7D1737">
        <w:t>T</w:t>
      </w:r>
      <w:r>
        <w:t>heories</w:t>
      </w:r>
      <w:bookmarkEnd w:id="7"/>
    </w:p>
    <w:p w14:paraId="3D867FB3" w14:textId="54D4F3CC" w:rsidR="00063BDC" w:rsidRPr="00A54597" w:rsidRDefault="00F65D4C" w:rsidP="54C53DD2">
      <w:pPr>
        <w:spacing w:line="360" w:lineRule="auto"/>
        <w:jc w:val="both"/>
        <w:rPr>
          <w:rFonts w:ascii="Calibri" w:hAnsi="Calibri" w:cs="Calibri"/>
          <w:color w:val="000000"/>
        </w:rPr>
      </w:pPr>
      <w:r w:rsidRPr="00A54597">
        <w:rPr>
          <w:rFonts w:ascii="Calibri" w:hAnsi="Calibri" w:cs="Calibri"/>
          <w:color w:val="000000"/>
        </w:rPr>
        <w:t>Cognitivist learning theories shifted coaching practice towards understanding internal mental processes such as perception, memory, and problem-solving, positioning athletes as active processors of information who interpret stimuli, make decisions, and apply stored knowledge to adapt performance within dynamic and complex sporting environments.</w:t>
      </w:r>
      <w:r w:rsidR="008D36E7" w:rsidRPr="00A54597">
        <w:rPr>
          <w:rFonts w:ascii="Calibri" w:hAnsi="Calibri" w:cs="Calibri"/>
          <w:color w:val="000000"/>
        </w:rPr>
        <w:t xml:space="preserve"> (“Motor Control and Learning-UTT</w:t>
      </w:r>
      <w:r w:rsidR="006D50D3" w:rsidRPr="00A54597">
        <w:rPr>
          <w:rFonts w:ascii="Calibri" w:hAnsi="Calibri" w:cs="Calibri"/>
          <w:color w:val="000000"/>
        </w:rPr>
        <w:t xml:space="preserve"> 2011). Cognitivist-informed coaching promotes tactical awareness, reflection, and strategic thinking through questioning and feedback</w:t>
      </w:r>
      <w:r w:rsidR="00C16A6C" w:rsidRPr="00A54597">
        <w:rPr>
          <w:rStyle w:val="apple-converted-space"/>
          <w:rFonts w:ascii="Calibri" w:eastAsiaTheme="majorEastAsia" w:hAnsi="Calibri" w:cs="Calibri"/>
          <w:color w:val="000000"/>
        </w:rPr>
        <w:t xml:space="preserve">. </w:t>
      </w:r>
      <w:r w:rsidR="00C16A6C" w:rsidRPr="00A54597">
        <w:rPr>
          <w:rFonts w:ascii="Calibri" w:hAnsi="Calibri" w:cs="Calibri"/>
          <w:color w:val="000000"/>
        </w:rPr>
        <w:t>(Joaquín Dosil</w:t>
      </w:r>
      <w:r w:rsidR="00684244" w:rsidRPr="00A54597">
        <w:rPr>
          <w:rFonts w:ascii="Calibri" w:hAnsi="Calibri" w:cs="Calibri"/>
          <w:color w:val="000000"/>
        </w:rPr>
        <w:t xml:space="preserve"> 2005). </w:t>
      </w:r>
      <w:r w:rsidR="00DC3390" w:rsidRPr="00A54597">
        <w:rPr>
          <w:rFonts w:ascii="Calibri" w:hAnsi="Calibri" w:cs="Calibri"/>
          <w:color w:val="000000"/>
        </w:rPr>
        <w:t>However,</w:t>
      </w:r>
      <w:r w:rsidR="00684244" w:rsidRPr="00A54597">
        <w:rPr>
          <w:rFonts w:ascii="Calibri" w:hAnsi="Calibri" w:cs="Calibri"/>
          <w:color w:val="000000"/>
        </w:rPr>
        <w:t xml:space="preserve"> critics argue that cognitive models alone inadequately explain learning in the complex, dynamic environments characteristic of football</w:t>
      </w:r>
      <w:r w:rsidR="00DC3390" w:rsidRPr="00A54597">
        <w:rPr>
          <w:rFonts w:ascii="Calibri" w:hAnsi="Calibri" w:cs="Calibri"/>
          <w:color w:val="000000"/>
        </w:rPr>
        <w:t>.</w:t>
      </w:r>
    </w:p>
    <w:p w14:paraId="13635AB8" w14:textId="77777777" w:rsidR="00DC3390" w:rsidRPr="00A54597" w:rsidRDefault="00DC3390" w:rsidP="54C53DD2">
      <w:pPr>
        <w:spacing w:line="360" w:lineRule="auto"/>
        <w:jc w:val="both"/>
        <w:rPr>
          <w:rFonts w:ascii="Calibri" w:hAnsi="Calibri" w:cs="Calibri"/>
          <w:color w:val="000000"/>
        </w:rPr>
      </w:pPr>
    </w:p>
    <w:p w14:paraId="788121BD" w14:textId="2ABF02A5" w:rsidR="5E6828E8" w:rsidRDefault="52D6BCEB" w:rsidP="5E6828E8">
      <w:pPr>
        <w:spacing w:line="360" w:lineRule="auto"/>
        <w:jc w:val="both"/>
        <w:rPr>
          <w:rFonts w:ascii="Calibri" w:hAnsi="Calibri" w:cs="Calibri"/>
          <w:color w:val="000000" w:themeColor="text1"/>
        </w:rPr>
      </w:pPr>
      <w:bookmarkStart w:id="8" w:name="_Toc660381865"/>
      <w:r w:rsidRPr="1A9E32EA">
        <w:rPr>
          <w:rStyle w:val="Heading2Char"/>
        </w:rPr>
        <w:t xml:space="preserve">2.5c Constructivist </w:t>
      </w:r>
      <w:r w:rsidR="3E981428" w:rsidRPr="526C6EAF">
        <w:rPr>
          <w:rStyle w:val="Heading2Char"/>
        </w:rPr>
        <w:t>L</w:t>
      </w:r>
      <w:r w:rsidRPr="526C6EAF">
        <w:rPr>
          <w:rStyle w:val="Heading2Char"/>
        </w:rPr>
        <w:t xml:space="preserve">earning </w:t>
      </w:r>
      <w:r w:rsidR="3E320B92" w:rsidRPr="526C6EAF">
        <w:rPr>
          <w:rStyle w:val="Heading2Char"/>
        </w:rPr>
        <w:t>T</w:t>
      </w:r>
      <w:r w:rsidRPr="526C6EAF">
        <w:rPr>
          <w:rStyle w:val="Heading2Char"/>
        </w:rPr>
        <w:t>heories</w:t>
      </w:r>
      <w:bookmarkEnd w:id="8"/>
    </w:p>
    <w:p w14:paraId="2D44C0F7" w14:textId="12FBA526" w:rsidR="00B602A2" w:rsidRPr="00A54597" w:rsidRDefault="00DC3390" w:rsidP="54C53DD2">
      <w:pPr>
        <w:spacing w:line="360" w:lineRule="auto"/>
        <w:jc w:val="both"/>
        <w:rPr>
          <w:rFonts w:ascii="Calibri" w:hAnsi="Calibri" w:cs="Calibri"/>
          <w:color w:val="000000"/>
        </w:rPr>
      </w:pPr>
      <w:r w:rsidRPr="00A54597">
        <w:rPr>
          <w:rFonts w:ascii="Calibri" w:hAnsi="Calibri" w:cs="Calibri"/>
          <w:color w:val="000000"/>
        </w:rPr>
        <w:t>Constructivist learning theories have increasingly informed contemporary coaching practice by emphasising learning as an active process shaped through interaction with the environment</w:t>
      </w:r>
      <w:r w:rsidR="00761F18" w:rsidRPr="00A54597">
        <w:rPr>
          <w:rFonts w:ascii="Calibri" w:hAnsi="Calibri" w:cs="Calibri"/>
          <w:color w:val="000000"/>
        </w:rPr>
        <w:t>. Teaching Games for Understanding (TGfU) operationalises constructivist principles by using modified games to develop tactical understanding, decision-making, and skill execution simultaneously.</w:t>
      </w:r>
      <w:r w:rsidR="001E218F" w:rsidRPr="00A54597">
        <w:rPr>
          <w:rFonts w:ascii="Calibri" w:hAnsi="Calibri" w:cs="Calibri"/>
          <w:color w:val="000000"/>
        </w:rPr>
        <w:t xml:space="preserve"> (“Publications”</w:t>
      </w:r>
      <w:r w:rsidR="00E17A8C" w:rsidRPr="00A54597">
        <w:rPr>
          <w:rFonts w:ascii="Calibri" w:hAnsi="Calibri" w:cs="Calibri"/>
          <w:color w:val="000000"/>
        </w:rPr>
        <w:t xml:space="preserve"> 2025)</w:t>
      </w:r>
      <w:r w:rsidR="003B3098" w:rsidRPr="00A54597">
        <w:rPr>
          <w:rFonts w:ascii="Calibri" w:hAnsi="Calibri" w:cs="Calibri"/>
          <w:color w:val="000000"/>
        </w:rPr>
        <w:t>. Similarly, learning is conceived as arising from the interaction of person, task, and environmental constraints in the Constraints-Led Approach (CLA), which is based on ecological dynamics.</w:t>
      </w:r>
      <w:r w:rsidR="00D05696" w:rsidRPr="00A54597">
        <w:rPr>
          <w:rFonts w:ascii="Calibri" w:hAnsi="Calibri" w:cs="Calibri"/>
          <w:color w:val="000000"/>
        </w:rPr>
        <w:t xml:space="preserve"> (“APA PsycNet” 2026)</w:t>
      </w:r>
      <w:r w:rsidR="009B7FE4" w:rsidRPr="00A54597">
        <w:rPr>
          <w:rFonts w:ascii="Calibri" w:hAnsi="Calibri" w:cs="Calibri"/>
          <w:color w:val="000000"/>
        </w:rPr>
        <w:t xml:space="preserve">. Research indicates that CLA-based coaching sessions enhance adaptability, perception–action coupling, and skill transfer to competitive match </w:t>
      </w:r>
      <w:r w:rsidR="00B87719" w:rsidRPr="00A54597">
        <w:rPr>
          <w:rFonts w:ascii="Calibri" w:hAnsi="Calibri" w:cs="Calibri"/>
          <w:color w:val="000000"/>
        </w:rPr>
        <w:t>contexts.</w:t>
      </w:r>
      <w:r w:rsidR="009B7FE4" w:rsidRPr="00A54597">
        <w:rPr>
          <w:rStyle w:val="apple-converted-space"/>
          <w:rFonts w:ascii="Calibri" w:eastAsiaTheme="majorEastAsia" w:hAnsi="Calibri" w:cs="Calibri"/>
          <w:color w:val="000000"/>
        </w:rPr>
        <w:t> </w:t>
      </w:r>
      <w:r w:rsidR="00B87719" w:rsidRPr="00A54597">
        <w:rPr>
          <w:rFonts w:ascii="Calibri" w:hAnsi="Calibri" w:cs="Calibri"/>
          <w:color w:val="000000"/>
        </w:rPr>
        <w:t>Research indicates that CLA-based coaching sessions enhance adaptability, perception–action coupling, and skill transfer to competitive match contexts by promoting learning through representative task design and variable practice conditions that reflect real-game demands</w:t>
      </w:r>
      <w:r w:rsidR="00CD34A6" w:rsidRPr="00A54597">
        <w:rPr>
          <w:rStyle w:val="apple-converted-space"/>
          <w:rFonts w:ascii="Calibri" w:eastAsiaTheme="majorEastAsia" w:hAnsi="Calibri" w:cs="Calibri"/>
          <w:color w:val="000000"/>
        </w:rPr>
        <w:t xml:space="preserve"> </w:t>
      </w:r>
      <w:r w:rsidR="00B602A2" w:rsidRPr="00A54597">
        <w:rPr>
          <w:rStyle w:val="personname"/>
          <w:rFonts w:ascii="Calibri" w:eastAsiaTheme="majorEastAsia" w:hAnsi="Calibri" w:cs="Calibri"/>
          <w:color w:val="222222"/>
        </w:rPr>
        <w:t>(</w:t>
      </w:r>
      <w:r w:rsidR="00CD34A6" w:rsidRPr="00A54597">
        <w:rPr>
          <w:rStyle w:val="personname"/>
          <w:rFonts w:ascii="Calibri" w:eastAsiaTheme="majorEastAsia" w:hAnsi="Calibri" w:cs="Calibri"/>
          <w:color w:val="222222"/>
        </w:rPr>
        <w:t>Renshaw 2019).</w:t>
      </w:r>
      <w:r w:rsidR="0015056D" w:rsidRPr="00A54597">
        <w:rPr>
          <w:rFonts w:ascii="Calibri" w:hAnsi="Calibri" w:cs="Calibri"/>
          <w:color w:val="000000"/>
        </w:rPr>
        <w:t xml:space="preserve"> Contemporary scholarship increasingly supports integrating TGfU and CLA principles to develop player-centred, exploratory learning environments that encourage tactical awareness, creativity, and autonomous decision-making within modern football contexts.</w:t>
      </w:r>
      <w:r w:rsidR="00CC2EF6" w:rsidRPr="00A54597">
        <w:rPr>
          <w:rFonts w:ascii="Calibri" w:hAnsi="Calibri" w:cs="Calibri"/>
          <w:color w:val="000000"/>
        </w:rPr>
        <w:t xml:space="preserve"> (Light et al.</w:t>
      </w:r>
      <w:r w:rsidR="00EC6FBB" w:rsidRPr="00A54597">
        <w:rPr>
          <w:rFonts w:ascii="Calibri" w:hAnsi="Calibri" w:cs="Calibri"/>
          <w:color w:val="000000"/>
        </w:rPr>
        <w:t xml:space="preserve"> 2008)</w:t>
      </w:r>
    </w:p>
    <w:p w14:paraId="2BE547F1" w14:textId="77777777" w:rsidR="00DA1332" w:rsidRPr="00A54597" w:rsidRDefault="00DA1332" w:rsidP="54C53DD2">
      <w:pPr>
        <w:spacing w:line="360" w:lineRule="auto"/>
        <w:jc w:val="both"/>
        <w:rPr>
          <w:rFonts w:ascii="Calibri" w:hAnsi="Calibri" w:cs="Calibri"/>
          <w:color w:val="000000"/>
        </w:rPr>
      </w:pPr>
    </w:p>
    <w:p w14:paraId="72EE8B4E" w14:textId="3B309341" w:rsidR="00DA1332" w:rsidRPr="00A54597" w:rsidRDefault="67F8B867" w:rsidP="0B00A103">
      <w:pPr>
        <w:pStyle w:val="Heading1"/>
        <w:rPr>
          <w:rStyle w:val="personname"/>
          <w:rFonts w:ascii="Calibri" w:hAnsi="Calibri" w:cs="Calibri"/>
          <w:b/>
          <w:bCs/>
          <w:color w:val="222222"/>
          <w:sz w:val="28"/>
          <w:szCs w:val="28"/>
          <w:u w:val="single"/>
        </w:rPr>
      </w:pPr>
      <w:bookmarkStart w:id="9" w:name="_Toc299216595"/>
      <w:r>
        <w:t xml:space="preserve">2.6 </w:t>
      </w:r>
      <w:r w:rsidR="00DA1332">
        <w:t>Conclusion</w:t>
      </w:r>
      <w:bookmarkEnd w:id="9"/>
    </w:p>
    <w:p w14:paraId="6ACCDF0C" w14:textId="20411FB0" w:rsidR="00F65D4C" w:rsidRPr="00A54597" w:rsidRDefault="005049ED" w:rsidP="54C53DD2">
      <w:pPr>
        <w:spacing w:line="360" w:lineRule="auto"/>
        <w:jc w:val="both"/>
        <w:rPr>
          <w:rFonts w:ascii="Calibri" w:hAnsi="Calibri" w:cs="Calibri"/>
        </w:rPr>
      </w:pPr>
      <w:r w:rsidRPr="00A54597">
        <w:rPr>
          <w:rFonts w:ascii="Calibri" w:hAnsi="Calibri" w:cs="Calibri"/>
        </w:rPr>
        <w:t xml:space="preserve">The function of digital learning platforms in youth football has been studied in this literature review, with particular attention on how they could improve coach education and player </w:t>
      </w:r>
      <w:r w:rsidRPr="00A54597">
        <w:rPr>
          <w:rFonts w:ascii="Calibri" w:hAnsi="Calibri" w:cs="Calibri"/>
        </w:rPr>
        <w:lastRenderedPageBreak/>
        <w:t xml:space="preserve">development at the local level. The increasing use of digital technology in sports (Ratten, 2020) reflects broader issues community clubs confront, such as a lack of resources, time, and access to formal education paths (Nelson, 2006). Digital platforms provide adaptable, scalable, and accessible solutions that can assist informal and non-formal learning, which is widely acknowledged as essential to grassroots coach development (Nelson, Cushion &amp; Potrac, 2006), as </w:t>
      </w:r>
      <w:r w:rsidR="009B3207" w:rsidRPr="00A54597">
        <w:rPr>
          <w:rFonts w:ascii="Calibri" w:hAnsi="Calibri" w:cs="Calibri"/>
        </w:rPr>
        <w:t>highlighted</w:t>
      </w:r>
      <w:r w:rsidRPr="00A54597">
        <w:rPr>
          <w:rFonts w:ascii="Calibri" w:hAnsi="Calibri" w:cs="Calibri"/>
        </w:rPr>
        <w:t xml:space="preserve"> by Callary and Gearity (2019). This offers a solid basis for the suggested creation of a website for Llandarcy AFC Juniors' learning and development (Ratten &amp; Jones, 2021).</w:t>
      </w:r>
    </w:p>
    <w:p w14:paraId="1E0C3BB4" w14:textId="77777777" w:rsidR="00F65D4C" w:rsidRPr="00A54597" w:rsidRDefault="00F65D4C" w:rsidP="54C53DD2">
      <w:pPr>
        <w:spacing w:line="360" w:lineRule="auto"/>
        <w:jc w:val="both"/>
        <w:rPr>
          <w:rFonts w:ascii="Calibri" w:hAnsi="Calibri" w:cs="Calibri"/>
          <w:b/>
          <w:bCs/>
          <w:u w:val="single"/>
        </w:rPr>
      </w:pPr>
    </w:p>
    <w:p w14:paraId="01B03529" w14:textId="56D02461" w:rsidR="00F65D4C" w:rsidRPr="00A54597" w:rsidRDefault="009B3207" w:rsidP="54C53DD2">
      <w:pPr>
        <w:spacing w:line="360" w:lineRule="auto"/>
        <w:jc w:val="both"/>
        <w:rPr>
          <w:rFonts w:ascii="Calibri" w:hAnsi="Calibri" w:cs="Calibri"/>
          <w:color w:val="000000"/>
        </w:rPr>
      </w:pPr>
      <w:r w:rsidRPr="00A54597">
        <w:rPr>
          <w:rFonts w:ascii="Calibri" w:hAnsi="Calibri" w:cs="Calibri"/>
          <w:color w:val="000000"/>
        </w:rPr>
        <w:t>The review of youth sport literature emphasised the social, physical, and developmental value of organised sport participation, while also identifying persistent challenges related to access, equity, and dropout, particularly during early adolescence (Pandya, 2021; Emmonds et al., 2023). In youth football specifically, issues such as early specialisation, competitive pressure, and injury risk highlight the need for developmentally appropriate coaching environments (Ewing). Digital resources can support clubs in addressing these challenges by providing guidance aligned with best practice and age-appropriate development principles.</w:t>
      </w:r>
    </w:p>
    <w:p w14:paraId="17B9302E" w14:textId="77777777" w:rsidR="004F2742" w:rsidRPr="00A54597" w:rsidRDefault="004F2742" w:rsidP="54C53DD2">
      <w:pPr>
        <w:spacing w:line="360" w:lineRule="auto"/>
        <w:jc w:val="both"/>
        <w:rPr>
          <w:rFonts w:ascii="Calibri" w:hAnsi="Calibri" w:cs="Calibri"/>
          <w:color w:val="000000"/>
        </w:rPr>
      </w:pPr>
    </w:p>
    <w:p w14:paraId="033FA39D" w14:textId="11505141" w:rsidR="004F2742" w:rsidRPr="00A54597" w:rsidRDefault="004F2742" w:rsidP="54C53DD2">
      <w:pPr>
        <w:spacing w:line="360" w:lineRule="auto"/>
        <w:jc w:val="both"/>
        <w:rPr>
          <w:rFonts w:ascii="Calibri" w:hAnsi="Calibri" w:cs="Calibri"/>
        </w:rPr>
      </w:pPr>
      <w:r w:rsidRPr="00A54597">
        <w:rPr>
          <w:rFonts w:ascii="Calibri" w:hAnsi="Calibri" w:cs="Calibri"/>
        </w:rPr>
        <w:t>Long-term, customised, and enjoyment-focused development pathways are emphasised by talent development frameworks like the FTEM model (Gulbin et al., 2013), the DMSP (</w:t>
      </w:r>
      <w:r w:rsidRPr="00916997">
        <w:rPr>
          <w:rFonts w:ascii="Calibri" w:hAnsi="Calibri" w:cs="Calibri"/>
        </w:rPr>
        <w:t>Pichardo et al.</w:t>
      </w:r>
      <w:r w:rsidR="00916997" w:rsidRPr="00916997">
        <w:rPr>
          <w:rFonts w:ascii="Calibri" w:hAnsi="Calibri" w:cs="Calibri"/>
        </w:rPr>
        <w:t xml:space="preserve"> </w:t>
      </w:r>
      <w:r w:rsidR="00916997" w:rsidRPr="00916997">
        <w:rPr>
          <w:rFonts w:ascii="Calibri" w:hAnsi="Calibri" w:cs="Calibri"/>
          <w:color w:val="000000"/>
        </w:rPr>
        <w:t>2018</w:t>
      </w:r>
      <w:r w:rsidRPr="00916997">
        <w:rPr>
          <w:rFonts w:ascii="Calibri" w:hAnsi="Calibri" w:cs="Calibri"/>
        </w:rPr>
        <w:t>),</w:t>
      </w:r>
      <w:r w:rsidRPr="00A54597">
        <w:rPr>
          <w:rFonts w:ascii="Calibri" w:hAnsi="Calibri" w:cs="Calibri"/>
        </w:rPr>
        <w:t xml:space="preserve"> and LTAD (Balyi et al.</w:t>
      </w:r>
      <w:r w:rsidR="00F01847">
        <w:rPr>
          <w:rFonts w:ascii="Calibri" w:hAnsi="Calibri" w:cs="Calibri"/>
        </w:rPr>
        <w:t xml:space="preserve"> 2013</w:t>
      </w:r>
      <w:r w:rsidRPr="00A54597">
        <w:rPr>
          <w:rFonts w:ascii="Calibri" w:hAnsi="Calibri" w:cs="Calibri"/>
        </w:rPr>
        <w:t>). Despite the shortcomings of each model, their emphasis on steady advancement, holistic growth, and adaptability highlights the need for tools that assist coaches in putting these ideas into practice in regional settings. In a similar vein, football-specific frameworks like the EPPP show how route systems can operationalise theoretical models to balance welfare, education, and performance (Barraclough et al.</w:t>
      </w:r>
      <w:r w:rsidR="00F01847">
        <w:rPr>
          <w:rFonts w:ascii="Calibri" w:hAnsi="Calibri" w:cs="Calibri"/>
        </w:rPr>
        <w:t xml:space="preserve"> 2024)</w:t>
      </w:r>
      <w:r w:rsidRPr="00A54597">
        <w:rPr>
          <w:rFonts w:ascii="Calibri" w:hAnsi="Calibri" w:cs="Calibri"/>
        </w:rPr>
        <w:t>.</w:t>
      </w:r>
    </w:p>
    <w:p w14:paraId="0500D7BA" w14:textId="77777777" w:rsidR="00D8288A" w:rsidRPr="00A54597" w:rsidRDefault="00D8288A" w:rsidP="54C53DD2">
      <w:pPr>
        <w:spacing w:line="360" w:lineRule="auto"/>
        <w:jc w:val="both"/>
        <w:rPr>
          <w:rFonts w:ascii="Calibri" w:hAnsi="Calibri" w:cs="Calibri"/>
          <w:color w:val="000000"/>
          <w:sz w:val="27"/>
          <w:szCs w:val="27"/>
        </w:rPr>
      </w:pPr>
    </w:p>
    <w:p w14:paraId="2FF76049" w14:textId="38CFB2CF" w:rsidR="00F65D4C" w:rsidRPr="00A54597" w:rsidRDefault="00D8288A" w:rsidP="54C53DD2">
      <w:pPr>
        <w:spacing w:line="360" w:lineRule="auto"/>
        <w:jc w:val="both"/>
        <w:rPr>
          <w:rFonts w:ascii="Calibri" w:hAnsi="Calibri" w:cs="Calibri"/>
          <w:color w:val="000000"/>
          <w:szCs w:val="22"/>
        </w:rPr>
      </w:pPr>
      <w:r w:rsidRPr="00A54597">
        <w:rPr>
          <w:rFonts w:ascii="Calibri" w:hAnsi="Calibri" w:cs="Calibri"/>
          <w:color w:val="000000"/>
          <w:szCs w:val="22"/>
        </w:rPr>
        <w:t>The review of youth football development highlighted the effectiveness of small-sided games, bio-banding, and phased progression models in supporting technical, tactical, and psychosocial development (Towlson et al., 2021; Bradley et al., 2019). However, the success</w:t>
      </w:r>
      <w:r w:rsidR="0055522C" w:rsidRPr="00A54597">
        <w:rPr>
          <w:rFonts w:ascii="Calibri" w:hAnsi="Calibri" w:cs="Calibri"/>
          <w:color w:val="000000"/>
          <w:szCs w:val="22"/>
        </w:rPr>
        <w:t xml:space="preserve"> </w:t>
      </w:r>
      <w:r w:rsidRPr="00A54597">
        <w:rPr>
          <w:rFonts w:ascii="Calibri" w:hAnsi="Calibri" w:cs="Calibri"/>
          <w:color w:val="000000"/>
          <w:szCs w:val="22"/>
        </w:rPr>
        <w:t>o</w:t>
      </w:r>
      <w:r w:rsidR="0055522C" w:rsidRPr="00A54597">
        <w:rPr>
          <w:rFonts w:ascii="Calibri" w:hAnsi="Calibri" w:cs="Calibri"/>
          <w:color w:val="000000"/>
          <w:szCs w:val="22"/>
        </w:rPr>
        <w:t>n</w:t>
      </w:r>
      <w:r w:rsidRPr="00A54597">
        <w:rPr>
          <w:rFonts w:ascii="Calibri" w:hAnsi="Calibri" w:cs="Calibri"/>
          <w:color w:val="000000"/>
          <w:szCs w:val="22"/>
        </w:rPr>
        <w:t xml:space="preserve"> these approaches depends heavily on coach knowledge, planning, and reflective practice. Coach education literature reinforces this, demonstrating that while formal qualifications are important, ongoing professional </w:t>
      </w:r>
      <w:r w:rsidR="003B6F84" w:rsidRPr="00A54597">
        <w:rPr>
          <w:rFonts w:ascii="Calibri" w:hAnsi="Calibri" w:cs="Calibri"/>
          <w:color w:val="000000"/>
          <w:szCs w:val="22"/>
        </w:rPr>
        <w:t xml:space="preserve">development, </w:t>
      </w:r>
      <w:r w:rsidR="003B6F84">
        <w:rPr>
          <w:rFonts w:ascii="Calibri" w:hAnsi="Calibri" w:cs="Calibri"/>
          <w:color w:val="000000"/>
          <w:szCs w:val="22"/>
        </w:rPr>
        <w:t>learning</w:t>
      </w:r>
      <w:r w:rsidRPr="00A54597">
        <w:rPr>
          <w:rFonts w:ascii="Calibri" w:hAnsi="Calibri" w:cs="Calibri"/>
          <w:color w:val="000000"/>
          <w:szCs w:val="22"/>
        </w:rPr>
        <w:t xml:space="preserve">, and reflective practice are essential </w:t>
      </w:r>
      <w:r w:rsidRPr="00A54597">
        <w:rPr>
          <w:rFonts w:ascii="Calibri" w:hAnsi="Calibri" w:cs="Calibri"/>
          <w:color w:val="000000"/>
          <w:szCs w:val="22"/>
        </w:rPr>
        <w:lastRenderedPageBreak/>
        <w:t>for coaching effectiveness (Cushion et al., 2003; Walton et al., 2024). The FAW and USSF pathways illustrate how blended learning and CPD platforms can support longitudinal coach development (FAW, 2024; USSF, 2025).</w:t>
      </w:r>
    </w:p>
    <w:p w14:paraId="6BEE3A00" w14:textId="77777777" w:rsidR="00A54597" w:rsidRPr="00A54597" w:rsidRDefault="00A54597" w:rsidP="54C53DD2">
      <w:pPr>
        <w:spacing w:line="360" w:lineRule="auto"/>
        <w:jc w:val="both"/>
        <w:rPr>
          <w:rFonts w:ascii="Calibri" w:hAnsi="Calibri" w:cs="Calibri"/>
          <w:color w:val="000000"/>
          <w:szCs w:val="22"/>
        </w:rPr>
      </w:pPr>
    </w:p>
    <w:p w14:paraId="3CCB9EC4" w14:textId="2AFEACD6" w:rsidR="00A54597" w:rsidRPr="00A54597" w:rsidRDefault="00A54597" w:rsidP="54C53DD2">
      <w:pPr>
        <w:spacing w:line="360" w:lineRule="auto"/>
        <w:jc w:val="both"/>
        <w:rPr>
          <w:rFonts w:ascii="Calibri" w:hAnsi="Calibri" w:cs="Calibri"/>
        </w:rPr>
      </w:pPr>
      <w:r w:rsidRPr="00A54597">
        <w:rPr>
          <w:rFonts w:ascii="Calibri" w:hAnsi="Calibri" w:cs="Calibri"/>
        </w:rPr>
        <w:t>Lastly, constructivist methods like TGfU and the Constraints-Led Approach, which support player-centred, game-representative learning settings, are becoming more and more popular in modern coaching pedagogy (Light et al., 2008; Renshaw, 2019). When taken as a whole, the literature shows an obvious gap between theoretical best practices and their regular implementation at the local level. Therefore, the suggested digital learning website for Llandarcy AFC Juniors is justified as a useful instrument to close this gap by providing accessible, context</w:t>
      </w:r>
      <w:r w:rsidR="00727956">
        <w:rPr>
          <w:rFonts w:ascii="Calibri" w:hAnsi="Calibri" w:cs="Calibri"/>
        </w:rPr>
        <w:t xml:space="preserve"> </w:t>
      </w:r>
      <w:r w:rsidRPr="00A54597">
        <w:rPr>
          <w:rFonts w:ascii="Calibri" w:hAnsi="Calibri" w:cs="Calibri"/>
        </w:rPr>
        <w:t>specific, and support for both player development and continuing coach education.</w:t>
      </w:r>
    </w:p>
    <w:p w14:paraId="6470ED21" w14:textId="77777777" w:rsidR="00AD46E6" w:rsidRDefault="00AD46E6" w:rsidP="136BD2C4">
      <w:pPr>
        <w:pStyle w:val="Heading1"/>
      </w:pPr>
    </w:p>
    <w:p w14:paraId="07A3C1CE" w14:textId="2A67B859" w:rsidR="4FAFB0AB" w:rsidRDefault="4FAFB0AB" w:rsidP="4FAFB0AB"/>
    <w:p w14:paraId="662B66B2" w14:textId="120822DD" w:rsidR="37898B4F" w:rsidRDefault="37898B4F" w:rsidP="37898B4F"/>
    <w:p w14:paraId="27658298" w14:textId="28C33FCB" w:rsidR="0009060F" w:rsidRPr="0074538D" w:rsidRDefault="7D6D3BB0" w:rsidP="136BD2C4">
      <w:pPr>
        <w:pStyle w:val="Heading1"/>
        <w:rPr>
          <w:rFonts w:ascii="Calibri" w:hAnsi="Calibri" w:cs="Calibri"/>
          <w:b/>
          <w:bCs/>
          <w:sz w:val="28"/>
          <w:szCs w:val="28"/>
          <w:u w:val="single"/>
        </w:rPr>
      </w:pPr>
      <w:bookmarkStart w:id="10" w:name="_Toc1985847755"/>
      <w:r>
        <w:t>2</w:t>
      </w:r>
      <w:r w:rsidR="2EE49B8B">
        <w:t xml:space="preserve">.7 </w:t>
      </w:r>
      <w:r w:rsidR="00BA7B3E">
        <w:t>Reference page</w:t>
      </w:r>
      <w:bookmarkEnd w:id="10"/>
    </w:p>
    <w:p w14:paraId="60EE56B9" w14:textId="77777777" w:rsidR="00B16301" w:rsidRDefault="00B16301" w:rsidP="00B16301">
      <w:pPr>
        <w:pStyle w:val="NormalWeb"/>
        <w:rPr>
          <w:color w:val="000000"/>
        </w:rPr>
      </w:pPr>
      <w:r>
        <w:rPr>
          <w:color w:val="000000"/>
        </w:rPr>
        <w:t>Baker, A. (2006)</w:t>
      </w:r>
      <w:r>
        <w:rPr>
          <w:rStyle w:val="apple-converted-space"/>
          <w:rFonts w:eastAsiaTheme="majorEastAsia"/>
          <w:color w:val="000000"/>
        </w:rPr>
        <w:t> </w:t>
      </w:r>
      <w:r>
        <w:rPr>
          <w:rStyle w:val="Emphasis"/>
          <w:rFonts w:eastAsiaTheme="majorEastAsia"/>
          <w:color w:val="000000"/>
        </w:rPr>
        <w:t>The Group of Seven</w:t>
      </w:r>
      <w:r>
        <w:rPr>
          <w:color w:val="000000"/>
        </w:rPr>
        <w:t>. Hove: Psychology Press.</w:t>
      </w:r>
    </w:p>
    <w:p w14:paraId="3281E0DB" w14:textId="77777777" w:rsidR="00B16301" w:rsidRDefault="00B16301" w:rsidP="00B16301">
      <w:pPr>
        <w:pStyle w:val="NormalWeb"/>
        <w:rPr>
          <w:color w:val="000000"/>
        </w:rPr>
      </w:pPr>
      <w:r>
        <w:rPr>
          <w:color w:val="000000"/>
        </w:rPr>
        <w:t>Balyi, I., Way, R. and Higgs, C. (2013)</w:t>
      </w:r>
      <w:r>
        <w:rPr>
          <w:rStyle w:val="apple-converted-space"/>
          <w:rFonts w:eastAsiaTheme="majorEastAsia"/>
          <w:color w:val="000000"/>
        </w:rPr>
        <w:t> </w:t>
      </w:r>
      <w:r>
        <w:rPr>
          <w:rStyle w:val="Emphasis"/>
          <w:rFonts w:eastAsiaTheme="majorEastAsia"/>
          <w:color w:val="000000"/>
        </w:rPr>
        <w:t>Long-Term Athlete Development</w:t>
      </w:r>
      <w:r>
        <w:rPr>
          <w:color w:val="000000"/>
        </w:rPr>
        <w:t>. Champaign, IL: Human Kinetics.</w:t>
      </w:r>
    </w:p>
    <w:p w14:paraId="3B9C0FBE" w14:textId="77777777" w:rsidR="00B16301" w:rsidRDefault="00B16301" w:rsidP="00B16301">
      <w:pPr>
        <w:pStyle w:val="NormalWeb"/>
        <w:rPr>
          <w:color w:val="000000"/>
        </w:rPr>
      </w:pPr>
      <w:r>
        <w:rPr>
          <w:color w:val="000000"/>
        </w:rPr>
        <w:t>Barraclough, J., et al. (2024) ‘English Premier League and English Football League academy managers’ experiences of how psychosocial skills and characteristics are identified and developed in youth academy soccer players’,</w:t>
      </w:r>
      <w:r>
        <w:rPr>
          <w:rStyle w:val="apple-converted-space"/>
          <w:rFonts w:eastAsiaTheme="majorEastAsia"/>
          <w:color w:val="000000"/>
        </w:rPr>
        <w:t> </w:t>
      </w:r>
      <w:r>
        <w:rPr>
          <w:rStyle w:val="Emphasis"/>
          <w:rFonts w:eastAsiaTheme="majorEastAsia"/>
          <w:color w:val="000000"/>
        </w:rPr>
        <w:t>Journal of Sports Sciences</w:t>
      </w:r>
      <w:r>
        <w:rPr>
          <w:color w:val="000000"/>
        </w:rPr>
        <w:t>, 42(13), pp. 1259–1271.</w:t>
      </w:r>
      <w:r>
        <w:rPr>
          <w:rStyle w:val="apple-converted-space"/>
          <w:rFonts w:eastAsiaTheme="majorEastAsia"/>
          <w:color w:val="000000"/>
        </w:rPr>
        <w:t> </w:t>
      </w:r>
      <w:hyperlink r:id="rId5" w:tgtFrame="_new" w:history="1">
        <w:r>
          <w:rPr>
            <w:rStyle w:val="Hyperlink"/>
            <w:rFonts w:eastAsiaTheme="majorEastAsia"/>
          </w:rPr>
          <w:t>https://doi.org/10.1080/02640414.2024.2388978</w:t>
        </w:r>
      </w:hyperlink>
    </w:p>
    <w:p w14:paraId="6D14D239" w14:textId="1004A9DC" w:rsidR="00B16301" w:rsidRDefault="00B16301" w:rsidP="00B16301">
      <w:pPr>
        <w:pStyle w:val="NormalWeb"/>
        <w:rPr>
          <w:color w:val="000000"/>
        </w:rPr>
      </w:pPr>
      <w:r>
        <w:rPr>
          <w:color w:val="000000"/>
        </w:rPr>
        <w:t xml:space="preserve">Battaglia, A., et al. (2024) ‘The dropout from youth sport crisis: Not as simple as </w:t>
      </w:r>
      <w:r w:rsidR="005A18D1">
        <w:rPr>
          <w:color w:val="000000"/>
        </w:rPr>
        <w:t>its</w:t>
      </w:r>
      <w:r>
        <w:rPr>
          <w:color w:val="000000"/>
        </w:rPr>
        <w:t xml:space="preserve"> appears’,</w:t>
      </w:r>
      <w:r>
        <w:rPr>
          <w:rStyle w:val="apple-converted-space"/>
          <w:rFonts w:eastAsiaTheme="majorEastAsia"/>
          <w:color w:val="000000"/>
        </w:rPr>
        <w:t> </w:t>
      </w:r>
      <w:r>
        <w:rPr>
          <w:rStyle w:val="Emphasis"/>
          <w:rFonts w:eastAsiaTheme="majorEastAsia"/>
          <w:color w:val="000000"/>
        </w:rPr>
        <w:t>Kinesiology Review</w:t>
      </w:r>
      <w:r>
        <w:rPr>
          <w:color w:val="000000"/>
        </w:rPr>
        <w:t>, 13(3), pp. 1–12.</w:t>
      </w:r>
      <w:r>
        <w:rPr>
          <w:rStyle w:val="apple-converted-space"/>
          <w:rFonts w:eastAsiaTheme="majorEastAsia"/>
          <w:color w:val="000000"/>
        </w:rPr>
        <w:t> </w:t>
      </w:r>
      <w:hyperlink r:id="rId6" w:tgtFrame="_new" w:history="1">
        <w:r>
          <w:rPr>
            <w:rStyle w:val="Hyperlink"/>
            <w:rFonts w:eastAsiaTheme="majorEastAsia"/>
          </w:rPr>
          <w:t>https://doi.org/10.1123/kr.2023-0024</w:t>
        </w:r>
      </w:hyperlink>
    </w:p>
    <w:p w14:paraId="52D1CB9E" w14:textId="77777777" w:rsidR="00B16301" w:rsidRDefault="00B16301" w:rsidP="00B16301">
      <w:pPr>
        <w:pStyle w:val="NormalWeb"/>
        <w:rPr>
          <w:color w:val="000000"/>
        </w:rPr>
      </w:pPr>
      <w:r>
        <w:rPr>
          <w:color w:val="000000"/>
        </w:rPr>
        <w:t>Bradley, B., et al. (2019) ‘Bio-banding in academy football: Players’ perceptions of a maturity-matched tournament’,</w:t>
      </w:r>
      <w:r>
        <w:rPr>
          <w:rStyle w:val="apple-converted-space"/>
          <w:rFonts w:eastAsiaTheme="majorEastAsia"/>
          <w:color w:val="000000"/>
        </w:rPr>
        <w:t> </w:t>
      </w:r>
      <w:r>
        <w:rPr>
          <w:rStyle w:val="Emphasis"/>
          <w:rFonts w:eastAsiaTheme="majorEastAsia"/>
          <w:color w:val="000000"/>
        </w:rPr>
        <w:t>Annals of Human Biology</w:t>
      </w:r>
      <w:r>
        <w:rPr>
          <w:color w:val="000000"/>
        </w:rPr>
        <w:t>, 46(5), pp. 400–408.</w:t>
      </w:r>
      <w:r>
        <w:rPr>
          <w:rStyle w:val="apple-converted-space"/>
          <w:rFonts w:eastAsiaTheme="majorEastAsia"/>
          <w:color w:val="000000"/>
        </w:rPr>
        <w:t> </w:t>
      </w:r>
      <w:hyperlink r:id="rId7" w:tgtFrame="_new" w:history="1">
        <w:r>
          <w:rPr>
            <w:rStyle w:val="Hyperlink"/>
            <w:rFonts w:eastAsiaTheme="majorEastAsia"/>
          </w:rPr>
          <w:t>https://doi.org/10.1080/03014460.2019.1640284</w:t>
        </w:r>
      </w:hyperlink>
    </w:p>
    <w:p w14:paraId="557D506D" w14:textId="77777777" w:rsidR="00B16301" w:rsidRDefault="00B16301" w:rsidP="00B16301">
      <w:pPr>
        <w:pStyle w:val="NormalWeb"/>
        <w:rPr>
          <w:color w:val="000000"/>
        </w:rPr>
      </w:pPr>
      <w:r>
        <w:rPr>
          <w:color w:val="000000"/>
        </w:rPr>
        <w:t>Cushion, C.J., Armour, K.M. and Jones, R.L. (2003) ‘Coach education and continuing professional development: Experience and learning to coach’,</w:t>
      </w:r>
      <w:r>
        <w:rPr>
          <w:rStyle w:val="apple-converted-space"/>
          <w:rFonts w:eastAsiaTheme="majorEastAsia"/>
          <w:color w:val="000000"/>
        </w:rPr>
        <w:t> </w:t>
      </w:r>
      <w:r>
        <w:rPr>
          <w:rStyle w:val="Emphasis"/>
          <w:rFonts w:eastAsiaTheme="majorEastAsia"/>
          <w:color w:val="000000"/>
        </w:rPr>
        <w:t>Quest</w:t>
      </w:r>
      <w:r>
        <w:rPr>
          <w:color w:val="000000"/>
        </w:rPr>
        <w:t>, 55(3), pp. 215–230.</w:t>
      </w:r>
      <w:r>
        <w:rPr>
          <w:rStyle w:val="apple-converted-space"/>
          <w:rFonts w:eastAsiaTheme="majorEastAsia"/>
          <w:color w:val="000000"/>
        </w:rPr>
        <w:t> </w:t>
      </w:r>
      <w:r>
        <w:rPr>
          <w:color w:val="000000"/>
        </w:rPr>
        <w:t>https://doi.org/10.1080/00336297.2003.10491800</w:t>
      </w:r>
    </w:p>
    <w:p w14:paraId="4383523E" w14:textId="77777777" w:rsidR="00B16301" w:rsidRDefault="00B16301" w:rsidP="00B16301">
      <w:pPr>
        <w:pStyle w:val="NormalWeb"/>
        <w:rPr>
          <w:color w:val="000000"/>
        </w:rPr>
      </w:pPr>
      <w:r>
        <w:rPr>
          <w:color w:val="000000"/>
        </w:rPr>
        <w:lastRenderedPageBreak/>
        <w:t>Dowling, M., et al. (2018) ‘Governance in sport: A scoping review’,</w:t>
      </w:r>
      <w:r>
        <w:rPr>
          <w:rStyle w:val="apple-converted-space"/>
          <w:rFonts w:eastAsiaTheme="majorEastAsia"/>
          <w:color w:val="000000"/>
        </w:rPr>
        <w:t> </w:t>
      </w:r>
      <w:r>
        <w:rPr>
          <w:rStyle w:val="Emphasis"/>
          <w:rFonts w:eastAsiaTheme="majorEastAsia"/>
          <w:color w:val="000000"/>
        </w:rPr>
        <w:t>Journal of Sport Management</w:t>
      </w:r>
      <w:r>
        <w:rPr>
          <w:color w:val="000000"/>
        </w:rPr>
        <w:t>, 32(5), pp. 438–451.</w:t>
      </w:r>
      <w:r>
        <w:rPr>
          <w:rStyle w:val="apple-converted-space"/>
          <w:rFonts w:eastAsiaTheme="majorEastAsia"/>
          <w:color w:val="000000"/>
        </w:rPr>
        <w:t> </w:t>
      </w:r>
      <w:hyperlink r:id="rId8" w:tgtFrame="_new" w:history="1">
        <w:r>
          <w:rPr>
            <w:rStyle w:val="Hyperlink"/>
            <w:rFonts w:eastAsiaTheme="majorEastAsia"/>
          </w:rPr>
          <w:t>https://doi.org/10.1123/jsm.2018-0032</w:t>
        </w:r>
      </w:hyperlink>
    </w:p>
    <w:p w14:paraId="1FF6FCE7" w14:textId="77777777" w:rsidR="00B16301" w:rsidRDefault="00B16301" w:rsidP="00B16301">
      <w:pPr>
        <w:pStyle w:val="NormalWeb"/>
        <w:rPr>
          <w:color w:val="000000"/>
        </w:rPr>
      </w:pPr>
      <w:r>
        <w:rPr>
          <w:color w:val="000000"/>
        </w:rPr>
        <w:t>Dosil, J. (2005)</w:t>
      </w:r>
      <w:r>
        <w:rPr>
          <w:rStyle w:val="apple-converted-space"/>
          <w:rFonts w:eastAsiaTheme="majorEastAsia"/>
          <w:color w:val="000000"/>
        </w:rPr>
        <w:t> </w:t>
      </w:r>
      <w:r>
        <w:rPr>
          <w:rStyle w:val="Emphasis"/>
          <w:rFonts w:eastAsiaTheme="majorEastAsia"/>
          <w:color w:val="000000"/>
        </w:rPr>
        <w:t>The Sport Psychologist’s Handbook</w:t>
      </w:r>
      <w:r>
        <w:rPr>
          <w:color w:val="000000"/>
        </w:rPr>
        <w:t>. Chichester: John Wiley &amp; Sons.</w:t>
      </w:r>
    </w:p>
    <w:p w14:paraId="6150DE5E" w14:textId="77777777" w:rsidR="00B16301" w:rsidRDefault="00B16301" w:rsidP="00B16301">
      <w:pPr>
        <w:pStyle w:val="NormalWeb"/>
        <w:rPr>
          <w:color w:val="000000"/>
        </w:rPr>
      </w:pPr>
      <w:r>
        <w:rPr>
          <w:color w:val="000000"/>
        </w:rPr>
        <w:t>Emmonds, S., et al. (2023) ‘Youth sport participation trends across Europe: Implications for policy and practice’,</w:t>
      </w:r>
      <w:r>
        <w:rPr>
          <w:rStyle w:val="apple-converted-space"/>
          <w:rFonts w:eastAsiaTheme="majorEastAsia"/>
          <w:color w:val="000000"/>
        </w:rPr>
        <w:t> </w:t>
      </w:r>
      <w:r>
        <w:rPr>
          <w:rStyle w:val="Emphasis"/>
          <w:rFonts w:eastAsiaTheme="majorEastAsia"/>
          <w:color w:val="000000"/>
        </w:rPr>
        <w:t>Research Quarterly for Exercise and Sport</w:t>
      </w:r>
      <w:r>
        <w:rPr>
          <w:color w:val="000000"/>
        </w:rPr>
        <w:t>, 95(1), pp. 1–12.</w:t>
      </w:r>
      <w:r>
        <w:rPr>
          <w:rStyle w:val="apple-converted-space"/>
          <w:rFonts w:eastAsiaTheme="majorEastAsia"/>
          <w:color w:val="000000"/>
        </w:rPr>
        <w:t> </w:t>
      </w:r>
      <w:hyperlink r:id="rId9" w:tgtFrame="_new" w:history="1">
        <w:r>
          <w:rPr>
            <w:rStyle w:val="Hyperlink"/>
            <w:rFonts w:eastAsiaTheme="majorEastAsia"/>
          </w:rPr>
          <w:t>https://doi.org/10.1080/02701367.2022.2148623</w:t>
        </w:r>
      </w:hyperlink>
    </w:p>
    <w:p w14:paraId="766F9BAE" w14:textId="77777777" w:rsidR="00B16301" w:rsidRDefault="00B16301" w:rsidP="00B16301">
      <w:pPr>
        <w:pStyle w:val="NormalWeb"/>
        <w:rPr>
          <w:color w:val="000000"/>
        </w:rPr>
      </w:pPr>
      <w:r>
        <w:rPr>
          <w:color w:val="000000"/>
        </w:rPr>
        <w:t>Ewing, L. (2025) ‘Study links poor childhood movement skills to rising ACL injuries in girls’,</w:t>
      </w:r>
      <w:r>
        <w:rPr>
          <w:rStyle w:val="apple-converted-space"/>
          <w:rFonts w:eastAsiaTheme="majorEastAsia"/>
          <w:color w:val="000000"/>
        </w:rPr>
        <w:t> </w:t>
      </w:r>
      <w:r>
        <w:rPr>
          <w:rStyle w:val="Emphasis"/>
          <w:rFonts w:eastAsiaTheme="majorEastAsia"/>
          <w:color w:val="000000"/>
        </w:rPr>
        <w:t>Reuters</w:t>
      </w:r>
      <w:r>
        <w:rPr>
          <w:color w:val="000000"/>
        </w:rPr>
        <w:t>, 31 October. Available at:</w:t>
      </w:r>
      <w:r>
        <w:rPr>
          <w:rStyle w:val="apple-converted-space"/>
          <w:rFonts w:eastAsiaTheme="majorEastAsia"/>
          <w:color w:val="000000"/>
        </w:rPr>
        <w:t> </w:t>
      </w:r>
      <w:hyperlink r:id="rId10" w:tgtFrame="_new" w:history="1">
        <w:r>
          <w:rPr>
            <w:rStyle w:val="Hyperlink"/>
            <w:rFonts w:eastAsiaTheme="majorEastAsia"/>
          </w:rPr>
          <w:t>https://www.reuters.com</w:t>
        </w:r>
      </w:hyperlink>
      <w:r>
        <w:rPr>
          <w:rStyle w:val="apple-converted-space"/>
          <w:rFonts w:eastAsiaTheme="majorEastAsia"/>
          <w:color w:val="000000"/>
        </w:rPr>
        <w:t> </w:t>
      </w:r>
      <w:r>
        <w:rPr>
          <w:color w:val="000000"/>
        </w:rPr>
        <w:t>(Accessed: 6 January 2026).</w:t>
      </w:r>
    </w:p>
    <w:p w14:paraId="32B452C1" w14:textId="77777777" w:rsidR="00B16301" w:rsidRDefault="00B16301" w:rsidP="00B16301">
      <w:pPr>
        <w:pStyle w:val="NormalWeb"/>
        <w:rPr>
          <w:color w:val="000000"/>
        </w:rPr>
      </w:pPr>
      <w:r>
        <w:rPr>
          <w:color w:val="000000"/>
        </w:rPr>
        <w:t>Ford, P., et al. (2011) ‘The long-term athlete development model: Physiological evidence and application’,</w:t>
      </w:r>
      <w:r>
        <w:rPr>
          <w:rStyle w:val="apple-converted-space"/>
          <w:rFonts w:eastAsiaTheme="majorEastAsia"/>
          <w:color w:val="000000"/>
        </w:rPr>
        <w:t> </w:t>
      </w:r>
      <w:r>
        <w:rPr>
          <w:rStyle w:val="Emphasis"/>
          <w:rFonts w:eastAsiaTheme="majorEastAsia"/>
          <w:color w:val="000000"/>
        </w:rPr>
        <w:t>Journal of Sports Sciences</w:t>
      </w:r>
      <w:r>
        <w:rPr>
          <w:color w:val="000000"/>
        </w:rPr>
        <w:t>, 29(4), pp. 389–402.</w:t>
      </w:r>
      <w:r>
        <w:rPr>
          <w:rStyle w:val="apple-converted-space"/>
          <w:rFonts w:eastAsiaTheme="majorEastAsia"/>
          <w:color w:val="000000"/>
        </w:rPr>
        <w:t> </w:t>
      </w:r>
      <w:hyperlink r:id="rId11" w:tgtFrame="_new" w:history="1">
        <w:r>
          <w:rPr>
            <w:rStyle w:val="Hyperlink"/>
            <w:rFonts w:eastAsiaTheme="majorEastAsia"/>
          </w:rPr>
          <w:t>https://doi.org/10.1080/02640414.2010.536849</w:t>
        </w:r>
      </w:hyperlink>
    </w:p>
    <w:p w14:paraId="4AD78935" w14:textId="77777777" w:rsidR="00B16301" w:rsidRDefault="00B16301" w:rsidP="00B16301">
      <w:pPr>
        <w:pStyle w:val="NormalWeb"/>
        <w:rPr>
          <w:color w:val="000000"/>
        </w:rPr>
      </w:pPr>
      <w:r>
        <w:rPr>
          <w:color w:val="000000"/>
        </w:rPr>
        <w:t>Gallant, F. and Bélanger, M. (2021) ‘Empirical support for the tenets of sport participation and physical activity-based models: A scoping review’,</w:t>
      </w:r>
      <w:r>
        <w:rPr>
          <w:rStyle w:val="apple-converted-space"/>
          <w:rFonts w:eastAsiaTheme="majorEastAsia"/>
          <w:color w:val="000000"/>
        </w:rPr>
        <w:t> </w:t>
      </w:r>
      <w:r>
        <w:rPr>
          <w:rStyle w:val="Emphasis"/>
          <w:rFonts w:eastAsiaTheme="majorEastAsia"/>
          <w:color w:val="000000"/>
        </w:rPr>
        <w:t>Frontiers in Sports and Active Living</w:t>
      </w:r>
      <w:r>
        <w:rPr>
          <w:color w:val="000000"/>
        </w:rPr>
        <w:t>, 3, 741495.</w:t>
      </w:r>
      <w:r>
        <w:rPr>
          <w:rStyle w:val="apple-converted-space"/>
          <w:rFonts w:eastAsiaTheme="majorEastAsia"/>
          <w:color w:val="000000"/>
        </w:rPr>
        <w:t> </w:t>
      </w:r>
      <w:hyperlink r:id="rId12" w:tgtFrame="_new" w:history="1">
        <w:r>
          <w:rPr>
            <w:rStyle w:val="Hyperlink"/>
            <w:rFonts w:eastAsiaTheme="majorEastAsia"/>
          </w:rPr>
          <w:t>https://doi.org/10.3389/fspor.2021.741495</w:t>
        </w:r>
      </w:hyperlink>
    </w:p>
    <w:p w14:paraId="49B7A0F4" w14:textId="77777777" w:rsidR="00B16301" w:rsidRDefault="00B16301" w:rsidP="00B16301">
      <w:pPr>
        <w:pStyle w:val="NormalWeb"/>
        <w:rPr>
          <w:color w:val="000000"/>
        </w:rPr>
      </w:pPr>
      <w:r>
        <w:rPr>
          <w:color w:val="000000"/>
        </w:rPr>
        <w:t>Gulbin, J.P., et al. (2013) ‘An integrated framework for the optimisation of sport and athlete development: A practitioner approach’,</w:t>
      </w:r>
      <w:r>
        <w:rPr>
          <w:rStyle w:val="apple-converted-space"/>
          <w:rFonts w:eastAsiaTheme="majorEastAsia"/>
          <w:color w:val="000000"/>
        </w:rPr>
        <w:t> </w:t>
      </w:r>
      <w:r>
        <w:rPr>
          <w:rStyle w:val="Emphasis"/>
          <w:rFonts w:eastAsiaTheme="majorEastAsia"/>
          <w:color w:val="000000"/>
        </w:rPr>
        <w:t>Journal of Sports Sciences</w:t>
      </w:r>
      <w:r>
        <w:rPr>
          <w:color w:val="000000"/>
        </w:rPr>
        <w:t>, 31(12), pp. 1319–1331.</w:t>
      </w:r>
    </w:p>
    <w:p w14:paraId="24A67D4B" w14:textId="77777777" w:rsidR="00B16301" w:rsidRDefault="00B16301" w:rsidP="00B16301">
      <w:pPr>
        <w:pStyle w:val="NormalWeb"/>
        <w:rPr>
          <w:color w:val="000000"/>
        </w:rPr>
      </w:pPr>
      <w:r>
        <w:rPr>
          <w:color w:val="000000"/>
        </w:rPr>
        <w:t>Harris, S. and Houlihan, B. (2015) ‘Competition or coalition? Evaluating the attitudes of national governing bodies of sport and county sport partnerships towards school sport partnerships’,</w:t>
      </w:r>
      <w:r>
        <w:rPr>
          <w:rStyle w:val="apple-converted-space"/>
          <w:rFonts w:eastAsiaTheme="majorEastAsia"/>
          <w:color w:val="000000"/>
        </w:rPr>
        <w:t> </w:t>
      </w:r>
      <w:r>
        <w:rPr>
          <w:rStyle w:val="Emphasis"/>
          <w:rFonts w:eastAsiaTheme="majorEastAsia"/>
          <w:color w:val="000000"/>
        </w:rPr>
        <w:t>International Journal of Sport Policy and Politics</w:t>
      </w:r>
      <w:r>
        <w:rPr>
          <w:color w:val="000000"/>
        </w:rPr>
        <w:t>, 8(1), pp. 151–171.</w:t>
      </w:r>
      <w:r>
        <w:rPr>
          <w:rStyle w:val="apple-converted-space"/>
          <w:rFonts w:eastAsiaTheme="majorEastAsia"/>
          <w:color w:val="000000"/>
        </w:rPr>
        <w:t> </w:t>
      </w:r>
      <w:hyperlink r:id="rId13" w:tgtFrame="_new" w:history="1">
        <w:r>
          <w:rPr>
            <w:rStyle w:val="Hyperlink"/>
            <w:rFonts w:eastAsiaTheme="majorEastAsia"/>
          </w:rPr>
          <w:t>https://doi.org/10.1080/19406940.2015.1024708</w:t>
        </w:r>
      </w:hyperlink>
    </w:p>
    <w:p w14:paraId="2221791E" w14:textId="77777777" w:rsidR="00B16301" w:rsidRDefault="00B16301" w:rsidP="00B16301">
      <w:pPr>
        <w:pStyle w:val="NormalWeb"/>
        <w:rPr>
          <w:color w:val="000000"/>
        </w:rPr>
      </w:pPr>
      <w:r>
        <w:rPr>
          <w:color w:val="000000"/>
        </w:rPr>
        <w:t>Jia, S., et al. (2019) ‘Using microarray analysis to identify genes and pathways that regulate fetal hemoglobin levels’,</w:t>
      </w:r>
      <w:r>
        <w:rPr>
          <w:rStyle w:val="apple-converted-space"/>
          <w:rFonts w:eastAsiaTheme="majorEastAsia"/>
          <w:color w:val="000000"/>
        </w:rPr>
        <w:t> </w:t>
      </w:r>
      <w:r>
        <w:rPr>
          <w:rStyle w:val="Emphasis"/>
          <w:rFonts w:eastAsiaTheme="majorEastAsia"/>
          <w:color w:val="000000"/>
        </w:rPr>
        <w:t>Annals of Human Genetics</w:t>
      </w:r>
      <w:r>
        <w:rPr>
          <w:color w:val="000000"/>
        </w:rPr>
        <w:t>, 84(1), pp. 29–36.</w:t>
      </w:r>
      <w:r>
        <w:rPr>
          <w:rStyle w:val="apple-converted-space"/>
          <w:rFonts w:eastAsiaTheme="majorEastAsia"/>
          <w:color w:val="000000"/>
        </w:rPr>
        <w:t> </w:t>
      </w:r>
      <w:hyperlink r:id="rId14" w:tgtFrame="_new" w:history="1">
        <w:r>
          <w:rPr>
            <w:rStyle w:val="Hyperlink"/>
            <w:rFonts w:eastAsiaTheme="majorEastAsia"/>
          </w:rPr>
          <w:t>https://doi.org/10.1111/ahg.12346</w:t>
        </w:r>
      </w:hyperlink>
    </w:p>
    <w:p w14:paraId="793049B0" w14:textId="77777777" w:rsidR="00B16301" w:rsidRDefault="00B16301" w:rsidP="00B16301">
      <w:pPr>
        <w:pStyle w:val="NormalWeb"/>
        <w:rPr>
          <w:color w:val="000000"/>
        </w:rPr>
      </w:pPr>
      <w:r>
        <w:rPr>
          <w:color w:val="000000"/>
        </w:rPr>
        <w:t>Kelly, A.L., et al. (2022) ‘A multidisciplinary investigation into the talent development processes at an English football academy: A machine learning approach’,</w:t>
      </w:r>
      <w:r>
        <w:rPr>
          <w:rStyle w:val="apple-converted-space"/>
          <w:rFonts w:eastAsiaTheme="majorEastAsia"/>
          <w:color w:val="000000"/>
        </w:rPr>
        <w:t> </w:t>
      </w:r>
      <w:r>
        <w:rPr>
          <w:rStyle w:val="Emphasis"/>
          <w:rFonts w:eastAsiaTheme="majorEastAsia"/>
          <w:color w:val="000000"/>
        </w:rPr>
        <w:t>Sports</w:t>
      </w:r>
      <w:r>
        <w:rPr>
          <w:color w:val="000000"/>
        </w:rPr>
        <w:t>, 10(10), 159.</w:t>
      </w:r>
      <w:r>
        <w:rPr>
          <w:rStyle w:val="apple-converted-space"/>
          <w:rFonts w:eastAsiaTheme="majorEastAsia"/>
          <w:color w:val="000000"/>
        </w:rPr>
        <w:t> </w:t>
      </w:r>
      <w:hyperlink r:id="rId15" w:tgtFrame="_new" w:history="1">
        <w:r>
          <w:rPr>
            <w:rStyle w:val="Hyperlink"/>
            <w:rFonts w:eastAsiaTheme="majorEastAsia"/>
          </w:rPr>
          <w:t>https://doi.org/10.3390/sports10100159</w:t>
        </w:r>
      </w:hyperlink>
    </w:p>
    <w:p w14:paraId="4C87E451" w14:textId="77777777" w:rsidR="00B16301" w:rsidRDefault="00B16301" w:rsidP="00B16301">
      <w:pPr>
        <w:pStyle w:val="NormalWeb"/>
        <w:rPr>
          <w:color w:val="000000"/>
        </w:rPr>
      </w:pPr>
      <w:r>
        <w:rPr>
          <w:color w:val="000000"/>
        </w:rPr>
        <w:t>King, M., et al. (2025) ‘Does team size affect Scottish male academy soccer player outcomes during age and maturity bio-banded small-sided games?’,</w:t>
      </w:r>
      <w:r>
        <w:rPr>
          <w:rStyle w:val="apple-converted-space"/>
          <w:rFonts w:eastAsiaTheme="majorEastAsia"/>
          <w:color w:val="000000"/>
        </w:rPr>
        <w:t> </w:t>
      </w:r>
      <w:r>
        <w:rPr>
          <w:rStyle w:val="Emphasis"/>
          <w:rFonts w:eastAsiaTheme="majorEastAsia"/>
          <w:color w:val="000000"/>
        </w:rPr>
        <w:t>Journal of Sports Sciences</w:t>
      </w:r>
      <w:r>
        <w:rPr>
          <w:color w:val="000000"/>
        </w:rPr>
        <w:t>, pp. 1–11.</w:t>
      </w:r>
      <w:r>
        <w:rPr>
          <w:rStyle w:val="apple-converted-space"/>
          <w:rFonts w:eastAsiaTheme="majorEastAsia"/>
          <w:color w:val="000000"/>
        </w:rPr>
        <w:t> </w:t>
      </w:r>
      <w:hyperlink r:id="rId16" w:tgtFrame="_new" w:history="1">
        <w:r>
          <w:rPr>
            <w:rStyle w:val="Hyperlink"/>
            <w:rFonts w:eastAsiaTheme="majorEastAsia"/>
          </w:rPr>
          <w:t>https://doi.org/10.1080/02640414.2025.2456408</w:t>
        </w:r>
      </w:hyperlink>
    </w:p>
    <w:p w14:paraId="144EC92D" w14:textId="77777777" w:rsidR="00B16301" w:rsidRDefault="00B16301" w:rsidP="00B16301">
      <w:pPr>
        <w:pStyle w:val="NormalWeb"/>
        <w:rPr>
          <w:color w:val="000000"/>
        </w:rPr>
      </w:pPr>
      <w:r>
        <w:rPr>
          <w:color w:val="000000"/>
        </w:rPr>
        <w:t>Konjer, M., et al. (2022) ‘International sport governing bodies as agents of diffusion: The case of World Athletics’,</w:t>
      </w:r>
      <w:r>
        <w:rPr>
          <w:rStyle w:val="apple-converted-space"/>
          <w:rFonts w:eastAsiaTheme="majorEastAsia"/>
          <w:color w:val="000000"/>
        </w:rPr>
        <w:t> </w:t>
      </w:r>
      <w:r>
        <w:rPr>
          <w:rStyle w:val="Emphasis"/>
          <w:rFonts w:eastAsiaTheme="majorEastAsia"/>
          <w:color w:val="000000"/>
        </w:rPr>
        <w:t>Frontiers in Sports and Active Living</w:t>
      </w:r>
      <w:r>
        <w:rPr>
          <w:color w:val="000000"/>
        </w:rPr>
        <w:t>, 4, 1025023.</w:t>
      </w:r>
      <w:r>
        <w:rPr>
          <w:rStyle w:val="apple-converted-space"/>
          <w:rFonts w:eastAsiaTheme="majorEastAsia"/>
          <w:color w:val="000000"/>
        </w:rPr>
        <w:t> </w:t>
      </w:r>
      <w:hyperlink r:id="rId17" w:tgtFrame="_new" w:history="1">
        <w:r>
          <w:rPr>
            <w:rStyle w:val="Hyperlink"/>
            <w:rFonts w:eastAsiaTheme="majorEastAsia"/>
          </w:rPr>
          <w:t>https://doi.org/10.3389/fspor.2022.1025023</w:t>
        </w:r>
      </w:hyperlink>
    </w:p>
    <w:p w14:paraId="2D887D58" w14:textId="77777777" w:rsidR="00B16301" w:rsidRDefault="00B16301" w:rsidP="00B16301">
      <w:pPr>
        <w:pStyle w:val="NormalWeb"/>
        <w:rPr>
          <w:color w:val="000000"/>
        </w:rPr>
      </w:pPr>
      <w:r>
        <w:rPr>
          <w:color w:val="000000"/>
        </w:rPr>
        <w:t>Light, R. (2008) ‘Complex learning theory—its epistemology and its assumptions about learning: Implications for physical education’,</w:t>
      </w:r>
      <w:r>
        <w:rPr>
          <w:rStyle w:val="apple-converted-space"/>
          <w:rFonts w:eastAsiaTheme="majorEastAsia"/>
          <w:color w:val="000000"/>
        </w:rPr>
        <w:t> </w:t>
      </w:r>
      <w:r>
        <w:rPr>
          <w:rStyle w:val="Emphasis"/>
          <w:rFonts w:eastAsiaTheme="majorEastAsia"/>
          <w:color w:val="000000"/>
        </w:rPr>
        <w:t>Journal of Teaching in Physical Education</w:t>
      </w:r>
      <w:r>
        <w:rPr>
          <w:color w:val="000000"/>
        </w:rPr>
        <w:t>, 27(1), pp. 21–37.</w:t>
      </w:r>
    </w:p>
    <w:p w14:paraId="683D6312" w14:textId="77777777" w:rsidR="00B16301" w:rsidRDefault="00B16301" w:rsidP="00B16301">
      <w:pPr>
        <w:pStyle w:val="NormalWeb"/>
        <w:rPr>
          <w:color w:val="000000"/>
        </w:rPr>
      </w:pPr>
      <w:r>
        <w:rPr>
          <w:color w:val="000000"/>
        </w:rPr>
        <w:lastRenderedPageBreak/>
        <w:t>Light, R.L., et al. (2012) ‘Improving “at-action” decision-making in team sports through a holistic coaching approach’,</w:t>
      </w:r>
      <w:r>
        <w:rPr>
          <w:rStyle w:val="apple-converted-space"/>
          <w:rFonts w:eastAsiaTheme="majorEastAsia"/>
          <w:color w:val="000000"/>
        </w:rPr>
        <w:t> </w:t>
      </w:r>
      <w:r>
        <w:rPr>
          <w:rStyle w:val="Emphasis"/>
          <w:rFonts w:eastAsiaTheme="majorEastAsia"/>
          <w:color w:val="000000"/>
        </w:rPr>
        <w:t>Sport, Education and Society</w:t>
      </w:r>
      <w:r>
        <w:rPr>
          <w:color w:val="000000"/>
        </w:rPr>
        <w:t>, 19(3), pp. 258–275.</w:t>
      </w:r>
      <w:r>
        <w:rPr>
          <w:rStyle w:val="apple-converted-space"/>
          <w:rFonts w:eastAsiaTheme="majorEastAsia"/>
          <w:color w:val="000000"/>
        </w:rPr>
        <w:t> </w:t>
      </w:r>
      <w:hyperlink r:id="rId18" w:tgtFrame="_new" w:history="1">
        <w:r>
          <w:rPr>
            <w:rStyle w:val="Hyperlink"/>
            <w:rFonts w:eastAsiaTheme="majorEastAsia"/>
          </w:rPr>
          <w:t>https://doi.org/10.1080/13573322.2012.665803</w:t>
        </w:r>
      </w:hyperlink>
    </w:p>
    <w:p w14:paraId="160E9C08" w14:textId="77777777" w:rsidR="00B16301" w:rsidRDefault="00B16301" w:rsidP="00B16301">
      <w:pPr>
        <w:pStyle w:val="NormalWeb"/>
        <w:rPr>
          <w:color w:val="000000"/>
        </w:rPr>
      </w:pPr>
      <w:r>
        <w:rPr>
          <w:color w:val="000000"/>
        </w:rPr>
        <w:t>Nelson, L.J., Cushion, C.J. and Potrac, P. (2006) ‘Formal, nonformal and informal coach learning: A holistic conceptualisation’,</w:t>
      </w:r>
      <w:r>
        <w:rPr>
          <w:rStyle w:val="apple-converted-space"/>
          <w:rFonts w:eastAsiaTheme="majorEastAsia"/>
          <w:color w:val="000000"/>
        </w:rPr>
        <w:t> </w:t>
      </w:r>
      <w:r>
        <w:rPr>
          <w:rStyle w:val="Emphasis"/>
          <w:rFonts w:eastAsiaTheme="majorEastAsia"/>
          <w:color w:val="000000"/>
        </w:rPr>
        <w:t>International Journal of Sports Science &amp; Coaching</w:t>
      </w:r>
      <w:r>
        <w:rPr>
          <w:color w:val="000000"/>
        </w:rPr>
        <w:t>, 1(3), pp. 247–259.</w:t>
      </w:r>
      <w:r>
        <w:rPr>
          <w:rStyle w:val="apple-converted-space"/>
          <w:rFonts w:eastAsiaTheme="majorEastAsia"/>
          <w:color w:val="000000"/>
        </w:rPr>
        <w:t> </w:t>
      </w:r>
      <w:hyperlink r:id="rId19" w:tgtFrame="_new" w:history="1">
        <w:r>
          <w:rPr>
            <w:rStyle w:val="Hyperlink"/>
            <w:rFonts w:eastAsiaTheme="majorEastAsia"/>
          </w:rPr>
          <w:t>https://doi.org/10.1260/174795406778604627</w:t>
        </w:r>
      </w:hyperlink>
    </w:p>
    <w:p w14:paraId="4984A75D" w14:textId="77777777" w:rsidR="00B16301" w:rsidRDefault="00B16301" w:rsidP="00B16301">
      <w:pPr>
        <w:pStyle w:val="NormalWeb"/>
        <w:rPr>
          <w:color w:val="000000"/>
        </w:rPr>
      </w:pPr>
      <w:r>
        <w:rPr>
          <w:color w:val="000000"/>
        </w:rPr>
        <w:t>Pandya, N.K. (2021) ‘Disparities in youth sports and barriers to participation’,</w:t>
      </w:r>
      <w:r>
        <w:rPr>
          <w:rStyle w:val="apple-converted-space"/>
          <w:rFonts w:eastAsiaTheme="majorEastAsia"/>
          <w:color w:val="000000"/>
        </w:rPr>
        <w:t> </w:t>
      </w:r>
      <w:r>
        <w:rPr>
          <w:rStyle w:val="Emphasis"/>
          <w:rFonts w:eastAsiaTheme="majorEastAsia"/>
          <w:color w:val="000000"/>
        </w:rPr>
        <w:t>Current Reviews in Musculoskeletal Medicine</w:t>
      </w:r>
      <w:r>
        <w:rPr>
          <w:color w:val="000000"/>
        </w:rPr>
        <w:t>, 14(1).</w:t>
      </w:r>
      <w:r>
        <w:rPr>
          <w:rStyle w:val="apple-converted-space"/>
          <w:rFonts w:eastAsiaTheme="majorEastAsia"/>
          <w:color w:val="000000"/>
        </w:rPr>
        <w:t> </w:t>
      </w:r>
      <w:hyperlink r:id="rId20" w:tgtFrame="_new" w:history="1">
        <w:r>
          <w:rPr>
            <w:rStyle w:val="Hyperlink"/>
            <w:rFonts w:eastAsiaTheme="majorEastAsia"/>
          </w:rPr>
          <w:t>https://doi.org/10.1007/s12178-021-09716-5</w:t>
        </w:r>
      </w:hyperlink>
    </w:p>
    <w:p w14:paraId="01156711" w14:textId="77777777" w:rsidR="00B16301" w:rsidRDefault="00B16301" w:rsidP="00B16301">
      <w:pPr>
        <w:pStyle w:val="NormalWeb"/>
        <w:rPr>
          <w:color w:val="000000"/>
        </w:rPr>
      </w:pPr>
      <w:r>
        <w:rPr>
          <w:color w:val="000000"/>
        </w:rPr>
        <w:t>Pichardo, A.W., et al. (2018) ‘Integrating models of long-term athletic development to maximize the physical development of youth’,</w:t>
      </w:r>
      <w:r>
        <w:rPr>
          <w:rStyle w:val="apple-converted-space"/>
          <w:rFonts w:eastAsiaTheme="majorEastAsia"/>
          <w:color w:val="000000"/>
        </w:rPr>
        <w:t> </w:t>
      </w:r>
      <w:r>
        <w:rPr>
          <w:rStyle w:val="Emphasis"/>
          <w:rFonts w:eastAsiaTheme="majorEastAsia"/>
          <w:color w:val="000000"/>
        </w:rPr>
        <w:t>International Journal of Sports Science &amp; Coaching</w:t>
      </w:r>
      <w:r>
        <w:rPr>
          <w:color w:val="000000"/>
        </w:rPr>
        <w:t>, 13(6), pp. 1189–1199.</w:t>
      </w:r>
      <w:r>
        <w:rPr>
          <w:rStyle w:val="apple-converted-space"/>
          <w:rFonts w:eastAsiaTheme="majorEastAsia"/>
          <w:color w:val="000000"/>
        </w:rPr>
        <w:t> </w:t>
      </w:r>
      <w:hyperlink r:id="rId21" w:tgtFrame="_new" w:history="1">
        <w:r>
          <w:rPr>
            <w:rStyle w:val="Hyperlink"/>
            <w:rFonts w:eastAsiaTheme="majorEastAsia"/>
          </w:rPr>
          <w:t>https://doi.org/10.1177/1747954118785503</w:t>
        </w:r>
      </w:hyperlink>
    </w:p>
    <w:p w14:paraId="2D1FA735" w14:textId="77777777" w:rsidR="00B16301" w:rsidRDefault="00B16301" w:rsidP="00B16301">
      <w:pPr>
        <w:pStyle w:val="NormalWeb"/>
        <w:rPr>
          <w:color w:val="000000"/>
        </w:rPr>
      </w:pPr>
      <w:r>
        <w:rPr>
          <w:color w:val="000000"/>
        </w:rPr>
        <w:t>Ratten, V. (2020) ‘Sport technology: A commentary’,</w:t>
      </w:r>
      <w:r>
        <w:rPr>
          <w:rStyle w:val="apple-converted-space"/>
          <w:rFonts w:eastAsiaTheme="majorEastAsia"/>
          <w:color w:val="000000"/>
        </w:rPr>
        <w:t> </w:t>
      </w:r>
      <w:r>
        <w:rPr>
          <w:rStyle w:val="Emphasis"/>
          <w:rFonts w:eastAsiaTheme="majorEastAsia"/>
          <w:color w:val="000000"/>
        </w:rPr>
        <w:t>Journal of High Technology Management Research</w:t>
      </w:r>
      <w:r>
        <w:rPr>
          <w:color w:val="000000"/>
        </w:rPr>
        <w:t>, 31(1), 100383.</w:t>
      </w:r>
      <w:r>
        <w:rPr>
          <w:rStyle w:val="apple-converted-space"/>
          <w:rFonts w:eastAsiaTheme="majorEastAsia"/>
          <w:color w:val="000000"/>
        </w:rPr>
        <w:t> </w:t>
      </w:r>
      <w:hyperlink r:id="rId22" w:tgtFrame="_new" w:history="1">
        <w:r>
          <w:rPr>
            <w:rStyle w:val="Hyperlink"/>
            <w:rFonts w:eastAsiaTheme="majorEastAsia"/>
          </w:rPr>
          <w:t>https://doi.org/10.1016/j.hitech.2020.100383</w:t>
        </w:r>
      </w:hyperlink>
    </w:p>
    <w:p w14:paraId="325E604B" w14:textId="77777777" w:rsidR="00B16301" w:rsidRDefault="00B16301" w:rsidP="00B16301">
      <w:pPr>
        <w:pStyle w:val="NormalWeb"/>
        <w:rPr>
          <w:color w:val="000000"/>
        </w:rPr>
      </w:pPr>
      <w:r>
        <w:rPr>
          <w:color w:val="000000"/>
        </w:rPr>
        <w:t>Romann, M., et al. (2020) ‘Bio-banding in junior soccer players: A pilot study’,</w:t>
      </w:r>
      <w:r>
        <w:rPr>
          <w:rStyle w:val="apple-converted-space"/>
          <w:rFonts w:eastAsiaTheme="majorEastAsia"/>
          <w:color w:val="000000"/>
        </w:rPr>
        <w:t> </w:t>
      </w:r>
      <w:r>
        <w:rPr>
          <w:rStyle w:val="Emphasis"/>
          <w:rFonts w:eastAsiaTheme="majorEastAsia"/>
          <w:color w:val="000000"/>
        </w:rPr>
        <w:t>BMC Research Notes</w:t>
      </w:r>
      <w:r>
        <w:rPr>
          <w:color w:val="000000"/>
        </w:rPr>
        <w:t>, 13(1).</w:t>
      </w:r>
      <w:r>
        <w:rPr>
          <w:rStyle w:val="apple-converted-space"/>
          <w:rFonts w:eastAsiaTheme="majorEastAsia"/>
          <w:color w:val="000000"/>
        </w:rPr>
        <w:t> </w:t>
      </w:r>
      <w:hyperlink r:id="rId23" w:tgtFrame="_new" w:history="1">
        <w:r>
          <w:rPr>
            <w:rStyle w:val="Hyperlink"/>
            <w:rFonts w:eastAsiaTheme="majorEastAsia"/>
          </w:rPr>
          <w:t>https://doi.org/10.1186/s13104-020-05083-5</w:t>
        </w:r>
      </w:hyperlink>
    </w:p>
    <w:p w14:paraId="69A0D986" w14:textId="77777777" w:rsidR="00B16301" w:rsidRDefault="00B16301" w:rsidP="00B16301">
      <w:pPr>
        <w:pStyle w:val="NormalWeb"/>
        <w:rPr>
          <w:color w:val="000000"/>
        </w:rPr>
      </w:pPr>
      <w:r>
        <w:rPr>
          <w:color w:val="000000"/>
        </w:rPr>
        <w:t>Selimi, E., et al. (2023) ‘Exploring football coaches’ views on coach education, role, and practice design: An Australian perspective’,</w:t>
      </w:r>
      <w:r>
        <w:rPr>
          <w:rStyle w:val="apple-converted-space"/>
          <w:rFonts w:eastAsiaTheme="majorEastAsia"/>
          <w:color w:val="000000"/>
        </w:rPr>
        <w:t> </w:t>
      </w:r>
      <w:r>
        <w:rPr>
          <w:rStyle w:val="Emphasis"/>
          <w:rFonts w:eastAsiaTheme="majorEastAsia"/>
          <w:color w:val="000000"/>
        </w:rPr>
        <w:t>PLOS ONE</w:t>
      </w:r>
      <w:r>
        <w:rPr>
          <w:color w:val="000000"/>
        </w:rPr>
        <w:t>, 18(5), e0285871.</w:t>
      </w:r>
      <w:r>
        <w:rPr>
          <w:rStyle w:val="apple-converted-space"/>
          <w:rFonts w:eastAsiaTheme="majorEastAsia"/>
          <w:color w:val="000000"/>
        </w:rPr>
        <w:t> </w:t>
      </w:r>
      <w:hyperlink r:id="rId24" w:tgtFrame="_new" w:history="1">
        <w:r>
          <w:rPr>
            <w:rStyle w:val="Hyperlink"/>
            <w:rFonts w:eastAsiaTheme="majorEastAsia"/>
          </w:rPr>
          <w:t>https://doi.org/10.1371/journal.pone.0285871</w:t>
        </w:r>
      </w:hyperlink>
    </w:p>
    <w:p w14:paraId="5AC5DBAF" w14:textId="77777777" w:rsidR="00B16301" w:rsidRDefault="00B16301" w:rsidP="00B16301">
      <w:pPr>
        <w:pStyle w:val="NormalWeb"/>
        <w:rPr>
          <w:color w:val="000000"/>
        </w:rPr>
      </w:pPr>
      <w:r>
        <w:rPr>
          <w:color w:val="000000"/>
        </w:rPr>
        <w:t>Shahidi, S.H., et al. (2024) ‘Maturation and bio-banding in youth soccer players’,</w:t>
      </w:r>
      <w:r>
        <w:rPr>
          <w:rStyle w:val="apple-converted-space"/>
          <w:rFonts w:eastAsiaTheme="majorEastAsia"/>
          <w:color w:val="000000"/>
        </w:rPr>
        <w:t> </w:t>
      </w:r>
      <w:r>
        <w:rPr>
          <w:rStyle w:val="Emphasis"/>
          <w:rFonts w:eastAsiaTheme="majorEastAsia"/>
          <w:color w:val="000000"/>
        </w:rPr>
        <w:t>International Journal of Strength and Conditioning</w:t>
      </w:r>
      <w:r>
        <w:rPr>
          <w:color w:val="000000"/>
        </w:rPr>
        <w:t>, 4(1).</w:t>
      </w:r>
      <w:r>
        <w:rPr>
          <w:rStyle w:val="apple-converted-space"/>
          <w:rFonts w:eastAsiaTheme="majorEastAsia"/>
          <w:color w:val="000000"/>
        </w:rPr>
        <w:t> </w:t>
      </w:r>
      <w:hyperlink r:id="rId25" w:tgtFrame="_new" w:history="1">
        <w:r>
          <w:rPr>
            <w:rStyle w:val="Hyperlink"/>
            <w:rFonts w:eastAsiaTheme="majorEastAsia"/>
          </w:rPr>
          <w:t>https://doi.org/10.47206/ijsc.v4i1.302</w:t>
        </w:r>
      </w:hyperlink>
    </w:p>
    <w:p w14:paraId="73899D51" w14:textId="77777777" w:rsidR="00B16301" w:rsidRDefault="00B16301" w:rsidP="00B16301">
      <w:pPr>
        <w:pStyle w:val="NormalWeb"/>
        <w:rPr>
          <w:color w:val="000000"/>
        </w:rPr>
      </w:pPr>
      <w:r>
        <w:rPr>
          <w:color w:val="000000"/>
        </w:rPr>
        <w:t>Söker, N., et al. (2025) ‘Long-term athlete development in schools: A systematic review’,</w:t>
      </w:r>
      <w:r>
        <w:rPr>
          <w:rStyle w:val="apple-converted-space"/>
          <w:rFonts w:eastAsiaTheme="majorEastAsia"/>
          <w:color w:val="000000"/>
        </w:rPr>
        <w:t> </w:t>
      </w:r>
      <w:r>
        <w:rPr>
          <w:rStyle w:val="Emphasis"/>
          <w:rFonts w:eastAsiaTheme="majorEastAsia"/>
          <w:color w:val="000000"/>
        </w:rPr>
        <w:t>Frontiers in Sports and Active Living</w:t>
      </w:r>
      <w:r>
        <w:rPr>
          <w:color w:val="000000"/>
        </w:rPr>
        <w:t>, 7, 1706060.</w:t>
      </w:r>
      <w:r>
        <w:rPr>
          <w:rStyle w:val="apple-converted-space"/>
          <w:rFonts w:eastAsiaTheme="majorEastAsia"/>
          <w:color w:val="000000"/>
        </w:rPr>
        <w:t> </w:t>
      </w:r>
      <w:hyperlink r:id="rId26" w:tgtFrame="_new" w:history="1">
        <w:r>
          <w:rPr>
            <w:rStyle w:val="Hyperlink"/>
            <w:rFonts w:eastAsiaTheme="majorEastAsia"/>
          </w:rPr>
          <w:t>https://doi.org/10.3389/fspor.2025.1706060</w:t>
        </w:r>
      </w:hyperlink>
    </w:p>
    <w:p w14:paraId="016516FA" w14:textId="77777777" w:rsidR="00B16301" w:rsidRDefault="00B16301" w:rsidP="00B16301">
      <w:pPr>
        <w:pStyle w:val="NormalWeb"/>
        <w:rPr>
          <w:color w:val="000000"/>
        </w:rPr>
      </w:pPr>
      <w:r>
        <w:rPr>
          <w:color w:val="000000"/>
        </w:rPr>
        <w:t>Tears, C., et al. (2018) ‘The elite player performance plan: Injury characteristics in a Premier League academy’,</w:t>
      </w:r>
      <w:r>
        <w:rPr>
          <w:rStyle w:val="apple-converted-space"/>
          <w:rFonts w:eastAsiaTheme="majorEastAsia"/>
          <w:color w:val="000000"/>
        </w:rPr>
        <w:t> </w:t>
      </w:r>
      <w:r>
        <w:rPr>
          <w:rStyle w:val="Emphasis"/>
          <w:rFonts w:eastAsiaTheme="majorEastAsia"/>
          <w:color w:val="000000"/>
        </w:rPr>
        <w:t>Journal of Sports Sciences</w:t>
      </w:r>
      <w:r>
        <w:rPr>
          <w:color w:val="000000"/>
        </w:rPr>
        <w:t>, 36(19), pp. 2181–2188.</w:t>
      </w:r>
      <w:r>
        <w:rPr>
          <w:rStyle w:val="apple-converted-space"/>
          <w:rFonts w:eastAsiaTheme="majorEastAsia"/>
          <w:color w:val="000000"/>
        </w:rPr>
        <w:t> </w:t>
      </w:r>
      <w:hyperlink r:id="rId27" w:tgtFrame="_new" w:history="1">
        <w:r>
          <w:rPr>
            <w:rStyle w:val="Hyperlink"/>
            <w:rFonts w:eastAsiaTheme="majorEastAsia"/>
          </w:rPr>
          <w:t>https://doi.org/10.1080/02640414.2018.1443746</w:t>
        </w:r>
      </w:hyperlink>
    </w:p>
    <w:p w14:paraId="1E2F338A" w14:textId="77777777" w:rsidR="00B16301" w:rsidRDefault="00B16301" w:rsidP="00B16301">
      <w:pPr>
        <w:pStyle w:val="NormalWeb"/>
        <w:rPr>
          <w:color w:val="000000"/>
        </w:rPr>
      </w:pPr>
      <w:r>
        <w:rPr>
          <w:color w:val="000000"/>
        </w:rPr>
        <w:t>Towlson, C., et al. (2021) ‘The effect of bio-banding on academy soccer player passing networks’,</w:t>
      </w:r>
      <w:r>
        <w:rPr>
          <w:rStyle w:val="apple-converted-space"/>
          <w:rFonts w:eastAsiaTheme="majorEastAsia"/>
          <w:color w:val="000000"/>
        </w:rPr>
        <w:t> </w:t>
      </w:r>
      <w:r>
        <w:rPr>
          <w:rStyle w:val="Emphasis"/>
          <w:rFonts w:eastAsiaTheme="majorEastAsia"/>
          <w:color w:val="000000"/>
        </w:rPr>
        <w:t>PLOS ONE</w:t>
      </w:r>
      <w:r>
        <w:rPr>
          <w:color w:val="000000"/>
        </w:rPr>
        <w:t>, 16(12), e0260867.</w:t>
      </w:r>
      <w:r>
        <w:rPr>
          <w:rStyle w:val="apple-converted-space"/>
          <w:rFonts w:eastAsiaTheme="majorEastAsia"/>
          <w:color w:val="000000"/>
        </w:rPr>
        <w:t> </w:t>
      </w:r>
      <w:hyperlink r:id="rId28" w:tgtFrame="_new" w:history="1">
        <w:r>
          <w:rPr>
            <w:rStyle w:val="Hyperlink"/>
            <w:rFonts w:eastAsiaTheme="majorEastAsia"/>
          </w:rPr>
          <w:t>https://doi.org/10.1371/journal.pone.0260867</w:t>
        </w:r>
      </w:hyperlink>
    </w:p>
    <w:p w14:paraId="13D8E9E3" w14:textId="77777777" w:rsidR="00B16301" w:rsidRDefault="00B16301" w:rsidP="00B16301">
      <w:pPr>
        <w:pStyle w:val="NormalWeb"/>
        <w:rPr>
          <w:color w:val="000000"/>
        </w:rPr>
      </w:pPr>
      <w:r>
        <w:rPr>
          <w:color w:val="000000"/>
        </w:rPr>
        <w:t>United Nations Environment Programme (2022)</w:t>
      </w:r>
      <w:r>
        <w:rPr>
          <w:rStyle w:val="apple-converted-space"/>
          <w:rFonts w:eastAsiaTheme="majorEastAsia"/>
          <w:color w:val="000000"/>
        </w:rPr>
        <w:t> </w:t>
      </w:r>
      <w:r>
        <w:rPr>
          <w:rStyle w:val="Emphasis"/>
          <w:rFonts w:eastAsiaTheme="majorEastAsia"/>
          <w:color w:val="000000"/>
        </w:rPr>
        <w:t>Marine litter: An analytical overview</w:t>
      </w:r>
      <w:r>
        <w:rPr>
          <w:color w:val="000000"/>
        </w:rPr>
        <w:t>. Nairobi: UNEP.</w:t>
      </w:r>
    </w:p>
    <w:p w14:paraId="039163A7" w14:textId="77777777" w:rsidR="00B16301" w:rsidRDefault="00B16301" w:rsidP="00B16301">
      <w:pPr>
        <w:pStyle w:val="NormalWeb"/>
        <w:rPr>
          <w:color w:val="000000"/>
        </w:rPr>
      </w:pPr>
      <w:r>
        <w:rPr>
          <w:color w:val="000000"/>
        </w:rPr>
        <w:t>Walton, J., et al. (2024) ‘A systematic review of coach developers’ professional learning’,</w:t>
      </w:r>
      <w:r>
        <w:rPr>
          <w:rStyle w:val="apple-converted-space"/>
          <w:rFonts w:eastAsiaTheme="majorEastAsia"/>
          <w:color w:val="000000"/>
        </w:rPr>
        <w:t> </w:t>
      </w:r>
      <w:r>
        <w:rPr>
          <w:rStyle w:val="Emphasis"/>
          <w:rFonts w:eastAsiaTheme="majorEastAsia"/>
          <w:color w:val="000000"/>
        </w:rPr>
        <w:t>Sports Coaching Review</w:t>
      </w:r>
      <w:r>
        <w:rPr>
          <w:color w:val="000000"/>
        </w:rPr>
        <w:t>, pp. 1–26.</w:t>
      </w:r>
      <w:r>
        <w:rPr>
          <w:rStyle w:val="apple-converted-space"/>
          <w:rFonts w:eastAsiaTheme="majorEastAsia"/>
          <w:color w:val="000000"/>
        </w:rPr>
        <w:t> </w:t>
      </w:r>
      <w:hyperlink r:id="rId29" w:tgtFrame="_new" w:history="1">
        <w:r>
          <w:rPr>
            <w:rStyle w:val="Hyperlink"/>
            <w:rFonts w:eastAsiaTheme="majorEastAsia"/>
          </w:rPr>
          <w:t>https://doi.org/10.1080/21640629.2024.2429271</w:t>
        </w:r>
      </w:hyperlink>
    </w:p>
    <w:p w14:paraId="7BA89FA5" w14:textId="77777777" w:rsidR="00B16301" w:rsidRDefault="00B16301" w:rsidP="00B16301">
      <w:pPr>
        <w:pStyle w:val="NormalWeb"/>
        <w:rPr>
          <w:color w:val="000000"/>
        </w:rPr>
      </w:pPr>
      <w:r>
        <w:rPr>
          <w:color w:val="000000"/>
        </w:rPr>
        <w:t>Williams, A.M. and Ford, P.R. (2008) ‘Expertise and expert performance in sport’,</w:t>
      </w:r>
      <w:r>
        <w:rPr>
          <w:rStyle w:val="apple-converted-space"/>
          <w:rFonts w:eastAsiaTheme="majorEastAsia"/>
          <w:color w:val="000000"/>
        </w:rPr>
        <w:t> </w:t>
      </w:r>
      <w:r>
        <w:rPr>
          <w:rStyle w:val="Emphasis"/>
          <w:rFonts w:eastAsiaTheme="majorEastAsia"/>
          <w:color w:val="000000"/>
        </w:rPr>
        <w:t>International Review of Sport and Exercise Psychology</w:t>
      </w:r>
      <w:r>
        <w:rPr>
          <w:color w:val="000000"/>
        </w:rPr>
        <w:t>, 1(1), pp. 4–18.</w:t>
      </w:r>
      <w:r>
        <w:rPr>
          <w:rStyle w:val="apple-converted-space"/>
          <w:rFonts w:eastAsiaTheme="majorEastAsia"/>
          <w:color w:val="000000"/>
        </w:rPr>
        <w:t> </w:t>
      </w:r>
      <w:hyperlink r:id="rId30" w:tgtFrame="_new" w:history="1">
        <w:r>
          <w:rPr>
            <w:rStyle w:val="Hyperlink"/>
            <w:rFonts w:eastAsiaTheme="majorEastAsia"/>
          </w:rPr>
          <w:t>https://doi.org/10.1080/17509840701836867</w:t>
        </w:r>
      </w:hyperlink>
    </w:p>
    <w:p w14:paraId="0F017850" w14:textId="77777777" w:rsidR="00B16301" w:rsidRDefault="00B16301" w:rsidP="00B16301">
      <w:pPr>
        <w:pStyle w:val="NormalWeb"/>
        <w:rPr>
          <w:color w:val="000000"/>
        </w:rPr>
      </w:pPr>
      <w:r>
        <w:rPr>
          <w:color w:val="000000"/>
        </w:rPr>
        <w:lastRenderedPageBreak/>
        <w:t>Williams, A.M. and Hodges, N.J. (2005) ‘Practice, instruction and skill acquisition in soccer’,</w:t>
      </w:r>
      <w:r>
        <w:rPr>
          <w:rStyle w:val="apple-converted-space"/>
          <w:rFonts w:eastAsiaTheme="majorEastAsia"/>
          <w:color w:val="000000"/>
        </w:rPr>
        <w:t> </w:t>
      </w:r>
      <w:r>
        <w:rPr>
          <w:rStyle w:val="Emphasis"/>
          <w:rFonts w:eastAsiaTheme="majorEastAsia"/>
          <w:color w:val="000000"/>
        </w:rPr>
        <w:t>Journal of Sports Sciences</w:t>
      </w:r>
      <w:r>
        <w:rPr>
          <w:color w:val="000000"/>
        </w:rPr>
        <w:t>, 23(6), pp. 637–650.</w:t>
      </w:r>
      <w:r>
        <w:rPr>
          <w:rStyle w:val="apple-converted-space"/>
          <w:rFonts w:eastAsiaTheme="majorEastAsia"/>
          <w:color w:val="000000"/>
        </w:rPr>
        <w:t> </w:t>
      </w:r>
      <w:hyperlink r:id="rId31" w:tgtFrame="_new" w:history="1">
        <w:r>
          <w:rPr>
            <w:rStyle w:val="Hyperlink"/>
            <w:rFonts w:eastAsiaTheme="majorEastAsia"/>
          </w:rPr>
          <w:t>https://doi.org/10.1080/02640410400021328</w:t>
        </w:r>
      </w:hyperlink>
    </w:p>
    <w:p w14:paraId="46715E6B" w14:textId="77777777" w:rsidR="00B16301" w:rsidRDefault="00B16301" w:rsidP="00B16301">
      <w:pPr>
        <w:pStyle w:val="NormalWeb"/>
        <w:rPr>
          <w:color w:val="000000"/>
        </w:rPr>
      </w:pPr>
      <w:r>
        <w:rPr>
          <w:color w:val="000000"/>
        </w:rPr>
        <w:t>Williams, A.M. and Reilly, T. (2000) ‘Talent identification and development in soccer’,</w:t>
      </w:r>
      <w:r>
        <w:rPr>
          <w:rStyle w:val="apple-converted-space"/>
          <w:rFonts w:eastAsiaTheme="majorEastAsia"/>
          <w:color w:val="000000"/>
        </w:rPr>
        <w:t> </w:t>
      </w:r>
      <w:r>
        <w:rPr>
          <w:rStyle w:val="Emphasis"/>
          <w:rFonts w:eastAsiaTheme="majorEastAsia"/>
          <w:color w:val="000000"/>
        </w:rPr>
        <w:t>Journal of Sports Sciences</w:t>
      </w:r>
      <w:r>
        <w:rPr>
          <w:color w:val="000000"/>
        </w:rPr>
        <w:t>, 18(9), pp. 657–667.</w:t>
      </w:r>
      <w:r>
        <w:rPr>
          <w:rStyle w:val="apple-converted-space"/>
          <w:rFonts w:eastAsiaTheme="majorEastAsia"/>
          <w:color w:val="000000"/>
        </w:rPr>
        <w:t> </w:t>
      </w:r>
      <w:hyperlink r:id="rId32" w:tgtFrame="_new" w:history="1">
        <w:r>
          <w:rPr>
            <w:rStyle w:val="Hyperlink"/>
            <w:rFonts w:eastAsiaTheme="majorEastAsia"/>
          </w:rPr>
          <w:t>https://doi.org/10.1080/02640410050120041</w:t>
        </w:r>
      </w:hyperlink>
    </w:p>
    <w:p w14:paraId="5FAFE7F7" w14:textId="77777777" w:rsidR="0074538D" w:rsidRDefault="0074538D" w:rsidP="0074538D">
      <w:pPr>
        <w:pStyle w:val="NormalWeb"/>
        <w:spacing w:before="0" w:beforeAutospacing="0" w:after="0" w:afterAutospacing="0" w:line="480" w:lineRule="atLeast"/>
        <w:ind w:left="720" w:hanging="720"/>
        <w:rPr>
          <w:color w:val="000000"/>
        </w:rPr>
      </w:pPr>
    </w:p>
    <w:p w14:paraId="17FDF667" w14:textId="77777777" w:rsidR="0074538D" w:rsidRPr="00084448" w:rsidRDefault="0074538D" w:rsidP="00063BDC">
      <w:pPr>
        <w:pStyle w:val="NormalWeb"/>
        <w:spacing w:before="0" w:beforeAutospacing="0" w:after="0" w:afterAutospacing="0" w:line="360" w:lineRule="auto"/>
        <w:ind w:left="720" w:hanging="720"/>
        <w:jc w:val="both"/>
        <w:rPr>
          <w:rFonts w:ascii="Calibri" w:hAnsi="Calibri" w:cs="Calibri"/>
          <w:b/>
          <w:bCs/>
          <w:color w:val="000000" w:themeColor="text1"/>
          <w:sz w:val="28"/>
          <w:szCs w:val="28"/>
        </w:rPr>
      </w:pPr>
    </w:p>
    <w:p w14:paraId="2F213D9A" w14:textId="77777777" w:rsidR="00063BDC" w:rsidRPr="00BA7B3E" w:rsidRDefault="00063BDC" w:rsidP="00063BDC">
      <w:pPr>
        <w:pStyle w:val="NormalWeb"/>
        <w:spacing w:before="0" w:beforeAutospacing="0" w:after="0" w:afterAutospacing="0" w:line="360" w:lineRule="auto"/>
        <w:ind w:left="720" w:hanging="720"/>
        <w:jc w:val="both"/>
        <w:rPr>
          <w:rFonts w:ascii="Calibri" w:hAnsi="Calibri" w:cs="Calibri"/>
          <w:color w:val="000000"/>
        </w:rPr>
      </w:pPr>
    </w:p>
    <w:p w14:paraId="14A44C05" w14:textId="77777777" w:rsidR="00063BDC" w:rsidRPr="00BA7B3E" w:rsidRDefault="00063BDC" w:rsidP="00063BDC">
      <w:pPr>
        <w:pStyle w:val="NormalWeb"/>
        <w:spacing w:before="0" w:beforeAutospacing="0" w:after="0" w:afterAutospacing="0" w:line="480" w:lineRule="atLeast"/>
        <w:ind w:left="720" w:hanging="720"/>
        <w:rPr>
          <w:rFonts w:ascii="Calibri" w:hAnsi="Calibri" w:cs="Calibri"/>
          <w:color w:val="000000"/>
        </w:rPr>
      </w:pPr>
    </w:p>
    <w:p w14:paraId="4AA52F62" w14:textId="77777777" w:rsidR="00063BDC" w:rsidRPr="00BA7B3E" w:rsidRDefault="00063BDC" w:rsidP="00063BDC">
      <w:pPr>
        <w:pStyle w:val="NormalWeb"/>
        <w:spacing w:before="0" w:beforeAutospacing="0" w:after="0" w:afterAutospacing="0" w:line="360" w:lineRule="auto"/>
        <w:jc w:val="both"/>
        <w:rPr>
          <w:rFonts w:ascii="Calibri" w:hAnsi="Calibri" w:cs="Calibri"/>
          <w:color w:val="000000"/>
        </w:rPr>
      </w:pPr>
    </w:p>
    <w:p w14:paraId="0A2F2E67" w14:textId="77777777" w:rsidR="00063BDC" w:rsidRPr="00063BDC" w:rsidRDefault="00063BDC" w:rsidP="54C53DD2">
      <w:pPr>
        <w:spacing w:line="360" w:lineRule="auto"/>
        <w:jc w:val="both"/>
        <w:rPr>
          <w:rFonts w:ascii="Calibri" w:hAnsi="Calibri" w:cs="Calibri"/>
          <w:b/>
          <w:bCs/>
          <w:sz w:val="28"/>
          <w:szCs w:val="28"/>
          <w:u w:val="single"/>
        </w:rPr>
      </w:pPr>
    </w:p>
    <w:sectPr w:rsidR="00063BDC" w:rsidRPr="00063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5E3"/>
    <w:multiLevelType w:val="multilevel"/>
    <w:tmpl w:val="986E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23C26"/>
    <w:multiLevelType w:val="hybridMultilevel"/>
    <w:tmpl w:val="B47A19AE"/>
    <w:lvl w:ilvl="0" w:tplc="FC98E9B8">
      <w:start w:val="2"/>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924C3"/>
    <w:multiLevelType w:val="multilevel"/>
    <w:tmpl w:val="FD14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47D49"/>
    <w:multiLevelType w:val="multilevel"/>
    <w:tmpl w:val="5910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35F98"/>
    <w:multiLevelType w:val="multilevel"/>
    <w:tmpl w:val="304E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33B92"/>
    <w:multiLevelType w:val="multilevel"/>
    <w:tmpl w:val="3954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414BC"/>
    <w:multiLevelType w:val="multilevel"/>
    <w:tmpl w:val="5588C4E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1327E0"/>
    <w:multiLevelType w:val="multilevel"/>
    <w:tmpl w:val="0454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C4804"/>
    <w:multiLevelType w:val="multilevel"/>
    <w:tmpl w:val="19C4E4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70179C"/>
    <w:multiLevelType w:val="multilevel"/>
    <w:tmpl w:val="BDC6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25470"/>
    <w:multiLevelType w:val="multilevel"/>
    <w:tmpl w:val="1090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2F4751"/>
    <w:multiLevelType w:val="multilevel"/>
    <w:tmpl w:val="3F2AAB4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59032C"/>
    <w:multiLevelType w:val="multilevel"/>
    <w:tmpl w:val="D484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7E60D3"/>
    <w:multiLevelType w:val="multilevel"/>
    <w:tmpl w:val="D44C0D5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313EA9"/>
    <w:multiLevelType w:val="multilevel"/>
    <w:tmpl w:val="4504F7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AEF19BC"/>
    <w:multiLevelType w:val="multilevel"/>
    <w:tmpl w:val="D466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C86C7E"/>
    <w:multiLevelType w:val="multilevel"/>
    <w:tmpl w:val="F700417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D527CE1"/>
    <w:multiLevelType w:val="multilevel"/>
    <w:tmpl w:val="4DA4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2D6CD3"/>
    <w:multiLevelType w:val="multilevel"/>
    <w:tmpl w:val="3E70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90ADF"/>
    <w:multiLevelType w:val="multilevel"/>
    <w:tmpl w:val="7F86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8F7561"/>
    <w:multiLevelType w:val="multilevel"/>
    <w:tmpl w:val="CC76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190D58"/>
    <w:multiLevelType w:val="multilevel"/>
    <w:tmpl w:val="1D04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5609BD"/>
    <w:multiLevelType w:val="multilevel"/>
    <w:tmpl w:val="A8B0EDA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6573F2B"/>
    <w:multiLevelType w:val="multilevel"/>
    <w:tmpl w:val="1222E7E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AA5D1D"/>
    <w:multiLevelType w:val="multilevel"/>
    <w:tmpl w:val="E9808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EBF731"/>
    <w:multiLevelType w:val="hybridMultilevel"/>
    <w:tmpl w:val="FFFFFFFF"/>
    <w:lvl w:ilvl="0" w:tplc="7AEE62F0">
      <w:start w:val="1"/>
      <w:numFmt w:val="upperRoman"/>
      <w:lvlText w:val="%1)"/>
      <w:lvlJc w:val="right"/>
      <w:pPr>
        <w:ind w:left="720" w:hanging="360"/>
      </w:pPr>
    </w:lvl>
    <w:lvl w:ilvl="1" w:tplc="26E45CE6">
      <w:start w:val="1"/>
      <w:numFmt w:val="lowerLetter"/>
      <w:lvlText w:val="%2."/>
      <w:lvlJc w:val="left"/>
      <w:pPr>
        <w:ind w:left="1440" w:hanging="360"/>
      </w:pPr>
    </w:lvl>
    <w:lvl w:ilvl="2" w:tplc="4F48F84C">
      <w:start w:val="1"/>
      <w:numFmt w:val="lowerRoman"/>
      <w:lvlText w:val="%3."/>
      <w:lvlJc w:val="right"/>
      <w:pPr>
        <w:ind w:left="2160" w:hanging="180"/>
      </w:pPr>
    </w:lvl>
    <w:lvl w:ilvl="3" w:tplc="34589AE4">
      <w:start w:val="1"/>
      <w:numFmt w:val="decimal"/>
      <w:lvlText w:val="%4."/>
      <w:lvlJc w:val="left"/>
      <w:pPr>
        <w:ind w:left="2880" w:hanging="360"/>
      </w:pPr>
    </w:lvl>
    <w:lvl w:ilvl="4" w:tplc="A3AEC36A">
      <w:start w:val="1"/>
      <w:numFmt w:val="lowerLetter"/>
      <w:lvlText w:val="%5."/>
      <w:lvlJc w:val="left"/>
      <w:pPr>
        <w:ind w:left="3600" w:hanging="360"/>
      </w:pPr>
    </w:lvl>
    <w:lvl w:ilvl="5" w:tplc="56766DCA">
      <w:start w:val="1"/>
      <w:numFmt w:val="lowerRoman"/>
      <w:lvlText w:val="%6."/>
      <w:lvlJc w:val="right"/>
      <w:pPr>
        <w:ind w:left="4320" w:hanging="180"/>
      </w:pPr>
    </w:lvl>
    <w:lvl w:ilvl="6" w:tplc="670EFF16">
      <w:start w:val="1"/>
      <w:numFmt w:val="decimal"/>
      <w:lvlText w:val="%7."/>
      <w:lvlJc w:val="left"/>
      <w:pPr>
        <w:ind w:left="5040" w:hanging="360"/>
      </w:pPr>
    </w:lvl>
    <w:lvl w:ilvl="7" w:tplc="A32A0316">
      <w:start w:val="1"/>
      <w:numFmt w:val="lowerLetter"/>
      <w:lvlText w:val="%8."/>
      <w:lvlJc w:val="left"/>
      <w:pPr>
        <w:ind w:left="5760" w:hanging="360"/>
      </w:pPr>
    </w:lvl>
    <w:lvl w:ilvl="8" w:tplc="DFB24F96">
      <w:start w:val="1"/>
      <w:numFmt w:val="lowerRoman"/>
      <w:lvlText w:val="%9."/>
      <w:lvlJc w:val="right"/>
      <w:pPr>
        <w:ind w:left="6480" w:hanging="180"/>
      </w:pPr>
    </w:lvl>
  </w:abstractNum>
  <w:num w:numId="1" w16cid:durableId="1618489299">
    <w:abstractNumId w:val="17"/>
  </w:num>
  <w:num w:numId="2" w16cid:durableId="549728848">
    <w:abstractNumId w:val="0"/>
  </w:num>
  <w:num w:numId="3" w16cid:durableId="1526671606">
    <w:abstractNumId w:val="18"/>
  </w:num>
  <w:num w:numId="4" w16cid:durableId="1119959025">
    <w:abstractNumId w:val="7"/>
  </w:num>
  <w:num w:numId="5" w16cid:durableId="1326666838">
    <w:abstractNumId w:val="19"/>
  </w:num>
  <w:num w:numId="6" w16cid:durableId="728652966">
    <w:abstractNumId w:val="9"/>
  </w:num>
  <w:num w:numId="7" w16cid:durableId="2059235606">
    <w:abstractNumId w:val="4"/>
  </w:num>
  <w:num w:numId="8" w16cid:durableId="918753052">
    <w:abstractNumId w:val="14"/>
  </w:num>
  <w:num w:numId="9" w16cid:durableId="739058929">
    <w:abstractNumId w:val="16"/>
  </w:num>
  <w:num w:numId="10" w16cid:durableId="1866212574">
    <w:abstractNumId w:val="8"/>
  </w:num>
  <w:num w:numId="11" w16cid:durableId="121770409">
    <w:abstractNumId w:val="10"/>
  </w:num>
  <w:num w:numId="12" w16cid:durableId="666830243">
    <w:abstractNumId w:val="15"/>
  </w:num>
  <w:num w:numId="13" w16cid:durableId="1435587689">
    <w:abstractNumId w:val="20"/>
  </w:num>
  <w:num w:numId="14" w16cid:durableId="702483443">
    <w:abstractNumId w:val="2"/>
  </w:num>
  <w:num w:numId="15" w16cid:durableId="329261808">
    <w:abstractNumId w:val="12"/>
  </w:num>
  <w:num w:numId="16" w16cid:durableId="351567363">
    <w:abstractNumId w:val="24"/>
  </w:num>
  <w:num w:numId="17" w16cid:durableId="1878083014">
    <w:abstractNumId w:val="3"/>
  </w:num>
  <w:num w:numId="18" w16cid:durableId="1676692569">
    <w:abstractNumId w:val="21"/>
  </w:num>
  <w:num w:numId="19" w16cid:durableId="1583948844">
    <w:abstractNumId w:val="22"/>
  </w:num>
  <w:num w:numId="20" w16cid:durableId="229385484">
    <w:abstractNumId w:val="6"/>
  </w:num>
  <w:num w:numId="21" w16cid:durableId="574247882">
    <w:abstractNumId w:val="11"/>
  </w:num>
  <w:num w:numId="22" w16cid:durableId="730738130">
    <w:abstractNumId w:val="23"/>
  </w:num>
  <w:num w:numId="23" w16cid:durableId="2104757348">
    <w:abstractNumId w:val="13"/>
  </w:num>
  <w:num w:numId="24" w16cid:durableId="1665669915">
    <w:abstractNumId w:val="1"/>
  </w:num>
  <w:num w:numId="25" w16cid:durableId="24067266">
    <w:abstractNumId w:val="5"/>
  </w:num>
  <w:num w:numId="26" w16cid:durableId="704662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68"/>
    <w:rsid w:val="00001F20"/>
    <w:rsid w:val="000025CB"/>
    <w:rsid w:val="00006A09"/>
    <w:rsid w:val="00007405"/>
    <w:rsid w:val="00011517"/>
    <w:rsid w:val="000147B6"/>
    <w:rsid w:val="000148A2"/>
    <w:rsid w:val="00017C81"/>
    <w:rsid w:val="0002050C"/>
    <w:rsid w:val="000247FC"/>
    <w:rsid w:val="000269A4"/>
    <w:rsid w:val="0003182A"/>
    <w:rsid w:val="00035DEF"/>
    <w:rsid w:val="00037E4C"/>
    <w:rsid w:val="00045AC6"/>
    <w:rsid w:val="00045D8C"/>
    <w:rsid w:val="00063BDC"/>
    <w:rsid w:val="0006459C"/>
    <w:rsid w:val="000664A6"/>
    <w:rsid w:val="0007488E"/>
    <w:rsid w:val="000752BE"/>
    <w:rsid w:val="000775D6"/>
    <w:rsid w:val="00082488"/>
    <w:rsid w:val="00084448"/>
    <w:rsid w:val="0008487E"/>
    <w:rsid w:val="00086320"/>
    <w:rsid w:val="000905B2"/>
    <w:rsid w:val="0009060F"/>
    <w:rsid w:val="00094F36"/>
    <w:rsid w:val="000955E3"/>
    <w:rsid w:val="000A1391"/>
    <w:rsid w:val="000B2204"/>
    <w:rsid w:val="000B2F64"/>
    <w:rsid w:val="000B63CD"/>
    <w:rsid w:val="000C2890"/>
    <w:rsid w:val="000C387B"/>
    <w:rsid w:val="000C6224"/>
    <w:rsid w:val="000D1C37"/>
    <w:rsid w:val="000D1CEF"/>
    <w:rsid w:val="000D233E"/>
    <w:rsid w:val="000D3631"/>
    <w:rsid w:val="000D3F09"/>
    <w:rsid w:val="000D4203"/>
    <w:rsid w:val="000E1135"/>
    <w:rsid w:val="000E6E1B"/>
    <w:rsid w:val="000E7EC1"/>
    <w:rsid w:val="001013DB"/>
    <w:rsid w:val="0010344C"/>
    <w:rsid w:val="00103F87"/>
    <w:rsid w:val="00104BB6"/>
    <w:rsid w:val="00106E18"/>
    <w:rsid w:val="0011029C"/>
    <w:rsid w:val="001222BD"/>
    <w:rsid w:val="00130AD1"/>
    <w:rsid w:val="0015035E"/>
    <w:rsid w:val="0015056D"/>
    <w:rsid w:val="00150953"/>
    <w:rsid w:val="00150A51"/>
    <w:rsid w:val="001536E6"/>
    <w:rsid w:val="001547EE"/>
    <w:rsid w:val="001567E6"/>
    <w:rsid w:val="00157D13"/>
    <w:rsid w:val="00174DF4"/>
    <w:rsid w:val="00180CE1"/>
    <w:rsid w:val="00182BEA"/>
    <w:rsid w:val="001838BA"/>
    <w:rsid w:val="001842EF"/>
    <w:rsid w:val="001917A1"/>
    <w:rsid w:val="00193EFD"/>
    <w:rsid w:val="00197B30"/>
    <w:rsid w:val="001A4A6F"/>
    <w:rsid w:val="001B0E13"/>
    <w:rsid w:val="001B2590"/>
    <w:rsid w:val="001B43C3"/>
    <w:rsid w:val="001B5238"/>
    <w:rsid w:val="001B5DDE"/>
    <w:rsid w:val="001C0067"/>
    <w:rsid w:val="001C3459"/>
    <w:rsid w:val="001C477B"/>
    <w:rsid w:val="001C769F"/>
    <w:rsid w:val="001D4638"/>
    <w:rsid w:val="001E218F"/>
    <w:rsid w:val="001E2759"/>
    <w:rsid w:val="001E430D"/>
    <w:rsid w:val="001F336B"/>
    <w:rsid w:val="001F649E"/>
    <w:rsid w:val="00205411"/>
    <w:rsid w:val="00213B54"/>
    <w:rsid w:val="0021731C"/>
    <w:rsid w:val="002176CC"/>
    <w:rsid w:val="00221842"/>
    <w:rsid w:val="00231AE1"/>
    <w:rsid w:val="002353C3"/>
    <w:rsid w:val="00240572"/>
    <w:rsid w:val="00243A0D"/>
    <w:rsid w:val="00244420"/>
    <w:rsid w:val="00246BEF"/>
    <w:rsid w:val="00251761"/>
    <w:rsid w:val="00254DA6"/>
    <w:rsid w:val="0026079B"/>
    <w:rsid w:val="00261D82"/>
    <w:rsid w:val="00265135"/>
    <w:rsid w:val="0027377E"/>
    <w:rsid w:val="00273ABB"/>
    <w:rsid w:val="00277A91"/>
    <w:rsid w:val="002812A4"/>
    <w:rsid w:val="00284DDF"/>
    <w:rsid w:val="002A0D5D"/>
    <w:rsid w:val="002A438F"/>
    <w:rsid w:val="002A448F"/>
    <w:rsid w:val="002A4DF2"/>
    <w:rsid w:val="002B0051"/>
    <w:rsid w:val="002B1E3F"/>
    <w:rsid w:val="002B6696"/>
    <w:rsid w:val="002B7077"/>
    <w:rsid w:val="002D6D45"/>
    <w:rsid w:val="002D6E30"/>
    <w:rsid w:val="002E26DB"/>
    <w:rsid w:val="002E7E7C"/>
    <w:rsid w:val="002E7FB2"/>
    <w:rsid w:val="002F2B5C"/>
    <w:rsid w:val="002F3D23"/>
    <w:rsid w:val="00311369"/>
    <w:rsid w:val="0031723F"/>
    <w:rsid w:val="00332851"/>
    <w:rsid w:val="0033795A"/>
    <w:rsid w:val="00346A6F"/>
    <w:rsid w:val="0034777A"/>
    <w:rsid w:val="003538E5"/>
    <w:rsid w:val="00357529"/>
    <w:rsid w:val="00361C7F"/>
    <w:rsid w:val="00364C4B"/>
    <w:rsid w:val="00364F7F"/>
    <w:rsid w:val="00365C31"/>
    <w:rsid w:val="00366B01"/>
    <w:rsid w:val="00372542"/>
    <w:rsid w:val="003728D0"/>
    <w:rsid w:val="00374A75"/>
    <w:rsid w:val="00376427"/>
    <w:rsid w:val="00381642"/>
    <w:rsid w:val="003827AB"/>
    <w:rsid w:val="00385772"/>
    <w:rsid w:val="003943D8"/>
    <w:rsid w:val="0039487B"/>
    <w:rsid w:val="00395785"/>
    <w:rsid w:val="00396EDF"/>
    <w:rsid w:val="003A45EF"/>
    <w:rsid w:val="003A4804"/>
    <w:rsid w:val="003A56E6"/>
    <w:rsid w:val="003A5F35"/>
    <w:rsid w:val="003B3098"/>
    <w:rsid w:val="003B5586"/>
    <w:rsid w:val="003B6F84"/>
    <w:rsid w:val="003C1D0A"/>
    <w:rsid w:val="003C6563"/>
    <w:rsid w:val="003C69EA"/>
    <w:rsid w:val="003C7C46"/>
    <w:rsid w:val="003D0D58"/>
    <w:rsid w:val="003D1D1B"/>
    <w:rsid w:val="003D206D"/>
    <w:rsid w:val="003D2173"/>
    <w:rsid w:val="003D3A96"/>
    <w:rsid w:val="003D5E61"/>
    <w:rsid w:val="003E29A5"/>
    <w:rsid w:val="003E3200"/>
    <w:rsid w:val="003F1724"/>
    <w:rsid w:val="003F1E0E"/>
    <w:rsid w:val="003F757B"/>
    <w:rsid w:val="0040110F"/>
    <w:rsid w:val="004067FA"/>
    <w:rsid w:val="00412405"/>
    <w:rsid w:val="00413A84"/>
    <w:rsid w:val="00423A9D"/>
    <w:rsid w:val="00430793"/>
    <w:rsid w:val="004327DF"/>
    <w:rsid w:val="00436962"/>
    <w:rsid w:val="004371AA"/>
    <w:rsid w:val="00437B72"/>
    <w:rsid w:val="00440F95"/>
    <w:rsid w:val="004412C8"/>
    <w:rsid w:val="00443732"/>
    <w:rsid w:val="0044485D"/>
    <w:rsid w:val="0045444E"/>
    <w:rsid w:val="004718A0"/>
    <w:rsid w:val="00484F0B"/>
    <w:rsid w:val="00490653"/>
    <w:rsid w:val="0049595C"/>
    <w:rsid w:val="00497CA9"/>
    <w:rsid w:val="004A30BA"/>
    <w:rsid w:val="004B376D"/>
    <w:rsid w:val="004B452D"/>
    <w:rsid w:val="004B6C2E"/>
    <w:rsid w:val="004B703C"/>
    <w:rsid w:val="004C13D3"/>
    <w:rsid w:val="004C3CF7"/>
    <w:rsid w:val="004C4AF5"/>
    <w:rsid w:val="004D7404"/>
    <w:rsid w:val="004E18DA"/>
    <w:rsid w:val="004E2180"/>
    <w:rsid w:val="004E6BAB"/>
    <w:rsid w:val="004E6E77"/>
    <w:rsid w:val="004F0E32"/>
    <w:rsid w:val="004F2742"/>
    <w:rsid w:val="004F3323"/>
    <w:rsid w:val="004F3D2C"/>
    <w:rsid w:val="004F6638"/>
    <w:rsid w:val="004F7989"/>
    <w:rsid w:val="004F7E96"/>
    <w:rsid w:val="005049ED"/>
    <w:rsid w:val="00510B8B"/>
    <w:rsid w:val="00515AA6"/>
    <w:rsid w:val="00521778"/>
    <w:rsid w:val="00522C6C"/>
    <w:rsid w:val="00522E71"/>
    <w:rsid w:val="00523296"/>
    <w:rsid w:val="00524B0D"/>
    <w:rsid w:val="00534774"/>
    <w:rsid w:val="00537182"/>
    <w:rsid w:val="00537C5A"/>
    <w:rsid w:val="00542E19"/>
    <w:rsid w:val="0055522C"/>
    <w:rsid w:val="00557C63"/>
    <w:rsid w:val="00561AE1"/>
    <w:rsid w:val="00561D24"/>
    <w:rsid w:val="00567ADD"/>
    <w:rsid w:val="00570E56"/>
    <w:rsid w:val="00572C84"/>
    <w:rsid w:val="00574E3C"/>
    <w:rsid w:val="00575F4D"/>
    <w:rsid w:val="00587FE6"/>
    <w:rsid w:val="005924A5"/>
    <w:rsid w:val="005A18D1"/>
    <w:rsid w:val="005A34B3"/>
    <w:rsid w:val="005A7F61"/>
    <w:rsid w:val="005B3D93"/>
    <w:rsid w:val="005C4BEE"/>
    <w:rsid w:val="005D68EC"/>
    <w:rsid w:val="005D6945"/>
    <w:rsid w:val="005E5BF6"/>
    <w:rsid w:val="005F0D08"/>
    <w:rsid w:val="005F1D6F"/>
    <w:rsid w:val="005F7824"/>
    <w:rsid w:val="00606A4A"/>
    <w:rsid w:val="0061119C"/>
    <w:rsid w:val="00614788"/>
    <w:rsid w:val="00614B6F"/>
    <w:rsid w:val="006236BA"/>
    <w:rsid w:val="006246B7"/>
    <w:rsid w:val="00627994"/>
    <w:rsid w:val="00627AF6"/>
    <w:rsid w:val="00630C75"/>
    <w:rsid w:val="006357B9"/>
    <w:rsid w:val="006367E3"/>
    <w:rsid w:val="00640D6D"/>
    <w:rsid w:val="00644987"/>
    <w:rsid w:val="006451B3"/>
    <w:rsid w:val="0064520A"/>
    <w:rsid w:val="00650603"/>
    <w:rsid w:val="006529DD"/>
    <w:rsid w:val="0065626C"/>
    <w:rsid w:val="0066099A"/>
    <w:rsid w:val="006614A1"/>
    <w:rsid w:val="00663640"/>
    <w:rsid w:val="00664C23"/>
    <w:rsid w:val="0066747A"/>
    <w:rsid w:val="00672A95"/>
    <w:rsid w:val="00674A8C"/>
    <w:rsid w:val="00683497"/>
    <w:rsid w:val="00684244"/>
    <w:rsid w:val="00684D7E"/>
    <w:rsid w:val="00685E75"/>
    <w:rsid w:val="00695E8E"/>
    <w:rsid w:val="006A7571"/>
    <w:rsid w:val="006B2330"/>
    <w:rsid w:val="006B240B"/>
    <w:rsid w:val="006B4BE6"/>
    <w:rsid w:val="006C284B"/>
    <w:rsid w:val="006C6224"/>
    <w:rsid w:val="006D4FD5"/>
    <w:rsid w:val="006D50C2"/>
    <w:rsid w:val="006D50D3"/>
    <w:rsid w:val="006D5E3F"/>
    <w:rsid w:val="006D715D"/>
    <w:rsid w:val="006E48A1"/>
    <w:rsid w:val="006F09D5"/>
    <w:rsid w:val="006F13FD"/>
    <w:rsid w:val="007071F1"/>
    <w:rsid w:val="00707342"/>
    <w:rsid w:val="007136B4"/>
    <w:rsid w:val="00724857"/>
    <w:rsid w:val="00724E49"/>
    <w:rsid w:val="00727956"/>
    <w:rsid w:val="00727E8B"/>
    <w:rsid w:val="00736473"/>
    <w:rsid w:val="00737EC3"/>
    <w:rsid w:val="007407B9"/>
    <w:rsid w:val="00740800"/>
    <w:rsid w:val="00740B5D"/>
    <w:rsid w:val="00741DA0"/>
    <w:rsid w:val="007433B0"/>
    <w:rsid w:val="0074538D"/>
    <w:rsid w:val="00745A6E"/>
    <w:rsid w:val="007460DD"/>
    <w:rsid w:val="00746E0C"/>
    <w:rsid w:val="00752E74"/>
    <w:rsid w:val="007573EE"/>
    <w:rsid w:val="0075795A"/>
    <w:rsid w:val="00761F18"/>
    <w:rsid w:val="00762324"/>
    <w:rsid w:val="00762472"/>
    <w:rsid w:val="007628A6"/>
    <w:rsid w:val="00764C8A"/>
    <w:rsid w:val="0077326F"/>
    <w:rsid w:val="007742E8"/>
    <w:rsid w:val="0077445A"/>
    <w:rsid w:val="0077601F"/>
    <w:rsid w:val="00793884"/>
    <w:rsid w:val="00793E7B"/>
    <w:rsid w:val="00794AD6"/>
    <w:rsid w:val="007A31A6"/>
    <w:rsid w:val="007A34A1"/>
    <w:rsid w:val="007A3FB9"/>
    <w:rsid w:val="007B040A"/>
    <w:rsid w:val="007B1E26"/>
    <w:rsid w:val="007B42FA"/>
    <w:rsid w:val="007C4130"/>
    <w:rsid w:val="007C50ED"/>
    <w:rsid w:val="007C6839"/>
    <w:rsid w:val="007D1F75"/>
    <w:rsid w:val="007E19E3"/>
    <w:rsid w:val="007F34BB"/>
    <w:rsid w:val="007F7570"/>
    <w:rsid w:val="00800623"/>
    <w:rsid w:val="00802862"/>
    <w:rsid w:val="00804228"/>
    <w:rsid w:val="00805D38"/>
    <w:rsid w:val="0080791A"/>
    <w:rsid w:val="00811084"/>
    <w:rsid w:val="00811821"/>
    <w:rsid w:val="008125B5"/>
    <w:rsid w:val="00812AF2"/>
    <w:rsid w:val="00814728"/>
    <w:rsid w:val="008228D9"/>
    <w:rsid w:val="00825BB1"/>
    <w:rsid w:val="00826447"/>
    <w:rsid w:val="0082732D"/>
    <w:rsid w:val="008328DA"/>
    <w:rsid w:val="008459DB"/>
    <w:rsid w:val="00850C41"/>
    <w:rsid w:val="00851B17"/>
    <w:rsid w:val="00855AA1"/>
    <w:rsid w:val="00861C5D"/>
    <w:rsid w:val="00863A67"/>
    <w:rsid w:val="00864BAD"/>
    <w:rsid w:val="008665B9"/>
    <w:rsid w:val="00870CB3"/>
    <w:rsid w:val="00872987"/>
    <w:rsid w:val="00881E89"/>
    <w:rsid w:val="008911A7"/>
    <w:rsid w:val="0089318D"/>
    <w:rsid w:val="00895B02"/>
    <w:rsid w:val="008A3568"/>
    <w:rsid w:val="008A6030"/>
    <w:rsid w:val="008B1C80"/>
    <w:rsid w:val="008B55E7"/>
    <w:rsid w:val="008C2AE6"/>
    <w:rsid w:val="008C31B9"/>
    <w:rsid w:val="008C3A46"/>
    <w:rsid w:val="008C4BE7"/>
    <w:rsid w:val="008C574B"/>
    <w:rsid w:val="008C5DBE"/>
    <w:rsid w:val="008D25D1"/>
    <w:rsid w:val="008D36E7"/>
    <w:rsid w:val="008D5BFF"/>
    <w:rsid w:val="008E01F8"/>
    <w:rsid w:val="008F13E0"/>
    <w:rsid w:val="008F2E14"/>
    <w:rsid w:val="008F318D"/>
    <w:rsid w:val="008F5346"/>
    <w:rsid w:val="008F5A80"/>
    <w:rsid w:val="009036B2"/>
    <w:rsid w:val="00904D4B"/>
    <w:rsid w:val="00906A78"/>
    <w:rsid w:val="00916997"/>
    <w:rsid w:val="00924874"/>
    <w:rsid w:val="0092567F"/>
    <w:rsid w:val="0092577F"/>
    <w:rsid w:val="00925AEF"/>
    <w:rsid w:val="0093271A"/>
    <w:rsid w:val="009337B9"/>
    <w:rsid w:val="009407E9"/>
    <w:rsid w:val="00941E16"/>
    <w:rsid w:val="0094461E"/>
    <w:rsid w:val="00944A71"/>
    <w:rsid w:val="009465A2"/>
    <w:rsid w:val="00956F7A"/>
    <w:rsid w:val="0095701A"/>
    <w:rsid w:val="009603B0"/>
    <w:rsid w:val="00962879"/>
    <w:rsid w:val="00962B5A"/>
    <w:rsid w:val="00966106"/>
    <w:rsid w:val="009728C2"/>
    <w:rsid w:val="009779B2"/>
    <w:rsid w:val="00983C78"/>
    <w:rsid w:val="00987963"/>
    <w:rsid w:val="0099246D"/>
    <w:rsid w:val="009938CC"/>
    <w:rsid w:val="0099544A"/>
    <w:rsid w:val="009A0B5E"/>
    <w:rsid w:val="009A2A1B"/>
    <w:rsid w:val="009B3207"/>
    <w:rsid w:val="009B3DE4"/>
    <w:rsid w:val="009B60A8"/>
    <w:rsid w:val="009B7FE4"/>
    <w:rsid w:val="009C075B"/>
    <w:rsid w:val="009C109C"/>
    <w:rsid w:val="009C2738"/>
    <w:rsid w:val="009C3831"/>
    <w:rsid w:val="009C5B2D"/>
    <w:rsid w:val="009C6342"/>
    <w:rsid w:val="009D4600"/>
    <w:rsid w:val="009D47B2"/>
    <w:rsid w:val="009D4D4F"/>
    <w:rsid w:val="009D54BF"/>
    <w:rsid w:val="009E23E6"/>
    <w:rsid w:val="009E5106"/>
    <w:rsid w:val="009F5192"/>
    <w:rsid w:val="009F5CA0"/>
    <w:rsid w:val="009F740B"/>
    <w:rsid w:val="00A00D15"/>
    <w:rsid w:val="00A00D70"/>
    <w:rsid w:val="00A04FD4"/>
    <w:rsid w:val="00A114BA"/>
    <w:rsid w:val="00A138C3"/>
    <w:rsid w:val="00A17DF3"/>
    <w:rsid w:val="00A23E79"/>
    <w:rsid w:val="00A255AD"/>
    <w:rsid w:val="00A35E0C"/>
    <w:rsid w:val="00A45C7A"/>
    <w:rsid w:val="00A50747"/>
    <w:rsid w:val="00A54597"/>
    <w:rsid w:val="00A54DBF"/>
    <w:rsid w:val="00A58362"/>
    <w:rsid w:val="00A6530C"/>
    <w:rsid w:val="00A66184"/>
    <w:rsid w:val="00A71ADA"/>
    <w:rsid w:val="00A766E7"/>
    <w:rsid w:val="00A774F1"/>
    <w:rsid w:val="00A90321"/>
    <w:rsid w:val="00A92524"/>
    <w:rsid w:val="00AA27C6"/>
    <w:rsid w:val="00AA3C2C"/>
    <w:rsid w:val="00AA729A"/>
    <w:rsid w:val="00AB43C5"/>
    <w:rsid w:val="00AC308B"/>
    <w:rsid w:val="00AD0E77"/>
    <w:rsid w:val="00AD2E4D"/>
    <w:rsid w:val="00AD3B00"/>
    <w:rsid w:val="00AD46E6"/>
    <w:rsid w:val="00AD757D"/>
    <w:rsid w:val="00AE0455"/>
    <w:rsid w:val="00AE0E98"/>
    <w:rsid w:val="00AE5A90"/>
    <w:rsid w:val="00AF1FCD"/>
    <w:rsid w:val="00B05C3C"/>
    <w:rsid w:val="00B07536"/>
    <w:rsid w:val="00B16301"/>
    <w:rsid w:val="00B24AD0"/>
    <w:rsid w:val="00B3286A"/>
    <w:rsid w:val="00B34158"/>
    <w:rsid w:val="00B40DB2"/>
    <w:rsid w:val="00B46A81"/>
    <w:rsid w:val="00B602A2"/>
    <w:rsid w:val="00B60673"/>
    <w:rsid w:val="00B6519E"/>
    <w:rsid w:val="00B65C38"/>
    <w:rsid w:val="00B71021"/>
    <w:rsid w:val="00B7638E"/>
    <w:rsid w:val="00B85781"/>
    <w:rsid w:val="00B85B5A"/>
    <w:rsid w:val="00B87719"/>
    <w:rsid w:val="00B940C6"/>
    <w:rsid w:val="00B97979"/>
    <w:rsid w:val="00BA1196"/>
    <w:rsid w:val="00BA1750"/>
    <w:rsid w:val="00BA4140"/>
    <w:rsid w:val="00BA42D1"/>
    <w:rsid w:val="00BA7B3E"/>
    <w:rsid w:val="00BB0DAB"/>
    <w:rsid w:val="00BB7BEE"/>
    <w:rsid w:val="00BC02AA"/>
    <w:rsid w:val="00BC625B"/>
    <w:rsid w:val="00BC652B"/>
    <w:rsid w:val="00BD2CC7"/>
    <w:rsid w:val="00BD6A03"/>
    <w:rsid w:val="00BD7869"/>
    <w:rsid w:val="00BE07D4"/>
    <w:rsid w:val="00BE0D0E"/>
    <w:rsid w:val="00BE32F3"/>
    <w:rsid w:val="00BE4025"/>
    <w:rsid w:val="00BF40A8"/>
    <w:rsid w:val="00C07CDF"/>
    <w:rsid w:val="00C16A6C"/>
    <w:rsid w:val="00C23B64"/>
    <w:rsid w:val="00C240EA"/>
    <w:rsid w:val="00C24A7A"/>
    <w:rsid w:val="00C31F56"/>
    <w:rsid w:val="00C42A33"/>
    <w:rsid w:val="00C42F52"/>
    <w:rsid w:val="00C53C56"/>
    <w:rsid w:val="00C572F2"/>
    <w:rsid w:val="00C60E72"/>
    <w:rsid w:val="00C618FD"/>
    <w:rsid w:val="00C7010E"/>
    <w:rsid w:val="00C7082D"/>
    <w:rsid w:val="00C81AE8"/>
    <w:rsid w:val="00C87560"/>
    <w:rsid w:val="00C87698"/>
    <w:rsid w:val="00C87FAD"/>
    <w:rsid w:val="00C90FBC"/>
    <w:rsid w:val="00C95CF8"/>
    <w:rsid w:val="00CA3265"/>
    <w:rsid w:val="00CB1397"/>
    <w:rsid w:val="00CC2EF6"/>
    <w:rsid w:val="00CC4F41"/>
    <w:rsid w:val="00CC5BF0"/>
    <w:rsid w:val="00CD0FBE"/>
    <w:rsid w:val="00CD229E"/>
    <w:rsid w:val="00CD31C3"/>
    <w:rsid w:val="00CD34A6"/>
    <w:rsid w:val="00CD4CC0"/>
    <w:rsid w:val="00CD52D5"/>
    <w:rsid w:val="00CE0AB4"/>
    <w:rsid w:val="00CE17DD"/>
    <w:rsid w:val="00CE1F6F"/>
    <w:rsid w:val="00CE282A"/>
    <w:rsid w:val="00CE33DB"/>
    <w:rsid w:val="00CE4A97"/>
    <w:rsid w:val="00CE702C"/>
    <w:rsid w:val="00CE7097"/>
    <w:rsid w:val="00CE7860"/>
    <w:rsid w:val="00D03C9B"/>
    <w:rsid w:val="00D0527F"/>
    <w:rsid w:val="00D05696"/>
    <w:rsid w:val="00D069A6"/>
    <w:rsid w:val="00D07076"/>
    <w:rsid w:val="00D12683"/>
    <w:rsid w:val="00D15DBA"/>
    <w:rsid w:val="00D203AB"/>
    <w:rsid w:val="00D244B0"/>
    <w:rsid w:val="00D26088"/>
    <w:rsid w:val="00D2628D"/>
    <w:rsid w:val="00D3098D"/>
    <w:rsid w:val="00D4463A"/>
    <w:rsid w:val="00D466E7"/>
    <w:rsid w:val="00D52048"/>
    <w:rsid w:val="00D52162"/>
    <w:rsid w:val="00D55BE5"/>
    <w:rsid w:val="00D6207E"/>
    <w:rsid w:val="00D631D7"/>
    <w:rsid w:val="00D654E2"/>
    <w:rsid w:val="00D66A0F"/>
    <w:rsid w:val="00D67F86"/>
    <w:rsid w:val="00D71113"/>
    <w:rsid w:val="00D75151"/>
    <w:rsid w:val="00D7708C"/>
    <w:rsid w:val="00D8288A"/>
    <w:rsid w:val="00D84B80"/>
    <w:rsid w:val="00D918EE"/>
    <w:rsid w:val="00D944C2"/>
    <w:rsid w:val="00D9455D"/>
    <w:rsid w:val="00DA005E"/>
    <w:rsid w:val="00DA1332"/>
    <w:rsid w:val="00DA3395"/>
    <w:rsid w:val="00DA44EA"/>
    <w:rsid w:val="00DB2AAA"/>
    <w:rsid w:val="00DB4116"/>
    <w:rsid w:val="00DC1034"/>
    <w:rsid w:val="00DC2FC0"/>
    <w:rsid w:val="00DC3390"/>
    <w:rsid w:val="00DD0F5C"/>
    <w:rsid w:val="00DD41A0"/>
    <w:rsid w:val="00DE1AE4"/>
    <w:rsid w:val="00DE400F"/>
    <w:rsid w:val="00DE4A16"/>
    <w:rsid w:val="00DF1E21"/>
    <w:rsid w:val="00DF762B"/>
    <w:rsid w:val="00DF7EDF"/>
    <w:rsid w:val="00E00266"/>
    <w:rsid w:val="00E1272B"/>
    <w:rsid w:val="00E146B3"/>
    <w:rsid w:val="00E149A7"/>
    <w:rsid w:val="00E17A8C"/>
    <w:rsid w:val="00E17FE7"/>
    <w:rsid w:val="00E27593"/>
    <w:rsid w:val="00E306AC"/>
    <w:rsid w:val="00E31AB9"/>
    <w:rsid w:val="00E32035"/>
    <w:rsid w:val="00E3213E"/>
    <w:rsid w:val="00E37E7B"/>
    <w:rsid w:val="00E40338"/>
    <w:rsid w:val="00E47FEA"/>
    <w:rsid w:val="00E53FCF"/>
    <w:rsid w:val="00E63DB4"/>
    <w:rsid w:val="00E6774F"/>
    <w:rsid w:val="00E71DB3"/>
    <w:rsid w:val="00E76355"/>
    <w:rsid w:val="00E7764B"/>
    <w:rsid w:val="00E80DB2"/>
    <w:rsid w:val="00E84F5A"/>
    <w:rsid w:val="00E91871"/>
    <w:rsid w:val="00E97911"/>
    <w:rsid w:val="00EA151D"/>
    <w:rsid w:val="00EA16C4"/>
    <w:rsid w:val="00EA1DDC"/>
    <w:rsid w:val="00EA2BB3"/>
    <w:rsid w:val="00EB0090"/>
    <w:rsid w:val="00EB2EC7"/>
    <w:rsid w:val="00EB3A19"/>
    <w:rsid w:val="00EB5DEC"/>
    <w:rsid w:val="00EB5FB3"/>
    <w:rsid w:val="00EB7857"/>
    <w:rsid w:val="00EC03BF"/>
    <w:rsid w:val="00EC3D20"/>
    <w:rsid w:val="00EC6FBB"/>
    <w:rsid w:val="00ED1DEC"/>
    <w:rsid w:val="00ED355D"/>
    <w:rsid w:val="00ED74FE"/>
    <w:rsid w:val="00EE2D15"/>
    <w:rsid w:val="00EF00CA"/>
    <w:rsid w:val="00F004E1"/>
    <w:rsid w:val="00F01847"/>
    <w:rsid w:val="00F019CC"/>
    <w:rsid w:val="00F041DC"/>
    <w:rsid w:val="00F04EC9"/>
    <w:rsid w:val="00F06B1B"/>
    <w:rsid w:val="00F10B69"/>
    <w:rsid w:val="00F12723"/>
    <w:rsid w:val="00F1491D"/>
    <w:rsid w:val="00F26508"/>
    <w:rsid w:val="00F30974"/>
    <w:rsid w:val="00F366ED"/>
    <w:rsid w:val="00F419A1"/>
    <w:rsid w:val="00F43F1B"/>
    <w:rsid w:val="00F5029A"/>
    <w:rsid w:val="00F50447"/>
    <w:rsid w:val="00F518E6"/>
    <w:rsid w:val="00F51BFF"/>
    <w:rsid w:val="00F5263E"/>
    <w:rsid w:val="00F536DB"/>
    <w:rsid w:val="00F57BDD"/>
    <w:rsid w:val="00F621B8"/>
    <w:rsid w:val="00F65D4C"/>
    <w:rsid w:val="00F725FC"/>
    <w:rsid w:val="00F75532"/>
    <w:rsid w:val="00F80EBE"/>
    <w:rsid w:val="00F82AD7"/>
    <w:rsid w:val="00F85FDF"/>
    <w:rsid w:val="00F87AB0"/>
    <w:rsid w:val="00F97ACD"/>
    <w:rsid w:val="00FB54AD"/>
    <w:rsid w:val="00FC0F86"/>
    <w:rsid w:val="00FC20E0"/>
    <w:rsid w:val="00FC32FA"/>
    <w:rsid w:val="00FC3644"/>
    <w:rsid w:val="00FC72C2"/>
    <w:rsid w:val="00FE1614"/>
    <w:rsid w:val="00FE226E"/>
    <w:rsid w:val="00FE505E"/>
    <w:rsid w:val="00FE6728"/>
    <w:rsid w:val="00FE674E"/>
    <w:rsid w:val="00FE7B63"/>
    <w:rsid w:val="00FF3EF1"/>
    <w:rsid w:val="00FF4F01"/>
    <w:rsid w:val="012FFCF6"/>
    <w:rsid w:val="0139EB4F"/>
    <w:rsid w:val="03491A95"/>
    <w:rsid w:val="03872005"/>
    <w:rsid w:val="0492D094"/>
    <w:rsid w:val="051AACC9"/>
    <w:rsid w:val="0737D3A9"/>
    <w:rsid w:val="07A44F1B"/>
    <w:rsid w:val="07DCC5A9"/>
    <w:rsid w:val="07F6F489"/>
    <w:rsid w:val="0957208E"/>
    <w:rsid w:val="09AB0A84"/>
    <w:rsid w:val="0A4647AC"/>
    <w:rsid w:val="0AF8E75C"/>
    <w:rsid w:val="0B00A103"/>
    <w:rsid w:val="0B169EE2"/>
    <w:rsid w:val="0BC65EFC"/>
    <w:rsid w:val="0DC488DF"/>
    <w:rsid w:val="0ECF722B"/>
    <w:rsid w:val="0FFA5A52"/>
    <w:rsid w:val="10E454A4"/>
    <w:rsid w:val="1121802C"/>
    <w:rsid w:val="11F1D167"/>
    <w:rsid w:val="120BC391"/>
    <w:rsid w:val="1239A06D"/>
    <w:rsid w:val="136BD2C4"/>
    <w:rsid w:val="14C62A56"/>
    <w:rsid w:val="158D290B"/>
    <w:rsid w:val="15AE4954"/>
    <w:rsid w:val="164AE96E"/>
    <w:rsid w:val="177FA9B8"/>
    <w:rsid w:val="184023B7"/>
    <w:rsid w:val="1907AEA5"/>
    <w:rsid w:val="192F795E"/>
    <w:rsid w:val="197BC0B3"/>
    <w:rsid w:val="1A3FCFA4"/>
    <w:rsid w:val="1A9E32EA"/>
    <w:rsid w:val="1AB2EB63"/>
    <w:rsid w:val="1C0264FC"/>
    <w:rsid w:val="1C8D4E2C"/>
    <w:rsid w:val="1F03780C"/>
    <w:rsid w:val="1F29420B"/>
    <w:rsid w:val="2029D3EB"/>
    <w:rsid w:val="2079AE57"/>
    <w:rsid w:val="209D055C"/>
    <w:rsid w:val="20B23020"/>
    <w:rsid w:val="210912F8"/>
    <w:rsid w:val="2155B879"/>
    <w:rsid w:val="21AB255A"/>
    <w:rsid w:val="227C4B1D"/>
    <w:rsid w:val="2282EA30"/>
    <w:rsid w:val="22967BAD"/>
    <w:rsid w:val="22FED36F"/>
    <w:rsid w:val="24080038"/>
    <w:rsid w:val="243607B5"/>
    <w:rsid w:val="24C2BC70"/>
    <w:rsid w:val="25F64561"/>
    <w:rsid w:val="2630883C"/>
    <w:rsid w:val="2683CBEE"/>
    <w:rsid w:val="274F999C"/>
    <w:rsid w:val="2777EBF8"/>
    <w:rsid w:val="27CC65BA"/>
    <w:rsid w:val="27FF6224"/>
    <w:rsid w:val="28041812"/>
    <w:rsid w:val="28072C6B"/>
    <w:rsid w:val="282BEB2F"/>
    <w:rsid w:val="28627772"/>
    <w:rsid w:val="28C165CA"/>
    <w:rsid w:val="28CD23E0"/>
    <w:rsid w:val="29DB97D3"/>
    <w:rsid w:val="29EB0A7F"/>
    <w:rsid w:val="2A9F2F61"/>
    <w:rsid w:val="2B867A30"/>
    <w:rsid w:val="2C1D1758"/>
    <w:rsid w:val="2C331FB3"/>
    <w:rsid w:val="2C362ACC"/>
    <w:rsid w:val="2DF5B6EF"/>
    <w:rsid w:val="2EE49B8B"/>
    <w:rsid w:val="2F9DB56C"/>
    <w:rsid w:val="3011A9B0"/>
    <w:rsid w:val="30463421"/>
    <w:rsid w:val="309B7FDD"/>
    <w:rsid w:val="31984EBB"/>
    <w:rsid w:val="321BFEC3"/>
    <w:rsid w:val="32AF47C8"/>
    <w:rsid w:val="336F9D52"/>
    <w:rsid w:val="33879C83"/>
    <w:rsid w:val="34031202"/>
    <w:rsid w:val="345FC7D7"/>
    <w:rsid w:val="34D14FF9"/>
    <w:rsid w:val="358AD98A"/>
    <w:rsid w:val="3658165E"/>
    <w:rsid w:val="37138EAE"/>
    <w:rsid w:val="3738613F"/>
    <w:rsid w:val="37898B4F"/>
    <w:rsid w:val="37E24F1B"/>
    <w:rsid w:val="37F1B53D"/>
    <w:rsid w:val="38A535D2"/>
    <w:rsid w:val="3A6200B0"/>
    <w:rsid w:val="3B2D1BDB"/>
    <w:rsid w:val="3B9AB929"/>
    <w:rsid w:val="3BEB4EDF"/>
    <w:rsid w:val="3BF7D7FA"/>
    <w:rsid w:val="3C659E9E"/>
    <w:rsid w:val="3C9F971B"/>
    <w:rsid w:val="3D131E7C"/>
    <w:rsid w:val="3DCC3B68"/>
    <w:rsid w:val="3DCD0BD9"/>
    <w:rsid w:val="3E320B92"/>
    <w:rsid w:val="3E981428"/>
    <w:rsid w:val="3EF5C1E5"/>
    <w:rsid w:val="3FDABB09"/>
    <w:rsid w:val="4118FD4F"/>
    <w:rsid w:val="41BD484A"/>
    <w:rsid w:val="4245D8F9"/>
    <w:rsid w:val="4304308B"/>
    <w:rsid w:val="43795970"/>
    <w:rsid w:val="44538B7A"/>
    <w:rsid w:val="452749BB"/>
    <w:rsid w:val="45452B67"/>
    <w:rsid w:val="45C17328"/>
    <w:rsid w:val="45D634E0"/>
    <w:rsid w:val="46DE6F8F"/>
    <w:rsid w:val="46FC6BFD"/>
    <w:rsid w:val="470D518A"/>
    <w:rsid w:val="4715D7D1"/>
    <w:rsid w:val="472C56FB"/>
    <w:rsid w:val="478FD587"/>
    <w:rsid w:val="47FACB4B"/>
    <w:rsid w:val="48263BD8"/>
    <w:rsid w:val="4848A861"/>
    <w:rsid w:val="490D55BD"/>
    <w:rsid w:val="492D23E8"/>
    <w:rsid w:val="49F60305"/>
    <w:rsid w:val="4B74119F"/>
    <w:rsid w:val="4B8397B4"/>
    <w:rsid w:val="4C074CF7"/>
    <w:rsid w:val="4C682F35"/>
    <w:rsid w:val="4D248381"/>
    <w:rsid w:val="4D25ECAB"/>
    <w:rsid w:val="4D88F8CF"/>
    <w:rsid w:val="4DADDF09"/>
    <w:rsid w:val="4E551115"/>
    <w:rsid w:val="4E9C26BA"/>
    <w:rsid w:val="4EA16665"/>
    <w:rsid w:val="4FAFB0AB"/>
    <w:rsid w:val="50DF5821"/>
    <w:rsid w:val="51FC2830"/>
    <w:rsid w:val="521ECE23"/>
    <w:rsid w:val="526C6EAF"/>
    <w:rsid w:val="52960BCF"/>
    <w:rsid w:val="529740B2"/>
    <w:rsid w:val="52D6BCEB"/>
    <w:rsid w:val="536A8D5D"/>
    <w:rsid w:val="541A4669"/>
    <w:rsid w:val="54698A9D"/>
    <w:rsid w:val="54C53DD2"/>
    <w:rsid w:val="54DECEE9"/>
    <w:rsid w:val="5752C6D4"/>
    <w:rsid w:val="579B7F92"/>
    <w:rsid w:val="5833BDC7"/>
    <w:rsid w:val="58F1DE95"/>
    <w:rsid w:val="5C3F2C88"/>
    <w:rsid w:val="5C83985A"/>
    <w:rsid w:val="5DCC6A13"/>
    <w:rsid w:val="5E6828E8"/>
    <w:rsid w:val="5EE7CCDF"/>
    <w:rsid w:val="5F3A2C32"/>
    <w:rsid w:val="5FB91F4E"/>
    <w:rsid w:val="60DAB38A"/>
    <w:rsid w:val="62C57911"/>
    <w:rsid w:val="635FFAF5"/>
    <w:rsid w:val="6422D207"/>
    <w:rsid w:val="64542530"/>
    <w:rsid w:val="6466DC92"/>
    <w:rsid w:val="6575A1F8"/>
    <w:rsid w:val="65F05B74"/>
    <w:rsid w:val="65F83970"/>
    <w:rsid w:val="66C706DC"/>
    <w:rsid w:val="67BBF132"/>
    <w:rsid w:val="67F8B867"/>
    <w:rsid w:val="67FA4393"/>
    <w:rsid w:val="67FBA0A3"/>
    <w:rsid w:val="680EC92E"/>
    <w:rsid w:val="6A7D1737"/>
    <w:rsid w:val="6AFCDD38"/>
    <w:rsid w:val="6B414FE7"/>
    <w:rsid w:val="6B905748"/>
    <w:rsid w:val="6BF21C68"/>
    <w:rsid w:val="6C5684E6"/>
    <w:rsid w:val="6DA136C0"/>
    <w:rsid w:val="6DD4EC61"/>
    <w:rsid w:val="6EC5F6F1"/>
    <w:rsid w:val="71F4B178"/>
    <w:rsid w:val="7266228D"/>
    <w:rsid w:val="728ECFB1"/>
    <w:rsid w:val="735DD207"/>
    <w:rsid w:val="73A451D5"/>
    <w:rsid w:val="752DFE8F"/>
    <w:rsid w:val="76B55968"/>
    <w:rsid w:val="773C8705"/>
    <w:rsid w:val="775A0FD1"/>
    <w:rsid w:val="775A6182"/>
    <w:rsid w:val="7819599C"/>
    <w:rsid w:val="7849B7FA"/>
    <w:rsid w:val="78C37DDE"/>
    <w:rsid w:val="78CD1FC8"/>
    <w:rsid w:val="794A1DD0"/>
    <w:rsid w:val="7AB8099A"/>
    <w:rsid w:val="7C24B435"/>
    <w:rsid w:val="7C2FE643"/>
    <w:rsid w:val="7CADFDCF"/>
    <w:rsid w:val="7D4ED0C8"/>
    <w:rsid w:val="7D6D3BB0"/>
    <w:rsid w:val="7E2322DB"/>
    <w:rsid w:val="7E66542D"/>
    <w:rsid w:val="7F50B164"/>
    <w:rsid w:val="7F98C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686EE"/>
  <w15:chartTrackingRefBased/>
  <w15:docId w15:val="{3D704BF2-C2C0-EE4A-9B4C-AA30B563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77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A356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A356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A356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A356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8A356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8A356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8A356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A356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A356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3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568"/>
    <w:rPr>
      <w:rFonts w:eastAsiaTheme="majorEastAsia" w:cstheme="majorBidi"/>
      <w:color w:val="272727" w:themeColor="text1" w:themeTint="D8"/>
    </w:rPr>
  </w:style>
  <w:style w:type="paragraph" w:styleId="Title">
    <w:name w:val="Title"/>
    <w:basedOn w:val="Normal"/>
    <w:next w:val="Normal"/>
    <w:link w:val="TitleChar"/>
    <w:uiPriority w:val="10"/>
    <w:qFormat/>
    <w:rsid w:val="008A356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A3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56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A3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568"/>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A3568"/>
    <w:rPr>
      <w:i/>
      <w:iCs/>
      <w:color w:val="404040" w:themeColor="text1" w:themeTint="BF"/>
    </w:rPr>
  </w:style>
  <w:style w:type="paragraph" w:styleId="ListParagraph">
    <w:name w:val="List Paragraph"/>
    <w:basedOn w:val="Normal"/>
    <w:uiPriority w:val="34"/>
    <w:qFormat/>
    <w:rsid w:val="008A3568"/>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A3568"/>
    <w:rPr>
      <w:i/>
      <w:iCs/>
      <w:color w:val="0F4761" w:themeColor="accent1" w:themeShade="BF"/>
    </w:rPr>
  </w:style>
  <w:style w:type="paragraph" w:styleId="IntenseQuote">
    <w:name w:val="Intense Quote"/>
    <w:basedOn w:val="Normal"/>
    <w:next w:val="Normal"/>
    <w:link w:val="IntenseQuoteChar"/>
    <w:uiPriority w:val="30"/>
    <w:qFormat/>
    <w:rsid w:val="008A356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A3568"/>
    <w:rPr>
      <w:i/>
      <w:iCs/>
      <w:color w:val="0F4761" w:themeColor="accent1" w:themeShade="BF"/>
    </w:rPr>
  </w:style>
  <w:style w:type="character" w:styleId="IntenseReference">
    <w:name w:val="Intense Reference"/>
    <w:basedOn w:val="DefaultParagraphFont"/>
    <w:uiPriority w:val="32"/>
    <w:qFormat/>
    <w:rsid w:val="008A3568"/>
    <w:rPr>
      <w:b/>
      <w:bCs/>
      <w:smallCaps/>
      <w:color w:val="0F4761" w:themeColor="accent1" w:themeShade="BF"/>
      <w:spacing w:val="5"/>
    </w:rPr>
  </w:style>
  <w:style w:type="character" w:styleId="Strong">
    <w:name w:val="Strong"/>
    <w:basedOn w:val="DefaultParagraphFont"/>
    <w:uiPriority w:val="22"/>
    <w:qFormat/>
    <w:rsid w:val="00B24AD0"/>
    <w:rPr>
      <w:b/>
      <w:bCs/>
    </w:rPr>
  </w:style>
  <w:style w:type="paragraph" w:styleId="NormalWeb">
    <w:name w:val="Normal (Web)"/>
    <w:basedOn w:val="Normal"/>
    <w:uiPriority w:val="99"/>
    <w:unhideWhenUsed/>
    <w:rsid w:val="00B24AD0"/>
    <w:pPr>
      <w:spacing w:before="100" w:beforeAutospacing="1" w:after="100" w:afterAutospacing="1"/>
    </w:pPr>
  </w:style>
  <w:style w:type="character" w:styleId="Hyperlink">
    <w:name w:val="Hyperlink"/>
    <w:basedOn w:val="DefaultParagraphFont"/>
    <w:uiPriority w:val="99"/>
    <w:unhideWhenUsed/>
    <w:rsid w:val="000A1391"/>
    <w:rPr>
      <w:color w:val="467886" w:themeColor="hyperlink"/>
      <w:u w:val="single"/>
    </w:rPr>
  </w:style>
  <w:style w:type="character" w:styleId="UnresolvedMention">
    <w:name w:val="Unresolved Mention"/>
    <w:basedOn w:val="DefaultParagraphFont"/>
    <w:uiPriority w:val="99"/>
    <w:semiHidden/>
    <w:unhideWhenUsed/>
    <w:rsid w:val="000A1391"/>
    <w:rPr>
      <w:color w:val="605E5C"/>
      <w:shd w:val="clear" w:color="auto" w:fill="E1DFDD"/>
    </w:rPr>
  </w:style>
  <w:style w:type="character" w:customStyle="1" w:styleId="apple-converted-space">
    <w:name w:val="apple-converted-space"/>
    <w:basedOn w:val="DefaultParagraphFont"/>
    <w:rsid w:val="0061119C"/>
  </w:style>
  <w:style w:type="paragraph" w:styleId="CommentText">
    <w:name w:val="annotation text"/>
    <w:basedOn w:val="Normal"/>
    <w:link w:val="CommentTextChar"/>
    <w:uiPriority w:val="99"/>
    <w:semiHidden/>
    <w:unhideWhenUsed/>
    <w:rsid w:val="00DC1034"/>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semiHidden/>
    <w:rsid w:val="00DC1034"/>
    <w:rPr>
      <w:sz w:val="20"/>
      <w:szCs w:val="20"/>
    </w:rPr>
  </w:style>
  <w:style w:type="character" w:styleId="CommentReference">
    <w:name w:val="annotation reference"/>
    <w:basedOn w:val="DefaultParagraphFont"/>
    <w:uiPriority w:val="99"/>
    <w:semiHidden/>
    <w:unhideWhenUsed/>
    <w:rsid w:val="00DC1034"/>
    <w:rPr>
      <w:sz w:val="16"/>
      <w:szCs w:val="16"/>
    </w:rPr>
  </w:style>
  <w:style w:type="character" w:customStyle="1" w:styleId="vkekvd">
    <w:name w:val="vkekvd"/>
    <w:basedOn w:val="DefaultParagraphFont"/>
    <w:rsid w:val="0027377E"/>
  </w:style>
  <w:style w:type="character" w:customStyle="1" w:styleId="person">
    <w:name w:val="person"/>
    <w:basedOn w:val="DefaultParagraphFont"/>
    <w:rsid w:val="00BD2CC7"/>
  </w:style>
  <w:style w:type="character" w:customStyle="1" w:styleId="personname">
    <w:name w:val="person_name"/>
    <w:basedOn w:val="DefaultParagraphFont"/>
    <w:rsid w:val="00BD2CC7"/>
  </w:style>
  <w:style w:type="paragraph" w:styleId="TOC1">
    <w:name w:val="toc 1"/>
    <w:basedOn w:val="Normal"/>
    <w:next w:val="Normal"/>
    <w:uiPriority w:val="39"/>
    <w:unhideWhenUsed/>
    <w:rsid w:val="00396EDF"/>
    <w:pPr>
      <w:spacing w:after="100"/>
    </w:pPr>
  </w:style>
  <w:style w:type="character" w:styleId="Emphasis">
    <w:name w:val="Emphasis"/>
    <w:basedOn w:val="DefaultParagraphFont"/>
    <w:uiPriority w:val="20"/>
    <w:qFormat/>
    <w:rsid w:val="00B16301"/>
    <w:rPr>
      <w:i/>
      <w:iCs/>
    </w:rPr>
  </w:style>
  <w:style w:type="paragraph" w:styleId="TOC2">
    <w:name w:val="toc 2"/>
    <w:basedOn w:val="Normal"/>
    <w:next w:val="Normal"/>
    <w:uiPriority w:val="39"/>
    <w:unhideWhenUsed/>
    <w:rsid w:val="00F87A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6886">
      <w:bodyDiv w:val="1"/>
      <w:marLeft w:val="0"/>
      <w:marRight w:val="0"/>
      <w:marTop w:val="0"/>
      <w:marBottom w:val="0"/>
      <w:divBdr>
        <w:top w:val="none" w:sz="0" w:space="0" w:color="auto"/>
        <w:left w:val="none" w:sz="0" w:space="0" w:color="auto"/>
        <w:bottom w:val="none" w:sz="0" w:space="0" w:color="auto"/>
        <w:right w:val="none" w:sz="0" w:space="0" w:color="auto"/>
      </w:divBdr>
    </w:div>
    <w:div w:id="120880857">
      <w:bodyDiv w:val="1"/>
      <w:marLeft w:val="0"/>
      <w:marRight w:val="0"/>
      <w:marTop w:val="0"/>
      <w:marBottom w:val="0"/>
      <w:divBdr>
        <w:top w:val="none" w:sz="0" w:space="0" w:color="auto"/>
        <w:left w:val="none" w:sz="0" w:space="0" w:color="auto"/>
        <w:bottom w:val="none" w:sz="0" w:space="0" w:color="auto"/>
        <w:right w:val="none" w:sz="0" w:space="0" w:color="auto"/>
      </w:divBdr>
      <w:divsChild>
        <w:div w:id="1442994129">
          <w:marLeft w:val="-720"/>
          <w:marRight w:val="0"/>
          <w:marTop w:val="0"/>
          <w:marBottom w:val="0"/>
          <w:divBdr>
            <w:top w:val="none" w:sz="0" w:space="0" w:color="auto"/>
            <w:left w:val="none" w:sz="0" w:space="0" w:color="auto"/>
            <w:bottom w:val="none" w:sz="0" w:space="0" w:color="auto"/>
            <w:right w:val="none" w:sz="0" w:space="0" w:color="auto"/>
          </w:divBdr>
        </w:div>
      </w:divsChild>
    </w:div>
    <w:div w:id="147526083">
      <w:bodyDiv w:val="1"/>
      <w:marLeft w:val="0"/>
      <w:marRight w:val="0"/>
      <w:marTop w:val="0"/>
      <w:marBottom w:val="0"/>
      <w:divBdr>
        <w:top w:val="none" w:sz="0" w:space="0" w:color="auto"/>
        <w:left w:val="none" w:sz="0" w:space="0" w:color="auto"/>
        <w:bottom w:val="none" w:sz="0" w:space="0" w:color="auto"/>
        <w:right w:val="none" w:sz="0" w:space="0" w:color="auto"/>
      </w:divBdr>
      <w:divsChild>
        <w:div w:id="1222056849">
          <w:marLeft w:val="-720"/>
          <w:marRight w:val="0"/>
          <w:marTop w:val="0"/>
          <w:marBottom w:val="0"/>
          <w:divBdr>
            <w:top w:val="none" w:sz="0" w:space="0" w:color="auto"/>
            <w:left w:val="none" w:sz="0" w:space="0" w:color="auto"/>
            <w:bottom w:val="none" w:sz="0" w:space="0" w:color="auto"/>
            <w:right w:val="none" w:sz="0" w:space="0" w:color="auto"/>
          </w:divBdr>
        </w:div>
      </w:divsChild>
    </w:div>
    <w:div w:id="197939404">
      <w:bodyDiv w:val="1"/>
      <w:marLeft w:val="0"/>
      <w:marRight w:val="0"/>
      <w:marTop w:val="0"/>
      <w:marBottom w:val="0"/>
      <w:divBdr>
        <w:top w:val="none" w:sz="0" w:space="0" w:color="auto"/>
        <w:left w:val="none" w:sz="0" w:space="0" w:color="auto"/>
        <w:bottom w:val="none" w:sz="0" w:space="0" w:color="auto"/>
        <w:right w:val="none" w:sz="0" w:space="0" w:color="auto"/>
      </w:divBdr>
    </w:div>
    <w:div w:id="219828129">
      <w:bodyDiv w:val="1"/>
      <w:marLeft w:val="0"/>
      <w:marRight w:val="0"/>
      <w:marTop w:val="0"/>
      <w:marBottom w:val="0"/>
      <w:divBdr>
        <w:top w:val="none" w:sz="0" w:space="0" w:color="auto"/>
        <w:left w:val="none" w:sz="0" w:space="0" w:color="auto"/>
        <w:bottom w:val="none" w:sz="0" w:space="0" w:color="auto"/>
        <w:right w:val="none" w:sz="0" w:space="0" w:color="auto"/>
      </w:divBdr>
    </w:div>
    <w:div w:id="263811380">
      <w:bodyDiv w:val="1"/>
      <w:marLeft w:val="0"/>
      <w:marRight w:val="0"/>
      <w:marTop w:val="0"/>
      <w:marBottom w:val="0"/>
      <w:divBdr>
        <w:top w:val="none" w:sz="0" w:space="0" w:color="auto"/>
        <w:left w:val="none" w:sz="0" w:space="0" w:color="auto"/>
        <w:bottom w:val="none" w:sz="0" w:space="0" w:color="auto"/>
        <w:right w:val="none" w:sz="0" w:space="0" w:color="auto"/>
      </w:divBdr>
      <w:divsChild>
        <w:div w:id="776869229">
          <w:marLeft w:val="-720"/>
          <w:marRight w:val="0"/>
          <w:marTop w:val="0"/>
          <w:marBottom w:val="0"/>
          <w:divBdr>
            <w:top w:val="none" w:sz="0" w:space="0" w:color="auto"/>
            <w:left w:val="none" w:sz="0" w:space="0" w:color="auto"/>
            <w:bottom w:val="none" w:sz="0" w:space="0" w:color="auto"/>
            <w:right w:val="none" w:sz="0" w:space="0" w:color="auto"/>
          </w:divBdr>
        </w:div>
      </w:divsChild>
    </w:div>
    <w:div w:id="266277133">
      <w:bodyDiv w:val="1"/>
      <w:marLeft w:val="0"/>
      <w:marRight w:val="0"/>
      <w:marTop w:val="0"/>
      <w:marBottom w:val="0"/>
      <w:divBdr>
        <w:top w:val="none" w:sz="0" w:space="0" w:color="auto"/>
        <w:left w:val="none" w:sz="0" w:space="0" w:color="auto"/>
        <w:bottom w:val="none" w:sz="0" w:space="0" w:color="auto"/>
        <w:right w:val="none" w:sz="0" w:space="0" w:color="auto"/>
      </w:divBdr>
      <w:divsChild>
        <w:div w:id="1915626505">
          <w:marLeft w:val="-720"/>
          <w:marRight w:val="0"/>
          <w:marTop w:val="0"/>
          <w:marBottom w:val="0"/>
          <w:divBdr>
            <w:top w:val="none" w:sz="0" w:space="0" w:color="auto"/>
            <w:left w:val="none" w:sz="0" w:space="0" w:color="auto"/>
            <w:bottom w:val="none" w:sz="0" w:space="0" w:color="auto"/>
            <w:right w:val="none" w:sz="0" w:space="0" w:color="auto"/>
          </w:divBdr>
        </w:div>
      </w:divsChild>
    </w:div>
    <w:div w:id="268855433">
      <w:bodyDiv w:val="1"/>
      <w:marLeft w:val="0"/>
      <w:marRight w:val="0"/>
      <w:marTop w:val="0"/>
      <w:marBottom w:val="0"/>
      <w:divBdr>
        <w:top w:val="none" w:sz="0" w:space="0" w:color="auto"/>
        <w:left w:val="none" w:sz="0" w:space="0" w:color="auto"/>
        <w:bottom w:val="none" w:sz="0" w:space="0" w:color="auto"/>
        <w:right w:val="none" w:sz="0" w:space="0" w:color="auto"/>
      </w:divBdr>
      <w:divsChild>
        <w:div w:id="1033731815">
          <w:marLeft w:val="-720"/>
          <w:marRight w:val="0"/>
          <w:marTop w:val="0"/>
          <w:marBottom w:val="0"/>
          <w:divBdr>
            <w:top w:val="none" w:sz="0" w:space="0" w:color="auto"/>
            <w:left w:val="none" w:sz="0" w:space="0" w:color="auto"/>
            <w:bottom w:val="none" w:sz="0" w:space="0" w:color="auto"/>
            <w:right w:val="none" w:sz="0" w:space="0" w:color="auto"/>
          </w:divBdr>
        </w:div>
      </w:divsChild>
    </w:div>
    <w:div w:id="279189209">
      <w:bodyDiv w:val="1"/>
      <w:marLeft w:val="0"/>
      <w:marRight w:val="0"/>
      <w:marTop w:val="0"/>
      <w:marBottom w:val="0"/>
      <w:divBdr>
        <w:top w:val="none" w:sz="0" w:space="0" w:color="auto"/>
        <w:left w:val="none" w:sz="0" w:space="0" w:color="auto"/>
        <w:bottom w:val="none" w:sz="0" w:space="0" w:color="auto"/>
        <w:right w:val="none" w:sz="0" w:space="0" w:color="auto"/>
      </w:divBdr>
      <w:divsChild>
        <w:div w:id="842356369">
          <w:marLeft w:val="-720"/>
          <w:marRight w:val="0"/>
          <w:marTop w:val="0"/>
          <w:marBottom w:val="0"/>
          <w:divBdr>
            <w:top w:val="none" w:sz="0" w:space="0" w:color="auto"/>
            <w:left w:val="none" w:sz="0" w:space="0" w:color="auto"/>
            <w:bottom w:val="none" w:sz="0" w:space="0" w:color="auto"/>
            <w:right w:val="none" w:sz="0" w:space="0" w:color="auto"/>
          </w:divBdr>
        </w:div>
      </w:divsChild>
    </w:div>
    <w:div w:id="288634772">
      <w:bodyDiv w:val="1"/>
      <w:marLeft w:val="0"/>
      <w:marRight w:val="0"/>
      <w:marTop w:val="0"/>
      <w:marBottom w:val="0"/>
      <w:divBdr>
        <w:top w:val="none" w:sz="0" w:space="0" w:color="auto"/>
        <w:left w:val="none" w:sz="0" w:space="0" w:color="auto"/>
        <w:bottom w:val="none" w:sz="0" w:space="0" w:color="auto"/>
        <w:right w:val="none" w:sz="0" w:space="0" w:color="auto"/>
      </w:divBdr>
    </w:div>
    <w:div w:id="340663372">
      <w:bodyDiv w:val="1"/>
      <w:marLeft w:val="0"/>
      <w:marRight w:val="0"/>
      <w:marTop w:val="0"/>
      <w:marBottom w:val="0"/>
      <w:divBdr>
        <w:top w:val="none" w:sz="0" w:space="0" w:color="auto"/>
        <w:left w:val="none" w:sz="0" w:space="0" w:color="auto"/>
        <w:bottom w:val="none" w:sz="0" w:space="0" w:color="auto"/>
        <w:right w:val="none" w:sz="0" w:space="0" w:color="auto"/>
      </w:divBdr>
      <w:divsChild>
        <w:div w:id="1388069579">
          <w:marLeft w:val="-720"/>
          <w:marRight w:val="0"/>
          <w:marTop w:val="0"/>
          <w:marBottom w:val="0"/>
          <w:divBdr>
            <w:top w:val="none" w:sz="0" w:space="0" w:color="auto"/>
            <w:left w:val="none" w:sz="0" w:space="0" w:color="auto"/>
            <w:bottom w:val="none" w:sz="0" w:space="0" w:color="auto"/>
            <w:right w:val="none" w:sz="0" w:space="0" w:color="auto"/>
          </w:divBdr>
        </w:div>
      </w:divsChild>
    </w:div>
    <w:div w:id="367879918">
      <w:bodyDiv w:val="1"/>
      <w:marLeft w:val="0"/>
      <w:marRight w:val="0"/>
      <w:marTop w:val="0"/>
      <w:marBottom w:val="0"/>
      <w:divBdr>
        <w:top w:val="none" w:sz="0" w:space="0" w:color="auto"/>
        <w:left w:val="none" w:sz="0" w:space="0" w:color="auto"/>
        <w:bottom w:val="none" w:sz="0" w:space="0" w:color="auto"/>
        <w:right w:val="none" w:sz="0" w:space="0" w:color="auto"/>
      </w:divBdr>
      <w:divsChild>
        <w:div w:id="788863595">
          <w:marLeft w:val="-720"/>
          <w:marRight w:val="0"/>
          <w:marTop w:val="0"/>
          <w:marBottom w:val="0"/>
          <w:divBdr>
            <w:top w:val="none" w:sz="0" w:space="0" w:color="auto"/>
            <w:left w:val="none" w:sz="0" w:space="0" w:color="auto"/>
            <w:bottom w:val="none" w:sz="0" w:space="0" w:color="auto"/>
            <w:right w:val="none" w:sz="0" w:space="0" w:color="auto"/>
          </w:divBdr>
        </w:div>
      </w:divsChild>
    </w:div>
    <w:div w:id="390737008">
      <w:bodyDiv w:val="1"/>
      <w:marLeft w:val="0"/>
      <w:marRight w:val="0"/>
      <w:marTop w:val="0"/>
      <w:marBottom w:val="0"/>
      <w:divBdr>
        <w:top w:val="none" w:sz="0" w:space="0" w:color="auto"/>
        <w:left w:val="none" w:sz="0" w:space="0" w:color="auto"/>
        <w:bottom w:val="none" w:sz="0" w:space="0" w:color="auto"/>
        <w:right w:val="none" w:sz="0" w:space="0" w:color="auto"/>
      </w:divBdr>
    </w:div>
    <w:div w:id="488401258">
      <w:bodyDiv w:val="1"/>
      <w:marLeft w:val="0"/>
      <w:marRight w:val="0"/>
      <w:marTop w:val="0"/>
      <w:marBottom w:val="0"/>
      <w:divBdr>
        <w:top w:val="none" w:sz="0" w:space="0" w:color="auto"/>
        <w:left w:val="none" w:sz="0" w:space="0" w:color="auto"/>
        <w:bottom w:val="none" w:sz="0" w:space="0" w:color="auto"/>
        <w:right w:val="none" w:sz="0" w:space="0" w:color="auto"/>
      </w:divBdr>
      <w:divsChild>
        <w:div w:id="749431469">
          <w:marLeft w:val="0"/>
          <w:marRight w:val="0"/>
          <w:marTop w:val="0"/>
          <w:marBottom w:val="300"/>
          <w:divBdr>
            <w:top w:val="none" w:sz="0" w:space="0" w:color="auto"/>
            <w:left w:val="none" w:sz="0" w:space="0" w:color="auto"/>
            <w:bottom w:val="none" w:sz="0" w:space="0" w:color="auto"/>
            <w:right w:val="none" w:sz="0" w:space="0" w:color="auto"/>
          </w:divBdr>
          <w:divsChild>
            <w:div w:id="155643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66602">
      <w:bodyDiv w:val="1"/>
      <w:marLeft w:val="0"/>
      <w:marRight w:val="0"/>
      <w:marTop w:val="0"/>
      <w:marBottom w:val="0"/>
      <w:divBdr>
        <w:top w:val="none" w:sz="0" w:space="0" w:color="auto"/>
        <w:left w:val="none" w:sz="0" w:space="0" w:color="auto"/>
        <w:bottom w:val="none" w:sz="0" w:space="0" w:color="auto"/>
        <w:right w:val="none" w:sz="0" w:space="0" w:color="auto"/>
      </w:divBdr>
      <w:divsChild>
        <w:div w:id="1279948959">
          <w:marLeft w:val="-720"/>
          <w:marRight w:val="0"/>
          <w:marTop w:val="0"/>
          <w:marBottom w:val="0"/>
          <w:divBdr>
            <w:top w:val="none" w:sz="0" w:space="0" w:color="auto"/>
            <w:left w:val="none" w:sz="0" w:space="0" w:color="auto"/>
            <w:bottom w:val="none" w:sz="0" w:space="0" w:color="auto"/>
            <w:right w:val="none" w:sz="0" w:space="0" w:color="auto"/>
          </w:divBdr>
        </w:div>
      </w:divsChild>
    </w:div>
    <w:div w:id="685597198">
      <w:bodyDiv w:val="1"/>
      <w:marLeft w:val="0"/>
      <w:marRight w:val="0"/>
      <w:marTop w:val="0"/>
      <w:marBottom w:val="0"/>
      <w:divBdr>
        <w:top w:val="none" w:sz="0" w:space="0" w:color="auto"/>
        <w:left w:val="none" w:sz="0" w:space="0" w:color="auto"/>
        <w:bottom w:val="none" w:sz="0" w:space="0" w:color="auto"/>
        <w:right w:val="none" w:sz="0" w:space="0" w:color="auto"/>
      </w:divBdr>
      <w:divsChild>
        <w:div w:id="1709527664">
          <w:marLeft w:val="-720"/>
          <w:marRight w:val="0"/>
          <w:marTop w:val="0"/>
          <w:marBottom w:val="0"/>
          <w:divBdr>
            <w:top w:val="none" w:sz="0" w:space="0" w:color="auto"/>
            <w:left w:val="none" w:sz="0" w:space="0" w:color="auto"/>
            <w:bottom w:val="none" w:sz="0" w:space="0" w:color="auto"/>
            <w:right w:val="none" w:sz="0" w:space="0" w:color="auto"/>
          </w:divBdr>
        </w:div>
      </w:divsChild>
    </w:div>
    <w:div w:id="802885398">
      <w:bodyDiv w:val="1"/>
      <w:marLeft w:val="0"/>
      <w:marRight w:val="0"/>
      <w:marTop w:val="0"/>
      <w:marBottom w:val="0"/>
      <w:divBdr>
        <w:top w:val="none" w:sz="0" w:space="0" w:color="auto"/>
        <w:left w:val="none" w:sz="0" w:space="0" w:color="auto"/>
        <w:bottom w:val="none" w:sz="0" w:space="0" w:color="auto"/>
        <w:right w:val="none" w:sz="0" w:space="0" w:color="auto"/>
      </w:divBdr>
      <w:divsChild>
        <w:div w:id="1864250042">
          <w:marLeft w:val="-720"/>
          <w:marRight w:val="0"/>
          <w:marTop w:val="0"/>
          <w:marBottom w:val="0"/>
          <w:divBdr>
            <w:top w:val="none" w:sz="0" w:space="0" w:color="auto"/>
            <w:left w:val="none" w:sz="0" w:space="0" w:color="auto"/>
            <w:bottom w:val="none" w:sz="0" w:space="0" w:color="auto"/>
            <w:right w:val="none" w:sz="0" w:space="0" w:color="auto"/>
          </w:divBdr>
        </w:div>
      </w:divsChild>
    </w:div>
    <w:div w:id="847789204">
      <w:bodyDiv w:val="1"/>
      <w:marLeft w:val="0"/>
      <w:marRight w:val="0"/>
      <w:marTop w:val="0"/>
      <w:marBottom w:val="0"/>
      <w:divBdr>
        <w:top w:val="none" w:sz="0" w:space="0" w:color="auto"/>
        <w:left w:val="none" w:sz="0" w:space="0" w:color="auto"/>
        <w:bottom w:val="none" w:sz="0" w:space="0" w:color="auto"/>
        <w:right w:val="none" w:sz="0" w:space="0" w:color="auto"/>
      </w:divBdr>
      <w:divsChild>
        <w:div w:id="1224367222">
          <w:marLeft w:val="-720"/>
          <w:marRight w:val="0"/>
          <w:marTop w:val="0"/>
          <w:marBottom w:val="0"/>
          <w:divBdr>
            <w:top w:val="none" w:sz="0" w:space="0" w:color="auto"/>
            <w:left w:val="none" w:sz="0" w:space="0" w:color="auto"/>
            <w:bottom w:val="none" w:sz="0" w:space="0" w:color="auto"/>
            <w:right w:val="none" w:sz="0" w:space="0" w:color="auto"/>
          </w:divBdr>
        </w:div>
      </w:divsChild>
    </w:div>
    <w:div w:id="888296826">
      <w:bodyDiv w:val="1"/>
      <w:marLeft w:val="0"/>
      <w:marRight w:val="0"/>
      <w:marTop w:val="0"/>
      <w:marBottom w:val="0"/>
      <w:divBdr>
        <w:top w:val="none" w:sz="0" w:space="0" w:color="auto"/>
        <w:left w:val="none" w:sz="0" w:space="0" w:color="auto"/>
        <w:bottom w:val="none" w:sz="0" w:space="0" w:color="auto"/>
        <w:right w:val="none" w:sz="0" w:space="0" w:color="auto"/>
      </w:divBdr>
    </w:div>
    <w:div w:id="935751988">
      <w:bodyDiv w:val="1"/>
      <w:marLeft w:val="0"/>
      <w:marRight w:val="0"/>
      <w:marTop w:val="0"/>
      <w:marBottom w:val="0"/>
      <w:divBdr>
        <w:top w:val="none" w:sz="0" w:space="0" w:color="auto"/>
        <w:left w:val="none" w:sz="0" w:space="0" w:color="auto"/>
        <w:bottom w:val="none" w:sz="0" w:space="0" w:color="auto"/>
        <w:right w:val="none" w:sz="0" w:space="0" w:color="auto"/>
      </w:divBdr>
    </w:div>
    <w:div w:id="992216936">
      <w:bodyDiv w:val="1"/>
      <w:marLeft w:val="0"/>
      <w:marRight w:val="0"/>
      <w:marTop w:val="0"/>
      <w:marBottom w:val="0"/>
      <w:divBdr>
        <w:top w:val="none" w:sz="0" w:space="0" w:color="auto"/>
        <w:left w:val="none" w:sz="0" w:space="0" w:color="auto"/>
        <w:bottom w:val="none" w:sz="0" w:space="0" w:color="auto"/>
        <w:right w:val="none" w:sz="0" w:space="0" w:color="auto"/>
      </w:divBdr>
    </w:div>
    <w:div w:id="1121806651">
      <w:bodyDiv w:val="1"/>
      <w:marLeft w:val="0"/>
      <w:marRight w:val="0"/>
      <w:marTop w:val="0"/>
      <w:marBottom w:val="0"/>
      <w:divBdr>
        <w:top w:val="none" w:sz="0" w:space="0" w:color="auto"/>
        <w:left w:val="none" w:sz="0" w:space="0" w:color="auto"/>
        <w:bottom w:val="none" w:sz="0" w:space="0" w:color="auto"/>
        <w:right w:val="none" w:sz="0" w:space="0" w:color="auto"/>
      </w:divBdr>
      <w:divsChild>
        <w:div w:id="621810594">
          <w:marLeft w:val="-720"/>
          <w:marRight w:val="0"/>
          <w:marTop w:val="0"/>
          <w:marBottom w:val="0"/>
          <w:divBdr>
            <w:top w:val="none" w:sz="0" w:space="0" w:color="auto"/>
            <w:left w:val="none" w:sz="0" w:space="0" w:color="auto"/>
            <w:bottom w:val="none" w:sz="0" w:space="0" w:color="auto"/>
            <w:right w:val="none" w:sz="0" w:space="0" w:color="auto"/>
          </w:divBdr>
        </w:div>
      </w:divsChild>
    </w:div>
    <w:div w:id="1325162706">
      <w:bodyDiv w:val="1"/>
      <w:marLeft w:val="0"/>
      <w:marRight w:val="0"/>
      <w:marTop w:val="0"/>
      <w:marBottom w:val="0"/>
      <w:divBdr>
        <w:top w:val="none" w:sz="0" w:space="0" w:color="auto"/>
        <w:left w:val="none" w:sz="0" w:space="0" w:color="auto"/>
        <w:bottom w:val="none" w:sz="0" w:space="0" w:color="auto"/>
        <w:right w:val="none" w:sz="0" w:space="0" w:color="auto"/>
      </w:divBdr>
      <w:divsChild>
        <w:div w:id="2091661428">
          <w:marLeft w:val="-720"/>
          <w:marRight w:val="0"/>
          <w:marTop w:val="0"/>
          <w:marBottom w:val="0"/>
          <w:divBdr>
            <w:top w:val="none" w:sz="0" w:space="0" w:color="auto"/>
            <w:left w:val="none" w:sz="0" w:space="0" w:color="auto"/>
            <w:bottom w:val="none" w:sz="0" w:space="0" w:color="auto"/>
            <w:right w:val="none" w:sz="0" w:space="0" w:color="auto"/>
          </w:divBdr>
        </w:div>
      </w:divsChild>
    </w:div>
    <w:div w:id="2063286899">
      <w:bodyDiv w:val="1"/>
      <w:marLeft w:val="0"/>
      <w:marRight w:val="0"/>
      <w:marTop w:val="0"/>
      <w:marBottom w:val="0"/>
      <w:divBdr>
        <w:top w:val="none" w:sz="0" w:space="0" w:color="auto"/>
        <w:left w:val="none" w:sz="0" w:space="0" w:color="auto"/>
        <w:bottom w:val="none" w:sz="0" w:space="0" w:color="auto"/>
        <w:right w:val="none" w:sz="0" w:space="0" w:color="auto"/>
      </w:divBdr>
      <w:divsChild>
        <w:div w:id="183102407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9406940.2015.1024708" TargetMode="External"/><Relationship Id="rId18" Type="http://schemas.openxmlformats.org/officeDocument/2006/relationships/hyperlink" Target="https://doi.org/10.1080/13573322.2012.665803" TargetMode="External"/><Relationship Id="rId26" Type="http://schemas.openxmlformats.org/officeDocument/2006/relationships/hyperlink" Target="https://doi.org/10.3389/fspor.2025.1706060" TargetMode="External"/><Relationship Id="rId3" Type="http://schemas.openxmlformats.org/officeDocument/2006/relationships/settings" Target="settings.xml"/><Relationship Id="rId21" Type="http://schemas.openxmlformats.org/officeDocument/2006/relationships/hyperlink" Target="https://doi.org/10.1177/1747954118785503" TargetMode="External"/><Relationship Id="rId34" Type="http://schemas.openxmlformats.org/officeDocument/2006/relationships/theme" Target="theme/theme1.xml"/><Relationship Id="rId7" Type="http://schemas.openxmlformats.org/officeDocument/2006/relationships/hyperlink" Target="https://doi.org/10.1080/03014460.2019.1640284" TargetMode="External"/><Relationship Id="rId12" Type="http://schemas.openxmlformats.org/officeDocument/2006/relationships/hyperlink" Target="https://doi.org/10.3389/fspor.2021.741495" TargetMode="External"/><Relationship Id="rId17" Type="http://schemas.openxmlformats.org/officeDocument/2006/relationships/hyperlink" Target="https://doi.org/10.3389/fspor.2022.1025023" TargetMode="External"/><Relationship Id="rId25" Type="http://schemas.openxmlformats.org/officeDocument/2006/relationships/hyperlink" Target="https://doi.org/10.47206/ijsc.v4i1.30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02640414.2025.2456408" TargetMode="External"/><Relationship Id="rId20" Type="http://schemas.openxmlformats.org/officeDocument/2006/relationships/hyperlink" Target="https://doi.org/10.1007/s12178-021-09716-5" TargetMode="External"/><Relationship Id="rId29" Type="http://schemas.openxmlformats.org/officeDocument/2006/relationships/hyperlink" Target="https://doi.org/10.1080/21640629.2024.2429271" TargetMode="External"/><Relationship Id="rId1" Type="http://schemas.openxmlformats.org/officeDocument/2006/relationships/numbering" Target="numbering.xml"/><Relationship Id="rId6" Type="http://schemas.openxmlformats.org/officeDocument/2006/relationships/hyperlink" Target="https://doi.org/10.1123/kr.2023-0024" TargetMode="External"/><Relationship Id="rId11" Type="http://schemas.openxmlformats.org/officeDocument/2006/relationships/hyperlink" Target="https://doi.org/10.1080/02640414.2010.536849" TargetMode="External"/><Relationship Id="rId24" Type="http://schemas.openxmlformats.org/officeDocument/2006/relationships/hyperlink" Target="https://doi.org/10.1371/journal.pone.0285871" TargetMode="External"/><Relationship Id="rId32" Type="http://schemas.openxmlformats.org/officeDocument/2006/relationships/hyperlink" Target="https://doi.org/10.1080/02640410050120041" TargetMode="External"/><Relationship Id="rId5" Type="http://schemas.openxmlformats.org/officeDocument/2006/relationships/hyperlink" Target="https://doi.org/10.1080/02640414.2024.2388978" TargetMode="External"/><Relationship Id="rId15" Type="http://schemas.openxmlformats.org/officeDocument/2006/relationships/hyperlink" Target="https://doi.org/10.3390/sports10100159" TargetMode="External"/><Relationship Id="rId23" Type="http://schemas.openxmlformats.org/officeDocument/2006/relationships/hyperlink" Target="https://doi.org/10.1186/s13104-020-05083-5" TargetMode="External"/><Relationship Id="rId28" Type="http://schemas.openxmlformats.org/officeDocument/2006/relationships/hyperlink" Target="https://doi.org/10.1371/journal.pone.0260867" TargetMode="External"/><Relationship Id="rId10" Type="http://schemas.openxmlformats.org/officeDocument/2006/relationships/hyperlink" Target="https://www.reuters.com/" TargetMode="External"/><Relationship Id="rId19" Type="http://schemas.openxmlformats.org/officeDocument/2006/relationships/hyperlink" Target="https://doi.org/10.1260/174795406778604627" TargetMode="External"/><Relationship Id="rId31" Type="http://schemas.openxmlformats.org/officeDocument/2006/relationships/hyperlink" Target="https://doi.org/10.1080/02640410400021328" TargetMode="External"/><Relationship Id="rId4" Type="http://schemas.openxmlformats.org/officeDocument/2006/relationships/webSettings" Target="webSettings.xml"/><Relationship Id="rId9" Type="http://schemas.openxmlformats.org/officeDocument/2006/relationships/hyperlink" Target="https://doi.org/10.1080/02701367.2022.2148623" TargetMode="External"/><Relationship Id="rId14" Type="http://schemas.openxmlformats.org/officeDocument/2006/relationships/hyperlink" Target="https://doi.org/10.1111/ahg.12346" TargetMode="External"/><Relationship Id="rId22" Type="http://schemas.openxmlformats.org/officeDocument/2006/relationships/hyperlink" Target="https://doi.org/10.1016/j.hitech.2020.100383" TargetMode="External"/><Relationship Id="rId27" Type="http://schemas.openxmlformats.org/officeDocument/2006/relationships/hyperlink" Target="https://doi.org/10.1080/02640414.2018.1443746" TargetMode="External"/><Relationship Id="rId30" Type="http://schemas.openxmlformats.org/officeDocument/2006/relationships/hyperlink" Target="https://doi.org/10.1080/17509840701836867" TargetMode="External"/><Relationship Id="rId8" Type="http://schemas.openxmlformats.org/officeDocument/2006/relationships/hyperlink" Target="https://doi.org/10.1123/jsm.2018-0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4970</Words>
  <Characters>28335</Characters>
  <Application>Microsoft Office Word</Application>
  <DocSecurity>0</DocSecurity>
  <Lines>236</Lines>
  <Paragraphs>66</Paragraphs>
  <ScaleCrop>false</ScaleCrop>
  <Company/>
  <LinksUpToDate>false</LinksUpToDate>
  <CharactersWithSpaces>33239</CharactersWithSpaces>
  <SharedDoc>false</SharedDoc>
  <HLinks>
    <vt:vector size="234" baseType="variant">
      <vt:variant>
        <vt:i4>1638495</vt:i4>
      </vt:variant>
      <vt:variant>
        <vt:i4>150</vt:i4>
      </vt:variant>
      <vt:variant>
        <vt:i4>0</vt:i4>
      </vt:variant>
      <vt:variant>
        <vt:i4>5</vt:i4>
      </vt:variant>
      <vt:variant>
        <vt:lpwstr>https://doi.org/10.1080/02640410050120041</vt:lpwstr>
      </vt:variant>
      <vt:variant>
        <vt:lpwstr/>
      </vt:variant>
      <vt:variant>
        <vt:i4>1704024</vt:i4>
      </vt:variant>
      <vt:variant>
        <vt:i4>147</vt:i4>
      </vt:variant>
      <vt:variant>
        <vt:i4>0</vt:i4>
      </vt:variant>
      <vt:variant>
        <vt:i4>5</vt:i4>
      </vt:variant>
      <vt:variant>
        <vt:lpwstr>https://doi.org/10.1080/02640410400021328</vt:lpwstr>
      </vt:variant>
      <vt:variant>
        <vt:lpwstr/>
      </vt:variant>
      <vt:variant>
        <vt:i4>1835102</vt:i4>
      </vt:variant>
      <vt:variant>
        <vt:i4>144</vt:i4>
      </vt:variant>
      <vt:variant>
        <vt:i4>0</vt:i4>
      </vt:variant>
      <vt:variant>
        <vt:i4>5</vt:i4>
      </vt:variant>
      <vt:variant>
        <vt:lpwstr>https://doi.org/10.1080/17509840701836867</vt:lpwstr>
      </vt:variant>
      <vt:variant>
        <vt:lpwstr/>
      </vt:variant>
      <vt:variant>
        <vt:i4>327748</vt:i4>
      </vt:variant>
      <vt:variant>
        <vt:i4>141</vt:i4>
      </vt:variant>
      <vt:variant>
        <vt:i4>0</vt:i4>
      </vt:variant>
      <vt:variant>
        <vt:i4>5</vt:i4>
      </vt:variant>
      <vt:variant>
        <vt:lpwstr>https://doi.org/10.1080/21640629.2024.2429271</vt:lpwstr>
      </vt:variant>
      <vt:variant>
        <vt:lpwstr/>
      </vt:variant>
      <vt:variant>
        <vt:i4>4522049</vt:i4>
      </vt:variant>
      <vt:variant>
        <vt:i4>138</vt:i4>
      </vt:variant>
      <vt:variant>
        <vt:i4>0</vt:i4>
      </vt:variant>
      <vt:variant>
        <vt:i4>5</vt:i4>
      </vt:variant>
      <vt:variant>
        <vt:lpwstr>https://doi.org/10.1371/journal.pone.0260867</vt:lpwstr>
      </vt:variant>
      <vt:variant>
        <vt:lpwstr/>
      </vt:variant>
      <vt:variant>
        <vt:i4>196681</vt:i4>
      </vt:variant>
      <vt:variant>
        <vt:i4>135</vt:i4>
      </vt:variant>
      <vt:variant>
        <vt:i4>0</vt:i4>
      </vt:variant>
      <vt:variant>
        <vt:i4>5</vt:i4>
      </vt:variant>
      <vt:variant>
        <vt:lpwstr>https://doi.org/10.1080/02640414.2018.1443746</vt:lpwstr>
      </vt:variant>
      <vt:variant>
        <vt:lpwstr/>
      </vt:variant>
      <vt:variant>
        <vt:i4>3080237</vt:i4>
      </vt:variant>
      <vt:variant>
        <vt:i4>132</vt:i4>
      </vt:variant>
      <vt:variant>
        <vt:i4>0</vt:i4>
      </vt:variant>
      <vt:variant>
        <vt:i4>5</vt:i4>
      </vt:variant>
      <vt:variant>
        <vt:lpwstr>https://doi.org/10.3389/fspor.2025.1706060</vt:lpwstr>
      </vt:variant>
      <vt:variant>
        <vt:lpwstr/>
      </vt:variant>
      <vt:variant>
        <vt:i4>3997818</vt:i4>
      </vt:variant>
      <vt:variant>
        <vt:i4>129</vt:i4>
      </vt:variant>
      <vt:variant>
        <vt:i4>0</vt:i4>
      </vt:variant>
      <vt:variant>
        <vt:i4>5</vt:i4>
      </vt:variant>
      <vt:variant>
        <vt:lpwstr>https://doi.org/10.47206/ijsc.v4i1.302</vt:lpwstr>
      </vt:variant>
      <vt:variant>
        <vt:lpwstr/>
      </vt:variant>
      <vt:variant>
        <vt:i4>5046341</vt:i4>
      </vt:variant>
      <vt:variant>
        <vt:i4>126</vt:i4>
      </vt:variant>
      <vt:variant>
        <vt:i4>0</vt:i4>
      </vt:variant>
      <vt:variant>
        <vt:i4>5</vt:i4>
      </vt:variant>
      <vt:variant>
        <vt:lpwstr>https://doi.org/10.1371/journal.pone.0285871</vt:lpwstr>
      </vt:variant>
      <vt:variant>
        <vt:lpwstr/>
      </vt:variant>
      <vt:variant>
        <vt:i4>2687039</vt:i4>
      </vt:variant>
      <vt:variant>
        <vt:i4>123</vt:i4>
      </vt:variant>
      <vt:variant>
        <vt:i4>0</vt:i4>
      </vt:variant>
      <vt:variant>
        <vt:i4>5</vt:i4>
      </vt:variant>
      <vt:variant>
        <vt:lpwstr>https://doi.org/10.1186/s13104-020-05083-5</vt:lpwstr>
      </vt:variant>
      <vt:variant>
        <vt:lpwstr/>
      </vt:variant>
      <vt:variant>
        <vt:i4>4587614</vt:i4>
      </vt:variant>
      <vt:variant>
        <vt:i4>120</vt:i4>
      </vt:variant>
      <vt:variant>
        <vt:i4>0</vt:i4>
      </vt:variant>
      <vt:variant>
        <vt:i4>5</vt:i4>
      </vt:variant>
      <vt:variant>
        <vt:lpwstr>https://doi.org/10.1016/j.hitech.2020.100383</vt:lpwstr>
      </vt:variant>
      <vt:variant>
        <vt:lpwstr/>
      </vt:variant>
      <vt:variant>
        <vt:i4>1441879</vt:i4>
      </vt:variant>
      <vt:variant>
        <vt:i4>117</vt:i4>
      </vt:variant>
      <vt:variant>
        <vt:i4>0</vt:i4>
      </vt:variant>
      <vt:variant>
        <vt:i4>5</vt:i4>
      </vt:variant>
      <vt:variant>
        <vt:lpwstr>https://doi.org/10.1177/1747954118785503</vt:lpwstr>
      </vt:variant>
      <vt:variant>
        <vt:lpwstr/>
      </vt:variant>
      <vt:variant>
        <vt:i4>3014716</vt:i4>
      </vt:variant>
      <vt:variant>
        <vt:i4>114</vt:i4>
      </vt:variant>
      <vt:variant>
        <vt:i4>0</vt:i4>
      </vt:variant>
      <vt:variant>
        <vt:i4>5</vt:i4>
      </vt:variant>
      <vt:variant>
        <vt:lpwstr>https://doi.org/10.1007/s12178-021-09716-5</vt:lpwstr>
      </vt:variant>
      <vt:variant>
        <vt:lpwstr/>
      </vt:variant>
      <vt:variant>
        <vt:i4>3014753</vt:i4>
      </vt:variant>
      <vt:variant>
        <vt:i4>111</vt:i4>
      </vt:variant>
      <vt:variant>
        <vt:i4>0</vt:i4>
      </vt:variant>
      <vt:variant>
        <vt:i4>5</vt:i4>
      </vt:variant>
      <vt:variant>
        <vt:lpwstr>https://doi.org/10.1260/174795406778604627</vt:lpwstr>
      </vt:variant>
      <vt:variant>
        <vt:lpwstr/>
      </vt:variant>
      <vt:variant>
        <vt:i4>917568</vt:i4>
      </vt:variant>
      <vt:variant>
        <vt:i4>108</vt:i4>
      </vt:variant>
      <vt:variant>
        <vt:i4>0</vt:i4>
      </vt:variant>
      <vt:variant>
        <vt:i4>5</vt:i4>
      </vt:variant>
      <vt:variant>
        <vt:lpwstr>https://doi.org/10.1080/13573322.2012.665803</vt:lpwstr>
      </vt:variant>
      <vt:variant>
        <vt:lpwstr/>
      </vt:variant>
      <vt:variant>
        <vt:i4>2687021</vt:i4>
      </vt:variant>
      <vt:variant>
        <vt:i4>105</vt:i4>
      </vt:variant>
      <vt:variant>
        <vt:i4>0</vt:i4>
      </vt:variant>
      <vt:variant>
        <vt:i4>5</vt:i4>
      </vt:variant>
      <vt:variant>
        <vt:lpwstr>https://doi.org/10.3389/fspor.2022.1025023</vt:lpwstr>
      </vt:variant>
      <vt:variant>
        <vt:lpwstr/>
      </vt:variant>
      <vt:variant>
        <vt:i4>65605</vt:i4>
      </vt:variant>
      <vt:variant>
        <vt:i4>102</vt:i4>
      </vt:variant>
      <vt:variant>
        <vt:i4>0</vt:i4>
      </vt:variant>
      <vt:variant>
        <vt:i4>5</vt:i4>
      </vt:variant>
      <vt:variant>
        <vt:lpwstr>https://doi.org/10.1080/02640414.2025.2456408</vt:lpwstr>
      </vt:variant>
      <vt:variant>
        <vt:lpwstr/>
      </vt:variant>
      <vt:variant>
        <vt:i4>6357044</vt:i4>
      </vt:variant>
      <vt:variant>
        <vt:i4>99</vt:i4>
      </vt:variant>
      <vt:variant>
        <vt:i4>0</vt:i4>
      </vt:variant>
      <vt:variant>
        <vt:i4>5</vt:i4>
      </vt:variant>
      <vt:variant>
        <vt:lpwstr>https://doi.org/10.3390/sports10100159</vt:lpwstr>
      </vt:variant>
      <vt:variant>
        <vt:lpwstr/>
      </vt:variant>
      <vt:variant>
        <vt:i4>5374046</vt:i4>
      </vt:variant>
      <vt:variant>
        <vt:i4>96</vt:i4>
      </vt:variant>
      <vt:variant>
        <vt:i4>0</vt:i4>
      </vt:variant>
      <vt:variant>
        <vt:i4>5</vt:i4>
      </vt:variant>
      <vt:variant>
        <vt:lpwstr>https://doi.org/10.1111/ahg.12346</vt:lpwstr>
      </vt:variant>
      <vt:variant>
        <vt:lpwstr/>
      </vt:variant>
      <vt:variant>
        <vt:i4>131138</vt:i4>
      </vt:variant>
      <vt:variant>
        <vt:i4>93</vt:i4>
      </vt:variant>
      <vt:variant>
        <vt:i4>0</vt:i4>
      </vt:variant>
      <vt:variant>
        <vt:i4>5</vt:i4>
      </vt:variant>
      <vt:variant>
        <vt:lpwstr>https://doi.org/10.1080/19406940.2015.1024708</vt:lpwstr>
      </vt:variant>
      <vt:variant>
        <vt:lpwstr/>
      </vt:variant>
      <vt:variant>
        <vt:i4>1376282</vt:i4>
      </vt:variant>
      <vt:variant>
        <vt:i4>90</vt:i4>
      </vt:variant>
      <vt:variant>
        <vt:i4>0</vt:i4>
      </vt:variant>
      <vt:variant>
        <vt:i4>5</vt:i4>
      </vt:variant>
      <vt:variant>
        <vt:lpwstr>https://doi.org/10.3389/fspor.2021.741495</vt:lpwstr>
      </vt:variant>
      <vt:variant>
        <vt:lpwstr/>
      </vt:variant>
      <vt:variant>
        <vt:i4>131140</vt:i4>
      </vt:variant>
      <vt:variant>
        <vt:i4>87</vt:i4>
      </vt:variant>
      <vt:variant>
        <vt:i4>0</vt:i4>
      </vt:variant>
      <vt:variant>
        <vt:i4>5</vt:i4>
      </vt:variant>
      <vt:variant>
        <vt:lpwstr>https://doi.org/10.1080/02640414.2010.536849</vt:lpwstr>
      </vt:variant>
      <vt:variant>
        <vt:lpwstr/>
      </vt:variant>
      <vt:variant>
        <vt:i4>4522079</vt:i4>
      </vt:variant>
      <vt:variant>
        <vt:i4>84</vt:i4>
      </vt:variant>
      <vt:variant>
        <vt:i4>0</vt:i4>
      </vt:variant>
      <vt:variant>
        <vt:i4>5</vt:i4>
      </vt:variant>
      <vt:variant>
        <vt:lpwstr>https://www.reuters.com/</vt:lpwstr>
      </vt:variant>
      <vt:variant>
        <vt:lpwstr/>
      </vt:variant>
      <vt:variant>
        <vt:i4>524358</vt:i4>
      </vt:variant>
      <vt:variant>
        <vt:i4>81</vt:i4>
      </vt:variant>
      <vt:variant>
        <vt:i4>0</vt:i4>
      </vt:variant>
      <vt:variant>
        <vt:i4>5</vt:i4>
      </vt:variant>
      <vt:variant>
        <vt:lpwstr>https://doi.org/10.1080/02701367.2022.2148623</vt:lpwstr>
      </vt:variant>
      <vt:variant>
        <vt:lpwstr/>
      </vt:variant>
      <vt:variant>
        <vt:i4>4653121</vt:i4>
      </vt:variant>
      <vt:variant>
        <vt:i4>78</vt:i4>
      </vt:variant>
      <vt:variant>
        <vt:i4>0</vt:i4>
      </vt:variant>
      <vt:variant>
        <vt:i4>5</vt:i4>
      </vt:variant>
      <vt:variant>
        <vt:lpwstr>https://doi.org/10.1123/jsm.2018-0032</vt:lpwstr>
      </vt:variant>
      <vt:variant>
        <vt:lpwstr/>
      </vt:variant>
      <vt:variant>
        <vt:i4>917576</vt:i4>
      </vt:variant>
      <vt:variant>
        <vt:i4>75</vt:i4>
      </vt:variant>
      <vt:variant>
        <vt:i4>0</vt:i4>
      </vt:variant>
      <vt:variant>
        <vt:i4>5</vt:i4>
      </vt:variant>
      <vt:variant>
        <vt:lpwstr>https://doi.org/10.1080/03014460.2019.1640284</vt:lpwstr>
      </vt:variant>
      <vt:variant>
        <vt:lpwstr/>
      </vt:variant>
      <vt:variant>
        <vt:i4>4849692</vt:i4>
      </vt:variant>
      <vt:variant>
        <vt:i4>72</vt:i4>
      </vt:variant>
      <vt:variant>
        <vt:i4>0</vt:i4>
      </vt:variant>
      <vt:variant>
        <vt:i4>5</vt:i4>
      </vt:variant>
      <vt:variant>
        <vt:lpwstr>https://doi.org/10.1123/kr.2023-0024</vt:lpwstr>
      </vt:variant>
      <vt:variant>
        <vt:lpwstr/>
      </vt:variant>
      <vt:variant>
        <vt:i4>983108</vt:i4>
      </vt:variant>
      <vt:variant>
        <vt:i4>69</vt:i4>
      </vt:variant>
      <vt:variant>
        <vt:i4>0</vt:i4>
      </vt:variant>
      <vt:variant>
        <vt:i4>5</vt:i4>
      </vt:variant>
      <vt:variant>
        <vt:lpwstr>https://doi.org/10.1080/02640414.2024.2388978</vt:lpwstr>
      </vt:variant>
      <vt:variant>
        <vt:lpwstr/>
      </vt:variant>
      <vt:variant>
        <vt:i4>2949123</vt:i4>
      </vt:variant>
      <vt:variant>
        <vt:i4>62</vt:i4>
      </vt:variant>
      <vt:variant>
        <vt:i4>0</vt:i4>
      </vt:variant>
      <vt:variant>
        <vt:i4>5</vt:i4>
      </vt:variant>
      <vt:variant>
        <vt:lpwstr/>
      </vt:variant>
      <vt:variant>
        <vt:lpwstr>_Toc1985847755</vt:lpwstr>
      </vt:variant>
      <vt:variant>
        <vt:i4>1245247</vt:i4>
      </vt:variant>
      <vt:variant>
        <vt:i4>56</vt:i4>
      </vt:variant>
      <vt:variant>
        <vt:i4>0</vt:i4>
      </vt:variant>
      <vt:variant>
        <vt:i4>5</vt:i4>
      </vt:variant>
      <vt:variant>
        <vt:lpwstr/>
      </vt:variant>
      <vt:variant>
        <vt:lpwstr>_Toc299216595</vt:lpwstr>
      </vt:variant>
      <vt:variant>
        <vt:i4>1376310</vt:i4>
      </vt:variant>
      <vt:variant>
        <vt:i4>50</vt:i4>
      </vt:variant>
      <vt:variant>
        <vt:i4>0</vt:i4>
      </vt:variant>
      <vt:variant>
        <vt:i4>5</vt:i4>
      </vt:variant>
      <vt:variant>
        <vt:lpwstr/>
      </vt:variant>
      <vt:variant>
        <vt:lpwstr>_Toc660381865</vt:lpwstr>
      </vt:variant>
      <vt:variant>
        <vt:i4>2949123</vt:i4>
      </vt:variant>
      <vt:variant>
        <vt:i4>44</vt:i4>
      </vt:variant>
      <vt:variant>
        <vt:i4>0</vt:i4>
      </vt:variant>
      <vt:variant>
        <vt:i4>5</vt:i4>
      </vt:variant>
      <vt:variant>
        <vt:lpwstr/>
      </vt:variant>
      <vt:variant>
        <vt:lpwstr>_Toc1054454378</vt:lpwstr>
      </vt:variant>
      <vt:variant>
        <vt:i4>2097155</vt:i4>
      </vt:variant>
      <vt:variant>
        <vt:i4>38</vt:i4>
      </vt:variant>
      <vt:variant>
        <vt:i4>0</vt:i4>
      </vt:variant>
      <vt:variant>
        <vt:i4>5</vt:i4>
      </vt:variant>
      <vt:variant>
        <vt:lpwstr/>
      </vt:variant>
      <vt:variant>
        <vt:lpwstr>_Toc1053397439</vt:lpwstr>
      </vt:variant>
      <vt:variant>
        <vt:i4>2752523</vt:i4>
      </vt:variant>
      <vt:variant>
        <vt:i4>32</vt:i4>
      </vt:variant>
      <vt:variant>
        <vt:i4>0</vt:i4>
      </vt:variant>
      <vt:variant>
        <vt:i4>5</vt:i4>
      </vt:variant>
      <vt:variant>
        <vt:lpwstr/>
      </vt:variant>
      <vt:variant>
        <vt:lpwstr>_Toc1685647832</vt:lpwstr>
      </vt:variant>
      <vt:variant>
        <vt:i4>2097166</vt:i4>
      </vt:variant>
      <vt:variant>
        <vt:i4>26</vt:i4>
      </vt:variant>
      <vt:variant>
        <vt:i4>0</vt:i4>
      </vt:variant>
      <vt:variant>
        <vt:i4>5</vt:i4>
      </vt:variant>
      <vt:variant>
        <vt:lpwstr/>
      </vt:variant>
      <vt:variant>
        <vt:lpwstr>_Toc1318915528</vt:lpwstr>
      </vt:variant>
      <vt:variant>
        <vt:i4>1376316</vt:i4>
      </vt:variant>
      <vt:variant>
        <vt:i4>20</vt:i4>
      </vt:variant>
      <vt:variant>
        <vt:i4>0</vt:i4>
      </vt:variant>
      <vt:variant>
        <vt:i4>5</vt:i4>
      </vt:variant>
      <vt:variant>
        <vt:lpwstr/>
      </vt:variant>
      <vt:variant>
        <vt:lpwstr>_Toc453382366</vt:lpwstr>
      </vt:variant>
      <vt:variant>
        <vt:i4>2555909</vt:i4>
      </vt:variant>
      <vt:variant>
        <vt:i4>14</vt:i4>
      </vt:variant>
      <vt:variant>
        <vt:i4>0</vt:i4>
      </vt:variant>
      <vt:variant>
        <vt:i4>5</vt:i4>
      </vt:variant>
      <vt:variant>
        <vt:lpwstr/>
      </vt:variant>
      <vt:variant>
        <vt:lpwstr>_Toc1253910080</vt:lpwstr>
      </vt:variant>
      <vt:variant>
        <vt:i4>2293765</vt:i4>
      </vt:variant>
      <vt:variant>
        <vt:i4>8</vt:i4>
      </vt:variant>
      <vt:variant>
        <vt:i4>0</vt:i4>
      </vt:variant>
      <vt:variant>
        <vt:i4>5</vt:i4>
      </vt:variant>
      <vt:variant>
        <vt:lpwstr/>
      </vt:variant>
      <vt:variant>
        <vt:lpwstr>_Toc1358506926</vt:lpwstr>
      </vt:variant>
      <vt:variant>
        <vt:i4>1835063</vt:i4>
      </vt:variant>
      <vt:variant>
        <vt:i4>2</vt:i4>
      </vt:variant>
      <vt:variant>
        <vt:i4>0</vt:i4>
      </vt:variant>
      <vt:variant>
        <vt:i4>5</vt:i4>
      </vt:variant>
      <vt:variant>
        <vt:lpwstr/>
      </vt:variant>
      <vt:variant>
        <vt:lpwstr>_Toc478882361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Evans (2319136)</dc:creator>
  <cp:keywords/>
  <dc:description/>
  <cp:lastModifiedBy>Jacob Evans (2319136)</cp:lastModifiedBy>
  <cp:revision>2</cp:revision>
  <dcterms:created xsi:type="dcterms:W3CDTF">2026-01-11T18:22:00Z</dcterms:created>
  <dcterms:modified xsi:type="dcterms:W3CDTF">2026-01-11T18:22:00Z</dcterms:modified>
</cp:coreProperties>
</file>