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35C19" w14:textId="77777777" w:rsidR="00B34E6C" w:rsidRDefault="00B34E6C" w:rsidP="00B34E6C">
      <w:pPr>
        <w:rPr>
          <w:sz w:val="22"/>
        </w:rPr>
      </w:pPr>
    </w:p>
    <w:p w14:paraId="7A023503" w14:textId="77777777" w:rsidR="00F05698" w:rsidRDefault="00F05698" w:rsidP="00B34E6C">
      <w:pPr>
        <w:rPr>
          <w:sz w:val="22"/>
        </w:rPr>
      </w:pPr>
    </w:p>
    <w:p w14:paraId="63B32C8B" w14:textId="77777777" w:rsidR="00F05698" w:rsidRDefault="00F05698" w:rsidP="00B34E6C">
      <w:pPr>
        <w:rPr>
          <w:sz w:val="22"/>
        </w:rPr>
      </w:pPr>
    </w:p>
    <w:tbl>
      <w:tblPr>
        <w:tblStyle w:val="PlainTable1"/>
        <w:tblW w:w="9960" w:type="dxa"/>
        <w:tblInd w:w="0" w:type="dxa"/>
        <w:tblLayout w:type="fixed"/>
        <w:tblLook w:val="04A0" w:firstRow="1" w:lastRow="0" w:firstColumn="1" w:lastColumn="0" w:noHBand="0" w:noVBand="1"/>
      </w:tblPr>
      <w:tblGrid>
        <w:gridCol w:w="2988"/>
        <w:gridCol w:w="6972"/>
      </w:tblGrid>
      <w:tr w:rsidR="00B34E6C" w14:paraId="4F7DB0B5" w14:textId="77777777" w:rsidTr="00B34E6C">
        <w:trPr>
          <w:cnfStyle w:val="100000000000" w:firstRow="1" w:lastRow="0" w:firstColumn="0" w:lastColumn="0" w:oddVBand="0" w:evenVBand="0" w:oddHBand="0"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70F15E" w14:textId="77777777" w:rsidR="00B34E6C" w:rsidRDefault="00B34E6C">
            <w:r>
              <w:rPr>
                <w:rFonts w:eastAsia="Arial"/>
              </w:rPr>
              <w:t>Name:</w:t>
            </w:r>
          </w:p>
        </w:tc>
        <w:tc>
          <w:tcPr>
            <w:tcW w:w="6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E86529" w14:textId="41B9E14A" w:rsidR="00B34E6C" w:rsidRDefault="00E83269">
            <w:pPr>
              <w:cnfStyle w:val="100000000000" w:firstRow="1" w:lastRow="0" w:firstColumn="0" w:lastColumn="0" w:oddVBand="0" w:evenVBand="0" w:oddHBand="0" w:evenHBand="0" w:firstRowFirstColumn="0" w:firstRowLastColumn="0" w:lastRowFirstColumn="0" w:lastRowLastColumn="0"/>
            </w:pPr>
            <w:r>
              <w:t>Stephanie L. Chasteau-Nicholas</w:t>
            </w:r>
          </w:p>
        </w:tc>
      </w:tr>
      <w:tr w:rsidR="00B34E6C" w14:paraId="67C09CE8" w14:textId="77777777" w:rsidTr="00B34E6C">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F0EF4A" w14:textId="77777777" w:rsidR="00B34E6C" w:rsidRDefault="00B34E6C">
            <w:r>
              <w:rPr>
                <w:rFonts w:eastAsia="Arial"/>
              </w:rPr>
              <w:t>Student number:</w:t>
            </w:r>
          </w:p>
        </w:tc>
        <w:tc>
          <w:tcPr>
            <w:tcW w:w="6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18B40F" w14:textId="1F96E859" w:rsidR="00B34E6C" w:rsidRDefault="00DF45DC">
            <w:pPr>
              <w:cnfStyle w:val="000000100000" w:firstRow="0" w:lastRow="0" w:firstColumn="0" w:lastColumn="0" w:oddVBand="0" w:evenVBand="0" w:oddHBand="1" w:evenHBand="0" w:firstRowFirstColumn="0" w:firstRowLastColumn="0" w:lastRowFirstColumn="0" w:lastRowLastColumn="0"/>
            </w:pPr>
            <w:r>
              <w:t>2509863</w:t>
            </w:r>
          </w:p>
        </w:tc>
      </w:tr>
      <w:tr w:rsidR="00B34E6C" w14:paraId="58E21D81" w14:textId="77777777" w:rsidTr="00B34E6C">
        <w:trPr>
          <w:trHeight w:val="740"/>
        </w:trPr>
        <w:tc>
          <w:tcPr>
            <w:cnfStyle w:val="001000000000" w:firstRow="0" w:lastRow="0" w:firstColumn="1" w:lastColumn="0" w:oddVBand="0" w:evenVBand="0" w:oddHBand="0" w:evenHBand="0" w:firstRowFirstColumn="0" w:firstRowLastColumn="0" w:lastRowFirstColumn="0" w:lastRowLastColumn="0"/>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3505B0D" w14:textId="77777777" w:rsidR="00B34E6C" w:rsidRDefault="00B34E6C">
            <w:r>
              <w:rPr>
                <w:rFonts w:eastAsia="Arial"/>
              </w:rPr>
              <w:t>Module code and title:</w:t>
            </w:r>
          </w:p>
        </w:tc>
        <w:tc>
          <w:tcPr>
            <w:tcW w:w="6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C1FBB5" w14:textId="6F157471" w:rsidR="00B34E6C" w:rsidRDefault="00911E60">
            <w:pPr>
              <w:cnfStyle w:val="000000000000" w:firstRow="0" w:lastRow="0" w:firstColumn="0" w:lastColumn="0" w:oddVBand="0" w:evenVBand="0" w:oddHBand="0" w:evenHBand="0" w:firstRowFirstColumn="0" w:firstRowLastColumn="0" w:lastRowFirstColumn="0" w:lastRowLastColumn="0"/>
            </w:pPr>
            <w:r>
              <w:t>LCHS4008</w:t>
            </w:r>
          </w:p>
        </w:tc>
      </w:tr>
      <w:tr w:rsidR="00B34E6C" w14:paraId="6F7868A2" w14:textId="77777777" w:rsidTr="00B34E6C">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92B407" w14:textId="77777777" w:rsidR="00B34E6C" w:rsidRDefault="00B34E6C">
            <w:r>
              <w:rPr>
                <w:rFonts w:eastAsia="Arial"/>
              </w:rPr>
              <w:t>Lecturer’s name:</w:t>
            </w:r>
          </w:p>
        </w:tc>
        <w:tc>
          <w:tcPr>
            <w:tcW w:w="6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116C67" w14:textId="6772E515" w:rsidR="00B34E6C" w:rsidRDefault="00DF45DC">
            <w:pPr>
              <w:cnfStyle w:val="000000100000" w:firstRow="0" w:lastRow="0" w:firstColumn="0" w:lastColumn="0" w:oddVBand="0" w:evenVBand="0" w:oddHBand="1" w:evenHBand="0" w:firstRowFirstColumn="0" w:firstRowLastColumn="0" w:lastRowFirstColumn="0" w:lastRowLastColumn="0"/>
            </w:pPr>
            <w:r>
              <w:t>Patro</w:t>
            </w:r>
            <w:r w:rsidR="008C3A8A">
              <w:t xml:space="preserve">nella </w:t>
            </w:r>
            <w:r w:rsidR="00136065">
              <w:t>Ganza</w:t>
            </w:r>
          </w:p>
        </w:tc>
      </w:tr>
      <w:tr w:rsidR="00B34E6C" w14:paraId="2D29B882" w14:textId="77777777" w:rsidTr="00B34E6C">
        <w:trPr>
          <w:trHeight w:val="1481"/>
        </w:trPr>
        <w:tc>
          <w:tcPr>
            <w:cnfStyle w:val="001000000000" w:firstRow="0" w:lastRow="0" w:firstColumn="1" w:lastColumn="0" w:oddVBand="0" w:evenVBand="0" w:oddHBand="0" w:evenHBand="0" w:firstRowFirstColumn="0" w:firstRowLastColumn="0" w:lastRowFirstColumn="0" w:lastRowLastColumn="0"/>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52F80C" w14:textId="77777777" w:rsidR="00B34E6C" w:rsidRDefault="00B34E6C">
            <w:r>
              <w:rPr>
                <w:rFonts w:eastAsia="Arial"/>
              </w:rPr>
              <w:t>Assignment title:</w:t>
            </w:r>
          </w:p>
        </w:tc>
        <w:tc>
          <w:tcPr>
            <w:tcW w:w="6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02E575" w14:textId="2B47C246" w:rsidR="00B34E6C" w:rsidRPr="00C4754F" w:rsidRDefault="00C4754F" w:rsidP="00C4754F">
            <w:pPr>
              <w:jc w:val="left"/>
              <w:cnfStyle w:val="000000000000" w:firstRow="0" w:lastRow="0" w:firstColumn="0" w:lastColumn="0" w:oddVBand="0" w:evenVBand="0" w:oddHBand="0" w:evenHBand="0" w:firstRowFirstColumn="0" w:firstRowLastColumn="0" w:lastRowFirstColumn="0" w:lastRowLastColumn="0"/>
            </w:pPr>
            <w:r w:rsidRPr="008D7F98">
              <w:t>Type 1 Diabetes: Measurement, Control, Consequences and Community Support</w:t>
            </w:r>
          </w:p>
        </w:tc>
      </w:tr>
    </w:tbl>
    <w:p w14:paraId="4F4D0CAC" w14:textId="77777777" w:rsidR="00B34E6C" w:rsidRDefault="00B34E6C" w:rsidP="00F05698"/>
    <w:p w14:paraId="41BBE197" w14:textId="77777777" w:rsidR="00F05698" w:rsidRDefault="00F05698" w:rsidP="00F05698"/>
    <w:p w14:paraId="6A772877" w14:textId="77777777" w:rsidR="00F05698" w:rsidRDefault="00F05698" w:rsidP="00F05698"/>
    <w:p w14:paraId="6E78BA5A" w14:textId="77777777" w:rsidR="00F05698" w:rsidRDefault="00F05698" w:rsidP="00F05698"/>
    <w:p w14:paraId="02BA88B1" w14:textId="77777777" w:rsidR="00F05698" w:rsidRDefault="00F05698" w:rsidP="00F05698"/>
    <w:p w14:paraId="1B1F5F1A" w14:textId="77777777" w:rsidR="00F05698" w:rsidRDefault="00F05698" w:rsidP="00F05698"/>
    <w:p w14:paraId="4018558A" w14:textId="77777777" w:rsidR="00F05698" w:rsidRDefault="00F05698" w:rsidP="00F05698"/>
    <w:p w14:paraId="25852749" w14:textId="77777777" w:rsidR="00F05698" w:rsidRDefault="00F05698" w:rsidP="00F05698"/>
    <w:p w14:paraId="54E9C06D" w14:textId="77777777" w:rsidR="00F05698" w:rsidRDefault="00F05698" w:rsidP="00F05698"/>
    <w:p w14:paraId="47F24C08" w14:textId="77777777" w:rsidR="00F05698" w:rsidRDefault="00F05698" w:rsidP="00F05698"/>
    <w:p w14:paraId="18A1D658" w14:textId="77777777" w:rsidR="00F05698" w:rsidRDefault="00F05698" w:rsidP="00F05698"/>
    <w:p w14:paraId="3458EEDD" w14:textId="77777777" w:rsidR="00F05698" w:rsidRPr="00F05698" w:rsidRDefault="00F05698" w:rsidP="00F05698"/>
    <w:p w14:paraId="006EA961" w14:textId="77777777" w:rsidR="00195E31" w:rsidRDefault="00195E31" w:rsidP="00195E31">
      <w:pPr>
        <w:pStyle w:val="Heading1"/>
      </w:pPr>
      <w:r>
        <w:lastRenderedPageBreak/>
        <w:t>Introduction</w:t>
      </w:r>
    </w:p>
    <w:p w14:paraId="30649A86" w14:textId="77777777" w:rsidR="00195E31" w:rsidRDefault="00195E31" w:rsidP="00195E31">
      <w:r>
        <w:t>Type 1 diabetes mellitus is a serious disease where the body’s immune system attacks the insulin-producing cells only found in the pancreas. People with T1D produce little or no insulin internally, meaning that unless insulin is administered, blood glucose remains high (</w:t>
      </w:r>
      <w:proofErr w:type="spellStart"/>
      <w:r>
        <w:t>hyperglycaemia</w:t>
      </w:r>
      <w:proofErr w:type="spellEnd"/>
      <w:r>
        <w:t>).  The diagnosis of T1D occurs often in childhood but can occur at any age. Some of the symptoms of diabetes include frequent urination, excessive thirst, fatigue and weight-loss that is unexplained. Delayed treatment may cause DKA to develop. The lifestyle factors does not seem related with type 1 diabetes as with type 2. Genetic predisposition, family history and other autoimmune diseases are risk factors, while various environmental triggers have been conjectured by researchers (NICE, 2022). Type 1 diabetes (T1D) is a high disease burden According to IDF estimates (2025), 9.2 million people were living with T1D, including around 1.8 million children and adolescents, in 2024. In the UK, 4.7 million people are diagnosed with diabetes.</w:t>
      </w:r>
    </w:p>
    <w:p w14:paraId="1E88C792" w14:textId="77777777" w:rsidR="00195E31" w:rsidRDefault="00195E31" w:rsidP="00195E31">
      <w:pPr>
        <w:pStyle w:val="Heading2"/>
      </w:pPr>
      <w:r>
        <w:t>Approaches Used to Measure and Monitor Type 1 Diabetes</w:t>
      </w:r>
    </w:p>
    <w:p w14:paraId="005CF68F" w14:textId="77777777" w:rsidR="00195E31" w:rsidRDefault="00195E31" w:rsidP="00195E31">
      <w:r>
        <w:t xml:space="preserve">The diagnosis is done based on clinical features and blood glucose tests. Tests for diabetes-specific autoantibodies and C-peptide alias will assist to classify autoimmune T1D from other diabetes when type is uncertain (NICE, 2022). A person showing signs of diabetes needs urgent assessment because they can deteriorate quickly. Always consider DKA when vomit, abdominal ache or dehydration occurs. After diagnosis, testing glucose levels once each day is important for safe self-management. A fingerstick blood glucose test remains helpful if you have no readings from your sensor, or if symptoms don’t match the reading. The popularity of CGM (continuous glucose monitoring) is growing as it provides repeated readings, as well as arrows, showing whether the glucose is rising or falling. According to the latest guidelines of NICE (2022), education and review, adults with T1D should be offered real-time or intermittently scanned CGM. Clinicians and patients can use CGM data to assess time in range, patterns of </w:t>
      </w:r>
      <w:proofErr w:type="spellStart"/>
      <w:r>
        <w:t>hypoglycaemia</w:t>
      </w:r>
      <w:proofErr w:type="spellEnd"/>
      <w:r>
        <w:t xml:space="preserve"> and extended periods of </w:t>
      </w:r>
      <w:proofErr w:type="spellStart"/>
      <w:r>
        <w:t>hyperglycaemia</w:t>
      </w:r>
      <w:proofErr w:type="spellEnd"/>
      <w:r>
        <w:t xml:space="preserve"> rather than just spot readings. Control of Diabetes is assessed with HbA1c. HbA1c is the form of glucose bound to </w:t>
      </w:r>
      <w:proofErr w:type="spellStart"/>
      <w:r>
        <w:t>haemoglobin</w:t>
      </w:r>
      <w:proofErr w:type="spellEnd"/>
      <w:r>
        <w:t xml:space="preserve"> and reflects average glycaemia over the 2-3 months.</w:t>
      </w:r>
    </w:p>
    <w:p w14:paraId="096B84DC" w14:textId="77777777" w:rsidR="00195E31" w:rsidRDefault="00195E31" w:rsidP="00195E31">
      <w:r>
        <w:t xml:space="preserve">According to NICE guidelines (2022), measurement in adults who have type 1 diabetes should be conducted every 3-6 months. Long word for persistent hyperglycemia – Chronic hyperglycemia can affect the other organ system. Therefore, the monitoring should not only do glucose. The </w:t>
      </w:r>
      <w:r>
        <w:lastRenderedPageBreak/>
        <w:t>aforementioned means measuring blood pressure, cholesterol, kidney function and urinary albumin. The information gained by measurements allows the early detection of complications and potentially modifiable cardiovascular risk.   It is also important for service delivery. In England and Wales, 3,233 children and young people were newly diagnosed with type 1 diabetes in 2023/24 (RCPCH, 2026). Consequently, this health condition is still a public health issue.</w:t>
      </w:r>
    </w:p>
    <w:p w14:paraId="7CD4B0E4" w14:textId="77777777" w:rsidR="00195E31" w:rsidRDefault="00195E31" w:rsidP="00195E31">
      <w:r>
        <w:t>According to representative data from the Office for Health Improvement and Disparities in England, for the financial year ending March 2025, 43.0% of people with T1D received all eight reported recommended care processes and 30.7% achieved the three recorded treatment targets for HbA1c, blood pressure and statin prescription where appropriate (OHID, 2026).  This type of data audit facilitates geographical comparisons and measures the disparities.</w:t>
      </w:r>
    </w:p>
    <w:p w14:paraId="06931DE9" w14:textId="77777777" w:rsidR="00195E31" w:rsidRDefault="00195E31" w:rsidP="00195E31">
      <w:pPr>
        <w:pStyle w:val="Heading2"/>
      </w:pPr>
      <w:r>
        <w:t>How Type 1 Diabetes Is Controlled</w:t>
      </w:r>
    </w:p>
    <w:p w14:paraId="54EF22A0" w14:textId="77777777" w:rsidR="00195E31" w:rsidRDefault="00195E31" w:rsidP="00195E31">
      <w:r>
        <w:t xml:space="preserve">People with T1D need insulin for </w:t>
      </w:r>
      <w:proofErr w:type="spellStart"/>
      <w:r>
        <w:t>lif</w:t>
      </w:r>
      <w:proofErr w:type="spellEnd"/>
      <w:r>
        <w:t>. People with Type 1 Diabetes usually need long-acting insulin to suppress nighttime glucose production and short-acting insulin to cover each meal. So, to control things effectively, access to insulin is not enough; people also need knowledge and confidence to act more often.</w:t>
      </w:r>
    </w:p>
    <w:p w14:paraId="751029B1" w14:textId="77777777" w:rsidR="00195E31" w:rsidRDefault="00195E31" w:rsidP="00195E31">
      <w:r>
        <w:t>According to the 2021 ADA and EASD Consensus Diabetes Clinical Report (Holt et al 2021), the T1D management in adults must involve a person-</w:t>
      </w:r>
      <w:proofErr w:type="spellStart"/>
      <w:r>
        <w:t>centred</w:t>
      </w:r>
      <w:proofErr w:type="spellEnd"/>
      <w:r>
        <w:t xml:space="preserve"> care, structured education, effective communication and shared decision-making. Systematic education regarding carb counting, adjusting doses of insulin, preventing and treating </w:t>
      </w:r>
      <w:proofErr w:type="spellStart"/>
      <w:r>
        <w:t>hypoglycaemia</w:t>
      </w:r>
      <w:proofErr w:type="spellEnd"/>
      <w:r>
        <w:t xml:space="preserve">, exercise, sick days and blood glucose monitoring problem-solving teaches the proper use of insulin.  DAFNE refers to </w:t>
      </w:r>
      <w:proofErr w:type="spellStart"/>
      <w:r>
        <w:t>programmes</w:t>
      </w:r>
      <w:proofErr w:type="spellEnd"/>
      <w:r>
        <w:t xml:space="preserve"> which helps </w:t>
      </w:r>
      <w:proofErr w:type="spellStart"/>
      <w:r>
        <w:t>self manage</w:t>
      </w:r>
      <w:proofErr w:type="spellEnd"/>
      <w:r>
        <w:t xml:space="preserve"> diabetes easily without compromising everyday life.  Education has to change and upgrade during the course of treatment. The skills can fade and new demands can arise. Diabetes technology eases treatment burden and improves </w:t>
      </w:r>
      <w:proofErr w:type="spellStart"/>
      <w:r>
        <w:t>glycaemic</w:t>
      </w:r>
      <w:proofErr w:type="spellEnd"/>
      <w:r>
        <w:t xml:space="preserve"> control. Combination of CGM, insulin pump, and algorithm to automatically adjust insulin delivery based on sensor glucose is called hybrid closed-loop systems.</w:t>
      </w:r>
    </w:p>
    <w:p w14:paraId="081C55C7" w14:textId="77777777" w:rsidR="00195E31" w:rsidRDefault="00195E31" w:rsidP="00195E31">
      <w:r>
        <w:t xml:space="preserve">Though these systems continue to rely on inputs from users, especially around mealtimes and to manage devices, some users report increased time in range and lower </w:t>
      </w:r>
      <w:proofErr w:type="spellStart"/>
      <w:r>
        <w:t>hypoglycaemia</w:t>
      </w:r>
      <w:proofErr w:type="spellEnd"/>
      <w:r>
        <w:t xml:space="preserve"> episodes. Rather than making assumptions based on age, disadvantage, or background, access should be based on clinical need, informed choice, and ability to use safely. Controlling means preventing accidents and long-term consequences. Only urgent help when one is suspected to be DKA, clear </w:t>
      </w:r>
      <w:r>
        <w:lastRenderedPageBreak/>
        <w:t>plan to manage hypos, monitor ketones when sick, keep insulin when not well. Having a healthy diet, exercising more, giving up smoking, controlling blood pressure, taking care of feet, visiting dentists, and planning pregnancy when needed are all important for pre-diabetic people. The measures aren’t supposed to replace insulin but achieve that and lessen the risk of further complications.</w:t>
      </w:r>
    </w:p>
    <w:p w14:paraId="42136B1D" w14:textId="77777777" w:rsidR="00195E31" w:rsidRDefault="00195E31" w:rsidP="00195E31">
      <w:pPr>
        <w:pStyle w:val="Heading2"/>
      </w:pPr>
      <w:r>
        <w:t>Consequences of Type 1 Diabetes for Individuals and Communities</w:t>
      </w:r>
    </w:p>
    <w:p w14:paraId="7E011DBC" w14:textId="77777777" w:rsidR="00195E31" w:rsidRDefault="00195E31" w:rsidP="00195E31">
      <w:r>
        <w:t>Type 1 diabetes causes several acute and chronic physical, psychological and social problems.</w:t>
      </w:r>
    </w:p>
    <w:p w14:paraId="0BDEAC36" w14:textId="77777777" w:rsidR="00195E31" w:rsidRDefault="00195E31" w:rsidP="00195E31">
      <w:pPr>
        <w:pStyle w:val="Heading3"/>
      </w:pPr>
      <w:r>
        <w:t>Immediate Effects</w:t>
      </w:r>
    </w:p>
    <w:p w14:paraId="78815148" w14:textId="77777777" w:rsidR="00195E31" w:rsidRDefault="00195E31" w:rsidP="00195E31">
      <w:r>
        <w:t xml:space="preserve">The brain can become impaired permanently if </w:t>
      </w:r>
      <w:proofErr w:type="spellStart"/>
      <w:r>
        <w:t>hypoglycaemia</w:t>
      </w:r>
      <w:proofErr w:type="spellEnd"/>
      <w:r>
        <w:t xml:space="preserve"> is too severe and doesn't get controlled in time. A hospital emergency is required in DKA which can occur on the other end with a high dose of insulin deficiency. The International Diabetes Federation estimates that around 30,000 children and young people worldwide will die in 2024 from type 1 diabetes (T1D) onset without diagnosis. There are long-term differences in which patients are diagnosed, prescribed insulin and emergency care.</w:t>
      </w:r>
    </w:p>
    <w:p w14:paraId="141823CE" w14:textId="77777777" w:rsidR="00195E31" w:rsidRDefault="00195E31" w:rsidP="00195E31">
      <w:pPr>
        <w:pStyle w:val="Heading3"/>
      </w:pPr>
      <w:r>
        <w:t>Prolonged Consequences</w:t>
      </w:r>
    </w:p>
    <w:p w14:paraId="7D2257FF" w14:textId="77777777" w:rsidR="00195E31" w:rsidRDefault="00195E31" w:rsidP="00195E31">
      <w:r>
        <w:t xml:space="preserve">Continuous high glucose level in the body damages the blood vessels and nerves. Thus, it causes diabetic retinopathy, chronic kidney disease, peripheral neuropathy, foot ulceration, and cardiovascular disease. Risk can be influenced by factors like </w:t>
      </w:r>
      <w:proofErr w:type="spellStart"/>
      <w:r>
        <w:t>glycaemic</w:t>
      </w:r>
      <w:proofErr w:type="spellEnd"/>
      <w:r>
        <w:t xml:space="preserve"> exposure, blood pressure, and blood lipid levels.  Because many complications develop slowly before symptoms appear, regular screening, and prompt treatment are therefore important.</w:t>
      </w:r>
    </w:p>
    <w:p w14:paraId="2996BA63" w14:textId="77777777" w:rsidR="00195E31" w:rsidRDefault="00195E31" w:rsidP="00195E31">
      <w:pPr>
        <w:pStyle w:val="Heading3"/>
      </w:pPr>
      <w:r>
        <w:t>Psychosocial Effects</w:t>
      </w:r>
    </w:p>
    <w:p w14:paraId="16793F69" w14:textId="77777777" w:rsidR="00195E31" w:rsidRDefault="00195E31" w:rsidP="00195E31">
      <w:r>
        <w:t xml:space="preserve">People and their families suffer an ongoing mental and emotional burden due to the condition. You may have to make daily decisions about insulin, food, exercise, sleep, travel, school, or work. Diabetes distress, diabetes burnout, and fear of </w:t>
      </w:r>
      <w:proofErr w:type="spellStart"/>
      <w:r>
        <w:t>hypoglycaemia</w:t>
      </w:r>
      <w:proofErr w:type="spellEnd"/>
      <w:r>
        <w:t xml:space="preserve"> can affect your </w:t>
      </w:r>
      <w:proofErr w:type="spellStart"/>
      <w:r>
        <w:t>self management</w:t>
      </w:r>
      <w:proofErr w:type="spellEnd"/>
      <w:r>
        <w:t xml:space="preserve">. The impacts of health inequality. According to NHS England, children and young people living in deprived areas have higher HbA1c levels and a greater prevalence of DKA. National audit data also indicate variability in the fulfilment of recommended care processes across local systems (NHS England, 2026; OHID, 2026). It also matters that people can access services and maintain continuity of care, afford daily living, and be digitally included. The coordination of the process </w:t>
      </w:r>
      <w:r>
        <w:lastRenderedPageBreak/>
        <w:t xml:space="preserve">for the transition of  children and young people can be poorly </w:t>
      </w:r>
      <w:proofErr w:type="spellStart"/>
      <w:r>
        <w:t>co-ordinated</w:t>
      </w:r>
      <w:proofErr w:type="spellEnd"/>
      <w:r>
        <w:t xml:space="preserve"> which can enhance the risk.</w:t>
      </w:r>
    </w:p>
    <w:p w14:paraId="448251A5" w14:textId="77777777" w:rsidR="00195E31" w:rsidRDefault="00195E31" w:rsidP="00195E31">
      <w:pPr>
        <w:pStyle w:val="Heading2"/>
      </w:pPr>
      <w:r>
        <w:t>Health and Social Care Support Required Within the Community</w:t>
      </w:r>
    </w:p>
    <w:p w14:paraId="5683111D" w14:textId="77777777" w:rsidR="00195E31" w:rsidRDefault="00195E31" w:rsidP="00195E31">
      <w:r>
        <w:t xml:space="preserve">Community support should be personalized, practical and coordinated. Core multidisciplinary team usually consists of GPs, diabetes specialist nurses, dietitian, endocrinologist, or diabetologist. You might also need access to social care, maternity services, mental health professionals, pharmacists, retinal screening, renal services and podiatry and CV services. The support of parents, teachers, counsellors and </w:t>
      </w:r>
      <w:proofErr w:type="spellStart"/>
      <w:r>
        <w:t>paediatricians</w:t>
      </w:r>
      <w:proofErr w:type="spellEnd"/>
      <w:r>
        <w:t xml:space="preserve"> is needed by children and young adults who are reaching maturity for adult care planning.</w:t>
      </w:r>
    </w:p>
    <w:p w14:paraId="7D346E22" w14:textId="77777777" w:rsidR="00195E31" w:rsidRDefault="00195E31" w:rsidP="00195E31">
      <w:r>
        <w:t xml:space="preserve">Experts ought to give special assistance instead of just general advice. They ought to explore patterns of recurrent </w:t>
      </w:r>
      <w:proofErr w:type="spellStart"/>
      <w:r>
        <w:t>hypoglycaemia</w:t>
      </w:r>
      <w:proofErr w:type="spellEnd"/>
      <w:r>
        <w:t xml:space="preserve"> or </w:t>
      </w:r>
      <w:proofErr w:type="spellStart"/>
      <w:r>
        <w:t>hyperglycaemia</w:t>
      </w:r>
      <w:proofErr w:type="spellEnd"/>
      <w:r>
        <w:t xml:space="preserve"> together with the patient via CGM or glucose records, consider insulin doses and injection or pump technique, and confirm reliable access to insulin, testing ketones and monitoring supplies. People living with diabetes should allow HbA1c and complication screening and follow-up of abnormal results and missed appointments. Be sure to reinforce carbohydrate counting, sick day rules, </w:t>
      </w:r>
      <w:proofErr w:type="spellStart"/>
      <w:r>
        <w:t>hypoglycaemia</w:t>
      </w:r>
      <w:proofErr w:type="spellEnd"/>
      <w:r>
        <w:t xml:space="preserve"> treatment and DKA warning signs. We must assess the psychological and social needs. Health practitioners must note diabetes distress, anxiety, depressive symptoms, difficulty at school/work, financial distress and barriers to technology or appointment access.</w:t>
      </w:r>
    </w:p>
    <w:p w14:paraId="5F71FE11" w14:textId="77777777" w:rsidR="00195E31" w:rsidRDefault="00195E31" w:rsidP="00195E31">
      <w:r>
        <w:t>It may be appropriate to refer to peer support, social care or welfare advice once issues have been identified. As claimed by NHS England, good diabetes care is great diagnosis, great treatment, great self-management and mental wellbeing. By working together, services can decrease unnecessary hospitalizations and boost participation, allowing individuals to keep their autonomy and enhance their quality of life.</w:t>
      </w:r>
    </w:p>
    <w:p w14:paraId="332CCBC9" w14:textId="77777777" w:rsidR="00195E31" w:rsidRDefault="00195E31" w:rsidP="00195E31">
      <w:pPr>
        <w:pStyle w:val="Heading1"/>
      </w:pPr>
      <w:r>
        <w:t>Conclusion</w:t>
      </w:r>
    </w:p>
    <w:p w14:paraId="5892B04A" w14:textId="77777777" w:rsidR="00195E31" w:rsidRDefault="00195E31" w:rsidP="00195E31">
      <w:r>
        <w:t xml:space="preserve">Efficient coordination of self-care and professional care is essential for managing T1DM. According to the data, the disease burden is significant between countries. In the UK, some recommended monitoring and treatment targets are currently unmet. Therefore, effective management involves more than insulin prescription. People with diabetes can benefit from regular </w:t>
      </w:r>
      <w:r>
        <w:lastRenderedPageBreak/>
        <w:t>glucose monitoring, testing for HbA1c, screening for complications, structured education and appropriate access to CGM, as well as pumps and hybrid closed-loop systems.</w:t>
      </w:r>
    </w:p>
    <w:p w14:paraId="0E81F1A9" w14:textId="77777777" w:rsidR="00195E31" w:rsidRDefault="00195E31" w:rsidP="00195E31">
      <w:r>
        <w:t xml:space="preserve">Healthcare professionals should facilitate prevention and management of </w:t>
      </w:r>
      <w:proofErr w:type="spellStart"/>
      <w:r>
        <w:t>hypoglycaemia</w:t>
      </w:r>
      <w:proofErr w:type="spellEnd"/>
      <w:r>
        <w:t xml:space="preserve"> and DKA while acknowledging the emotional and social impact of the illness. Multidisciplinary community care connects specialist diabetes services, primary care, dietetics, mental health support, schools and social care where appropriate. Individuals lacking basic essentials, facing a technology gap, or encountering transition issues, must be treated with special care. When care is person-</w:t>
      </w:r>
      <w:proofErr w:type="spellStart"/>
      <w:r>
        <w:t>centred</w:t>
      </w:r>
      <w:proofErr w:type="spellEnd"/>
      <w:r>
        <w:t xml:space="preserve"> and fair, emergency admissions and avoidable complications can be cut while the rest of life and independence supported.</w:t>
      </w:r>
    </w:p>
    <w:p w14:paraId="72DA381F" w14:textId="77777777" w:rsidR="00F05698" w:rsidRDefault="00F05698" w:rsidP="00121138"/>
    <w:p w14:paraId="5A502F52" w14:textId="77777777" w:rsidR="009F246E" w:rsidRDefault="009F246E" w:rsidP="00121138"/>
    <w:p w14:paraId="5ABBF4AF" w14:textId="77777777" w:rsidR="009F246E" w:rsidRDefault="009F246E" w:rsidP="00121138"/>
    <w:p w14:paraId="56241DA6" w14:textId="77777777" w:rsidR="009F246E" w:rsidRDefault="009F246E" w:rsidP="00121138"/>
    <w:p w14:paraId="7F467E32" w14:textId="77777777" w:rsidR="009F246E" w:rsidRDefault="009F246E" w:rsidP="00121138"/>
    <w:p w14:paraId="79BC0394" w14:textId="77777777" w:rsidR="009F246E" w:rsidRDefault="009F246E" w:rsidP="00121138"/>
    <w:p w14:paraId="4F575199" w14:textId="77777777" w:rsidR="009F246E" w:rsidRDefault="009F246E" w:rsidP="00121138"/>
    <w:p w14:paraId="768F1596" w14:textId="77777777" w:rsidR="009F246E" w:rsidRDefault="009F246E" w:rsidP="00121138"/>
    <w:p w14:paraId="1E1C378E" w14:textId="77777777" w:rsidR="009F246E" w:rsidRDefault="009F246E" w:rsidP="00121138"/>
    <w:p w14:paraId="06261610" w14:textId="77777777" w:rsidR="009F246E" w:rsidRDefault="009F246E" w:rsidP="00121138"/>
    <w:p w14:paraId="08C5AB30" w14:textId="77777777" w:rsidR="009F246E" w:rsidRDefault="009F246E" w:rsidP="00121138"/>
    <w:p w14:paraId="4E96E3F4" w14:textId="77777777" w:rsidR="009F246E" w:rsidRDefault="009F246E" w:rsidP="00121138"/>
    <w:p w14:paraId="1E15A29A" w14:textId="77777777" w:rsidR="00F05698" w:rsidRDefault="00F05698" w:rsidP="00121138"/>
    <w:p w14:paraId="3FE8739E" w14:textId="77777777" w:rsidR="00F05698" w:rsidRDefault="00F05698" w:rsidP="00121138">
      <w:pPr>
        <w:rPr>
          <w:b/>
          <w:bCs/>
        </w:rPr>
      </w:pPr>
    </w:p>
    <w:p w14:paraId="56699ABF" w14:textId="1F51FE5C" w:rsidR="002A2590" w:rsidRDefault="005F7C3E" w:rsidP="00121138">
      <w:pPr>
        <w:pStyle w:val="Heading1"/>
        <w:jc w:val="center"/>
      </w:pPr>
      <w:r>
        <w:lastRenderedPageBreak/>
        <w:t>Reference</w:t>
      </w:r>
      <w:r w:rsidR="00121138">
        <w:t>s</w:t>
      </w:r>
    </w:p>
    <w:p w14:paraId="2C6279D7" w14:textId="77777777" w:rsidR="002A2590" w:rsidRDefault="005F7C3E" w:rsidP="00121138">
      <w:pPr>
        <w:ind w:left="720" w:hanging="720"/>
      </w:pPr>
      <w:r>
        <w:t>Diabetes UK (2026) How many people in the UK have diabetes? Available at: https://www.diabetes.org.uk/about-us/about-the-charity/our-strategy/statistics (Accessed: 10 August 2026).</w:t>
      </w:r>
    </w:p>
    <w:p w14:paraId="58E8E886" w14:textId="77777777" w:rsidR="002A2590" w:rsidRDefault="005F7C3E" w:rsidP="00121138">
      <w:pPr>
        <w:ind w:left="720" w:hanging="720"/>
      </w:pPr>
      <w:r>
        <w:t xml:space="preserve">Holt, R.I.G., DeVries, J.H., Hess-Fischl, A., Hirsch, I.B., Kirkman, M.S., </w:t>
      </w:r>
      <w:proofErr w:type="spellStart"/>
      <w:r>
        <w:t>Klupa</w:t>
      </w:r>
      <w:proofErr w:type="spellEnd"/>
      <w:r>
        <w:t xml:space="preserve">, T., Ludwig, B., Nørgaard, K., Pettus, J., Renard, E., Skyler, J.S., Snoek, F.J., Weinstock, R.S. and Peters, A.L. (2021) 'The management of type 1 diabetes in adults: A consensus report by the American Diabetes Association and the European Association for the Study of Diabetes', </w:t>
      </w:r>
      <w:proofErr w:type="spellStart"/>
      <w:r>
        <w:t>Diabetologia</w:t>
      </w:r>
      <w:proofErr w:type="spellEnd"/>
      <w:r>
        <w:t xml:space="preserve">, 64(12), pp. 2609-2652. </w:t>
      </w:r>
      <w:proofErr w:type="spellStart"/>
      <w:r>
        <w:t>doi</w:t>
      </w:r>
      <w:proofErr w:type="spellEnd"/>
      <w:r>
        <w:t>: 10.1007/s00125-021-05568-3.</w:t>
      </w:r>
    </w:p>
    <w:p w14:paraId="7A2D3817" w14:textId="77777777" w:rsidR="002A2590" w:rsidRDefault="005F7C3E" w:rsidP="00121138">
      <w:pPr>
        <w:ind w:left="720" w:hanging="720"/>
      </w:pPr>
      <w:r>
        <w:t xml:space="preserve">International Diabetes Federation (2025) IDF Diabetes Atlas. 11th </w:t>
      </w:r>
      <w:proofErr w:type="spellStart"/>
      <w:r>
        <w:t>edn</w:t>
      </w:r>
      <w:proofErr w:type="spellEnd"/>
      <w:r>
        <w:t>. Brussels: International Diabetes Federation. Available at: https://diabetesatlas.org/resources/idf-diabetes-atlas-2025/ (Accessed: 10 August 2026).</w:t>
      </w:r>
    </w:p>
    <w:p w14:paraId="33CDBB46" w14:textId="77777777" w:rsidR="002A2590" w:rsidRDefault="005F7C3E" w:rsidP="00121138">
      <w:pPr>
        <w:ind w:left="720" w:hanging="720"/>
      </w:pPr>
      <w:r>
        <w:t>National Institute for Health and Care Excellence (NICE) (2022) Type 1 diabetes in adults: diagnosis and management. NICE guideline NG17. Last updated 17 August 2022. Available at: https://www.nice.org.uk/guidance/ng17 (Accessed: 10 August 2026).</w:t>
      </w:r>
    </w:p>
    <w:p w14:paraId="76963C13" w14:textId="77777777" w:rsidR="002A2590" w:rsidRDefault="005F7C3E" w:rsidP="00121138">
      <w:pPr>
        <w:ind w:left="720" w:hanging="720"/>
      </w:pPr>
      <w:r>
        <w:t>NHS England (2026) Children and Young Adults (0 to 25 years) diabetes toolkit. Updated 13 March 2026. Available at: https://www.england.nhs.uk/long-read/children-and-young-people-diabetes-toolkit/ (Accessed: 10 August 2026).</w:t>
      </w:r>
    </w:p>
    <w:p w14:paraId="7C8BA853" w14:textId="77777777" w:rsidR="002A2590" w:rsidRDefault="005F7C3E" w:rsidP="00121138">
      <w:pPr>
        <w:ind w:left="720" w:hanging="720"/>
      </w:pPr>
      <w:r>
        <w:t>Office for Health Improvement and Disparities (OHID) (2026) Diabetes profile: statistical commentary, April 2026. London: Department of Health and Social Care. Available at: https://www.gov.uk/government/statistics/diabetes-profile-update-april-2026/diabetes-profile-statistical-commentary-april-2026 (Accessed: 10 August 2026).</w:t>
      </w:r>
    </w:p>
    <w:p w14:paraId="14C56912" w14:textId="77777777" w:rsidR="002A2590" w:rsidRDefault="005F7C3E" w:rsidP="00121138">
      <w:pPr>
        <w:ind w:left="720" w:hanging="720"/>
      </w:pPr>
      <w:r>
        <w:t xml:space="preserve">Royal College of </w:t>
      </w:r>
      <w:proofErr w:type="spellStart"/>
      <w:r>
        <w:t>Paediatrics</w:t>
      </w:r>
      <w:proofErr w:type="spellEnd"/>
      <w:r>
        <w:t xml:space="preserve"> and Child Health (RCPCH) (2026) National </w:t>
      </w:r>
      <w:proofErr w:type="spellStart"/>
      <w:r>
        <w:t>Paediatric</w:t>
      </w:r>
      <w:proofErr w:type="spellEnd"/>
      <w:r>
        <w:t xml:space="preserve"> Diabetes Audit: extended analysis on 2023-24 data. London: RCPCH. Available at: https://www.rcpch.ac.uk/resources/national-paediatric-diabetes-audit-npda-extended-analysis-2023-24-data (Accessed: 10 August 2026).</w:t>
      </w:r>
    </w:p>
    <w:sectPr w:rsidR="002A2590" w:rsidSect="00034616">
      <w:headerReference w:type="default" r:id="rId8"/>
      <w:footerReference w:type="default" r:id="rId9"/>
      <w:pgSz w:w="12240" w:h="15840"/>
      <w:pgMar w:top="1440" w:right="1440" w:bottom="1440" w:left="144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B21E2" w14:textId="77777777" w:rsidR="003E46FD" w:rsidRDefault="003E46FD">
      <w:pPr>
        <w:spacing w:after="0" w:line="240" w:lineRule="auto"/>
      </w:pPr>
      <w:r>
        <w:separator/>
      </w:r>
    </w:p>
  </w:endnote>
  <w:endnote w:type="continuationSeparator" w:id="0">
    <w:p w14:paraId="17AEC85D" w14:textId="77777777" w:rsidR="003E46FD" w:rsidRDefault="003E4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87651" w14:textId="3D9E536F" w:rsidR="002A2590" w:rsidRDefault="005F7C3E">
    <w:pPr>
      <w:pStyle w:val="Footer"/>
      <w:jc w:val="center"/>
    </w:pPr>
    <w:r>
      <w:rPr>
        <w:sz w:val="18"/>
      </w:rPr>
      <w:t xml:space="preserve">Page </w:t>
    </w:r>
    <w:r>
      <w:rPr>
        <w:sz w:val="18"/>
      </w:rPr>
      <w:fldChar w:fldCharType="begin"/>
    </w:r>
    <w:r>
      <w:rPr>
        <w:sz w:val="18"/>
      </w:rPr>
      <w:instrText xml:space="preserve"> PAGE </w:instrText>
    </w:r>
    <w:r>
      <w:rPr>
        <w:sz w:val="18"/>
      </w:rPr>
      <w:fldChar w:fldCharType="separate"/>
    </w:r>
    <w:r w:rsidR="00937944">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485D6" w14:textId="77777777" w:rsidR="003E46FD" w:rsidRDefault="003E46FD">
      <w:pPr>
        <w:spacing w:after="0" w:line="240" w:lineRule="auto"/>
      </w:pPr>
      <w:r>
        <w:separator/>
      </w:r>
    </w:p>
  </w:footnote>
  <w:footnote w:type="continuationSeparator" w:id="0">
    <w:p w14:paraId="25D83C68" w14:textId="77777777" w:rsidR="003E46FD" w:rsidRDefault="003E46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106C" w14:textId="3AC1AA10" w:rsidR="002A2590" w:rsidRDefault="002A259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54637663">
    <w:abstractNumId w:val="8"/>
  </w:num>
  <w:num w:numId="2" w16cid:durableId="1940479423">
    <w:abstractNumId w:val="6"/>
  </w:num>
  <w:num w:numId="3" w16cid:durableId="1299530710">
    <w:abstractNumId w:val="5"/>
  </w:num>
  <w:num w:numId="4" w16cid:durableId="804392386">
    <w:abstractNumId w:val="4"/>
  </w:num>
  <w:num w:numId="5" w16cid:durableId="2052917908">
    <w:abstractNumId w:val="7"/>
  </w:num>
  <w:num w:numId="6" w16cid:durableId="39523716">
    <w:abstractNumId w:val="3"/>
  </w:num>
  <w:num w:numId="7" w16cid:durableId="1322612689">
    <w:abstractNumId w:val="2"/>
  </w:num>
  <w:num w:numId="8" w16cid:durableId="2025325594">
    <w:abstractNumId w:val="1"/>
  </w:num>
  <w:num w:numId="9" w16cid:durableId="965282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3EED"/>
    <w:rsid w:val="00034616"/>
    <w:rsid w:val="0006063C"/>
    <w:rsid w:val="000618E7"/>
    <w:rsid w:val="00107CF5"/>
    <w:rsid w:val="00121138"/>
    <w:rsid w:val="00136065"/>
    <w:rsid w:val="0015074B"/>
    <w:rsid w:val="001619F1"/>
    <w:rsid w:val="0016613E"/>
    <w:rsid w:val="00195E31"/>
    <w:rsid w:val="0029639D"/>
    <w:rsid w:val="002A2590"/>
    <w:rsid w:val="002F4AA9"/>
    <w:rsid w:val="00326F90"/>
    <w:rsid w:val="003E46FD"/>
    <w:rsid w:val="0047233B"/>
    <w:rsid w:val="005F7C3E"/>
    <w:rsid w:val="007136D6"/>
    <w:rsid w:val="008449B8"/>
    <w:rsid w:val="008C3A8A"/>
    <w:rsid w:val="008D7F98"/>
    <w:rsid w:val="00911E60"/>
    <w:rsid w:val="00937944"/>
    <w:rsid w:val="00953A31"/>
    <w:rsid w:val="009812A4"/>
    <w:rsid w:val="009F246E"/>
    <w:rsid w:val="00A9373C"/>
    <w:rsid w:val="00AA1D8D"/>
    <w:rsid w:val="00B34E6C"/>
    <w:rsid w:val="00B47730"/>
    <w:rsid w:val="00B6395A"/>
    <w:rsid w:val="00BF5313"/>
    <w:rsid w:val="00C4754F"/>
    <w:rsid w:val="00CB0664"/>
    <w:rsid w:val="00DF45DC"/>
    <w:rsid w:val="00E83269"/>
    <w:rsid w:val="00EC709F"/>
    <w:rsid w:val="00ED2717"/>
    <w:rsid w:val="00F05698"/>
    <w:rsid w:val="00FC693F"/>
    <w:rsid w:val="00FE72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2AFBCA1-D972-4874-92C0-8A064616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8449B8"/>
    <w:pPr>
      <w:keepNext/>
      <w:keepLines/>
      <w:spacing w:before="20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449B8"/>
    <w:pPr>
      <w:keepNext/>
      <w:keepLines/>
      <w:spacing w:before="160" w:after="8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449B8"/>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8449B8"/>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449B8"/>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8449B8"/>
    <w:rPr>
      <w:rFonts w:ascii="Times New Roman" w:eastAsiaTheme="majorEastAsia" w:hAnsi="Times New Roman" w:cstheme="majorBidi"/>
      <w:b/>
      <w:bCs/>
      <w:sz w:val="24"/>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PlainTable1">
    <w:name w:val="Plain Table 1"/>
    <w:basedOn w:val="TableNormal"/>
    <w:uiPriority w:val="99"/>
    <w:rsid w:val="00B34E6C"/>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0722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1913</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12793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Stephanie Chasteau</cp:lastModifiedBy>
  <cp:revision>27</cp:revision>
  <dcterms:created xsi:type="dcterms:W3CDTF">2026-08-10T09:30:00Z</dcterms:created>
  <dcterms:modified xsi:type="dcterms:W3CDTF">2026-08-13T10:56:00Z</dcterms:modified>
  <cp:category/>
</cp:coreProperties>
</file>