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6C4A6" w14:textId="19DCFDC5" w:rsidR="000C0B76" w:rsidRPr="003C7226" w:rsidRDefault="000C0B76" w:rsidP="00C01326">
      <w:pPr>
        <w:spacing w:line="360" w:lineRule="auto"/>
        <w:rPr>
          <w:rFonts w:ascii="Arial" w:hAnsi="Arial" w:cs="Arial"/>
          <w:b/>
          <w:sz w:val="24"/>
          <w:szCs w:val="24"/>
        </w:rPr>
      </w:pPr>
    </w:p>
    <w:p w14:paraId="1D86DAD0" w14:textId="77777777" w:rsidR="00C01326" w:rsidRPr="00C01326" w:rsidRDefault="00C01326" w:rsidP="00C01326">
      <w:pPr>
        <w:spacing w:line="360" w:lineRule="auto"/>
        <w:jc w:val="center"/>
        <w:rPr>
          <w:rFonts w:ascii="Arial" w:hAnsi="Arial" w:cs="Arial"/>
          <w:b/>
          <w:sz w:val="24"/>
          <w:szCs w:val="24"/>
        </w:rPr>
      </w:pPr>
      <w:r w:rsidRPr="00C01326">
        <w:rPr>
          <w:rFonts w:ascii="Arial" w:hAnsi="Arial" w:cs="Arial"/>
          <w:b/>
          <w:sz w:val="24"/>
          <w:szCs w:val="24"/>
        </w:rPr>
        <w:t xml:space="preserve">Report Case Study: The </w:t>
      </w:r>
    </w:p>
    <w:p w14:paraId="6CE2E227" w14:textId="5985329B" w:rsidR="001B049A" w:rsidRPr="003C7226" w:rsidRDefault="00C01326" w:rsidP="00C01326">
      <w:pPr>
        <w:spacing w:line="360" w:lineRule="auto"/>
        <w:jc w:val="center"/>
        <w:rPr>
          <w:rFonts w:ascii="Arial" w:hAnsi="Arial" w:cs="Arial"/>
          <w:b/>
          <w:sz w:val="24"/>
          <w:szCs w:val="24"/>
        </w:rPr>
      </w:pPr>
      <w:r w:rsidRPr="00C01326">
        <w:rPr>
          <w:rFonts w:ascii="Arial" w:hAnsi="Arial" w:cs="Arial"/>
          <w:b/>
          <w:sz w:val="24"/>
          <w:szCs w:val="24"/>
        </w:rPr>
        <w:t>Seaview Resort</w:t>
      </w:r>
    </w:p>
    <w:p w14:paraId="570AE7CE" w14:textId="77777777" w:rsidR="001B049A" w:rsidRPr="003C7226" w:rsidRDefault="001B049A" w:rsidP="009A79A3">
      <w:pPr>
        <w:spacing w:line="360" w:lineRule="auto"/>
        <w:jc w:val="center"/>
        <w:rPr>
          <w:rFonts w:ascii="Arial" w:hAnsi="Arial" w:cs="Arial"/>
          <w:b/>
          <w:sz w:val="24"/>
          <w:szCs w:val="24"/>
        </w:rPr>
      </w:pPr>
    </w:p>
    <w:p w14:paraId="586BAA91" w14:textId="77777777" w:rsidR="001B049A" w:rsidRPr="003C7226" w:rsidRDefault="001B049A" w:rsidP="009A79A3">
      <w:pPr>
        <w:spacing w:line="360" w:lineRule="auto"/>
        <w:jc w:val="center"/>
        <w:rPr>
          <w:rFonts w:ascii="Arial" w:hAnsi="Arial" w:cs="Arial"/>
          <w:b/>
          <w:sz w:val="24"/>
          <w:szCs w:val="24"/>
        </w:rPr>
      </w:pPr>
    </w:p>
    <w:p w14:paraId="357B699F" w14:textId="77777777" w:rsidR="001B049A" w:rsidRPr="003C7226" w:rsidRDefault="001B049A" w:rsidP="009A79A3">
      <w:pPr>
        <w:spacing w:line="360" w:lineRule="auto"/>
        <w:jc w:val="center"/>
        <w:rPr>
          <w:rFonts w:ascii="Arial" w:hAnsi="Arial" w:cs="Arial"/>
          <w:b/>
          <w:sz w:val="24"/>
          <w:szCs w:val="24"/>
        </w:rPr>
      </w:pPr>
    </w:p>
    <w:p w14:paraId="5A8FD6A5" w14:textId="77777777" w:rsidR="001B049A" w:rsidRPr="003C7226" w:rsidRDefault="001B049A" w:rsidP="009A79A3">
      <w:pPr>
        <w:spacing w:line="360" w:lineRule="auto"/>
        <w:jc w:val="center"/>
        <w:rPr>
          <w:rFonts w:ascii="Arial" w:hAnsi="Arial" w:cs="Arial"/>
          <w:b/>
          <w:sz w:val="24"/>
          <w:szCs w:val="24"/>
        </w:rPr>
      </w:pPr>
    </w:p>
    <w:p w14:paraId="5B2A68A2" w14:textId="77777777" w:rsidR="001B049A" w:rsidRPr="003C7226" w:rsidRDefault="001B049A" w:rsidP="008C3072">
      <w:pPr>
        <w:pStyle w:val="Default"/>
        <w:spacing w:line="360" w:lineRule="auto"/>
        <w:rPr>
          <w:color w:val="auto"/>
        </w:rPr>
      </w:pPr>
    </w:p>
    <w:p w14:paraId="04FCEFE3" w14:textId="77777777" w:rsidR="001B049A" w:rsidRPr="003C7226" w:rsidRDefault="00BA1215" w:rsidP="008C3072">
      <w:pPr>
        <w:spacing w:line="360" w:lineRule="auto"/>
        <w:jc w:val="center"/>
        <w:rPr>
          <w:rFonts w:ascii="Arial" w:hAnsi="Arial" w:cs="Arial"/>
          <w:b/>
          <w:sz w:val="24"/>
          <w:szCs w:val="24"/>
        </w:rPr>
      </w:pPr>
      <w:r w:rsidRPr="003C7226">
        <w:rPr>
          <w:rFonts w:ascii="Arial" w:hAnsi="Arial" w:cs="Arial"/>
          <w:b/>
          <w:bCs/>
          <w:sz w:val="24"/>
          <w:szCs w:val="24"/>
        </w:rPr>
        <w:t>Financial Management for the Hotel Industry</w:t>
      </w:r>
    </w:p>
    <w:p w14:paraId="768B938E" w14:textId="77777777" w:rsidR="001B049A" w:rsidRPr="003C7226" w:rsidRDefault="001B049A" w:rsidP="008C3072">
      <w:pPr>
        <w:spacing w:line="360" w:lineRule="auto"/>
        <w:rPr>
          <w:rFonts w:ascii="Arial" w:hAnsi="Arial" w:cs="Arial"/>
          <w:b/>
          <w:sz w:val="24"/>
          <w:szCs w:val="24"/>
        </w:rPr>
      </w:pPr>
    </w:p>
    <w:p w14:paraId="63A8A259" w14:textId="075404BD" w:rsidR="001B049A" w:rsidRPr="003C7226" w:rsidRDefault="00BA1215" w:rsidP="008C3072">
      <w:pPr>
        <w:spacing w:after="0" w:line="360" w:lineRule="auto"/>
        <w:jc w:val="center"/>
        <w:rPr>
          <w:rFonts w:ascii="Arial" w:hAnsi="Arial" w:cs="Arial"/>
          <w:sz w:val="24"/>
          <w:szCs w:val="24"/>
        </w:rPr>
      </w:pPr>
      <w:r w:rsidRPr="003C7226">
        <w:rPr>
          <w:rFonts w:ascii="Arial" w:hAnsi="Arial" w:cs="Arial"/>
          <w:sz w:val="24"/>
          <w:szCs w:val="24"/>
        </w:rPr>
        <w:t xml:space="preserve">Student Name: </w:t>
      </w:r>
      <w:r w:rsidR="00C01326">
        <w:rPr>
          <w:rFonts w:ascii="Arial" w:hAnsi="Arial" w:cs="Arial"/>
          <w:sz w:val="24"/>
          <w:szCs w:val="24"/>
        </w:rPr>
        <w:t>Petronela Gardea</w:t>
      </w:r>
    </w:p>
    <w:p w14:paraId="57692299" w14:textId="0758CB69" w:rsidR="001B049A" w:rsidRPr="003C7226" w:rsidRDefault="00BA1215" w:rsidP="008C3072">
      <w:pPr>
        <w:spacing w:after="0" w:line="360" w:lineRule="auto"/>
        <w:jc w:val="center"/>
        <w:rPr>
          <w:rFonts w:ascii="Arial" w:hAnsi="Arial" w:cs="Arial"/>
          <w:sz w:val="24"/>
          <w:szCs w:val="24"/>
        </w:rPr>
      </w:pPr>
      <w:r w:rsidRPr="003C7226">
        <w:rPr>
          <w:rFonts w:ascii="Arial" w:hAnsi="Arial" w:cs="Arial"/>
          <w:sz w:val="24"/>
          <w:szCs w:val="24"/>
        </w:rPr>
        <w:t xml:space="preserve">Student’s Number: </w:t>
      </w:r>
      <w:r w:rsidR="00C01326">
        <w:rPr>
          <w:rFonts w:ascii="Arial" w:hAnsi="Arial" w:cs="Arial"/>
          <w:sz w:val="24"/>
          <w:szCs w:val="24"/>
        </w:rPr>
        <w:t>2122794</w:t>
      </w:r>
    </w:p>
    <w:p w14:paraId="7761217E" w14:textId="77777777" w:rsidR="001B049A" w:rsidRPr="003C7226" w:rsidRDefault="00BA1215" w:rsidP="008C3072">
      <w:pPr>
        <w:pStyle w:val="Default"/>
        <w:spacing w:line="360" w:lineRule="auto"/>
        <w:jc w:val="center"/>
        <w:rPr>
          <w:color w:val="auto"/>
        </w:rPr>
      </w:pPr>
      <w:r w:rsidRPr="003C7226">
        <w:rPr>
          <w:color w:val="auto"/>
        </w:rPr>
        <w:t>Course code:</w:t>
      </w:r>
      <w:r w:rsidR="00EF3608" w:rsidRPr="003C7226">
        <w:rPr>
          <w:color w:val="auto"/>
        </w:rPr>
        <w:t xml:space="preserve"> </w:t>
      </w:r>
      <w:r w:rsidR="00EF3608" w:rsidRPr="003C7226">
        <w:rPr>
          <w:bCs/>
          <w:color w:val="auto"/>
        </w:rPr>
        <w:t>BMIH5007</w:t>
      </w:r>
    </w:p>
    <w:p w14:paraId="644EDDC6" w14:textId="77777777" w:rsidR="00EF3608" w:rsidRPr="003C7226" w:rsidRDefault="00BA1215" w:rsidP="008C3072">
      <w:pPr>
        <w:pStyle w:val="Default"/>
        <w:spacing w:line="360" w:lineRule="auto"/>
        <w:jc w:val="center"/>
        <w:rPr>
          <w:bCs/>
          <w:color w:val="auto"/>
        </w:rPr>
      </w:pPr>
      <w:r w:rsidRPr="003C7226">
        <w:rPr>
          <w:color w:val="auto"/>
        </w:rPr>
        <w:t>Lecturer:</w:t>
      </w:r>
      <w:r w:rsidRPr="003C7226">
        <w:rPr>
          <w:bCs/>
          <w:color w:val="auto"/>
        </w:rPr>
        <w:t xml:space="preserve"> Tristan Hawkins</w:t>
      </w:r>
    </w:p>
    <w:p w14:paraId="409EF0A3" w14:textId="01C8DE7D" w:rsidR="001B049A" w:rsidRPr="003C7226" w:rsidRDefault="001B049A" w:rsidP="008C3072">
      <w:pPr>
        <w:pStyle w:val="Default"/>
        <w:spacing w:line="360" w:lineRule="auto"/>
        <w:jc w:val="center"/>
        <w:rPr>
          <w:color w:val="auto"/>
        </w:rPr>
      </w:pPr>
    </w:p>
    <w:p w14:paraId="2C8272C9" w14:textId="7C18C1FC" w:rsidR="001B049A" w:rsidRPr="003C7226" w:rsidRDefault="001B049A" w:rsidP="008C3072">
      <w:pPr>
        <w:spacing w:line="360" w:lineRule="auto"/>
        <w:jc w:val="center"/>
        <w:rPr>
          <w:rFonts w:ascii="Arial" w:hAnsi="Arial" w:cs="Arial"/>
          <w:b/>
          <w:sz w:val="24"/>
          <w:szCs w:val="24"/>
        </w:rPr>
      </w:pPr>
    </w:p>
    <w:p w14:paraId="237A4D22" w14:textId="77777777" w:rsidR="001B049A" w:rsidRPr="003C7226" w:rsidRDefault="001B049A" w:rsidP="008C3072">
      <w:pPr>
        <w:spacing w:line="360" w:lineRule="auto"/>
        <w:jc w:val="center"/>
        <w:rPr>
          <w:rFonts w:ascii="Arial" w:hAnsi="Arial" w:cs="Arial"/>
          <w:b/>
          <w:sz w:val="24"/>
          <w:szCs w:val="24"/>
        </w:rPr>
      </w:pPr>
    </w:p>
    <w:p w14:paraId="25EDC91A" w14:textId="77777777" w:rsidR="001B049A" w:rsidRPr="003C7226" w:rsidRDefault="001B049A" w:rsidP="009A79A3">
      <w:pPr>
        <w:spacing w:line="360" w:lineRule="auto"/>
        <w:jc w:val="center"/>
        <w:rPr>
          <w:rFonts w:ascii="Arial" w:hAnsi="Arial" w:cs="Arial"/>
          <w:b/>
          <w:sz w:val="24"/>
          <w:szCs w:val="24"/>
        </w:rPr>
      </w:pPr>
    </w:p>
    <w:p w14:paraId="2E48A351" w14:textId="77777777" w:rsidR="001B049A" w:rsidRPr="003C7226" w:rsidRDefault="001B049A" w:rsidP="009A79A3">
      <w:pPr>
        <w:spacing w:line="360" w:lineRule="auto"/>
        <w:jc w:val="center"/>
        <w:rPr>
          <w:rFonts w:ascii="Arial" w:hAnsi="Arial" w:cs="Arial"/>
          <w:b/>
          <w:sz w:val="24"/>
          <w:szCs w:val="24"/>
        </w:rPr>
      </w:pPr>
    </w:p>
    <w:p w14:paraId="33AE2F19" w14:textId="77777777" w:rsidR="001B049A" w:rsidRPr="003C7226" w:rsidRDefault="001B049A" w:rsidP="009A79A3">
      <w:pPr>
        <w:spacing w:line="360" w:lineRule="auto"/>
        <w:jc w:val="center"/>
        <w:rPr>
          <w:rFonts w:ascii="Arial" w:hAnsi="Arial" w:cs="Arial"/>
          <w:b/>
          <w:sz w:val="24"/>
          <w:szCs w:val="24"/>
        </w:rPr>
      </w:pPr>
    </w:p>
    <w:p w14:paraId="3C518F4D" w14:textId="77777777" w:rsidR="001B049A" w:rsidRPr="003C7226" w:rsidRDefault="001B049A" w:rsidP="009A79A3">
      <w:pPr>
        <w:spacing w:line="360" w:lineRule="auto"/>
        <w:jc w:val="center"/>
        <w:rPr>
          <w:rFonts w:ascii="Arial" w:hAnsi="Arial" w:cs="Arial"/>
          <w:b/>
          <w:sz w:val="24"/>
          <w:szCs w:val="24"/>
        </w:rPr>
      </w:pPr>
    </w:p>
    <w:p w14:paraId="1FF33FD0" w14:textId="77777777" w:rsidR="001B049A" w:rsidRPr="003C7226" w:rsidRDefault="001B049A" w:rsidP="009A79A3">
      <w:pPr>
        <w:spacing w:line="360" w:lineRule="auto"/>
        <w:jc w:val="center"/>
        <w:rPr>
          <w:rFonts w:ascii="Arial" w:hAnsi="Arial" w:cs="Arial"/>
          <w:b/>
          <w:sz w:val="24"/>
          <w:szCs w:val="24"/>
        </w:rPr>
      </w:pPr>
    </w:p>
    <w:p w14:paraId="51E3C2F0" w14:textId="77777777" w:rsidR="001B049A" w:rsidRPr="003C7226" w:rsidRDefault="001B049A" w:rsidP="009A79A3">
      <w:pPr>
        <w:spacing w:line="360" w:lineRule="auto"/>
        <w:jc w:val="center"/>
        <w:rPr>
          <w:rFonts w:ascii="Arial" w:hAnsi="Arial" w:cs="Arial"/>
          <w:b/>
          <w:sz w:val="24"/>
          <w:szCs w:val="24"/>
        </w:rPr>
      </w:pPr>
    </w:p>
    <w:p w14:paraId="29BA49C1" w14:textId="77777777" w:rsidR="001B049A" w:rsidRPr="003C7226" w:rsidRDefault="001B049A" w:rsidP="00E517A0">
      <w:pPr>
        <w:spacing w:line="360" w:lineRule="auto"/>
        <w:rPr>
          <w:rFonts w:ascii="Arial" w:hAnsi="Arial" w:cs="Arial"/>
          <w:b/>
          <w:sz w:val="24"/>
          <w:szCs w:val="24"/>
        </w:rPr>
      </w:pPr>
    </w:p>
    <w:p w14:paraId="6AAC3F69" w14:textId="77777777" w:rsidR="00E517A0" w:rsidRPr="003C7226" w:rsidRDefault="00E517A0" w:rsidP="00E517A0">
      <w:pPr>
        <w:spacing w:line="360" w:lineRule="auto"/>
        <w:rPr>
          <w:rFonts w:ascii="Arial" w:hAnsi="Arial" w:cs="Arial"/>
          <w:b/>
          <w:sz w:val="24"/>
          <w:szCs w:val="24"/>
        </w:rPr>
      </w:pPr>
    </w:p>
    <w:p w14:paraId="6D09983A" w14:textId="77777777" w:rsidR="00822E99" w:rsidRPr="003C7226" w:rsidRDefault="00822E99" w:rsidP="009A79A3">
      <w:pPr>
        <w:spacing w:line="360" w:lineRule="auto"/>
        <w:jc w:val="center"/>
        <w:rPr>
          <w:rFonts w:ascii="Arial" w:hAnsi="Arial" w:cs="Arial"/>
          <w:b/>
          <w:sz w:val="24"/>
          <w:szCs w:val="24"/>
        </w:rPr>
      </w:pPr>
      <w:r w:rsidRPr="003C7226">
        <w:rPr>
          <w:rFonts w:ascii="Arial" w:hAnsi="Arial" w:cs="Arial"/>
          <w:b/>
          <w:sz w:val="24"/>
          <w:szCs w:val="24"/>
        </w:rPr>
        <w:t>Executive summary</w:t>
      </w:r>
    </w:p>
    <w:p w14:paraId="2421D74B" w14:textId="77777777" w:rsidR="00822E99" w:rsidRPr="003C7226" w:rsidRDefault="00822E99" w:rsidP="00822E99">
      <w:pPr>
        <w:spacing w:line="360" w:lineRule="auto"/>
        <w:rPr>
          <w:rFonts w:ascii="Arial" w:hAnsi="Arial" w:cs="Arial"/>
          <w:sz w:val="24"/>
          <w:szCs w:val="24"/>
        </w:rPr>
      </w:pPr>
      <w:r w:rsidRPr="003C7226">
        <w:rPr>
          <w:rFonts w:ascii="Arial" w:hAnsi="Arial" w:cs="Arial"/>
          <w:sz w:val="24"/>
          <w:szCs w:val="24"/>
        </w:rPr>
        <w:t>The following report analyses financial performance of Seaview Resort. Analysis of the business’s financial statement reveals that the company has stable solvency, and liquidity. However, the company for the past three years has had increasing expenses and declining revenues. Seaview Resort has opportunities in the recovering economy as well as technological integration. The report recommends that the business implement cost reduction and merge with Whitbread plc to enjoy benefits of brand chain in hotel operation</w:t>
      </w:r>
      <w:r w:rsidR="00BA1215">
        <w:rPr>
          <w:rFonts w:ascii="Arial" w:hAnsi="Arial" w:cs="Arial"/>
          <w:sz w:val="24"/>
          <w:szCs w:val="24"/>
        </w:rPr>
        <w:t>s</w:t>
      </w:r>
      <w:r w:rsidRPr="003C7226">
        <w:rPr>
          <w:rFonts w:ascii="Arial" w:hAnsi="Arial" w:cs="Arial"/>
          <w:sz w:val="24"/>
          <w:szCs w:val="24"/>
        </w:rPr>
        <w:t>.</w:t>
      </w:r>
      <w:r w:rsidR="00C361CF" w:rsidRPr="003C7226">
        <w:rPr>
          <w:rFonts w:ascii="Arial" w:hAnsi="Arial" w:cs="Arial"/>
          <w:sz w:val="24"/>
          <w:szCs w:val="24"/>
        </w:rPr>
        <w:t xml:space="preserve"> It is also recommended that the new management of Seaview Resort embrace staff training and team building to overcome inefficiencies that comes with different organisational cultures and resistance to change.</w:t>
      </w:r>
    </w:p>
    <w:p w14:paraId="414D1337" w14:textId="77777777" w:rsidR="0024531D" w:rsidRPr="003C7226" w:rsidRDefault="00BA1215" w:rsidP="009A79A3">
      <w:pPr>
        <w:spacing w:line="360" w:lineRule="auto"/>
        <w:jc w:val="center"/>
        <w:rPr>
          <w:rFonts w:ascii="Arial" w:hAnsi="Arial" w:cs="Arial"/>
          <w:b/>
          <w:sz w:val="24"/>
          <w:szCs w:val="24"/>
        </w:rPr>
      </w:pPr>
      <w:r w:rsidRPr="003C7226">
        <w:rPr>
          <w:rFonts w:ascii="Arial" w:hAnsi="Arial" w:cs="Arial"/>
          <w:b/>
          <w:sz w:val="24"/>
          <w:szCs w:val="24"/>
        </w:rPr>
        <w:t>Introduction</w:t>
      </w:r>
    </w:p>
    <w:p w14:paraId="44E6FCF2" w14:textId="77777777" w:rsidR="00A4288B" w:rsidRPr="003C7226" w:rsidRDefault="00BA1215" w:rsidP="009A79A3">
      <w:pPr>
        <w:spacing w:line="360" w:lineRule="auto"/>
        <w:jc w:val="both"/>
        <w:rPr>
          <w:rFonts w:ascii="Arial" w:hAnsi="Arial" w:cs="Arial"/>
          <w:sz w:val="24"/>
          <w:szCs w:val="24"/>
        </w:rPr>
      </w:pPr>
      <w:r w:rsidRPr="003C7226">
        <w:rPr>
          <w:rFonts w:ascii="Arial" w:hAnsi="Arial" w:cs="Arial"/>
          <w:sz w:val="24"/>
          <w:szCs w:val="24"/>
        </w:rPr>
        <w:t>Seaview Resort, a hotel facility, used to be a</w:t>
      </w:r>
      <w:r w:rsidR="00B77DE5" w:rsidRPr="003C7226">
        <w:rPr>
          <w:rFonts w:ascii="Arial" w:hAnsi="Arial" w:cs="Arial"/>
          <w:sz w:val="24"/>
          <w:szCs w:val="24"/>
        </w:rPr>
        <w:t xml:space="preserve"> lucra</w:t>
      </w:r>
      <w:r w:rsidR="00095253" w:rsidRPr="003C7226">
        <w:rPr>
          <w:rFonts w:ascii="Arial" w:hAnsi="Arial" w:cs="Arial"/>
          <w:sz w:val="24"/>
          <w:szCs w:val="24"/>
        </w:rPr>
        <w:t>tive destination for visitors but currently reports</w:t>
      </w:r>
      <w:r w:rsidR="00B77DE5" w:rsidRPr="003C7226">
        <w:rPr>
          <w:rFonts w:ascii="Arial" w:hAnsi="Arial" w:cs="Arial"/>
          <w:sz w:val="24"/>
          <w:szCs w:val="24"/>
        </w:rPr>
        <w:t xml:space="preserve"> a decline in occupancy rate, customer satisfaction and revenues. The hotel facility enjoys proximity to the coastline and has a bed capacity of 25, event facilities, a bar and a restaurant. T</w:t>
      </w:r>
      <w:r w:rsidR="00D320F9" w:rsidRPr="003C7226">
        <w:rPr>
          <w:rFonts w:ascii="Arial" w:hAnsi="Arial" w:cs="Arial"/>
          <w:sz w:val="24"/>
          <w:szCs w:val="24"/>
        </w:rPr>
        <w:t>he following report analyses its</w:t>
      </w:r>
      <w:r w:rsidR="00B77DE5" w:rsidRPr="003C7226">
        <w:rPr>
          <w:rFonts w:ascii="Arial" w:hAnsi="Arial" w:cs="Arial"/>
          <w:sz w:val="24"/>
          <w:szCs w:val="24"/>
        </w:rPr>
        <w:t xml:space="preserve"> financial performance, market analysis, and SWOT analysis to determine the viability of the business. The report also discusses a turnaround strategy, financial projections, and risk assessment and recommends how Seaview R</w:t>
      </w:r>
      <w:r w:rsidR="00D32CE5" w:rsidRPr="003C7226">
        <w:rPr>
          <w:rFonts w:ascii="Arial" w:hAnsi="Arial" w:cs="Arial"/>
          <w:sz w:val="24"/>
          <w:szCs w:val="24"/>
        </w:rPr>
        <w:t>esort can sustain its turnaround strategy</w:t>
      </w:r>
      <w:r w:rsidR="00B77DE5" w:rsidRPr="003C7226">
        <w:rPr>
          <w:rFonts w:ascii="Arial" w:hAnsi="Arial" w:cs="Arial"/>
          <w:sz w:val="24"/>
          <w:szCs w:val="24"/>
        </w:rPr>
        <w:t xml:space="preserve"> into the future. </w:t>
      </w:r>
    </w:p>
    <w:p w14:paraId="6C82B331" w14:textId="77777777" w:rsidR="008C4F4A" w:rsidRPr="003C7226" w:rsidRDefault="00BA1215" w:rsidP="009A79A3">
      <w:pPr>
        <w:spacing w:line="360" w:lineRule="auto"/>
        <w:jc w:val="center"/>
        <w:rPr>
          <w:rFonts w:ascii="Arial" w:hAnsi="Arial" w:cs="Arial"/>
          <w:b/>
          <w:sz w:val="24"/>
          <w:szCs w:val="24"/>
        </w:rPr>
      </w:pPr>
      <w:r w:rsidRPr="003C7226">
        <w:rPr>
          <w:rFonts w:ascii="Arial" w:hAnsi="Arial" w:cs="Arial"/>
          <w:b/>
          <w:sz w:val="24"/>
          <w:szCs w:val="24"/>
        </w:rPr>
        <w:t>Scope and Objectives</w:t>
      </w:r>
    </w:p>
    <w:p w14:paraId="6D21527D" w14:textId="77777777" w:rsidR="004D1DC8" w:rsidRPr="003C7226" w:rsidRDefault="00BA1215" w:rsidP="009A79A3">
      <w:pPr>
        <w:spacing w:line="360" w:lineRule="auto"/>
        <w:jc w:val="both"/>
        <w:rPr>
          <w:rFonts w:ascii="Arial" w:hAnsi="Arial" w:cs="Arial"/>
          <w:sz w:val="24"/>
          <w:szCs w:val="24"/>
        </w:rPr>
      </w:pPr>
      <w:r w:rsidRPr="003C7226">
        <w:rPr>
          <w:rFonts w:ascii="Arial" w:hAnsi="Arial" w:cs="Arial"/>
          <w:sz w:val="24"/>
          <w:szCs w:val="24"/>
        </w:rPr>
        <w:t xml:space="preserve">The following report focuses on Seaview Resort's financial performance for the years 2020, 2021 and 2022 and </w:t>
      </w:r>
      <w:r w:rsidR="000B2562" w:rsidRPr="003C7226">
        <w:rPr>
          <w:rFonts w:ascii="Arial" w:hAnsi="Arial" w:cs="Arial"/>
          <w:sz w:val="24"/>
          <w:szCs w:val="24"/>
        </w:rPr>
        <w:t>gives</w:t>
      </w:r>
      <w:r w:rsidRPr="003C7226">
        <w:rPr>
          <w:rFonts w:ascii="Arial" w:hAnsi="Arial" w:cs="Arial"/>
          <w:sz w:val="24"/>
          <w:szCs w:val="24"/>
        </w:rPr>
        <w:t xml:space="preserve"> insights that can be used to improve business operations. Therefore, the primary objectives of this report include:</w:t>
      </w:r>
    </w:p>
    <w:p w14:paraId="326670A2" w14:textId="77777777" w:rsidR="009A3B6E" w:rsidRPr="003C7226" w:rsidRDefault="00BA1215" w:rsidP="009A79A3">
      <w:pPr>
        <w:spacing w:line="360" w:lineRule="auto"/>
        <w:jc w:val="both"/>
        <w:rPr>
          <w:rFonts w:ascii="Arial" w:hAnsi="Arial" w:cs="Arial"/>
          <w:sz w:val="24"/>
          <w:szCs w:val="24"/>
        </w:rPr>
      </w:pPr>
      <w:r w:rsidRPr="003C7226">
        <w:rPr>
          <w:rFonts w:ascii="Arial" w:hAnsi="Arial" w:cs="Arial"/>
          <w:sz w:val="24"/>
          <w:szCs w:val="24"/>
        </w:rPr>
        <w:t>a) To analyse Seaview Resort’s financial performance for the last three financial years.</w:t>
      </w:r>
    </w:p>
    <w:p w14:paraId="1EFBCDFF" w14:textId="77777777" w:rsidR="009A3B6E" w:rsidRPr="003C7226" w:rsidRDefault="00BA1215" w:rsidP="009A79A3">
      <w:pPr>
        <w:spacing w:line="360" w:lineRule="auto"/>
        <w:jc w:val="both"/>
        <w:rPr>
          <w:rFonts w:ascii="Arial" w:hAnsi="Arial" w:cs="Arial"/>
          <w:sz w:val="24"/>
          <w:szCs w:val="24"/>
        </w:rPr>
      </w:pPr>
      <w:r w:rsidRPr="003C7226">
        <w:rPr>
          <w:rFonts w:ascii="Arial" w:hAnsi="Arial" w:cs="Arial"/>
          <w:sz w:val="24"/>
          <w:szCs w:val="24"/>
        </w:rPr>
        <w:t xml:space="preserve">b) </w:t>
      </w:r>
      <w:r w:rsidR="00C33660" w:rsidRPr="003C7226">
        <w:rPr>
          <w:rFonts w:ascii="Arial" w:hAnsi="Arial" w:cs="Arial"/>
          <w:sz w:val="24"/>
          <w:szCs w:val="24"/>
        </w:rPr>
        <w:t>To o</w:t>
      </w:r>
      <w:r w:rsidRPr="003C7226">
        <w:rPr>
          <w:rFonts w:ascii="Arial" w:hAnsi="Arial" w:cs="Arial"/>
          <w:sz w:val="24"/>
          <w:szCs w:val="24"/>
        </w:rPr>
        <w:t>utline the main</w:t>
      </w:r>
      <w:r w:rsidR="003E67EE" w:rsidRPr="003C7226">
        <w:rPr>
          <w:rFonts w:ascii="Arial" w:hAnsi="Arial" w:cs="Arial"/>
          <w:sz w:val="24"/>
          <w:szCs w:val="24"/>
        </w:rPr>
        <w:t xml:space="preserve"> reasons for the decline </w:t>
      </w:r>
      <w:r w:rsidRPr="003C7226">
        <w:rPr>
          <w:rFonts w:ascii="Arial" w:hAnsi="Arial" w:cs="Arial"/>
          <w:sz w:val="24"/>
          <w:szCs w:val="24"/>
        </w:rPr>
        <w:t>in Seaview Resort’s profitability.</w:t>
      </w:r>
    </w:p>
    <w:p w14:paraId="3D1A6CA1" w14:textId="77777777" w:rsidR="00A4288B" w:rsidRPr="003C7226" w:rsidRDefault="00BA1215" w:rsidP="009A79A3">
      <w:pPr>
        <w:spacing w:line="360" w:lineRule="auto"/>
        <w:jc w:val="both"/>
        <w:rPr>
          <w:rFonts w:ascii="Arial" w:hAnsi="Arial" w:cs="Arial"/>
          <w:sz w:val="24"/>
          <w:szCs w:val="24"/>
        </w:rPr>
      </w:pPr>
      <w:r w:rsidRPr="003C7226">
        <w:rPr>
          <w:rFonts w:ascii="Arial" w:hAnsi="Arial" w:cs="Arial"/>
          <w:sz w:val="24"/>
          <w:szCs w:val="24"/>
        </w:rPr>
        <w:t xml:space="preserve">c) </w:t>
      </w:r>
      <w:r w:rsidR="00C33660" w:rsidRPr="003C7226">
        <w:rPr>
          <w:rFonts w:ascii="Arial" w:hAnsi="Arial" w:cs="Arial"/>
          <w:sz w:val="24"/>
          <w:szCs w:val="24"/>
        </w:rPr>
        <w:t>To p</w:t>
      </w:r>
      <w:r w:rsidRPr="003C7226">
        <w:rPr>
          <w:rFonts w:ascii="Arial" w:hAnsi="Arial" w:cs="Arial"/>
          <w:sz w:val="24"/>
          <w:szCs w:val="24"/>
        </w:rPr>
        <w:t>ropose a viable and sustainable turnaround strategy to restore the company’s fina</w:t>
      </w:r>
      <w:r w:rsidR="006B1B82" w:rsidRPr="003C7226">
        <w:rPr>
          <w:rFonts w:ascii="Arial" w:hAnsi="Arial" w:cs="Arial"/>
          <w:sz w:val="24"/>
          <w:szCs w:val="24"/>
        </w:rPr>
        <w:t xml:space="preserve">ncial health and reputation as a </w:t>
      </w:r>
      <w:r w:rsidRPr="003C7226">
        <w:rPr>
          <w:rFonts w:ascii="Arial" w:hAnsi="Arial" w:cs="Arial"/>
          <w:sz w:val="24"/>
          <w:szCs w:val="24"/>
        </w:rPr>
        <w:t>vacation destination.</w:t>
      </w:r>
    </w:p>
    <w:p w14:paraId="39C630C9" w14:textId="77777777" w:rsidR="00B06C3D" w:rsidRPr="003C7226" w:rsidRDefault="00BA1215" w:rsidP="009A79A3">
      <w:pPr>
        <w:spacing w:line="360" w:lineRule="auto"/>
        <w:jc w:val="both"/>
        <w:rPr>
          <w:rFonts w:ascii="Arial" w:hAnsi="Arial" w:cs="Arial"/>
          <w:b/>
          <w:sz w:val="24"/>
          <w:szCs w:val="24"/>
        </w:rPr>
      </w:pPr>
      <w:r w:rsidRPr="003C7226">
        <w:rPr>
          <w:rFonts w:ascii="Arial" w:hAnsi="Arial" w:cs="Arial"/>
          <w:b/>
          <w:sz w:val="24"/>
          <w:szCs w:val="24"/>
        </w:rPr>
        <w:lastRenderedPageBreak/>
        <w:t>Questions.</w:t>
      </w:r>
    </w:p>
    <w:p w14:paraId="034A4FC3" w14:textId="77777777" w:rsidR="00B06C3D" w:rsidRPr="003C7226" w:rsidRDefault="00BA1215" w:rsidP="009A79A3">
      <w:pPr>
        <w:spacing w:line="360" w:lineRule="auto"/>
        <w:jc w:val="both"/>
        <w:rPr>
          <w:rFonts w:ascii="Arial" w:hAnsi="Arial" w:cs="Arial"/>
          <w:sz w:val="24"/>
          <w:szCs w:val="24"/>
        </w:rPr>
      </w:pPr>
      <w:r w:rsidRPr="003C7226">
        <w:rPr>
          <w:rFonts w:ascii="Arial" w:hAnsi="Arial" w:cs="Arial"/>
          <w:sz w:val="24"/>
          <w:szCs w:val="24"/>
        </w:rPr>
        <w:t>a) what could be the causes of declined profitability at Seaview Resort?</w:t>
      </w:r>
    </w:p>
    <w:p w14:paraId="54E29CEB" w14:textId="77777777" w:rsidR="00B06C3D" w:rsidRPr="003C7226" w:rsidRDefault="00BA1215" w:rsidP="009A79A3">
      <w:pPr>
        <w:spacing w:line="360" w:lineRule="auto"/>
        <w:jc w:val="both"/>
        <w:rPr>
          <w:rFonts w:ascii="Arial" w:hAnsi="Arial" w:cs="Arial"/>
          <w:sz w:val="24"/>
          <w:szCs w:val="24"/>
        </w:rPr>
      </w:pPr>
      <w:r w:rsidRPr="003C7226">
        <w:rPr>
          <w:rFonts w:ascii="Arial" w:hAnsi="Arial" w:cs="Arial"/>
          <w:sz w:val="24"/>
          <w:szCs w:val="24"/>
        </w:rPr>
        <w:t xml:space="preserve">b) What </w:t>
      </w:r>
      <w:r w:rsidR="000B5DEC" w:rsidRPr="003C7226">
        <w:rPr>
          <w:rFonts w:ascii="Arial" w:hAnsi="Arial" w:cs="Arial"/>
          <w:sz w:val="24"/>
          <w:szCs w:val="24"/>
        </w:rPr>
        <w:t xml:space="preserve">turnaround </w:t>
      </w:r>
      <w:r w:rsidRPr="003C7226">
        <w:rPr>
          <w:rFonts w:ascii="Arial" w:hAnsi="Arial" w:cs="Arial"/>
          <w:sz w:val="24"/>
          <w:szCs w:val="24"/>
        </w:rPr>
        <w:t>strategy could be implemented to revive Seaview Resort's profitability?</w:t>
      </w:r>
    </w:p>
    <w:p w14:paraId="14AABC3E" w14:textId="77777777" w:rsidR="00CB1218" w:rsidRPr="003C7226" w:rsidRDefault="00BA1215" w:rsidP="009A79A3">
      <w:pPr>
        <w:spacing w:line="360" w:lineRule="auto"/>
        <w:jc w:val="center"/>
        <w:rPr>
          <w:rFonts w:ascii="Arial" w:hAnsi="Arial" w:cs="Arial"/>
          <w:b/>
          <w:sz w:val="24"/>
          <w:szCs w:val="24"/>
        </w:rPr>
      </w:pPr>
      <w:r w:rsidRPr="003C7226">
        <w:rPr>
          <w:rFonts w:ascii="Arial" w:hAnsi="Arial" w:cs="Arial"/>
          <w:b/>
          <w:sz w:val="24"/>
          <w:szCs w:val="24"/>
        </w:rPr>
        <w:t>Financial Analysis</w:t>
      </w:r>
    </w:p>
    <w:p w14:paraId="75044AF8" w14:textId="77777777" w:rsidR="00344D0A" w:rsidRPr="003C7226" w:rsidRDefault="00BA1215" w:rsidP="00E36CDF">
      <w:pPr>
        <w:spacing w:line="360" w:lineRule="auto"/>
        <w:jc w:val="both"/>
        <w:rPr>
          <w:rFonts w:ascii="Arial" w:hAnsi="Arial" w:cs="Arial"/>
          <w:sz w:val="24"/>
          <w:szCs w:val="24"/>
        </w:rPr>
      </w:pPr>
      <w:r w:rsidRPr="003C7226">
        <w:rPr>
          <w:rFonts w:ascii="Arial" w:hAnsi="Arial" w:cs="Arial"/>
          <w:sz w:val="24"/>
          <w:szCs w:val="24"/>
        </w:rPr>
        <w:t xml:space="preserve">Based on the </w:t>
      </w:r>
      <w:r w:rsidR="000B2562" w:rsidRPr="003C7226">
        <w:rPr>
          <w:rFonts w:ascii="Arial" w:hAnsi="Arial" w:cs="Arial"/>
          <w:sz w:val="24"/>
          <w:szCs w:val="24"/>
        </w:rPr>
        <w:t>income statement analysis between the financial period 2020 and 2022, it is evident that the company's revenue has been on a downward trend. For instance, the company experienced a decline of 40,000 for the period 2020-2021 and 50,000 for the period 2021-</w:t>
      </w:r>
      <w:r w:rsidR="00583184" w:rsidRPr="003C7226">
        <w:rPr>
          <w:rFonts w:ascii="Arial" w:hAnsi="Arial" w:cs="Arial"/>
          <w:sz w:val="24"/>
          <w:szCs w:val="24"/>
        </w:rPr>
        <w:t>2022.</w:t>
      </w:r>
      <w:r w:rsidR="00A31555" w:rsidRPr="003C7226">
        <w:rPr>
          <w:rFonts w:ascii="Arial" w:hAnsi="Arial" w:cs="Arial"/>
          <w:sz w:val="24"/>
          <w:szCs w:val="24"/>
        </w:rPr>
        <w:t xml:space="preserve"> The</w:t>
      </w:r>
      <w:r w:rsidR="000B2562" w:rsidRPr="003C7226">
        <w:rPr>
          <w:rFonts w:ascii="Arial" w:hAnsi="Arial" w:cs="Arial"/>
          <w:sz w:val="24"/>
          <w:szCs w:val="24"/>
        </w:rPr>
        <w:t xml:space="preserve"> company's operating expenses have also been on an upward trajectory, that is, increased by 60,000 between 2020 and 2022. </w:t>
      </w:r>
      <w:r w:rsidR="00583184" w:rsidRPr="003C7226">
        <w:rPr>
          <w:rFonts w:ascii="Arial" w:hAnsi="Arial" w:cs="Arial"/>
          <w:sz w:val="24"/>
          <w:szCs w:val="24"/>
        </w:rPr>
        <w:t xml:space="preserve">The profitability trend has </w:t>
      </w:r>
      <w:r w:rsidR="009C0F5F" w:rsidRPr="003C7226">
        <w:rPr>
          <w:rFonts w:ascii="Arial" w:hAnsi="Arial" w:cs="Arial"/>
          <w:sz w:val="24"/>
          <w:szCs w:val="24"/>
        </w:rPr>
        <w:t xml:space="preserve">also </w:t>
      </w:r>
      <w:r w:rsidR="00583184" w:rsidRPr="003C7226">
        <w:rPr>
          <w:rFonts w:ascii="Arial" w:hAnsi="Arial" w:cs="Arial"/>
          <w:sz w:val="24"/>
          <w:szCs w:val="24"/>
        </w:rPr>
        <w:t>been on the decline, that is, from 78,000 to 17,500. However, the company has effectively managed its liabilities and assets; that is</w:t>
      </w:r>
      <w:r w:rsidR="005D6A74" w:rsidRPr="003C7226">
        <w:rPr>
          <w:rFonts w:ascii="Arial" w:hAnsi="Arial" w:cs="Arial"/>
          <w:sz w:val="24"/>
          <w:szCs w:val="24"/>
        </w:rPr>
        <w:t>,</w:t>
      </w:r>
      <w:r w:rsidR="00583184" w:rsidRPr="003C7226">
        <w:rPr>
          <w:rFonts w:ascii="Arial" w:hAnsi="Arial" w:cs="Arial"/>
          <w:sz w:val="24"/>
          <w:szCs w:val="24"/>
        </w:rPr>
        <w:t xml:space="preserve"> it has more assets than liabilities. </w:t>
      </w:r>
      <w:r w:rsidR="000B2562" w:rsidRPr="003C7226">
        <w:rPr>
          <w:rFonts w:ascii="Arial" w:hAnsi="Arial" w:cs="Arial"/>
          <w:sz w:val="24"/>
          <w:szCs w:val="24"/>
        </w:rPr>
        <w:t xml:space="preserve">Thirdly, Seaview Resort’s cash flow analysis indicates negative outcomes in the company’s operations and capital expenditure.  According to </w:t>
      </w:r>
      <w:r w:rsidR="000B2562" w:rsidRPr="003C7226">
        <w:rPr>
          <w:rFonts w:ascii="Arial" w:hAnsi="Arial" w:cs="Arial"/>
          <w:sz w:val="24"/>
          <w:szCs w:val="24"/>
          <w:shd w:val="clear" w:color="auto" w:fill="FFFFFF"/>
        </w:rPr>
        <w:t>Soboleva</w:t>
      </w:r>
      <w:r w:rsidR="000B2562" w:rsidRPr="003C7226">
        <w:rPr>
          <w:rFonts w:ascii="Arial" w:hAnsi="Arial" w:cs="Arial"/>
          <w:sz w:val="24"/>
          <w:szCs w:val="24"/>
        </w:rPr>
        <w:t xml:space="preserve"> et al. (2018), a negative cash flow in a business is an indication of more expenditures compared to revenue </w:t>
      </w:r>
      <w:r w:rsidR="00A31555" w:rsidRPr="003C7226">
        <w:rPr>
          <w:rFonts w:ascii="Arial" w:hAnsi="Arial" w:cs="Arial"/>
          <w:sz w:val="24"/>
          <w:szCs w:val="24"/>
        </w:rPr>
        <w:t>generation</w:t>
      </w:r>
      <w:r w:rsidR="000B2562" w:rsidRPr="003C7226">
        <w:rPr>
          <w:rFonts w:ascii="Arial" w:hAnsi="Arial" w:cs="Arial"/>
          <w:sz w:val="24"/>
          <w:szCs w:val="24"/>
        </w:rPr>
        <w:t>. Lastly, a ratio analysis of the company reveals that the company has a low return on asset (ROA) of 1.46% and a low return on equi</w:t>
      </w:r>
      <w:r w:rsidR="00147F8E" w:rsidRPr="003C7226">
        <w:rPr>
          <w:rFonts w:ascii="Arial" w:hAnsi="Arial" w:cs="Arial"/>
          <w:sz w:val="24"/>
          <w:szCs w:val="24"/>
        </w:rPr>
        <w:t>ty (ROE) of 3.9%</w:t>
      </w:r>
      <w:r w:rsidR="0080579B" w:rsidRPr="003C7226">
        <w:rPr>
          <w:rFonts w:ascii="Arial" w:hAnsi="Arial" w:cs="Arial"/>
          <w:sz w:val="24"/>
          <w:szCs w:val="24"/>
        </w:rPr>
        <w:t>, see figure 1</w:t>
      </w:r>
      <w:r w:rsidR="00147F8E" w:rsidRPr="003C7226">
        <w:rPr>
          <w:rFonts w:ascii="Arial" w:hAnsi="Arial" w:cs="Arial"/>
          <w:sz w:val="24"/>
          <w:szCs w:val="24"/>
        </w:rPr>
        <w:t>. Generally</w:t>
      </w:r>
      <w:r w:rsidR="000B2562" w:rsidRPr="003C7226">
        <w:rPr>
          <w:rFonts w:ascii="Arial" w:hAnsi="Arial" w:cs="Arial"/>
          <w:sz w:val="24"/>
          <w:szCs w:val="24"/>
        </w:rPr>
        <w:t>, any business with low ROA and ROE has not been efficient in using its assets and shareholder's equity to generate profits (</w:t>
      </w:r>
      <w:r w:rsidR="000B2562" w:rsidRPr="003C7226">
        <w:rPr>
          <w:rFonts w:ascii="Arial" w:hAnsi="Arial" w:cs="Arial"/>
          <w:sz w:val="24"/>
          <w:szCs w:val="24"/>
          <w:shd w:val="clear" w:color="auto" w:fill="FFFFFF"/>
        </w:rPr>
        <w:t>Jewell and Mankin, 2011)</w:t>
      </w:r>
      <w:r w:rsidR="000B2562" w:rsidRPr="003C7226">
        <w:rPr>
          <w:rFonts w:ascii="Arial" w:hAnsi="Arial" w:cs="Arial"/>
          <w:sz w:val="24"/>
          <w:szCs w:val="24"/>
        </w:rPr>
        <w:t>.</w:t>
      </w:r>
      <w:r w:rsidR="00296904" w:rsidRPr="003C7226">
        <w:rPr>
          <w:rFonts w:ascii="Arial" w:hAnsi="Arial" w:cs="Arial"/>
          <w:sz w:val="24"/>
          <w:szCs w:val="24"/>
        </w:rPr>
        <w:t xml:space="preserve"> On the other hand, Seaview Resort has stable liquidity and solvency status, given its ratios of 1.39 and 1.11, respectively</w:t>
      </w:r>
      <w:r w:rsidR="0080579B" w:rsidRPr="003C7226">
        <w:rPr>
          <w:rFonts w:ascii="Arial" w:hAnsi="Arial" w:cs="Arial"/>
          <w:sz w:val="24"/>
          <w:szCs w:val="24"/>
        </w:rPr>
        <w:t xml:space="preserve"> see figure 1</w:t>
      </w:r>
      <w:r w:rsidR="00296904" w:rsidRPr="003C7226">
        <w:rPr>
          <w:rFonts w:ascii="Arial" w:hAnsi="Arial" w:cs="Arial"/>
          <w:sz w:val="24"/>
          <w:szCs w:val="24"/>
        </w:rPr>
        <w:t>.</w:t>
      </w:r>
    </w:p>
    <w:p w14:paraId="40BD11FE" w14:textId="77777777" w:rsidR="00235F52" w:rsidRPr="003C7226" w:rsidRDefault="00BA1215" w:rsidP="009A79A3">
      <w:pPr>
        <w:spacing w:line="360" w:lineRule="auto"/>
        <w:jc w:val="both"/>
        <w:rPr>
          <w:rFonts w:ascii="Arial" w:hAnsi="Arial" w:cs="Arial"/>
          <w:b/>
          <w:sz w:val="24"/>
          <w:szCs w:val="24"/>
        </w:rPr>
      </w:pPr>
      <w:r w:rsidRPr="003C7226">
        <w:rPr>
          <w:rFonts w:ascii="Arial" w:hAnsi="Arial" w:cs="Arial"/>
          <w:b/>
          <w:sz w:val="24"/>
          <w:szCs w:val="24"/>
        </w:rPr>
        <w:t>Reasons for the decline in profitability</w:t>
      </w:r>
    </w:p>
    <w:p w14:paraId="30680787" w14:textId="77777777" w:rsidR="00235F52" w:rsidRPr="003C7226" w:rsidRDefault="00BA1215" w:rsidP="009A79A3">
      <w:pPr>
        <w:spacing w:line="360" w:lineRule="auto"/>
        <w:jc w:val="both"/>
        <w:rPr>
          <w:rFonts w:ascii="Arial" w:hAnsi="Arial" w:cs="Arial"/>
          <w:b/>
          <w:sz w:val="24"/>
          <w:szCs w:val="24"/>
        </w:rPr>
      </w:pPr>
      <w:r w:rsidRPr="003C7226">
        <w:rPr>
          <w:rFonts w:ascii="Arial" w:hAnsi="Arial" w:cs="Arial"/>
          <w:b/>
          <w:sz w:val="24"/>
          <w:szCs w:val="24"/>
        </w:rPr>
        <w:t>a) Covid-19 pandemic</w:t>
      </w:r>
    </w:p>
    <w:p w14:paraId="21F5A01C" w14:textId="77777777" w:rsidR="00235F52" w:rsidRPr="003C7226" w:rsidRDefault="00BA1215" w:rsidP="009A79A3">
      <w:pPr>
        <w:spacing w:line="360" w:lineRule="auto"/>
        <w:jc w:val="both"/>
        <w:rPr>
          <w:rFonts w:ascii="Arial" w:hAnsi="Arial" w:cs="Arial"/>
          <w:sz w:val="24"/>
          <w:szCs w:val="24"/>
        </w:rPr>
      </w:pPr>
      <w:r w:rsidRPr="003C7226">
        <w:rPr>
          <w:rFonts w:ascii="Arial" w:hAnsi="Arial" w:cs="Arial"/>
          <w:sz w:val="24"/>
          <w:szCs w:val="24"/>
        </w:rPr>
        <w:t xml:space="preserve">One of the factors that contributed to the decline in profitability is the Covid-19 pandemic. According to Ramuni (2021), the UK hospitality industry was hit hard by the pandemic between 2020 and 2021. The lockdown as a measure to restrict the spread of the virus resulted in the suspension of hospitality service as people were required to stay home. The decline in service demand during this period affected revenues and the profit margin </w:t>
      </w:r>
      <w:r w:rsidRPr="003C7226">
        <w:rPr>
          <w:rFonts w:ascii="Arial" w:hAnsi="Arial" w:cs="Arial"/>
          <w:sz w:val="24"/>
          <w:szCs w:val="24"/>
        </w:rPr>
        <w:lastRenderedPageBreak/>
        <w:t xml:space="preserve">that the hotel collected. From the income statement, it is evident that the net profit margin of Seaview Resort declined from 15% to 4% between 2020 and 2022. </w:t>
      </w:r>
      <w:r w:rsidRPr="003C7226">
        <w:rPr>
          <w:rFonts w:ascii="Arial" w:hAnsi="Arial" w:cs="Arial"/>
          <w:sz w:val="24"/>
          <w:szCs w:val="24"/>
          <w:shd w:val="clear" w:color="auto" w:fill="FFFFFF"/>
        </w:rPr>
        <w:t>Sharma et al. (2021) also point out that hotels invested in innovation during the pandemic, even though some failed to pay off. This uncertainty could explain the high negative cash flows from opera</w:t>
      </w:r>
      <w:r w:rsidR="00A7318A" w:rsidRPr="003C7226">
        <w:rPr>
          <w:rFonts w:ascii="Arial" w:hAnsi="Arial" w:cs="Arial"/>
          <w:sz w:val="24"/>
          <w:szCs w:val="24"/>
          <w:shd w:val="clear" w:color="auto" w:fill="FFFFFF"/>
        </w:rPr>
        <w:t>tions and capital expenditure of</w:t>
      </w:r>
      <w:r w:rsidR="00107E37" w:rsidRPr="003C7226">
        <w:rPr>
          <w:rFonts w:ascii="Arial" w:hAnsi="Arial" w:cs="Arial"/>
          <w:sz w:val="24"/>
          <w:szCs w:val="24"/>
          <w:shd w:val="clear" w:color="auto" w:fill="FFFFFF"/>
        </w:rPr>
        <w:t xml:space="preserve"> </w:t>
      </w:r>
      <w:r w:rsidR="00107E37" w:rsidRPr="003C7226">
        <w:rPr>
          <w:rFonts w:ascii="Arial" w:hAnsi="Arial" w:cs="Arial"/>
          <w:sz w:val="24"/>
          <w:szCs w:val="24"/>
        </w:rPr>
        <w:t>Seaview Resort</w:t>
      </w:r>
      <w:r w:rsidR="00107E37" w:rsidRPr="003C7226">
        <w:rPr>
          <w:rFonts w:ascii="Arial" w:hAnsi="Arial" w:cs="Arial"/>
          <w:sz w:val="24"/>
          <w:szCs w:val="24"/>
          <w:shd w:val="clear" w:color="auto" w:fill="FFFFFF"/>
        </w:rPr>
        <w:t>.</w:t>
      </w:r>
      <w:r w:rsidRPr="003C7226">
        <w:rPr>
          <w:rFonts w:ascii="Arial" w:hAnsi="Arial" w:cs="Arial"/>
          <w:sz w:val="24"/>
          <w:szCs w:val="24"/>
          <w:shd w:val="clear" w:color="auto" w:fill="FFFFFF"/>
        </w:rPr>
        <w:t xml:space="preserve"> </w:t>
      </w:r>
    </w:p>
    <w:p w14:paraId="670C1262" w14:textId="77777777" w:rsidR="00235F52" w:rsidRPr="003C7226" w:rsidRDefault="00BA1215" w:rsidP="009A79A3">
      <w:pPr>
        <w:spacing w:line="360" w:lineRule="auto"/>
        <w:jc w:val="both"/>
        <w:rPr>
          <w:rFonts w:ascii="Arial" w:hAnsi="Arial" w:cs="Arial"/>
          <w:b/>
          <w:sz w:val="24"/>
          <w:szCs w:val="24"/>
        </w:rPr>
      </w:pPr>
      <w:r w:rsidRPr="003C7226">
        <w:rPr>
          <w:rFonts w:ascii="Arial" w:hAnsi="Arial" w:cs="Arial"/>
          <w:b/>
          <w:sz w:val="24"/>
          <w:szCs w:val="24"/>
        </w:rPr>
        <w:t>b) Global recession and Brexit</w:t>
      </w:r>
    </w:p>
    <w:p w14:paraId="552A2CFD" w14:textId="77777777" w:rsidR="00235F52" w:rsidRPr="003C7226" w:rsidRDefault="00BA1215" w:rsidP="009A79A3">
      <w:pPr>
        <w:spacing w:line="360" w:lineRule="auto"/>
        <w:jc w:val="both"/>
        <w:rPr>
          <w:rFonts w:ascii="Arial" w:hAnsi="Arial" w:cs="Arial"/>
          <w:b/>
          <w:sz w:val="24"/>
          <w:szCs w:val="24"/>
        </w:rPr>
      </w:pPr>
      <w:r w:rsidRPr="003C7226">
        <w:rPr>
          <w:rFonts w:ascii="Arial" w:hAnsi="Arial" w:cs="Arial"/>
          <w:sz w:val="24"/>
          <w:szCs w:val="24"/>
          <w:shd w:val="clear" w:color="auto" w:fill="FFFFFF"/>
        </w:rPr>
        <w:t>The global economy experienced a 7% decline in global commercial commerce at the beginning of 2020 (Weiss et al.2020). Office for National Statistics (2021) also reported that the pandemic caused a historic shock to the UK economy, leading to a fall of 19.4</w:t>
      </w:r>
      <w:r w:rsidR="003B4B3C" w:rsidRPr="003C7226">
        <w:rPr>
          <w:rFonts w:ascii="Arial" w:hAnsi="Arial" w:cs="Arial"/>
          <w:sz w:val="24"/>
          <w:szCs w:val="24"/>
          <w:shd w:val="clear" w:color="auto" w:fill="FFFFFF"/>
        </w:rPr>
        <w:t>%. According</w:t>
      </w:r>
      <w:r w:rsidR="004E1CAB" w:rsidRPr="003C7226">
        <w:rPr>
          <w:rFonts w:ascii="Arial" w:hAnsi="Arial" w:cs="Arial"/>
          <w:sz w:val="24"/>
          <w:szCs w:val="24"/>
          <w:shd w:val="clear" w:color="auto" w:fill="FFFFFF"/>
        </w:rPr>
        <w:t xml:space="preserve"> to</w:t>
      </w:r>
      <w:r w:rsidRPr="003C7226">
        <w:rPr>
          <w:rFonts w:ascii="Arial" w:hAnsi="Arial" w:cs="Arial"/>
          <w:sz w:val="24"/>
          <w:szCs w:val="24"/>
          <w:shd w:val="clear" w:color="auto" w:fill="FFFFFF"/>
        </w:rPr>
        <w:t xml:space="preserve"> PwC (2020), the decline in profitability within the UK's hotel industry was caused by rising energy costs, increased interest rates and general inflation. It is also argued that the co-occurrence of Brexit and COVID-19 contributed to the general decline in profitability in the UK's hotel industry as the market shrunk (Shahvaroughi Farahani, 2021). Therefore, the decline in </w:t>
      </w:r>
      <w:r w:rsidRPr="003C7226">
        <w:rPr>
          <w:rFonts w:ascii="Arial" w:hAnsi="Arial" w:cs="Arial"/>
          <w:sz w:val="24"/>
          <w:szCs w:val="24"/>
        </w:rPr>
        <w:t xml:space="preserve">Seaview Resort’s net profit from 78,000 to 17,500 is justified by these events. </w:t>
      </w:r>
    </w:p>
    <w:p w14:paraId="4E0CDB9F" w14:textId="77777777" w:rsidR="00D7337D" w:rsidRPr="003C7226" w:rsidRDefault="00BA1215" w:rsidP="009A79A3">
      <w:pPr>
        <w:spacing w:line="360" w:lineRule="auto"/>
        <w:jc w:val="center"/>
        <w:rPr>
          <w:rFonts w:ascii="Arial" w:hAnsi="Arial" w:cs="Arial"/>
          <w:b/>
          <w:sz w:val="24"/>
          <w:szCs w:val="24"/>
        </w:rPr>
      </w:pPr>
      <w:r w:rsidRPr="003C7226">
        <w:rPr>
          <w:rFonts w:ascii="Arial" w:hAnsi="Arial" w:cs="Arial"/>
          <w:b/>
          <w:sz w:val="24"/>
          <w:szCs w:val="24"/>
        </w:rPr>
        <w:t>SWOT Analysis</w:t>
      </w:r>
    </w:p>
    <w:p w14:paraId="5E524A50" w14:textId="77777777" w:rsidR="00DE132E" w:rsidRPr="003C7226" w:rsidRDefault="00BA1215" w:rsidP="009A79A3">
      <w:pPr>
        <w:spacing w:line="360" w:lineRule="auto"/>
        <w:jc w:val="both"/>
        <w:rPr>
          <w:rFonts w:ascii="Arial" w:hAnsi="Arial" w:cs="Arial"/>
          <w:b/>
          <w:sz w:val="24"/>
          <w:szCs w:val="24"/>
        </w:rPr>
      </w:pPr>
      <w:r w:rsidRPr="003C7226">
        <w:rPr>
          <w:rFonts w:ascii="Arial" w:hAnsi="Arial" w:cs="Arial"/>
          <w:b/>
          <w:sz w:val="24"/>
          <w:szCs w:val="24"/>
        </w:rPr>
        <w:t>Strengths</w:t>
      </w:r>
    </w:p>
    <w:p w14:paraId="15F9B9F4" w14:textId="77777777" w:rsidR="00DE132E" w:rsidRPr="003C7226" w:rsidRDefault="00BA1215" w:rsidP="009A79A3">
      <w:pPr>
        <w:spacing w:line="360" w:lineRule="auto"/>
        <w:jc w:val="both"/>
        <w:rPr>
          <w:rFonts w:ascii="Arial" w:hAnsi="Arial" w:cs="Arial"/>
          <w:b/>
          <w:sz w:val="24"/>
          <w:szCs w:val="24"/>
        </w:rPr>
      </w:pPr>
      <w:r w:rsidRPr="003C7226">
        <w:rPr>
          <w:rFonts w:ascii="Arial" w:hAnsi="Arial" w:cs="Arial"/>
          <w:b/>
          <w:sz w:val="24"/>
          <w:szCs w:val="24"/>
        </w:rPr>
        <w:t>Strong liquidity and solvency status</w:t>
      </w:r>
    </w:p>
    <w:p w14:paraId="285F85C8" w14:textId="77777777" w:rsidR="00DE132E" w:rsidRPr="003C7226" w:rsidRDefault="00BA1215" w:rsidP="009A79A3">
      <w:pPr>
        <w:spacing w:line="360" w:lineRule="auto"/>
        <w:jc w:val="both"/>
        <w:rPr>
          <w:rFonts w:ascii="Arial" w:hAnsi="Arial" w:cs="Arial"/>
          <w:b/>
          <w:sz w:val="24"/>
          <w:szCs w:val="24"/>
        </w:rPr>
      </w:pPr>
      <w:r w:rsidRPr="003C7226">
        <w:rPr>
          <w:rFonts w:ascii="Arial" w:hAnsi="Arial" w:cs="Arial"/>
          <w:sz w:val="24"/>
          <w:szCs w:val="24"/>
        </w:rPr>
        <w:t>Seaview Resort</w:t>
      </w:r>
      <w:r w:rsidR="00F70B94" w:rsidRPr="003C7226">
        <w:rPr>
          <w:rFonts w:ascii="Arial" w:hAnsi="Arial" w:cs="Arial"/>
          <w:sz w:val="24"/>
          <w:szCs w:val="24"/>
        </w:rPr>
        <w:t>’s ratio analysis</w:t>
      </w:r>
      <w:r w:rsidRPr="003C7226">
        <w:rPr>
          <w:rFonts w:ascii="Arial" w:hAnsi="Arial" w:cs="Arial"/>
          <w:sz w:val="24"/>
          <w:szCs w:val="24"/>
        </w:rPr>
        <w:t xml:space="preserve"> has shown a positive and ideal liquidity </w:t>
      </w:r>
      <w:r w:rsidR="00F70B94" w:rsidRPr="003C7226">
        <w:rPr>
          <w:rFonts w:ascii="Arial" w:hAnsi="Arial" w:cs="Arial"/>
          <w:sz w:val="24"/>
          <w:szCs w:val="24"/>
        </w:rPr>
        <w:t xml:space="preserve">ratio </w:t>
      </w:r>
      <w:r w:rsidR="001C4EAD" w:rsidRPr="003C7226">
        <w:rPr>
          <w:rFonts w:ascii="Arial" w:hAnsi="Arial" w:cs="Arial"/>
          <w:sz w:val="24"/>
          <w:szCs w:val="24"/>
        </w:rPr>
        <w:t>of 1.39; that is, the business is</w:t>
      </w:r>
      <w:r w:rsidRPr="003C7226">
        <w:rPr>
          <w:rFonts w:ascii="Arial" w:hAnsi="Arial" w:cs="Arial"/>
          <w:sz w:val="24"/>
          <w:szCs w:val="24"/>
        </w:rPr>
        <w:t xml:space="preserve"> efficient in meeting its short-term financial obligations using its current ass</w:t>
      </w:r>
      <w:r w:rsidR="00B77F2F" w:rsidRPr="003C7226">
        <w:rPr>
          <w:rFonts w:ascii="Arial" w:hAnsi="Arial" w:cs="Arial"/>
          <w:sz w:val="24"/>
          <w:szCs w:val="24"/>
        </w:rPr>
        <w:t>e</w:t>
      </w:r>
      <w:r w:rsidRPr="003C7226">
        <w:rPr>
          <w:rFonts w:ascii="Arial" w:hAnsi="Arial" w:cs="Arial"/>
          <w:sz w:val="24"/>
          <w:szCs w:val="24"/>
        </w:rPr>
        <w:t>ts. Secondly, Seaview Resort's debt-to-equity ratio of 1.11 show</w:t>
      </w:r>
      <w:r w:rsidR="00B77F2F" w:rsidRPr="003C7226">
        <w:rPr>
          <w:rFonts w:ascii="Arial" w:hAnsi="Arial" w:cs="Arial"/>
          <w:sz w:val="24"/>
          <w:szCs w:val="24"/>
        </w:rPr>
        <w:t>s</w:t>
      </w:r>
      <w:r w:rsidRPr="003C7226">
        <w:rPr>
          <w:rFonts w:ascii="Arial" w:hAnsi="Arial" w:cs="Arial"/>
          <w:sz w:val="24"/>
          <w:szCs w:val="24"/>
        </w:rPr>
        <w:t xml:space="preserve"> resilience; that is, it has the ability to meet its future debt obligation and sustain profitability (</w:t>
      </w:r>
      <w:r w:rsidRPr="003C7226">
        <w:rPr>
          <w:rFonts w:ascii="Arial" w:hAnsi="Arial" w:cs="Arial"/>
          <w:sz w:val="24"/>
          <w:szCs w:val="24"/>
          <w:shd w:val="clear" w:color="auto" w:fill="FFFFFF"/>
        </w:rPr>
        <w:t>Brindescu-Olariu, 2016)</w:t>
      </w:r>
      <w:r w:rsidRPr="003C7226">
        <w:rPr>
          <w:rFonts w:ascii="Arial" w:hAnsi="Arial" w:cs="Arial"/>
          <w:sz w:val="24"/>
          <w:szCs w:val="24"/>
        </w:rPr>
        <w:t>.</w:t>
      </w:r>
    </w:p>
    <w:p w14:paraId="739C0FB6" w14:textId="77777777" w:rsidR="00DE132E" w:rsidRPr="003C7226" w:rsidRDefault="00BA1215" w:rsidP="009A79A3">
      <w:pPr>
        <w:spacing w:line="360" w:lineRule="auto"/>
        <w:jc w:val="both"/>
        <w:rPr>
          <w:rFonts w:ascii="Arial" w:hAnsi="Arial" w:cs="Arial"/>
          <w:b/>
          <w:sz w:val="24"/>
          <w:szCs w:val="24"/>
        </w:rPr>
      </w:pPr>
      <w:r w:rsidRPr="003C7226">
        <w:rPr>
          <w:rFonts w:ascii="Arial" w:hAnsi="Arial" w:cs="Arial"/>
          <w:b/>
          <w:sz w:val="24"/>
          <w:szCs w:val="24"/>
        </w:rPr>
        <w:t>Weaknesses</w:t>
      </w:r>
    </w:p>
    <w:p w14:paraId="4513B2F3" w14:textId="77777777" w:rsidR="00DE132E" w:rsidRPr="003C7226" w:rsidRDefault="00BA1215" w:rsidP="009A79A3">
      <w:pPr>
        <w:spacing w:line="360" w:lineRule="auto"/>
        <w:jc w:val="both"/>
        <w:rPr>
          <w:rFonts w:ascii="Arial" w:hAnsi="Arial" w:cs="Arial"/>
          <w:b/>
          <w:sz w:val="24"/>
          <w:szCs w:val="24"/>
        </w:rPr>
      </w:pPr>
      <w:r w:rsidRPr="003C7226">
        <w:rPr>
          <w:rFonts w:ascii="Arial" w:hAnsi="Arial" w:cs="Arial"/>
          <w:b/>
          <w:sz w:val="24"/>
          <w:szCs w:val="24"/>
        </w:rPr>
        <w:t>Rising expenditure, and Declining occupancy, and average room rates</w:t>
      </w:r>
    </w:p>
    <w:p w14:paraId="1FC4FB9B" w14:textId="77777777" w:rsidR="00141551" w:rsidRPr="003C7226" w:rsidRDefault="00BA1215" w:rsidP="009A79A3">
      <w:pPr>
        <w:spacing w:line="360" w:lineRule="auto"/>
        <w:jc w:val="both"/>
        <w:rPr>
          <w:rFonts w:ascii="Arial" w:hAnsi="Arial" w:cs="Arial"/>
          <w:sz w:val="24"/>
          <w:szCs w:val="24"/>
        </w:rPr>
      </w:pPr>
      <w:r w:rsidRPr="003C7226">
        <w:rPr>
          <w:rFonts w:ascii="Arial" w:hAnsi="Arial" w:cs="Arial"/>
          <w:sz w:val="24"/>
          <w:szCs w:val="24"/>
        </w:rPr>
        <w:t xml:space="preserve">Based on the income statement analysis, Seaview Resort experiences high operating expenditures. For instance, the business' expenditure rose by 60,000 between the year 2020 and 2022. The business also faces declining occupancy and average room rates, a </w:t>
      </w:r>
      <w:r w:rsidRPr="003C7226">
        <w:rPr>
          <w:rFonts w:ascii="Arial" w:hAnsi="Arial" w:cs="Arial"/>
          <w:sz w:val="24"/>
          <w:szCs w:val="24"/>
        </w:rPr>
        <w:lastRenderedPageBreak/>
        <w:t xml:space="preserve">decline of 40 and 10% between 2020 and 2022, respectively. This could be a result of declining quality services and outdated amenities that the resort has. </w:t>
      </w:r>
    </w:p>
    <w:p w14:paraId="62F52F4A" w14:textId="77777777" w:rsidR="00141551" w:rsidRPr="003C7226" w:rsidRDefault="00BA1215" w:rsidP="009A79A3">
      <w:pPr>
        <w:spacing w:line="360" w:lineRule="auto"/>
        <w:jc w:val="both"/>
        <w:rPr>
          <w:rFonts w:ascii="Arial" w:hAnsi="Arial" w:cs="Arial"/>
          <w:b/>
          <w:sz w:val="24"/>
          <w:szCs w:val="24"/>
        </w:rPr>
      </w:pPr>
      <w:r w:rsidRPr="003C7226">
        <w:rPr>
          <w:rFonts w:ascii="Arial" w:hAnsi="Arial" w:cs="Arial"/>
          <w:b/>
          <w:sz w:val="24"/>
          <w:szCs w:val="24"/>
        </w:rPr>
        <w:t>Opportunities</w:t>
      </w:r>
    </w:p>
    <w:p w14:paraId="73241CBF" w14:textId="77777777" w:rsidR="00141551" w:rsidRPr="003C7226" w:rsidRDefault="00BA1215" w:rsidP="009A79A3">
      <w:pPr>
        <w:spacing w:line="360" w:lineRule="auto"/>
        <w:jc w:val="both"/>
        <w:rPr>
          <w:rFonts w:ascii="Arial" w:hAnsi="Arial" w:cs="Arial"/>
          <w:b/>
          <w:sz w:val="24"/>
          <w:szCs w:val="24"/>
        </w:rPr>
      </w:pPr>
      <w:r w:rsidRPr="003C7226">
        <w:rPr>
          <w:rFonts w:ascii="Arial" w:hAnsi="Arial" w:cs="Arial"/>
          <w:b/>
          <w:sz w:val="24"/>
          <w:szCs w:val="24"/>
        </w:rPr>
        <w:t>Attract investment</w:t>
      </w:r>
    </w:p>
    <w:p w14:paraId="4B6FB6AF" w14:textId="77777777" w:rsidR="00141551" w:rsidRPr="003C7226" w:rsidRDefault="00BA1215" w:rsidP="009A79A3">
      <w:pPr>
        <w:spacing w:line="360" w:lineRule="auto"/>
        <w:jc w:val="both"/>
        <w:rPr>
          <w:rFonts w:ascii="Arial" w:hAnsi="Arial" w:cs="Arial"/>
          <w:b/>
          <w:sz w:val="24"/>
          <w:szCs w:val="24"/>
        </w:rPr>
      </w:pPr>
      <w:r w:rsidRPr="003C7226">
        <w:rPr>
          <w:rFonts w:ascii="Arial" w:hAnsi="Arial" w:cs="Arial"/>
          <w:sz w:val="24"/>
          <w:szCs w:val="24"/>
        </w:rPr>
        <w:t>Due to Seaview Resort's stable debt-to-equity ratio, the business has a greater opportunity to acquire debt. Debt financing can then be used to finance the renovation of old amenities</w:t>
      </w:r>
      <w:r w:rsidR="00C639B3" w:rsidRPr="003C7226">
        <w:rPr>
          <w:rFonts w:ascii="Arial" w:hAnsi="Arial" w:cs="Arial"/>
          <w:sz w:val="24"/>
          <w:szCs w:val="24"/>
        </w:rPr>
        <w:t xml:space="preserve"> and</w:t>
      </w:r>
      <w:r w:rsidRPr="003C7226">
        <w:rPr>
          <w:rFonts w:ascii="Arial" w:hAnsi="Arial" w:cs="Arial"/>
          <w:sz w:val="24"/>
          <w:szCs w:val="24"/>
        </w:rPr>
        <w:t xml:space="preserve"> improve service quality. As </w:t>
      </w:r>
      <w:r w:rsidRPr="003C7226">
        <w:rPr>
          <w:rFonts w:ascii="Arial" w:hAnsi="Arial" w:cs="Arial"/>
          <w:sz w:val="24"/>
          <w:szCs w:val="24"/>
          <w:shd w:val="clear" w:color="auto" w:fill="FFFFFF"/>
        </w:rPr>
        <w:t xml:space="preserve">Raimo et al. (2021) illustrated, debt finance has </w:t>
      </w:r>
      <w:r w:rsidR="00FC3900" w:rsidRPr="003C7226">
        <w:rPr>
          <w:rFonts w:ascii="Arial" w:hAnsi="Arial" w:cs="Arial"/>
          <w:sz w:val="24"/>
          <w:szCs w:val="24"/>
          <w:shd w:val="clear" w:color="auto" w:fill="FFFFFF"/>
        </w:rPr>
        <w:t xml:space="preserve">both </w:t>
      </w:r>
      <w:r w:rsidRPr="003C7226">
        <w:rPr>
          <w:rFonts w:ascii="Arial" w:hAnsi="Arial" w:cs="Arial"/>
          <w:sz w:val="24"/>
          <w:szCs w:val="24"/>
          <w:shd w:val="clear" w:color="auto" w:fill="FFFFFF"/>
        </w:rPr>
        <w:t>tax and cost advantages.</w:t>
      </w:r>
    </w:p>
    <w:p w14:paraId="17C0359D" w14:textId="77777777" w:rsidR="00141551" w:rsidRPr="003C7226" w:rsidRDefault="00BA1215" w:rsidP="009A79A3">
      <w:pPr>
        <w:spacing w:line="360" w:lineRule="auto"/>
        <w:jc w:val="both"/>
        <w:rPr>
          <w:rFonts w:ascii="Arial" w:hAnsi="Arial" w:cs="Arial"/>
          <w:b/>
          <w:sz w:val="24"/>
          <w:szCs w:val="24"/>
        </w:rPr>
      </w:pPr>
      <w:r w:rsidRPr="003C7226">
        <w:rPr>
          <w:rFonts w:ascii="Arial" w:hAnsi="Arial" w:cs="Arial"/>
          <w:b/>
          <w:sz w:val="24"/>
          <w:szCs w:val="24"/>
        </w:rPr>
        <w:t>Technological integration</w:t>
      </w:r>
    </w:p>
    <w:p w14:paraId="43D579F0" w14:textId="77777777" w:rsidR="00141551" w:rsidRPr="003C7226" w:rsidRDefault="00BA1215" w:rsidP="009A79A3">
      <w:pPr>
        <w:spacing w:line="360" w:lineRule="auto"/>
        <w:jc w:val="both"/>
        <w:rPr>
          <w:rFonts w:ascii="Arial" w:hAnsi="Arial" w:cs="Arial"/>
          <w:b/>
          <w:sz w:val="24"/>
          <w:szCs w:val="24"/>
        </w:rPr>
      </w:pPr>
      <w:r w:rsidRPr="003C7226">
        <w:rPr>
          <w:rFonts w:ascii="Arial" w:hAnsi="Arial" w:cs="Arial"/>
          <w:sz w:val="24"/>
          <w:szCs w:val="24"/>
        </w:rPr>
        <w:t>Seaview Resort has a greater opportunity to exploit the benefits that come with technological integration into its business system. The advancement in technology is likely to help the company attract more clients through online marketing.</w:t>
      </w:r>
    </w:p>
    <w:p w14:paraId="6FB3C4FA" w14:textId="77777777" w:rsidR="00141551" w:rsidRPr="003C7226" w:rsidRDefault="00BA1215" w:rsidP="009A79A3">
      <w:pPr>
        <w:spacing w:line="360" w:lineRule="auto"/>
        <w:jc w:val="both"/>
        <w:rPr>
          <w:rFonts w:ascii="Arial" w:hAnsi="Arial" w:cs="Arial"/>
          <w:b/>
          <w:sz w:val="24"/>
          <w:szCs w:val="24"/>
        </w:rPr>
      </w:pPr>
      <w:r w:rsidRPr="003C7226">
        <w:rPr>
          <w:rFonts w:ascii="Arial" w:hAnsi="Arial" w:cs="Arial"/>
          <w:b/>
          <w:sz w:val="24"/>
          <w:szCs w:val="24"/>
        </w:rPr>
        <w:t>Full recovery of the economy</w:t>
      </w:r>
    </w:p>
    <w:p w14:paraId="5E988E06" w14:textId="77777777" w:rsidR="00141551" w:rsidRPr="003C7226" w:rsidRDefault="00BA1215" w:rsidP="009A79A3">
      <w:pPr>
        <w:spacing w:line="360" w:lineRule="auto"/>
        <w:jc w:val="both"/>
        <w:rPr>
          <w:rFonts w:ascii="Arial" w:hAnsi="Arial" w:cs="Arial"/>
          <w:b/>
          <w:sz w:val="24"/>
          <w:szCs w:val="24"/>
        </w:rPr>
      </w:pPr>
      <w:r w:rsidRPr="003C7226">
        <w:rPr>
          <w:rFonts w:ascii="Arial" w:hAnsi="Arial" w:cs="Arial"/>
          <w:sz w:val="24"/>
          <w:szCs w:val="24"/>
        </w:rPr>
        <w:t>Seaview Resort also has an opportunity to benefit from the slow recovery of the UK's hotel industry. The trading performance within the hotel sector has been beyond expectation despite the slow rate of recovery (Frank, 2022). One of the factors contributing to the slow recovery is slow growth in the hotel supply, which was reported to be 1.4% per year (Frank, 2022).</w:t>
      </w:r>
    </w:p>
    <w:p w14:paraId="1D8D68E7" w14:textId="77777777" w:rsidR="00141551" w:rsidRPr="003C7226" w:rsidRDefault="00BA1215" w:rsidP="009A79A3">
      <w:pPr>
        <w:spacing w:line="360" w:lineRule="auto"/>
        <w:jc w:val="both"/>
        <w:rPr>
          <w:rFonts w:ascii="Arial" w:hAnsi="Arial" w:cs="Arial"/>
          <w:b/>
          <w:sz w:val="24"/>
          <w:szCs w:val="24"/>
        </w:rPr>
      </w:pPr>
      <w:r w:rsidRPr="003C7226">
        <w:rPr>
          <w:rFonts w:ascii="Arial" w:hAnsi="Arial" w:cs="Arial"/>
          <w:b/>
          <w:sz w:val="24"/>
          <w:szCs w:val="24"/>
        </w:rPr>
        <w:t>Shifting customer preference</w:t>
      </w:r>
    </w:p>
    <w:p w14:paraId="54FE2EE6" w14:textId="77777777" w:rsidR="00141551" w:rsidRPr="003C7226" w:rsidRDefault="00BA1215" w:rsidP="009A79A3">
      <w:pPr>
        <w:spacing w:line="360" w:lineRule="auto"/>
        <w:jc w:val="both"/>
        <w:rPr>
          <w:rFonts w:ascii="Arial" w:hAnsi="Arial" w:cs="Arial"/>
          <w:b/>
          <w:sz w:val="24"/>
          <w:szCs w:val="24"/>
        </w:rPr>
      </w:pPr>
      <w:r w:rsidRPr="003C7226">
        <w:rPr>
          <w:rFonts w:ascii="Arial" w:hAnsi="Arial" w:cs="Arial"/>
          <w:sz w:val="24"/>
          <w:szCs w:val="24"/>
        </w:rPr>
        <w:t>Seaview Resort also has a greater opportunity to capitalise on the shifting customer preference towards eco-friendly and experiential tourism (</w:t>
      </w:r>
      <w:r w:rsidRPr="003C7226">
        <w:rPr>
          <w:rFonts w:ascii="Arial" w:hAnsi="Arial" w:cs="Arial"/>
          <w:sz w:val="24"/>
          <w:szCs w:val="24"/>
          <w:shd w:val="clear" w:color="auto" w:fill="FFFFFF"/>
        </w:rPr>
        <w:t>Ashraf et al.2020)</w:t>
      </w:r>
      <w:r w:rsidRPr="003C7226">
        <w:rPr>
          <w:rFonts w:ascii="Arial" w:hAnsi="Arial" w:cs="Arial"/>
          <w:sz w:val="24"/>
          <w:szCs w:val="24"/>
        </w:rPr>
        <w:t xml:space="preserve">. For instance, its close proximity to the coastline gives it </w:t>
      </w:r>
      <w:r w:rsidR="006849F0" w:rsidRPr="003C7226">
        <w:rPr>
          <w:rFonts w:ascii="Arial" w:hAnsi="Arial" w:cs="Arial"/>
          <w:sz w:val="24"/>
          <w:szCs w:val="24"/>
        </w:rPr>
        <w:t xml:space="preserve">the </w:t>
      </w:r>
      <w:r w:rsidRPr="003C7226">
        <w:rPr>
          <w:rFonts w:ascii="Arial" w:hAnsi="Arial" w:cs="Arial"/>
          <w:sz w:val="24"/>
          <w:szCs w:val="24"/>
        </w:rPr>
        <w:t>advantage of incorporating the concept of sustainability and environmental conservation in its services.</w:t>
      </w:r>
    </w:p>
    <w:p w14:paraId="365A043F" w14:textId="77777777" w:rsidR="00141551" w:rsidRPr="003C7226" w:rsidRDefault="00BA1215" w:rsidP="009A79A3">
      <w:pPr>
        <w:spacing w:line="360" w:lineRule="auto"/>
        <w:jc w:val="both"/>
        <w:rPr>
          <w:rFonts w:ascii="Arial" w:hAnsi="Arial" w:cs="Arial"/>
          <w:b/>
          <w:sz w:val="24"/>
          <w:szCs w:val="24"/>
        </w:rPr>
      </w:pPr>
      <w:r w:rsidRPr="003C7226">
        <w:rPr>
          <w:rFonts w:ascii="Arial" w:hAnsi="Arial" w:cs="Arial"/>
          <w:b/>
          <w:sz w:val="24"/>
          <w:szCs w:val="24"/>
        </w:rPr>
        <w:t>Threats</w:t>
      </w:r>
    </w:p>
    <w:p w14:paraId="3661C4CC" w14:textId="77777777" w:rsidR="00141551" w:rsidRPr="003C7226" w:rsidRDefault="00BA1215" w:rsidP="009A79A3">
      <w:pPr>
        <w:spacing w:line="360" w:lineRule="auto"/>
        <w:jc w:val="both"/>
        <w:rPr>
          <w:rFonts w:ascii="Arial" w:hAnsi="Arial" w:cs="Arial"/>
          <w:b/>
          <w:sz w:val="24"/>
          <w:szCs w:val="24"/>
        </w:rPr>
      </w:pPr>
      <w:r w:rsidRPr="003C7226">
        <w:rPr>
          <w:rFonts w:ascii="Arial" w:hAnsi="Arial" w:cs="Arial"/>
          <w:b/>
          <w:sz w:val="24"/>
          <w:szCs w:val="24"/>
        </w:rPr>
        <w:t>Competition</w:t>
      </w:r>
    </w:p>
    <w:p w14:paraId="5FC78CC4" w14:textId="77777777" w:rsidR="00141551" w:rsidRPr="003C7226" w:rsidRDefault="00BA1215" w:rsidP="009A79A3">
      <w:pPr>
        <w:spacing w:line="360" w:lineRule="auto"/>
        <w:jc w:val="both"/>
        <w:rPr>
          <w:rFonts w:ascii="Arial" w:hAnsi="Arial" w:cs="Arial"/>
          <w:sz w:val="24"/>
          <w:szCs w:val="24"/>
        </w:rPr>
      </w:pPr>
      <w:r w:rsidRPr="003C7226">
        <w:rPr>
          <w:rFonts w:ascii="Arial" w:hAnsi="Arial" w:cs="Arial"/>
          <w:sz w:val="24"/>
          <w:szCs w:val="24"/>
        </w:rPr>
        <w:t xml:space="preserve">The UK's hotel industry is highly competitive, with a market size of $16.42 billion. 81% occupancy rate and 9,961 hotels offering similar accommodation services. Therefore, the </w:t>
      </w:r>
      <w:r w:rsidRPr="003C7226">
        <w:rPr>
          <w:rFonts w:ascii="Arial" w:hAnsi="Arial" w:cs="Arial"/>
          <w:sz w:val="24"/>
          <w:szCs w:val="24"/>
        </w:rPr>
        <w:lastRenderedPageBreak/>
        <w:t>negative reviews and industry competition are likely to affect profitability and competitiveness.</w:t>
      </w:r>
    </w:p>
    <w:p w14:paraId="0570200F" w14:textId="77777777" w:rsidR="008C4F4A" w:rsidRPr="003C7226" w:rsidRDefault="00BA1215" w:rsidP="009A79A3">
      <w:pPr>
        <w:spacing w:line="360" w:lineRule="auto"/>
        <w:jc w:val="center"/>
        <w:rPr>
          <w:rFonts w:ascii="Arial" w:hAnsi="Arial" w:cs="Arial"/>
          <w:b/>
          <w:sz w:val="24"/>
          <w:szCs w:val="24"/>
        </w:rPr>
      </w:pPr>
      <w:r w:rsidRPr="003C7226">
        <w:rPr>
          <w:rFonts w:ascii="Arial" w:hAnsi="Arial" w:cs="Arial"/>
          <w:b/>
          <w:sz w:val="24"/>
          <w:szCs w:val="24"/>
        </w:rPr>
        <w:t>Market Analysis</w:t>
      </w:r>
    </w:p>
    <w:p w14:paraId="398AA5A8" w14:textId="77777777" w:rsidR="00A4288B" w:rsidRPr="003C7226" w:rsidRDefault="00BA1215" w:rsidP="009A79A3">
      <w:pPr>
        <w:spacing w:line="360" w:lineRule="auto"/>
        <w:jc w:val="both"/>
        <w:rPr>
          <w:rFonts w:ascii="Arial" w:hAnsi="Arial" w:cs="Arial"/>
          <w:b/>
          <w:sz w:val="24"/>
          <w:szCs w:val="24"/>
        </w:rPr>
      </w:pPr>
      <w:r w:rsidRPr="003C7226">
        <w:rPr>
          <w:rFonts w:ascii="Arial" w:hAnsi="Arial" w:cs="Arial"/>
          <w:sz w:val="24"/>
          <w:szCs w:val="24"/>
        </w:rPr>
        <w:t xml:space="preserve">According to Mordor Intelligence (2022), the UK hospitality industry market size is currently </w:t>
      </w:r>
      <w:r w:rsidR="00B921C7" w:rsidRPr="003C7226">
        <w:rPr>
          <w:rFonts w:ascii="Arial" w:hAnsi="Arial" w:cs="Arial"/>
          <w:sz w:val="24"/>
          <w:szCs w:val="24"/>
        </w:rPr>
        <w:t xml:space="preserve">approximated to be worth </w:t>
      </w:r>
      <w:r w:rsidRPr="003C7226">
        <w:rPr>
          <w:rFonts w:ascii="Arial" w:hAnsi="Arial" w:cs="Arial"/>
          <w:sz w:val="24"/>
          <w:szCs w:val="24"/>
        </w:rPr>
        <w:t xml:space="preserve">$ 24.20 billion and is expected to grow to $ 27.42 billion by 2028. An analysis based on RevPAR Numbers shows that the number of target customers, that is, international tourists, is fluctuating while the number of domestic tourists is on the rise. Additionally, the construction of 88 </w:t>
      </w:r>
      <w:r w:rsidR="00B441AD" w:rsidRPr="003C7226">
        <w:rPr>
          <w:rFonts w:ascii="Arial" w:hAnsi="Arial" w:cs="Arial"/>
          <w:sz w:val="24"/>
          <w:szCs w:val="24"/>
        </w:rPr>
        <w:t xml:space="preserve">new </w:t>
      </w:r>
      <w:r w:rsidRPr="003C7226">
        <w:rPr>
          <w:rFonts w:ascii="Arial" w:hAnsi="Arial" w:cs="Arial"/>
          <w:sz w:val="24"/>
          <w:szCs w:val="24"/>
        </w:rPr>
        <w:t>hotels is expected to add approximately 16000 rooms to the industry (Mordor Intelligence, 2022). Despite the stagnation in the growth of RevPAR between 2018 and 2022, there has been a positive growth in RevPAR, attracting more investors. ‌The market share concentration analysis by ‌IBIS World (2022) shows that the top four companies generate less than 40% of the total revenue. The concentration in the food and accommodation sector is also approximated to</w:t>
      </w:r>
      <w:r w:rsidR="004C0CE3" w:rsidRPr="003C7226">
        <w:rPr>
          <w:rFonts w:ascii="Arial" w:hAnsi="Arial" w:cs="Arial"/>
          <w:sz w:val="24"/>
          <w:szCs w:val="24"/>
        </w:rPr>
        <w:t xml:space="preserve"> be 21% (‌IBIS World, 2022). Lastly, </w:t>
      </w:r>
      <w:r w:rsidRPr="003C7226">
        <w:rPr>
          <w:rFonts w:ascii="Arial" w:hAnsi="Arial" w:cs="Arial"/>
          <w:sz w:val="24"/>
          <w:szCs w:val="24"/>
        </w:rPr>
        <w:t xml:space="preserve">‌IBIS World (2022) reports show that hotels have greater opportunity to operate as large branded chains since the independent hotel sector is on the decline. </w:t>
      </w:r>
    </w:p>
    <w:p w14:paraId="1701FF71" w14:textId="77777777" w:rsidR="00804DBF" w:rsidRPr="003C7226" w:rsidRDefault="00BA1215" w:rsidP="009A79A3">
      <w:pPr>
        <w:spacing w:line="360" w:lineRule="auto"/>
        <w:jc w:val="center"/>
        <w:rPr>
          <w:rFonts w:ascii="Arial" w:hAnsi="Arial" w:cs="Arial"/>
          <w:b/>
          <w:sz w:val="24"/>
          <w:szCs w:val="24"/>
        </w:rPr>
      </w:pPr>
      <w:r w:rsidRPr="003C7226">
        <w:rPr>
          <w:rFonts w:ascii="Arial" w:hAnsi="Arial" w:cs="Arial"/>
          <w:b/>
          <w:sz w:val="24"/>
          <w:szCs w:val="24"/>
        </w:rPr>
        <w:t>Turnaround Strategy</w:t>
      </w:r>
    </w:p>
    <w:p w14:paraId="42B14A9F" w14:textId="77777777" w:rsidR="00A4288B" w:rsidRPr="003C7226" w:rsidRDefault="00BA1215" w:rsidP="009A79A3">
      <w:pPr>
        <w:spacing w:line="360" w:lineRule="auto"/>
        <w:rPr>
          <w:rFonts w:ascii="Arial" w:hAnsi="Arial" w:cs="Arial"/>
          <w:sz w:val="24"/>
          <w:szCs w:val="24"/>
        </w:rPr>
      </w:pPr>
      <w:r w:rsidRPr="003C7226">
        <w:rPr>
          <w:rFonts w:ascii="Arial" w:hAnsi="Arial" w:cs="Arial"/>
          <w:sz w:val="24"/>
          <w:szCs w:val="24"/>
        </w:rPr>
        <w:t xml:space="preserve">Seaview Resort intends to turnaround its current status through a cost-restructuring strategy. Given that Seaview Resort expenses continue to rise, it is advisable that the Seaview Resort's management takes austerity measures to restructure its operating budgets, enact furloughs where appropriate and implement other cost-saving measures. As </w:t>
      </w:r>
      <w:r w:rsidRPr="003C7226">
        <w:rPr>
          <w:rFonts w:ascii="Arial" w:hAnsi="Arial" w:cs="Arial"/>
          <w:sz w:val="24"/>
          <w:szCs w:val="24"/>
          <w:shd w:val="clear" w:color="auto" w:fill="FFFFFF"/>
        </w:rPr>
        <w:t xml:space="preserve">Radwan. and Radwan (2017) argue, cost restructuring enables a business to save and plough back </w:t>
      </w:r>
      <w:r w:rsidR="006A069F" w:rsidRPr="003C7226">
        <w:rPr>
          <w:rFonts w:ascii="Arial" w:hAnsi="Arial" w:cs="Arial"/>
          <w:sz w:val="24"/>
          <w:szCs w:val="24"/>
          <w:shd w:val="clear" w:color="auto" w:fill="FFFFFF"/>
        </w:rPr>
        <w:t xml:space="preserve">the </w:t>
      </w:r>
      <w:r w:rsidRPr="003C7226">
        <w:rPr>
          <w:rFonts w:ascii="Arial" w:hAnsi="Arial" w:cs="Arial"/>
          <w:sz w:val="24"/>
          <w:szCs w:val="24"/>
          <w:shd w:val="clear" w:color="auto" w:fill="FFFFFF"/>
        </w:rPr>
        <w:t>saving</w:t>
      </w:r>
      <w:r w:rsidR="00F302A6" w:rsidRPr="003C7226">
        <w:rPr>
          <w:rFonts w:ascii="Arial" w:hAnsi="Arial" w:cs="Arial"/>
          <w:sz w:val="24"/>
          <w:szCs w:val="24"/>
          <w:shd w:val="clear" w:color="auto" w:fill="FFFFFF"/>
        </w:rPr>
        <w:t>s</w:t>
      </w:r>
      <w:r w:rsidRPr="003C7226">
        <w:rPr>
          <w:rFonts w:ascii="Arial" w:hAnsi="Arial" w:cs="Arial"/>
          <w:sz w:val="24"/>
          <w:szCs w:val="24"/>
          <w:shd w:val="clear" w:color="auto" w:fill="FFFFFF"/>
        </w:rPr>
        <w:t xml:space="preserve"> into profitable activities. For instance, the savings that </w:t>
      </w:r>
      <w:r w:rsidRPr="003C7226">
        <w:rPr>
          <w:rFonts w:ascii="Arial" w:hAnsi="Arial" w:cs="Arial"/>
          <w:sz w:val="24"/>
          <w:szCs w:val="24"/>
        </w:rPr>
        <w:t>Seaview Resort is expected to save from cost restructuring ca</w:t>
      </w:r>
      <w:r w:rsidR="00BD487D" w:rsidRPr="003C7226">
        <w:rPr>
          <w:rFonts w:ascii="Arial" w:hAnsi="Arial" w:cs="Arial"/>
          <w:sz w:val="24"/>
          <w:szCs w:val="24"/>
        </w:rPr>
        <w:t>n</w:t>
      </w:r>
      <w:r w:rsidRPr="003C7226">
        <w:rPr>
          <w:rFonts w:ascii="Arial" w:hAnsi="Arial" w:cs="Arial"/>
          <w:sz w:val="24"/>
          <w:szCs w:val="24"/>
        </w:rPr>
        <w:t xml:space="preserve"> be used to renovate its amenities, invest in modern marketing platforms and train its staff to provide quality services.</w:t>
      </w:r>
      <w:r w:rsidR="00E046D9" w:rsidRPr="003C7226">
        <w:rPr>
          <w:rFonts w:ascii="Arial" w:hAnsi="Arial" w:cs="Arial"/>
          <w:sz w:val="24"/>
          <w:szCs w:val="24"/>
        </w:rPr>
        <w:t xml:space="preserve"> </w:t>
      </w:r>
      <w:r w:rsidRPr="003C7226">
        <w:rPr>
          <w:rFonts w:ascii="Arial" w:hAnsi="Arial" w:cs="Arial"/>
          <w:sz w:val="24"/>
          <w:szCs w:val="24"/>
        </w:rPr>
        <w:t xml:space="preserve">Secondly, the Seaview Resort intends to merge with Whitbread plc to operate as part of the hotel chain. This turnaround strategy is viewed to be more profitable as they enjoy economies of scale enjoys popularity compared to hotels in the independent sector. According to </w:t>
      </w:r>
      <w:hyperlink r:id="rId5" w:history="1">
        <w:r w:rsidRPr="003C7226">
          <w:rPr>
            <w:rStyle w:val="Hyperlink"/>
            <w:rFonts w:ascii="Arial" w:hAnsi="Arial" w:cs="Arial"/>
            <w:color w:val="auto"/>
            <w:sz w:val="24"/>
            <w:szCs w:val="24"/>
            <w:u w:val="none"/>
            <w:bdr w:val="none" w:sz="0" w:space="0" w:color="auto" w:frame="1"/>
            <w:shd w:val="clear" w:color="auto" w:fill="FFFFFF"/>
          </w:rPr>
          <w:t>Ledsham</w:t>
        </w:r>
      </w:hyperlink>
      <w:r w:rsidRPr="003C7226">
        <w:rPr>
          <w:rFonts w:ascii="Arial" w:hAnsi="Arial" w:cs="Arial"/>
          <w:iCs/>
          <w:sz w:val="24"/>
          <w:szCs w:val="24"/>
        </w:rPr>
        <w:t xml:space="preserve"> </w:t>
      </w:r>
      <w:r w:rsidRPr="003C7226">
        <w:rPr>
          <w:rFonts w:ascii="Arial" w:hAnsi="Arial" w:cs="Arial"/>
          <w:sz w:val="24"/>
          <w:szCs w:val="24"/>
        </w:rPr>
        <w:t>(2023), hotels in the independent sector are closing down while large branded chains continue to thrive.</w:t>
      </w:r>
      <w:r w:rsidR="007963B4" w:rsidRPr="003C7226">
        <w:rPr>
          <w:rFonts w:ascii="Arial" w:hAnsi="Arial" w:cs="Arial"/>
          <w:sz w:val="24"/>
          <w:szCs w:val="24"/>
        </w:rPr>
        <w:t xml:space="preserve"> I</w:t>
      </w:r>
      <w:r w:rsidR="00127EEA" w:rsidRPr="003C7226">
        <w:rPr>
          <w:rFonts w:ascii="Arial" w:hAnsi="Arial" w:cs="Arial"/>
          <w:sz w:val="24"/>
          <w:szCs w:val="24"/>
        </w:rPr>
        <w:t xml:space="preserve">n other words, </w:t>
      </w:r>
      <w:r w:rsidR="00153052" w:rsidRPr="003C7226">
        <w:rPr>
          <w:rFonts w:ascii="Arial" w:hAnsi="Arial" w:cs="Arial"/>
          <w:sz w:val="24"/>
          <w:szCs w:val="24"/>
        </w:rPr>
        <w:t>the</w:t>
      </w:r>
      <w:r w:rsidR="00127EEA" w:rsidRPr="003C7226">
        <w:rPr>
          <w:rFonts w:ascii="Arial" w:hAnsi="Arial" w:cs="Arial"/>
          <w:sz w:val="24"/>
          <w:szCs w:val="24"/>
        </w:rPr>
        <w:t xml:space="preserve"> move</w:t>
      </w:r>
      <w:r w:rsidR="00BF756B" w:rsidRPr="003C7226">
        <w:rPr>
          <w:rFonts w:ascii="Arial" w:hAnsi="Arial" w:cs="Arial"/>
          <w:sz w:val="24"/>
          <w:szCs w:val="24"/>
        </w:rPr>
        <w:t xml:space="preserve"> to operate as </w:t>
      </w:r>
      <w:r w:rsidR="00BF756B" w:rsidRPr="003C7226">
        <w:rPr>
          <w:rFonts w:ascii="Arial" w:hAnsi="Arial" w:cs="Arial"/>
          <w:sz w:val="24"/>
          <w:szCs w:val="24"/>
        </w:rPr>
        <w:lastRenderedPageBreak/>
        <w:t>part of Whitbread plc will allow it to</w:t>
      </w:r>
      <w:r w:rsidR="00BA4C7A" w:rsidRPr="003C7226">
        <w:rPr>
          <w:rFonts w:ascii="Arial" w:hAnsi="Arial" w:cs="Arial"/>
          <w:sz w:val="24"/>
          <w:szCs w:val="24"/>
        </w:rPr>
        <w:t xml:space="preserve"> increase market penetration, that is, access Whitbread plc's existing markets. </w:t>
      </w:r>
    </w:p>
    <w:p w14:paraId="268894EC" w14:textId="77777777" w:rsidR="00A4288B" w:rsidRPr="003C7226" w:rsidRDefault="00BA1215" w:rsidP="009A79A3">
      <w:pPr>
        <w:spacing w:line="360" w:lineRule="auto"/>
        <w:jc w:val="center"/>
        <w:rPr>
          <w:rFonts w:ascii="Arial" w:hAnsi="Arial" w:cs="Arial"/>
          <w:b/>
          <w:sz w:val="24"/>
          <w:szCs w:val="24"/>
        </w:rPr>
      </w:pPr>
      <w:r w:rsidRPr="003C7226">
        <w:rPr>
          <w:rFonts w:ascii="Arial" w:hAnsi="Arial" w:cs="Arial"/>
          <w:b/>
          <w:sz w:val="24"/>
          <w:szCs w:val="24"/>
        </w:rPr>
        <w:t xml:space="preserve"> </w:t>
      </w:r>
      <w:r w:rsidR="00B72513" w:rsidRPr="003C7226">
        <w:rPr>
          <w:rFonts w:ascii="Arial" w:hAnsi="Arial" w:cs="Arial"/>
          <w:b/>
          <w:sz w:val="24"/>
          <w:szCs w:val="24"/>
        </w:rPr>
        <w:t>Financial Projections (2023-2026)</w:t>
      </w:r>
      <w:r w:rsidR="008C4F4A" w:rsidRPr="003C7226">
        <w:rPr>
          <w:rFonts w:ascii="Arial" w:hAnsi="Arial" w:cs="Arial"/>
          <w:b/>
          <w:sz w:val="24"/>
          <w:szCs w:val="24"/>
        </w:rPr>
        <w:t xml:space="preserve"> (200)</w:t>
      </w:r>
    </w:p>
    <w:p w14:paraId="60C5EF6F" w14:textId="77777777" w:rsidR="00C67B6D" w:rsidRPr="003C7226" w:rsidRDefault="00BA1215" w:rsidP="009A79A3">
      <w:pPr>
        <w:spacing w:line="360" w:lineRule="auto"/>
        <w:rPr>
          <w:rFonts w:ascii="Arial" w:hAnsi="Arial" w:cs="Arial"/>
          <w:sz w:val="24"/>
          <w:szCs w:val="24"/>
        </w:rPr>
      </w:pPr>
      <w:r w:rsidRPr="003C7226">
        <w:rPr>
          <w:rFonts w:ascii="Arial" w:hAnsi="Arial" w:cs="Arial"/>
          <w:sz w:val="24"/>
          <w:szCs w:val="24"/>
        </w:rPr>
        <w:t>The turnaround strategy discussed above is expected to revive Seaview Resort’s revenue and earn it reputation in the</w:t>
      </w:r>
      <w:r w:rsidR="00AF077F" w:rsidRPr="003C7226">
        <w:rPr>
          <w:rFonts w:ascii="Arial" w:hAnsi="Arial" w:cs="Arial"/>
          <w:sz w:val="24"/>
          <w:szCs w:val="24"/>
        </w:rPr>
        <w:t xml:space="preserve"> hotel</w:t>
      </w:r>
      <w:r w:rsidRPr="003C7226">
        <w:rPr>
          <w:rFonts w:ascii="Arial" w:hAnsi="Arial" w:cs="Arial"/>
          <w:sz w:val="24"/>
          <w:szCs w:val="24"/>
        </w:rPr>
        <w:t xml:space="preserve"> industry.  Seaview Resort's financial projections are based on the general industry projections in the PWC 2020 report on the UK hotel industry. The report projects that the revenue in the hospitality sector will grow by 1.59% between 2023 and 2027‌ (Statista, 2023). However, it is assumed that Seaview Resort will experience an annual revenue growth of 10%. It is also expected that the hotel expenses will reduce by 10% in 2023 and 2024 and stabilise. The business' assets are expected to increase by 20% by the end of 2026 due to the merger with Whitbread plc, while long-term debt is expected to increase by 5%. Shareholder's equity is also expected to increase by 63.33% due to the merger</w:t>
      </w:r>
      <w:r w:rsidR="00C57804" w:rsidRPr="003C7226">
        <w:rPr>
          <w:rFonts w:ascii="Arial" w:hAnsi="Arial" w:cs="Arial"/>
          <w:sz w:val="24"/>
          <w:szCs w:val="24"/>
        </w:rPr>
        <w:t xml:space="preserve"> as shown in figure 2</w:t>
      </w:r>
      <w:r w:rsidRPr="003C7226">
        <w:rPr>
          <w:rFonts w:ascii="Arial" w:hAnsi="Arial" w:cs="Arial"/>
          <w:sz w:val="24"/>
          <w:szCs w:val="24"/>
        </w:rPr>
        <w:t>.</w:t>
      </w:r>
    </w:p>
    <w:p w14:paraId="247F5D07" w14:textId="77777777" w:rsidR="00804DBF" w:rsidRPr="003C7226" w:rsidRDefault="00BA1215" w:rsidP="009A79A3">
      <w:pPr>
        <w:spacing w:line="360" w:lineRule="auto"/>
        <w:jc w:val="center"/>
        <w:rPr>
          <w:rFonts w:ascii="Arial" w:hAnsi="Arial" w:cs="Arial"/>
          <w:b/>
          <w:sz w:val="24"/>
          <w:szCs w:val="24"/>
        </w:rPr>
      </w:pPr>
      <w:r w:rsidRPr="003C7226">
        <w:rPr>
          <w:rFonts w:ascii="Arial" w:hAnsi="Arial" w:cs="Arial"/>
          <w:b/>
          <w:sz w:val="24"/>
          <w:szCs w:val="24"/>
        </w:rPr>
        <w:t>Risk Assessment</w:t>
      </w:r>
    </w:p>
    <w:p w14:paraId="45209801" w14:textId="77777777" w:rsidR="001773C5" w:rsidRPr="003C7226" w:rsidRDefault="00BA1215" w:rsidP="009A79A3">
      <w:pPr>
        <w:spacing w:line="360" w:lineRule="auto"/>
        <w:rPr>
          <w:rFonts w:ascii="Arial" w:hAnsi="Arial" w:cs="Arial"/>
          <w:b/>
          <w:sz w:val="24"/>
          <w:szCs w:val="24"/>
        </w:rPr>
      </w:pPr>
      <w:r w:rsidRPr="003C7226">
        <w:rPr>
          <w:rFonts w:ascii="Arial" w:hAnsi="Arial" w:cs="Arial"/>
          <w:b/>
          <w:sz w:val="24"/>
          <w:szCs w:val="24"/>
        </w:rPr>
        <w:t>a) Resistance to Change</w:t>
      </w:r>
    </w:p>
    <w:p w14:paraId="0E743CA0" w14:textId="77777777" w:rsidR="001773C5" w:rsidRPr="003C7226" w:rsidRDefault="00BA1215" w:rsidP="009A79A3">
      <w:pPr>
        <w:spacing w:line="360" w:lineRule="auto"/>
        <w:rPr>
          <w:rFonts w:ascii="Arial" w:hAnsi="Arial" w:cs="Arial"/>
          <w:sz w:val="24"/>
          <w:szCs w:val="24"/>
        </w:rPr>
      </w:pPr>
      <w:r w:rsidRPr="003C7226">
        <w:rPr>
          <w:rFonts w:ascii="Arial" w:hAnsi="Arial" w:cs="Arial"/>
          <w:sz w:val="24"/>
          <w:szCs w:val="24"/>
        </w:rPr>
        <w:t xml:space="preserve">Even though the merger is an ideal way of addressing the current profitability challenge at Seaview Resort, there is a possibility that the current staff will resist adapting to the new management. According to </w:t>
      </w:r>
      <w:r w:rsidRPr="003C7226">
        <w:rPr>
          <w:rFonts w:ascii="Arial" w:hAnsi="Arial" w:cs="Arial"/>
          <w:sz w:val="24"/>
          <w:szCs w:val="24"/>
          <w:shd w:val="clear" w:color="auto" w:fill="FFFFFF"/>
        </w:rPr>
        <w:t>Zafar and Naveed, (2014), organisation restructuring comes with shock to the employees, which can prompt them to reject the new normal as well as take long to adapt to the new management.</w:t>
      </w:r>
    </w:p>
    <w:p w14:paraId="1C468CEF" w14:textId="77777777" w:rsidR="001773C5" w:rsidRPr="003C7226" w:rsidRDefault="00BA1215" w:rsidP="009A79A3">
      <w:pPr>
        <w:spacing w:line="360" w:lineRule="auto"/>
        <w:rPr>
          <w:rFonts w:ascii="Arial" w:hAnsi="Arial" w:cs="Arial"/>
          <w:b/>
          <w:sz w:val="24"/>
          <w:szCs w:val="24"/>
        </w:rPr>
      </w:pPr>
      <w:r w:rsidRPr="003C7226">
        <w:rPr>
          <w:rFonts w:ascii="Arial" w:hAnsi="Arial" w:cs="Arial"/>
          <w:b/>
          <w:sz w:val="24"/>
          <w:szCs w:val="24"/>
        </w:rPr>
        <w:t>b) Difference in organisational culture</w:t>
      </w:r>
    </w:p>
    <w:p w14:paraId="59997940" w14:textId="77777777" w:rsidR="00A4288B" w:rsidRPr="003C7226" w:rsidRDefault="00BA1215" w:rsidP="009A79A3">
      <w:pPr>
        <w:spacing w:line="360" w:lineRule="auto"/>
        <w:rPr>
          <w:rFonts w:ascii="Arial" w:hAnsi="Arial" w:cs="Arial"/>
          <w:sz w:val="24"/>
          <w:szCs w:val="24"/>
        </w:rPr>
      </w:pPr>
      <w:r w:rsidRPr="003C7226">
        <w:rPr>
          <w:rFonts w:ascii="Arial" w:hAnsi="Arial" w:cs="Arial"/>
          <w:sz w:val="24"/>
          <w:szCs w:val="24"/>
        </w:rPr>
        <w:t>Organisations are unique in nature, and many apply different leadership styles and adopt peculiar organisational cultures. The peculiarity in organisational culture makes it riskier to implement change (</w:t>
      </w:r>
      <w:r w:rsidRPr="003C7226">
        <w:rPr>
          <w:rFonts w:ascii="Arial" w:hAnsi="Arial" w:cs="Arial"/>
          <w:sz w:val="24"/>
          <w:szCs w:val="24"/>
          <w:shd w:val="clear" w:color="auto" w:fill="FFFFFF"/>
        </w:rPr>
        <w:t>Odor, 2018)</w:t>
      </w:r>
      <w:r w:rsidRPr="003C7226">
        <w:rPr>
          <w:rFonts w:ascii="Arial" w:hAnsi="Arial" w:cs="Arial"/>
          <w:sz w:val="24"/>
          <w:szCs w:val="24"/>
        </w:rPr>
        <w:t xml:space="preserve">. Therefore, it may take the new management </w:t>
      </w:r>
      <w:r w:rsidR="005401DA" w:rsidRPr="003C7226">
        <w:rPr>
          <w:rFonts w:ascii="Arial" w:hAnsi="Arial" w:cs="Arial"/>
          <w:sz w:val="24"/>
          <w:szCs w:val="24"/>
        </w:rPr>
        <w:t xml:space="preserve">a longer </w:t>
      </w:r>
      <w:r w:rsidRPr="003C7226">
        <w:rPr>
          <w:rFonts w:ascii="Arial" w:hAnsi="Arial" w:cs="Arial"/>
          <w:sz w:val="24"/>
          <w:szCs w:val="24"/>
        </w:rPr>
        <w:t>time to effectively onboard the inherited workforce from the previous organisation</w:t>
      </w:r>
      <w:r w:rsidR="00405DE0" w:rsidRPr="003C7226">
        <w:rPr>
          <w:rFonts w:ascii="Arial" w:hAnsi="Arial" w:cs="Arial"/>
          <w:sz w:val="24"/>
          <w:szCs w:val="24"/>
          <w:shd w:val="clear" w:color="auto" w:fill="FFFFFF"/>
        </w:rPr>
        <w:t xml:space="preserve"> (Darmawan and Azizah, 2020)</w:t>
      </w:r>
      <w:r w:rsidRPr="003C7226">
        <w:rPr>
          <w:rFonts w:ascii="Arial" w:hAnsi="Arial" w:cs="Arial"/>
          <w:sz w:val="24"/>
          <w:szCs w:val="24"/>
        </w:rPr>
        <w:t>. Therefore, regular training and engaging the new workforce through team-building activities will help overcome resistance and organisational culture differences.</w:t>
      </w:r>
    </w:p>
    <w:p w14:paraId="6FCD7094" w14:textId="77777777" w:rsidR="00D7337D" w:rsidRPr="003C7226" w:rsidRDefault="00BA1215" w:rsidP="009A79A3">
      <w:pPr>
        <w:spacing w:line="360" w:lineRule="auto"/>
        <w:jc w:val="center"/>
        <w:rPr>
          <w:rFonts w:ascii="Arial" w:hAnsi="Arial" w:cs="Arial"/>
          <w:b/>
          <w:sz w:val="24"/>
          <w:szCs w:val="24"/>
        </w:rPr>
      </w:pPr>
      <w:r w:rsidRPr="003C7226">
        <w:rPr>
          <w:rFonts w:ascii="Arial" w:hAnsi="Arial" w:cs="Arial"/>
          <w:b/>
          <w:sz w:val="24"/>
          <w:szCs w:val="24"/>
        </w:rPr>
        <w:lastRenderedPageBreak/>
        <w:t>Conclusion</w:t>
      </w:r>
      <w:r w:rsidR="00CB1218" w:rsidRPr="003C7226">
        <w:rPr>
          <w:rFonts w:ascii="Arial" w:hAnsi="Arial" w:cs="Arial"/>
          <w:b/>
          <w:sz w:val="24"/>
          <w:szCs w:val="24"/>
        </w:rPr>
        <w:t xml:space="preserve"> (10</w:t>
      </w:r>
      <w:r w:rsidR="008C4F4A" w:rsidRPr="003C7226">
        <w:rPr>
          <w:rFonts w:ascii="Arial" w:hAnsi="Arial" w:cs="Arial"/>
          <w:b/>
          <w:sz w:val="24"/>
          <w:szCs w:val="24"/>
        </w:rPr>
        <w:t>0)</w:t>
      </w:r>
    </w:p>
    <w:p w14:paraId="3764BFEC" w14:textId="77777777" w:rsidR="00A4288B" w:rsidRPr="003C7226" w:rsidRDefault="00BA1215" w:rsidP="009A79A3">
      <w:pPr>
        <w:spacing w:line="360" w:lineRule="auto"/>
        <w:rPr>
          <w:rFonts w:ascii="Arial" w:hAnsi="Arial" w:cs="Arial"/>
          <w:sz w:val="24"/>
          <w:szCs w:val="24"/>
        </w:rPr>
      </w:pPr>
      <w:r w:rsidRPr="003C7226">
        <w:rPr>
          <w:rFonts w:ascii="Arial" w:hAnsi="Arial" w:cs="Arial"/>
          <w:sz w:val="24"/>
          <w:szCs w:val="24"/>
        </w:rPr>
        <w:t xml:space="preserve">In summary, the following report reveals </w:t>
      </w:r>
      <w:r w:rsidR="00EC7412" w:rsidRPr="003C7226">
        <w:rPr>
          <w:rFonts w:ascii="Arial" w:hAnsi="Arial" w:cs="Arial"/>
          <w:sz w:val="24"/>
          <w:szCs w:val="24"/>
        </w:rPr>
        <w:t xml:space="preserve">the main reasons for the decline in profitability </w:t>
      </w:r>
      <w:r w:rsidR="00725793" w:rsidRPr="003C7226">
        <w:rPr>
          <w:rFonts w:ascii="Arial" w:hAnsi="Arial" w:cs="Arial"/>
          <w:sz w:val="24"/>
          <w:szCs w:val="24"/>
        </w:rPr>
        <w:t>at Seaview Resort</w:t>
      </w:r>
      <w:r w:rsidR="003C423B" w:rsidRPr="003C7226">
        <w:rPr>
          <w:rFonts w:ascii="Arial" w:hAnsi="Arial" w:cs="Arial"/>
          <w:sz w:val="24"/>
          <w:szCs w:val="24"/>
        </w:rPr>
        <w:t xml:space="preserve">, and they </w:t>
      </w:r>
      <w:r w:rsidR="00EC7412" w:rsidRPr="003C7226">
        <w:rPr>
          <w:rFonts w:ascii="Arial" w:hAnsi="Arial" w:cs="Arial"/>
          <w:sz w:val="24"/>
          <w:szCs w:val="24"/>
        </w:rPr>
        <w:t xml:space="preserve">include the shock of COVID-19, the global recession and Brexit. The report also shows </w:t>
      </w:r>
      <w:r w:rsidRPr="003C7226">
        <w:rPr>
          <w:rFonts w:ascii="Arial" w:hAnsi="Arial" w:cs="Arial"/>
          <w:sz w:val="24"/>
          <w:szCs w:val="24"/>
        </w:rPr>
        <w:t xml:space="preserve">that Seaview Resort has more opportunities as the UK economy recovers. </w:t>
      </w:r>
      <w:r w:rsidR="007A5FA2" w:rsidRPr="003C7226">
        <w:rPr>
          <w:rFonts w:ascii="Arial" w:hAnsi="Arial" w:cs="Arial"/>
          <w:sz w:val="24"/>
          <w:szCs w:val="24"/>
        </w:rPr>
        <w:t>Moreover, the</w:t>
      </w:r>
      <w:r w:rsidRPr="003C7226">
        <w:rPr>
          <w:rFonts w:ascii="Arial" w:hAnsi="Arial" w:cs="Arial"/>
          <w:sz w:val="24"/>
          <w:szCs w:val="24"/>
        </w:rPr>
        <w:t xml:space="preserve"> </w:t>
      </w:r>
      <w:r w:rsidR="00D719A3" w:rsidRPr="003C7226">
        <w:rPr>
          <w:rFonts w:ascii="Arial" w:hAnsi="Arial" w:cs="Arial"/>
          <w:sz w:val="24"/>
          <w:szCs w:val="24"/>
        </w:rPr>
        <w:t>business</w:t>
      </w:r>
      <w:r w:rsidRPr="003C7226">
        <w:rPr>
          <w:rFonts w:ascii="Arial" w:hAnsi="Arial" w:cs="Arial"/>
          <w:sz w:val="24"/>
          <w:szCs w:val="24"/>
        </w:rPr>
        <w:t xml:space="preserve"> can benefit from technological integration as well as attract investors, given its stable debt-to-equity ratio.</w:t>
      </w:r>
      <w:r w:rsidR="00EC7412" w:rsidRPr="003C7226">
        <w:rPr>
          <w:rFonts w:ascii="Arial" w:hAnsi="Arial" w:cs="Arial"/>
          <w:sz w:val="24"/>
          <w:szCs w:val="24"/>
        </w:rPr>
        <w:t xml:space="preserve"> The financial projections </w:t>
      </w:r>
      <w:r w:rsidR="00713723" w:rsidRPr="003C7226">
        <w:rPr>
          <w:rFonts w:ascii="Arial" w:hAnsi="Arial" w:cs="Arial"/>
          <w:sz w:val="24"/>
          <w:szCs w:val="24"/>
        </w:rPr>
        <w:t>show</w:t>
      </w:r>
      <w:r w:rsidR="00EC7412" w:rsidRPr="003C7226">
        <w:rPr>
          <w:rFonts w:ascii="Arial" w:hAnsi="Arial" w:cs="Arial"/>
          <w:sz w:val="24"/>
          <w:szCs w:val="24"/>
        </w:rPr>
        <w:t xml:space="preserve"> that </w:t>
      </w:r>
      <w:r w:rsidR="00713723" w:rsidRPr="003C7226">
        <w:rPr>
          <w:rFonts w:ascii="Arial" w:hAnsi="Arial" w:cs="Arial"/>
          <w:sz w:val="24"/>
          <w:szCs w:val="24"/>
        </w:rPr>
        <w:t>Seaview Resort</w:t>
      </w:r>
      <w:r w:rsidR="00EC7412" w:rsidRPr="003C7226">
        <w:rPr>
          <w:rFonts w:ascii="Arial" w:hAnsi="Arial" w:cs="Arial"/>
          <w:sz w:val="24"/>
          <w:szCs w:val="24"/>
        </w:rPr>
        <w:t xml:space="preserve"> </w:t>
      </w:r>
      <w:r w:rsidR="00713723" w:rsidRPr="003C7226">
        <w:rPr>
          <w:rFonts w:ascii="Arial" w:hAnsi="Arial" w:cs="Arial"/>
          <w:sz w:val="24"/>
          <w:szCs w:val="24"/>
        </w:rPr>
        <w:t xml:space="preserve">will be profitable in the next three years under the management of Whitbread plc. </w:t>
      </w:r>
      <w:r w:rsidR="00EC7412" w:rsidRPr="003C7226">
        <w:rPr>
          <w:rFonts w:ascii="Arial" w:hAnsi="Arial" w:cs="Arial"/>
          <w:sz w:val="24"/>
          <w:szCs w:val="24"/>
        </w:rPr>
        <w:t>Some of the risks associated with the recommended turnaround strategy include resistance to change and organisational culture differences.</w:t>
      </w:r>
    </w:p>
    <w:p w14:paraId="2F2398C7" w14:textId="77777777" w:rsidR="00A01600" w:rsidRPr="003C7226" w:rsidRDefault="00BA1215" w:rsidP="009A79A3">
      <w:pPr>
        <w:spacing w:line="360" w:lineRule="auto"/>
        <w:jc w:val="center"/>
        <w:rPr>
          <w:rFonts w:ascii="Arial" w:hAnsi="Arial" w:cs="Arial"/>
          <w:b/>
          <w:sz w:val="24"/>
          <w:szCs w:val="24"/>
        </w:rPr>
      </w:pPr>
      <w:r w:rsidRPr="003C7226">
        <w:rPr>
          <w:rFonts w:ascii="Arial" w:hAnsi="Arial" w:cs="Arial"/>
          <w:b/>
          <w:sz w:val="24"/>
          <w:szCs w:val="24"/>
        </w:rPr>
        <w:t>Recommendation (100)</w:t>
      </w:r>
    </w:p>
    <w:p w14:paraId="03A8CE2F" w14:textId="77777777" w:rsidR="008F2889" w:rsidRPr="003C7226" w:rsidRDefault="00BA1215" w:rsidP="009A79A3">
      <w:pPr>
        <w:spacing w:line="360" w:lineRule="auto"/>
        <w:rPr>
          <w:rFonts w:ascii="Arial" w:hAnsi="Arial" w:cs="Arial"/>
          <w:sz w:val="24"/>
          <w:szCs w:val="24"/>
        </w:rPr>
      </w:pPr>
      <w:r w:rsidRPr="003C7226">
        <w:rPr>
          <w:rFonts w:ascii="Arial" w:hAnsi="Arial" w:cs="Arial"/>
          <w:sz w:val="24"/>
          <w:szCs w:val="24"/>
        </w:rPr>
        <w:t>Generally, it is recommended that Seaview Resort implement a cost restructuring strategy internally by cutting</w:t>
      </w:r>
      <w:r w:rsidR="00AD4979" w:rsidRPr="003C7226">
        <w:rPr>
          <w:rFonts w:ascii="Arial" w:hAnsi="Arial" w:cs="Arial"/>
          <w:sz w:val="24"/>
          <w:szCs w:val="24"/>
        </w:rPr>
        <w:t xml:space="preserve"> unnecessary</w:t>
      </w:r>
      <w:r w:rsidRPr="003C7226">
        <w:rPr>
          <w:rFonts w:ascii="Arial" w:hAnsi="Arial" w:cs="Arial"/>
          <w:sz w:val="24"/>
          <w:szCs w:val="24"/>
        </w:rPr>
        <w:t xml:space="preserve"> costs. It is also recommended that Seaview Resort merge with Whitbread plc and operate as a </w:t>
      </w:r>
      <w:r w:rsidR="000C323C" w:rsidRPr="003C7226">
        <w:rPr>
          <w:rFonts w:ascii="Arial" w:hAnsi="Arial" w:cs="Arial"/>
          <w:sz w:val="24"/>
          <w:szCs w:val="24"/>
        </w:rPr>
        <w:t xml:space="preserve">brand since operating in the independent sector is </w:t>
      </w:r>
      <w:r w:rsidR="00617189" w:rsidRPr="003C7226">
        <w:rPr>
          <w:rFonts w:ascii="Arial" w:hAnsi="Arial" w:cs="Arial"/>
          <w:sz w:val="24"/>
          <w:szCs w:val="24"/>
        </w:rPr>
        <w:t xml:space="preserve">more </w:t>
      </w:r>
      <w:r w:rsidR="000C323C" w:rsidRPr="003C7226">
        <w:rPr>
          <w:rFonts w:ascii="Arial" w:hAnsi="Arial" w:cs="Arial"/>
          <w:sz w:val="24"/>
          <w:szCs w:val="24"/>
        </w:rPr>
        <w:t>expensive.</w:t>
      </w:r>
    </w:p>
    <w:p w14:paraId="7DFA83EA" w14:textId="77777777" w:rsidR="004A2D27" w:rsidRPr="003C7226" w:rsidRDefault="004A2D27" w:rsidP="009A79A3">
      <w:pPr>
        <w:spacing w:line="360" w:lineRule="auto"/>
        <w:rPr>
          <w:rFonts w:ascii="Arial" w:hAnsi="Arial" w:cs="Arial"/>
          <w:sz w:val="24"/>
          <w:szCs w:val="24"/>
        </w:rPr>
      </w:pPr>
    </w:p>
    <w:p w14:paraId="0EA3939C" w14:textId="77777777" w:rsidR="004A2D27" w:rsidRPr="003C7226" w:rsidRDefault="004A2D27" w:rsidP="000C323C">
      <w:pPr>
        <w:rPr>
          <w:rFonts w:ascii="Arial" w:hAnsi="Arial" w:cs="Arial"/>
          <w:sz w:val="24"/>
          <w:szCs w:val="24"/>
        </w:rPr>
      </w:pPr>
    </w:p>
    <w:p w14:paraId="346274DB" w14:textId="77777777" w:rsidR="00E36CDF" w:rsidRPr="003C7226" w:rsidRDefault="00E36CDF" w:rsidP="00F7297F">
      <w:pPr>
        <w:spacing w:line="360" w:lineRule="auto"/>
        <w:jc w:val="center"/>
        <w:rPr>
          <w:rFonts w:ascii="Arial" w:hAnsi="Arial" w:cs="Arial"/>
          <w:b/>
          <w:sz w:val="24"/>
          <w:szCs w:val="24"/>
        </w:rPr>
      </w:pPr>
    </w:p>
    <w:p w14:paraId="4029BD57" w14:textId="77777777" w:rsidR="00E36CDF" w:rsidRPr="003C7226" w:rsidRDefault="00E36CDF" w:rsidP="00F7297F">
      <w:pPr>
        <w:spacing w:line="360" w:lineRule="auto"/>
        <w:jc w:val="center"/>
        <w:rPr>
          <w:rFonts w:ascii="Arial" w:hAnsi="Arial" w:cs="Arial"/>
          <w:b/>
          <w:sz w:val="24"/>
          <w:szCs w:val="24"/>
        </w:rPr>
      </w:pPr>
    </w:p>
    <w:p w14:paraId="1C518CE6" w14:textId="77777777" w:rsidR="005E4FCC" w:rsidRPr="003C7226" w:rsidRDefault="005E4FCC" w:rsidP="00F7297F">
      <w:pPr>
        <w:spacing w:line="360" w:lineRule="auto"/>
        <w:jc w:val="center"/>
        <w:rPr>
          <w:rFonts w:ascii="Arial" w:hAnsi="Arial" w:cs="Arial"/>
          <w:b/>
          <w:sz w:val="24"/>
          <w:szCs w:val="24"/>
        </w:rPr>
      </w:pPr>
    </w:p>
    <w:p w14:paraId="7F97024E" w14:textId="77777777" w:rsidR="005E4FCC" w:rsidRPr="003C7226" w:rsidRDefault="005E4FCC" w:rsidP="00F7297F">
      <w:pPr>
        <w:spacing w:line="360" w:lineRule="auto"/>
        <w:jc w:val="center"/>
        <w:rPr>
          <w:rFonts w:ascii="Arial" w:hAnsi="Arial" w:cs="Arial"/>
          <w:b/>
          <w:sz w:val="24"/>
          <w:szCs w:val="24"/>
        </w:rPr>
      </w:pPr>
    </w:p>
    <w:p w14:paraId="5F4077B9" w14:textId="77777777" w:rsidR="005E4FCC" w:rsidRPr="003C7226" w:rsidRDefault="005E4FCC" w:rsidP="00F7297F">
      <w:pPr>
        <w:spacing w:line="360" w:lineRule="auto"/>
        <w:jc w:val="center"/>
        <w:rPr>
          <w:rFonts w:ascii="Arial" w:hAnsi="Arial" w:cs="Arial"/>
          <w:b/>
          <w:sz w:val="24"/>
          <w:szCs w:val="24"/>
        </w:rPr>
      </w:pPr>
    </w:p>
    <w:p w14:paraId="473DEB1E" w14:textId="77777777" w:rsidR="005E4FCC" w:rsidRPr="003C7226" w:rsidRDefault="005E4FCC" w:rsidP="00F7297F">
      <w:pPr>
        <w:spacing w:line="360" w:lineRule="auto"/>
        <w:jc w:val="center"/>
        <w:rPr>
          <w:rFonts w:ascii="Arial" w:hAnsi="Arial" w:cs="Arial"/>
          <w:b/>
          <w:sz w:val="24"/>
          <w:szCs w:val="24"/>
        </w:rPr>
      </w:pPr>
    </w:p>
    <w:p w14:paraId="2D71C1DB" w14:textId="77777777" w:rsidR="005E4FCC" w:rsidRPr="003C7226" w:rsidRDefault="005E4FCC" w:rsidP="00F7297F">
      <w:pPr>
        <w:spacing w:line="360" w:lineRule="auto"/>
        <w:jc w:val="center"/>
        <w:rPr>
          <w:rFonts w:ascii="Arial" w:hAnsi="Arial" w:cs="Arial"/>
          <w:b/>
          <w:sz w:val="24"/>
          <w:szCs w:val="24"/>
        </w:rPr>
      </w:pPr>
    </w:p>
    <w:p w14:paraId="0026ADE1" w14:textId="77777777" w:rsidR="005E4FCC" w:rsidRPr="003C7226" w:rsidRDefault="005E4FCC" w:rsidP="00F7297F">
      <w:pPr>
        <w:spacing w:line="360" w:lineRule="auto"/>
        <w:jc w:val="center"/>
        <w:rPr>
          <w:rFonts w:ascii="Arial" w:hAnsi="Arial" w:cs="Arial"/>
          <w:b/>
          <w:sz w:val="24"/>
          <w:szCs w:val="24"/>
        </w:rPr>
      </w:pPr>
    </w:p>
    <w:p w14:paraId="66E93081" w14:textId="77777777" w:rsidR="005E4FCC" w:rsidRPr="003C7226" w:rsidRDefault="005E4FCC" w:rsidP="00F7297F">
      <w:pPr>
        <w:spacing w:line="360" w:lineRule="auto"/>
        <w:jc w:val="center"/>
        <w:rPr>
          <w:rFonts w:ascii="Arial" w:hAnsi="Arial" w:cs="Arial"/>
          <w:b/>
          <w:sz w:val="24"/>
          <w:szCs w:val="24"/>
        </w:rPr>
      </w:pPr>
    </w:p>
    <w:p w14:paraId="1AF6C5AB" w14:textId="77777777" w:rsidR="005E4FCC" w:rsidRPr="003C7226" w:rsidRDefault="005E4FCC" w:rsidP="00F7297F">
      <w:pPr>
        <w:spacing w:line="360" w:lineRule="auto"/>
        <w:jc w:val="center"/>
        <w:rPr>
          <w:rFonts w:ascii="Arial" w:hAnsi="Arial" w:cs="Arial"/>
          <w:b/>
          <w:sz w:val="24"/>
          <w:szCs w:val="24"/>
        </w:rPr>
      </w:pPr>
    </w:p>
    <w:p w14:paraId="0809FC34" w14:textId="77777777" w:rsidR="004D3BEE" w:rsidRPr="003C7226" w:rsidRDefault="004D3BEE" w:rsidP="00F7297F">
      <w:pPr>
        <w:spacing w:line="360" w:lineRule="auto"/>
        <w:jc w:val="center"/>
        <w:rPr>
          <w:rFonts w:ascii="Arial" w:hAnsi="Arial" w:cs="Arial"/>
          <w:b/>
          <w:sz w:val="24"/>
          <w:szCs w:val="24"/>
        </w:rPr>
      </w:pPr>
    </w:p>
    <w:p w14:paraId="021D0A85" w14:textId="77777777" w:rsidR="00E36CDF" w:rsidRPr="003C7226" w:rsidRDefault="00E36CDF" w:rsidP="00F7297F">
      <w:pPr>
        <w:spacing w:line="360" w:lineRule="auto"/>
        <w:jc w:val="center"/>
        <w:rPr>
          <w:rFonts w:ascii="Arial" w:hAnsi="Arial" w:cs="Arial"/>
          <w:b/>
          <w:sz w:val="24"/>
          <w:szCs w:val="24"/>
        </w:rPr>
      </w:pPr>
      <w:r w:rsidRPr="003C7226">
        <w:rPr>
          <w:rFonts w:ascii="Arial" w:hAnsi="Arial" w:cs="Arial"/>
          <w:b/>
          <w:sz w:val="24"/>
          <w:szCs w:val="24"/>
        </w:rPr>
        <w:t>Appendices</w:t>
      </w:r>
    </w:p>
    <w:p w14:paraId="2F294990" w14:textId="77777777" w:rsidR="005E4FCC" w:rsidRPr="003C7226" w:rsidRDefault="005E4FCC" w:rsidP="005E4FCC">
      <w:pPr>
        <w:spacing w:line="360" w:lineRule="auto"/>
        <w:jc w:val="both"/>
        <w:rPr>
          <w:rFonts w:ascii="Arial" w:hAnsi="Arial" w:cs="Arial"/>
          <w:b/>
          <w:sz w:val="24"/>
          <w:szCs w:val="24"/>
        </w:rPr>
      </w:pPr>
      <w:r w:rsidRPr="003C7226">
        <w:rPr>
          <w:rFonts w:ascii="Arial" w:hAnsi="Arial" w:cs="Arial"/>
          <w:b/>
          <w:sz w:val="24"/>
          <w:szCs w:val="24"/>
        </w:rPr>
        <w:t>Figure 1</w:t>
      </w:r>
    </w:p>
    <w:p w14:paraId="5DF7EA76" w14:textId="77777777" w:rsidR="005E4FCC" w:rsidRPr="003C7226" w:rsidRDefault="005E4FCC" w:rsidP="005E4FCC">
      <w:pPr>
        <w:spacing w:line="360" w:lineRule="auto"/>
        <w:jc w:val="both"/>
        <w:rPr>
          <w:rFonts w:ascii="Arial" w:hAnsi="Arial" w:cs="Arial"/>
          <w:b/>
          <w:sz w:val="24"/>
          <w:szCs w:val="24"/>
        </w:rPr>
      </w:pPr>
      <w:r w:rsidRPr="003C7226">
        <w:rPr>
          <w:rFonts w:ascii="Arial" w:hAnsi="Arial" w:cs="Arial"/>
          <w:b/>
          <w:sz w:val="24"/>
          <w:szCs w:val="24"/>
        </w:rPr>
        <w:t>Ration Calculations</w:t>
      </w:r>
    </w:p>
    <w:tbl>
      <w:tblPr>
        <w:tblStyle w:val="TableGrid"/>
        <w:tblW w:w="0" w:type="auto"/>
        <w:tblLook w:val="04A0" w:firstRow="1" w:lastRow="0" w:firstColumn="1" w:lastColumn="0" w:noHBand="0" w:noVBand="1"/>
      </w:tblPr>
      <w:tblGrid>
        <w:gridCol w:w="1960"/>
        <w:gridCol w:w="4260"/>
        <w:gridCol w:w="960"/>
      </w:tblGrid>
      <w:tr w:rsidR="003C7226" w:rsidRPr="003C7226" w14:paraId="2E9919FC" w14:textId="77777777" w:rsidTr="00F531CF">
        <w:trPr>
          <w:trHeight w:val="300"/>
        </w:trPr>
        <w:tc>
          <w:tcPr>
            <w:tcW w:w="1960" w:type="dxa"/>
            <w:noWrap/>
            <w:hideMark/>
          </w:tcPr>
          <w:p w14:paraId="0AEA96D9" w14:textId="77777777" w:rsidR="005E4FCC" w:rsidRPr="003C7226" w:rsidRDefault="005E4FCC" w:rsidP="00F531CF">
            <w:pPr>
              <w:jc w:val="both"/>
              <w:rPr>
                <w:rFonts w:ascii="Arial" w:hAnsi="Arial" w:cs="Arial"/>
                <w:sz w:val="24"/>
                <w:szCs w:val="24"/>
              </w:rPr>
            </w:pPr>
          </w:p>
        </w:tc>
        <w:tc>
          <w:tcPr>
            <w:tcW w:w="4260" w:type="dxa"/>
            <w:noWrap/>
            <w:hideMark/>
          </w:tcPr>
          <w:p w14:paraId="64A9BE79" w14:textId="77777777" w:rsidR="005E4FCC" w:rsidRPr="003C7226" w:rsidRDefault="005E4FCC" w:rsidP="00F531CF">
            <w:pPr>
              <w:jc w:val="both"/>
              <w:rPr>
                <w:rFonts w:ascii="Arial" w:hAnsi="Arial" w:cs="Arial"/>
                <w:b/>
                <w:bCs/>
                <w:sz w:val="24"/>
                <w:szCs w:val="24"/>
              </w:rPr>
            </w:pPr>
            <w:r w:rsidRPr="003C7226">
              <w:rPr>
                <w:rFonts w:ascii="Arial" w:hAnsi="Arial" w:cs="Arial"/>
                <w:b/>
                <w:bCs/>
                <w:sz w:val="24"/>
                <w:szCs w:val="24"/>
              </w:rPr>
              <w:t>Ratio Analysis</w:t>
            </w:r>
          </w:p>
        </w:tc>
        <w:tc>
          <w:tcPr>
            <w:tcW w:w="960" w:type="dxa"/>
            <w:noWrap/>
            <w:hideMark/>
          </w:tcPr>
          <w:p w14:paraId="5EFD1846" w14:textId="77777777" w:rsidR="005E4FCC" w:rsidRPr="003C7226" w:rsidRDefault="005E4FCC" w:rsidP="00F531CF">
            <w:pPr>
              <w:jc w:val="both"/>
              <w:rPr>
                <w:rFonts w:ascii="Arial" w:hAnsi="Arial" w:cs="Arial"/>
                <w:b/>
                <w:bCs/>
                <w:sz w:val="24"/>
                <w:szCs w:val="24"/>
              </w:rPr>
            </w:pPr>
          </w:p>
        </w:tc>
      </w:tr>
      <w:tr w:rsidR="003C7226" w:rsidRPr="003C7226" w14:paraId="7766D6CB" w14:textId="77777777" w:rsidTr="00F531CF">
        <w:trPr>
          <w:trHeight w:val="300"/>
        </w:trPr>
        <w:tc>
          <w:tcPr>
            <w:tcW w:w="1960" w:type="dxa"/>
            <w:noWrap/>
            <w:hideMark/>
          </w:tcPr>
          <w:p w14:paraId="4286A93F" w14:textId="77777777" w:rsidR="005E4FCC" w:rsidRPr="003C7226" w:rsidRDefault="005E4FCC" w:rsidP="00F531CF">
            <w:pPr>
              <w:jc w:val="both"/>
              <w:rPr>
                <w:rFonts w:ascii="Arial" w:hAnsi="Arial" w:cs="Arial"/>
                <w:b/>
                <w:bCs/>
                <w:sz w:val="24"/>
                <w:szCs w:val="24"/>
              </w:rPr>
            </w:pPr>
            <w:r w:rsidRPr="003C7226">
              <w:rPr>
                <w:rFonts w:ascii="Arial" w:hAnsi="Arial" w:cs="Arial"/>
                <w:b/>
                <w:bCs/>
                <w:sz w:val="24"/>
                <w:szCs w:val="24"/>
              </w:rPr>
              <w:t>Ratio</w:t>
            </w:r>
          </w:p>
        </w:tc>
        <w:tc>
          <w:tcPr>
            <w:tcW w:w="4260" w:type="dxa"/>
            <w:noWrap/>
            <w:hideMark/>
          </w:tcPr>
          <w:p w14:paraId="4317A16A" w14:textId="77777777" w:rsidR="005E4FCC" w:rsidRPr="003C7226" w:rsidRDefault="005E4FCC" w:rsidP="00F531CF">
            <w:pPr>
              <w:jc w:val="both"/>
              <w:rPr>
                <w:rFonts w:ascii="Arial" w:hAnsi="Arial" w:cs="Arial"/>
                <w:b/>
                <w:bCs/>
                <w:sz w:val="24"/>
                <w:szCs w:val="24"/>
              </w:rPr>
            </w:pPr>
            <w:r w:rsidRPr="003C7226">
              <w:rPr>
                <w:rFonts w:ascii="Arial" w:hAnsi="Arial" w:cs="Arial"/>
                <w:b/>
                <w:bCs/>
                <w:sz w:val="24"/>
                <w:szCs w:val="24"/>
              </w:rPr>
              <w:t>formula</w:t>
            </w:r>
          </w:p>
        </w:tc>
        <w:tc>
          <w:tcPr>
            <w:tcW w:w="960" w:type="dxa"/>
            <w:noWrap/>
            <w:hideMark/>
          </w:tcPr>
          <w:p w14:paraId="7C983CF1" w14:textId="77777777" w:rsidR="005E4FCC" w:rsidRPr="003C7226" w:rsidRDefault="005E4FCC" w:rsidP="00F531CF">
            <w:pPr>
              <w:jc w:val="both"/>
              <w:rPr>
                <w:rFonts w:ascii="Arial" w:hAnsi="Arial" w:cs="Arial"/>
                <w:b/>
                <w:bCs/>
                <w:sz w:val="24"/>
                <w:szCs w:val="24"/>
              </w:rPr>
            </w:pPr>
            <w:r w:rsidRPr="003C7226">
              <w:rPr>
                <w:rFonts w:ascii="Arial" w:hAnsi="Arial" w:cs="Arial"/>
                <w:b/>
                <w:bCs/>
                <w:sz w:val="24"/>
                <w:szCs w:val="24"/>
              </w:rPr>
              <w:t>Value</w:t>
            </w:r>
          </w:p>
        </w:tc>
      </w:tr>
      <w:tr w:rsidR="003C7226" w:rsidRPr="003C7226" w14:paraId="1BEFFE35" w14:textId="77777777" w:rsidTr="00F531CF">
        <w:trPr>
          <w:trHeight w:val="300"/>
        </w:trPr>
        <w:tc>
          <w:tcPr>
            <w:tcW w:w="1960" w:type="dxa"/>
            <w:noWrap/>
            <w:hideMark/>
          </w:tcPr>
          <w:p w14:paraId="3F4B23A8" w14:textId="77777777" w:rsidR="005E4FCC" w:rsidRPr="003C7226" w:rsidRDefault="005E4FCC" w:rsidP="00F531CF">
            <w:pPr>
              <w:jc w:val="both"/>
              <w:rPr>
                <w:rFonts w:ascii="Arial" w:hAnsi="Arial" w:cs="Arial"/>
                <w:sz w:val="24"/>
                <w:szCs w:val="24"/>
              </w:rPr>
            </w:pPr>
            <w:r w:rsidRPr="003C7226">
              <w:rPr>
                <w:rFonts w:ascii="Arial" w:hAnsi="Arial" w:cs="Arial"/>
                <w:sz w:val="24"/>
                <w:szCs w:val="24"/>
              </w:rPr>
              <w:t>current ratio</w:t>
            </w:r>
          </w:p>
        </w:tc>
        <w:tc>
          <w:tcPr>
            <w:tcW w:w="4260" w:type="dxa"/>
            <w:noWrap/>
            <w:hideMark/>
          </w:tcPr>
          <w:p w14:paraId="40A3ABE3" w14:textId="77777777" w:rsidR="005E4FCC" w:rsidRPr="003C7226" w:rsidRDefault="005E4FCC" w:rsidP="00F531CF">
            <w:pPr>
              <w:jc w:val="both"/>
              <w:rPr>
                <w:rFonts w:ascii="Arial" w:hAnsi="Arial" w:cs="Arial"/>
                <w:sz w:val="24"/>
                <w:szCs w:val="24"/>
              </w:rPr>
            </w:pPr>
            <w:r w:rsidRPr="003C7226">
              <w:rPr>
                <w:rFonts w:ascii="Arial" w:hAnsi="Arial" w:cs="Arial"/>
                <w:sz w:val="24"/>
                <w:szCs w:val="24"/>
              </w:rPr>
              <w:t>Formula: Current Assets / Current Liabilities</w:t>
            </w:r>
          </w:p>
        </w:tc>
        <w:tc>
          <w:tcPr>
            <w:tcW w:w="960" w:type="dxa"/>
            <w:noWrap/>
            <w:hideMark/>
          </w:tcPr>
          <w:p w14:paraId="620604B8" w14:textId="77777777" w:rsidR="005E4FCC" w:rsidRPr="003C7226" w:rsidRDefault="005E4FCC" w:rsidP="00F531CF">
            <w:pPr>
              <w:jc w:val="both"/>
              <w:rPr>
                <w:rFonts w:ascii="Arial" w:hAnsi="Arial" w:cs="Arial"/>
                <w:sz w:val="24"/>
                <w:szCs w:val="24"/>
              </w:rPr>
            </w:pPr>
            <w:r w:rsidRPr="003C7226">
              <w:rPr>
                <w:rFonts w:ascii="Arial" w:hAnsi="Arial" w:cs="Arial"/>
                <w:sz w:val="24"/>
                <w:szCs w:val="24"/>
              </w:rPr>
              <w:t>1.39</w:t>
            </w:r>
          </w:p>
        </w:tc>
      </w:tr>
      <w:tr w:rsidR="003C7226" w:rsidRPr="003C7226" w14:paraId="7B7C9DF3" w14:textId="77777777" w:rsidTr="00F531CF">
        <w:trPr>
          <w:trHeight w:val="300"/>
        </w:trPr>
        <w:tc>
          <w:tcPr>
            <w:tcW w:w="1960" w:type="dxa"/>
            <w:noWrap/>
            <w:hideMark/>
          </w:tcPr>
          <w:p w14:paraId="60F7F84A" w14:textId="77777777" w:rsidR="005E4FCC" w:rsidRPr="003C7226" w:rsidRDefault="005E4FCC" w:rsidP="00F531CF">
            <w:pPr>
              <w:jc w:val="both"/>
              <w:rPr>
                <w:rFonts w:ascii="Arial" w:hAnsi="Arial" w:cs="Arial"/>
                <w:sz w:val="24"/>
                <w:szCs w:val="24"/>
              </w:rPr>
            </w:pPr>
            <w:r w:rsidRPr="003C7226">
              <w:rPr>
                <w:rFonts w:ascii="Arial" w:hAnsi="Arial" w:cs="Arial"/>
                <w:sz w:val="24"/>
                <w:szCs w:val="24"/>
              </w:rPr>
              <w:t>Debt to equity ratio</w:t>
            </w:r>
          </w:p>
        </w:tc>
        <w:tc>
          <w:tcPr>
            <w:tcW w:w="4260" w:type="dxa"/>
            <w:noWrap/>
            <w:hideMark/>
          </w:tcPr>
          <w:p w14:paraId="23FD2233" w14:textId="77777777" w:rsidR="005E4FCC" w:rsidRPr="003C7226" w:rsidRDefault="005E4FCC" w:rsidP="00F531CF">
            <w:pPr>
              <w:jc w:val="both"/>
              <w:rPr>
                <w:rFonts w:ascii="Arial" w:hAnsi="Arial" w:cs="Arial"/>
                <w:sz w:val="24"/>
                <w:szCs w:val="24"/>
              </w:rPr>
            </w:pPr>
            <w:r w:rsidRPr="003C7226">
              <w:rPr>
                <w:rFonts w:ascii="Arial" w:hAnsi="Arial" w:cs="Arial"/>
                <w:sz w:val="24"/>
                <w:szCs w:val="24"/>
              </w:rPr>
              <w:t>Formula: Total Debt / Total Equity</w:t>
            </w:r>
          </w:p>
        </w:tc>
        <w:tc>
          <w:tcPr>
            <w:tcW w:w="960" w:type="dxa"/>
            <w:noWrap/>
            <w:hideMark/>
          </w:tcPr>
          <w:p w14:paraId="4115C6E9" w14:textId="77777777" w:rsidR="005E4FCC" w:rsidRPr="003C7226" w:rsidRDefault="005E4FCC" w:rsidP="00F531CF">
            <w:pPr>
              <w:jc w:val="both"/>
              <w:rPr>
                <w:rFonts w:ascii="Arial" w:hAnsi="Arial" w:cs="Arial"/>
                <w:sz w:val="24"/>
                <w:szCs w:val="24"/>
              </w:rPr>
            </w:pPr>
            <w:r w:rsidRPr="003C7226">
              <w:rPr>
                <w:rFonts w:ascii="Arial" w:hAnsi="Arial" w:cs="Arial"/>
                <w:sz w:val="24"/>
                <w:szCs w:val="24"/>
              </w:rPr>
              <w:t>1.11</w:t>
            </w:r>
          </w:p>
        </w:tc>
      </w:tr>
      <w:tr w:rsidR="003C7226" w:rsidRPr="003C7226" w14:paraId="324E46B3" w14:textId="77777777" w:rsidTr="00F531CF">
        <w:trPr>
          <w:trHeight w:val="300"/>
        </w:trPr>
        <w:tc>
          <w:tcPr>
            <w:tcW w:w="1960" w:type="dxa"/>
            <w:noWrap/>
            <w:hideMark/>
          </w:tcPr>
          <w:p w14:paraId="76C47427" w14:textId="77777777" w:rsidR="005E4FCC" w:rsidRPr="003C7226" w:rsidRDefault="005E4FCC" w:rsidP="00F531CF">
            <w:pPr>
              <w:jc w:val="both"/>
              <w:rPr>
                <w:rFonts w:ascii="Arial" w:hAnsi="Arial" w:cs="Arial"/>
                <w:sz w:val="24"/>
                <w:szCs w:val="24"/>
              </w:rPr>
            </w:pPr>
            <w:r w:rsidRPr="003C7226">
              <w:rPr>
                <w:rFonts w:ascii="Arial" w:hAnsi="Arial" w:cs="Arial"/>
                <w:sz w:val="24"/>
                <w:szCs w:val="24"/>
              </w:rPr>
              <w:t>Return on Assets</w:t>
            </w:r>
          </w:p>
        </w:tc>
        <w:tc>
          <w:tcPr>
            <w:tcW w:w="4260" w:type="dxa"/>
            <w:noWrap/>
            <w:hideMark/>
          </w:tcPr>
          <w:p w14:paraId="69A8E630" w14:textId="77777777" w:rsidR="005E4FCC" w:rsidRPr="003C7226" w:rsidRDefault="005E4FCC" w:rsidP="00F531CF">
            <w:pPr>
              <w:jc w:val="both"/>
              <w:rPr>
                <w:rFonts w:ascii="Arial" w:hAnsi="Arial" w:cs="Arial"/>
                <w:sz w:val="24"/>
                <w:szCs w:val="24"/>
              </w:rPr>
            </w:pPr>
            <w:r w:rsidRPr="003C7226">
              <w:rPr>
                <w:rFonts w:ascii="Arial" w:hAnsi="Arial" w:cs="Arial"/>
                <w:sz w:val="24"/>
                <w:szCs w:val="24"/>
              </w:rPr>
              <w:t>Net Profit / Total Assets</w:t>
            </w:r>
          </w:p>
        </w:tc>
        <w:tc>
          <w:tcPr>
            <w:tcW w:w="960" w:type="dxa"/>
            <w:noWrap/>
            <w:hideMark/>
          </w:tcPr>
          <w:p w14:paraId="0F93C08B" w14:textId="77777777" w:rsidR="005E4FCC" w:rsidRPr="003C7226" w:rsidRDefault="005E4FCC" w:rsidP="00F531CF">
            <w:pPr>
              <w:jc w:val="both"/>
              <w:rPr>
                <w:rFonts w:ascii="Arial" w:hAnsi="Arial" w:cs="Arial"/>
                <w:sz w:val="24"/>
                <w:szCs w:val="24"/>
              </w:rPr>
            </w:pPr>
            <w:r w:rsidRPr="003C7226">
              <w:rPr>
                <w:rFonts w:ascii="Arial" w:hAnsi="Arial" w:cs="Arial"/>
                <w:sz w:val="24"/>
                <w:szCs w:val="24"/>
              </w:rPr>
              <w:t>0.0146</w:t>
            </w:r>
          </w:p>
        </w:tc>
      </w:tr>
      <w:tr w:rsidR="003C7226" w:rsidRPr="003C7226" w14:paraId="1423F2B7" w14:textId="77777777" w:rsidTr="00F531CF">
        <w:trPr>
          <w:trHeight w:val="300"/>
        </w:trPr>
        <w:tc>
          <w:tcPr>
            <w:tcW w:w="1960" w:type="dxa"/>
            <w:noWrap/>
            <w:hideMark/>
          </w:tcPr>
          <w:p w14:paraId="7FFB0F53" w14:textId="77777777" w:rsidR="005E4FCC" w:rsidRPr="003C7226" w:rsidRDefault="005E4FCC" w:rsidP="00F531CF">
            <w:pPr>
              <w:jc w:val="both"/>
              <w:rPr>
                <w:rFonts w:ascii="Arial" w:hAnsi="Arial" w:cs="Arial"/>
                <w:sz w:val="24"/>
                <w:szCs w:val="24"/>
              </w:rPr>
            </w:pPr>
            <w:r w:rsidRPr="003C7226">
              <w:rPr>
                <w:rFonts w:ascii="Arial" w:hAnsi="Arial" w:cs="Arial"/>
                <w:sz w:val="24"/>
                <w:szCs w:val="24"/>
              </w:rPr>
              <w:t>Return on Equity</w:t>
            </w:r>
          </w:p>
        </w:tc>
        <w:tc>
          <w:tcPr>
            <w:tcW w:w="4260" w:type="dxa"/>
            <w:noWrap/>
            <w:hideMark/>
          </w:tcPr>
          <w:p w14:paraId="5D87DC3C" w14:textId="77777777" w:rsidR="005E4FCC" w:rsidRPr="003C7226" w:rsidRDefault="005E4FCC" w:rsidP="00F531CF">
            <w:pPr>
              <w:jc w:val="both"/>
              <w:rPr>
                <w:rFonts w:ascii="Arial" w:hAnsi="Arial" w:cs="Arial"/>
                <w:sz w:val="24"/>
                <w:szCs w:val="24"/>
              </w:rPr>
            </w:pPr>
            <w:r w:rsidRPr="003C7226">
              <w:rPr>
                <w:rFonts w:ascii="Arial" w:hAnsi="Arial" w:cs="Arial"/>
                <w:sz w:val="24"/>
                <w:szCs w:val="24"/>
              </w:rPr>
              <w:t>Net Profit / Total Equity</w:t>
            </w:r>
          </w:p>
        </w:tc>
        <w:tc>
          <w:tcPr>
            <w:tcW w:w="960" w:type="dxa"/>
            <w:noWrap/>
            <w:hideMark/>
          </w:tcPr>
          <w:p w14:paraId="4018D804" w14:textId="77777777" w:rsidR="005E4FCC" w:rsidRPr="003C7226" w:rsidRDefault="005E4FCC" w:rsidP="00F531CF">
            <w:pPr>
              <w:jc w:val="both"/>
              <w:rPr>
                <w:rFonts w:ascii="Arial" w:hAnsi="Arial" w:cs="Arial"/>
                <w:sz w:val="24"/>
                <w:szCs w:val="24"/>
              </w:rPr>
            </w:pPr>
            <w:r w:rsidRPr="003C7226">
              <w:rPr>
                <w:rFonts w:ascii="Arial" w:hAnsi="Arial" w:cs="Arial"/>
                <w:sz w:val="24"/>
                <w:szCs w:val="24"/>
              </w:rPr>
              <w:t>0.039</w:t>
            </w:r>
          </w:p>
        </w:tc>
      </w:tr>
    </w:tbl>
    <w:p w14:paraId="4223011D" w14:textId="77777777" w:rsidR="00E36CDF" w:rsidRPr="003C7226" w:rsidRDefault="00E36CDF" w:rsidP="00F7297F">
      <w:pPr>
        <w:spacing w:line="360" w:lineRule="auto"/>
        <w:jc w:val="center"/>
        <w:rPr>
          <w:rFonts w:ascii="Arial" w:hAnsi="Arial" w:cs="Arial"/>
          <w:b/>
          <w:sz w:val="24"/>
          <w:szCs w:val="24"/>
        </w:rPr>
      </w:pPr>
    </w:p>
    <w:p w14:paraId="53EE9CEF" w14:textId="77777777" w:rsidR="00E36CDF" w:rsidRPr="003C7226" w:rsidRDefault="00E36CDF" w:rsidP="00E36CDF">
      <w:pPr>
        <w:spacing w:line="360" w:lineRule="auto"/>
        <w:rPr>
          <w:rFonts w:ascii="Arial" w:hAnsi="Arial" w:cs="Arial"/>
          <w:b/>
          <w:sz w:val="24"/>
          <w:szCs w:val="24"/>
        </w:rPr>
      </w:pPr>
      <w:r w:rsidRPr="003C7226">
        <w:rPr>
          <w:rFonts w:ascii="Arial" w:hAnsi="Arial" w:cs="Arial"/>
          <w:b/>
          <w:sz w:val="24"/>
          <w:szCs w:val="24"/>
        </w:rPr>
        <w:t xml:space="preserve">Figure 2. </w:t>
      </w:r>
    </w:p>
    <w:tbl>
      <w:tblPr>
        <w:tblStyle w:val="TableGrid"/>
        <w:tblW w:w="0" w:type="auto"/>
        <w:tblLook w:val="04A0" w:firstRow="1" w:lastRow="0" w:firstColumn="1" w:lastColumn="0" w:noHBand="0" w:noVBand="1"/>
      </w:tblPr>
      <w:tblGrid>
        <w:gridCol w:w="4405"/>
        <w:gridCol w:w="1151"/>
        <w:gridCol w:w="1027"/>
        <w:gridCol w:w="1174"/>
        <w:gridCol w:w="1170"/>
      </w:tblGrid>
      <w:tr w:rsidR="003C7226" w:rsidRPr="003C7226" w14:paraId="460E7EF2" w14:textId="77777777" w:rsidTr="00F531CF">
        <w:trPr>
          <w:trHeight w:val="300"/>
        </w:trPr>
        <w:tc>
          <w:tcPr>
            <w:tcW w:w="5444" w:type="dxa"/>
            <w:gridSpan w:val="2"/>
            <w:noWrap/>
            <w:hideMark/>
          </w:tcPr>
          <w:p w14:paraId="04077025" w14:textId="77777777" w:rsidR="00E36CDF" w:rsidRPr="003C7226" w:rsidRDefault="00E36CDF" w:rsidP="00F531CF">
            <w:pPr>
              <w:rPr>
                <w:rFonts w:ascii="Arial" w:hAnsi="Arial" w:cs="Arial"/>
                <w:b/>
                <w:bCs/>
                <w:sz w:val="24"/>
                <w:szCs w:val="24"/>
              </w:rPr>
            </w:pPr>
            <w:r w:rsidRPr="003C7226">
              <w:rPr>
                <w:rFonts w:ascii="Arial" w:hAnsi="Arial" w:cs="Arial"/>
                <w:b/>
                <w:bCs/>
                <w:sz w:val="24"/>
                <w:szCs w:val="24"/>
              </w:rPr>
              <w:t>Income Statement Projections (2023-2026)</w:t>
            </w:r>
          </w:p>
        </w:tc>
        <w:tc>
          <w:tcPr>
            <w:tcW w:w="1027" w:type="dxa"/>
            <w:noWrap/>
            <w:hideMark/>
          </w:tcPr>
          <w:p w14:paraId="2C65DD76" w14:textId="77777777" w:rsidR="00E36CDF" w:rsidRPr="003C7226" w:rsidRDefault="00E36CDF" w:rsidP="00F531CF">
            <w:pPr>
              <w:rPr>
                <w:rFonts w:ascii="Arial" w:hAnsi="Arial" w:cs="Arial"/>
                <w:b/>
                <w:bCs/>
                <w:sz w:val="24"/>
                <w:szCs w:val="24"/>
              </w:rPr>
            </w:pPr>
          </w:p>
        </w:tc>
        <w:tc>
          <w:tcPr>
            <w:tcW w:w="1174" w:type="dxa"/>
            <w:noWrap/>
            <w:hideMark/>
          </w:tcPr>
          <w:p w14:paraId="5AEDBD2D" w14:textId="77777777" w:rsidR="00E36CDF" w:rsidRPr="003C7226" w:rsidRDefault="00E36CDF" w:rsidP="00F531CF">
            <w:pPr>
              <w:rPr>
                <w:rFonts w:ascii="Arial" w:hAnsi="Arial" w:cs="Arial"/>
                <w:sz w:val="24"/>
                <w:szCs w:val="24"/>
              </w:rPr>
            </w:pPr>
          </w:p>
        </w:tc>
        <w:tc>
          <w:tcPr>
            <w:tcW w:w="1170" w:type="dxa"/>
            <w:noWrap/>
            <w:hideMark/>
          </w:tcPr>
          <w:p w14:paraId="6D7F41DC" w14:textId="77777777" w:rsidR="00E36CDF" w:rsidRPr="003C7226" w:rsidRDefault="00E36CDF" w:rsidP="00F531CF">
            <w:pPr>
              <w:rPr>
                <w:rFonts w:ascii="Arial" w:hAnsi="Arial" w:cs="Arial"/>
                <w:sz w:val="24"/>
                <w:szCs w:val="24"/>
              </w:rPr>
            </w:pPr>
          </w:p>
        </w:tc>
      </w:tr>
      <w:tr w:rsidR="003C7226" w:rsidRPr="003C7226" w14:paraId="3CB81773" w14:textId="77777777" w:rsidTr="00F531CF">
        <w:trPr>
          <w:trHeight w:val="300"/>
        </w:trPr>
        <w:tc>
          <w:tcPr>
            <w:tcW w:w="4405" w:type="dxa"/>
            <w:noWrap/>
            <w:hideMark/>
          </w:tcPr>
          <w:p w14:paraId="3528E4A7" w14:textId="77777777" w:rsidR="00E36CDF" w:rsidRPr="003C7226" w:rsidRDefault="00E36CDF" w:rsidP="00F531CF">
            <w:pPr>
              <w:rPr>
                <w:rFonts w:ascii="Arial" w:hAnsi="Arial" w:cs="Arial"/>
                <w:sz w:val="24"/>
                <w:szCs w:val="24"/>
              </w:rPr>
            </w:pPr>
            <w:r w:rsidRPr="003C7226">
              <w:rPr>
                <w:rFonts w:ascii="Arial" w:hAnsi="Arial" w:cs="Arial"/>
                <w:sz w:val="24"/>
                <w:szCs w:val="24"/>
              </w:rPr>
              <w:t>Item</w:t>
            </w:r>
          </w:p>
        </w:tc>
        <w:tc>
          <w:tcPr>
            <w:tcW w:w="1039" w:type="dxa"/>
            <w:noWrap/>
            <w:hideMark/>
          </w:tcPr>
          <w:p w14:paraId="7CD8B33B" w14:textId="77777777" w:rsidR="00E36CDF" w:rsidRPr="003C7226" w:rsidRDefault="00E36CDF" w:rsidP="00F531CF">
            <w:pPr>
              <w:rPr>
                <w:rFonts w:ascii="Arial" w:hAnsi="Arial" w:cs="Arial"/>
                <w:b/>
                <w:bCs/>
                <w:sz w:val="24"/>
                <w:szCs w:val="24"/>
              </w:rPr>
            </w:pPr>
            <w:r w:rsidRPr="003C7226">
              <w:rPr>
                <w:rFonts w:ascii="Arial" w:hAnsi="Arial" w:cs="Arial"/>
                <w:b/>
                <w:bCs/>
                <w:sz w:val="24"/>
                <w:szCs w:val="24"/>
              </w:rPr>
              <w:t>2023</w:t>
            </w:r>
          </w:p>
        </w:tc>
        <w:tc>
          <w:tcPr>
            <w:tcW w:w="1027" w:type="dxa"/>
            <w:noWrap/>
            <w:hideMark/>
          </w:tcPr>
          <w:p w14:paraId="2060D319" w14:textId="77777777" w:rsidR="00E36CDF" w:rsidRPr="003C7226" w:rsidRDefault="00E36CDF" w:rsidP="00F531CF">
            <w:pPr>
              <w:rPr>
                <w:rFonts w:ascii="Arial" w:hAnsi="Arial" w:cs="Arial"/>
                <w:b/>
                <w:bCs/>
                <w:sz w:val="24"/>
                <w:szCs w:val="24"/>
              </w:rPr>
            </w:pPr>
            <w:r w:rsidRPr="003C7226">
              <w:rPr>
                <w:rFonts w:ascii="Arial" w:hAnsi="Arial" w:cs="Arial"/>
                <w:b/>
                <w:bCs/>
                <w:sz w:val="24"/>
                <w:szCs w:val="24"/>
              </w:rPr>
              <w:t>2024</w:t>
            </w:r>
          </w:p>
        </w:tc>
        <w:tc>
          <w:tcPr>
            <w:tcW w:w="1174" w:type="dxa"/>
            <w:noWrap/>
            <w:hideMark/>
          </w:tcPr>
          <w:p w14:paraId="3D8F38E1" w14:textId="77777777" w:rsidR="00E36CDF" w:rsidRPr="003C7226" w:rsidRDefault="00E36CDF" w:rsidP="00F531CF">
            <w:pPr>
              <w:rPr>
                <w:rFonts w:ascii="Arial" w:hAnsi="Arial" w:cs="Arial"/>
                <w:b/>
                <w:bCs/>
                <w:sz w:val="24"/>
                <w:szCs w:val="24"/>
              </w:rPr>
            </w:pPr>
            <w:r w:rsidRPr="003C7226">
              <w:rPr>
                <w:rFonts w:ascii="Arial" w:hAnsi="Arial" w:cs="Arial"/>
                <w:b/>
                <w:bCs/>
                <w:sz w:val="24"/>
                <w:szCs w:val="24"/>
              </w:rPr>
              <w:t>2025</w:t>
            </w:r>
          </w:p>
        </w:tc>
        <w:tc>
          <w:tcPr>
            <w:tcW w:w="1170" w:type="dxa"/>
            <w:noWrap/>
            <w:hideMark/>
          </w:tcPr>
          <w:p w14:paraId="3A85DE90" w14:textId="77777777" w:rsidR="00E36CDF" w:rsidRPr="003C7226" w:rsidRDefault="00E36CDF" w:rsidP="00F531CF">
            <w:pPr>
              <w:rPr>
                <w:rFonts w:ascii="Arial" w:hAnsi="Arial" w:cs="Arial"/>
                <w:b/>
                <w:bCs/>
                <w:sz w:val="24"/>
                <w:szCs w:val="24"/>
              </w:rPr>
            </w:pPr>
            <w:r w:rsidRPr="003C7226">
              <w:rPr>
                <w:rFonts w:ascii="Arial" w:hAnsi="Arial" w:cs="Arial"/>
                <w:b/>
                <w:bCs/>
                <w:sz w:val="24"/>
                <w:szCs w:val="24"/>
              </w:rPr>
              <w:t>2026</w:t>
            </w:r>
          </w:p>
        </w:tc>
      </w:tr>
      <w:tr w:rsidR="003C7226" w:rsidRPr="003C7226" w14:paraId="614D070D" w14:textId="77777777" w:rsidTr="00F531CF">
        <w:trPr>
          <w:trHeight w:val="300"/>
        </w:trPr>
        <w:tc>
          <w:tcPr>
            <w:tcW w:w="4405" w:type="dxa"/>
            <w:noWrap/>
            <w:hideMark/>
          </w:tcPr>
          <w:p w14:paraId="7D686825" w14:textId="77777777" w:rsidR="00E36CDF" w:rsidRPr="003C7226" w:rsidRDefault="00E36CDF" w:rsidP="00F531CF">
            <w:pPr>
              <w:rPr>
                <w:rFonts w:ascii="Arial" w:hAnsi="Arial" w:cs="Arial"/>
                <w:sz w:val="24"/>
                <w:szCs w:val="24"/>
              </w:rPr>
            </w:pPr>
            <w:r w:rsidRPr="003C7226">
              <w:rPr>
                <w:rFonts w:ascii="Arial" w:hAnsi="Arial" w:cs="Arial"/>
                <w:sz w:val="24"/>
                <w:szCs w:val="24"/>
              </w:rPr>
              <w:t>Total revenue</w:t>
            </w:r>
          </w:p>
        </w:tc>
        <w:tc>
          <w:tcPr>
            <w:tcW w:w="1039" w:type="dxa"/>
            <w:noWrap/>
            <w:hideMark/>
          </w:tcPr>
          <w:p w14:paraId="29705DB0" w14:textId="77777777" w:rsidR="00E36CDF" w:rsidRPr="003C7226" w:rsidRDefault="00E36CDF" w:rsidP="00F531CF">
            <w:pPr>
              <w:rPr>
                <w:rFonts w:ascii="Arial" w:hAnsi="Arial" w:cs="Arial"/>
                <w:sz w:val="24"/>
                <w:szCs w:val="24"/>
              </w:rPr>
            </w:pPr>
            <w:r w:rsidRPr="003C7226">
              <w:rPr>
                <w:rFonts w:ascii="Arial" w:hAnsi="Arial" w:cs="Arial"/>
                <w:sz w:val="24"/>
                <w:szCs w:val="24"/>
              </w:rPr>
              <w:t>473000</w:t>
            </w:r>
          </w:p>
        </w:tc>
        <w:tc>
          <w:tcPr>
            <w:tcW w:w="1027" w:type="dxa"/>
            <w:noWrap/>
            <w:hideMark/>
          </w:tcPr>
          <w:p w14:paraId="56C6E15C" w14:textId="77777777" w:rsidR="00E36CDF" w:rsidRPr="003C7226" w:rsidRDefault="00E36CDF" w:rsidP="00F531CF">
            <w:pPr>
              <w:rPr>
                <w:rFonts w:ascii="Arial" w:hAnsi="Arial" w:cs="Arial"/>
                <w:sz w:val="24"/>
                <w:szCs w:val="24"/>
              </w:rPr>
            </w:pPr>
            <w:r w:rsidRPr="003C7226">
              <w:rPr>
                <w:rFonts w:ascii="Arial" w:hAnsi="Arial" w:cs="Arial"/>
                <w:sz w:val="24"/>
                <w:szCs w:val="24"/>
              </w:rPr>
              <w:t>520300</w:t>
            </w:r>
          </w:p>
        </w:tc>
        <w:tc>
          <w:tcPr>
            <w:tcW w:w="1174" w:type="dxa"/>
            <w:noWrap/>
            <w:hideMark/>
          </w:tcPr>
          <w:p w14:paraId="26C057A5" w14:textId="77777777" w:rsidR="00E36CDF" w:rsidRPr="003C7226" w:rsidRDefault="00E36CDF" w:rsidP="00F531CF">
            <w:pPr>
              <w:rPr>
                <w:rFonts w:ascii="Arial" w:hAnsi="Arial" w:cs="Arial"/>
                <w:sz w:val="24"/>
                <w:szCs w:val="24"/>
              </w:rPr>
            </w:pPr>
            <w:r w:rsidRPr="003C7226">
              <w:rPr>
                <w:rFonts w:ascii="Arial" w:hAnsi="Arial" w:cs="Arial"/>
                <w:sz w:val="24"/>
                <w:szCs w:val="24"/>
              </w:rPr>
              <w:t>572330</w:t>
            </w:r>
          </w:p>
        </w:tc>
        <w:tc>
          <w:tcPr>
            <w:tcW w:w="1170" w:type="dxa"/>
            <w:noWrap/>
            <w:hideMark/>
          </w:tcPr>
          <w:p w14:paraId="3BEF2AE2" w14:textId="77777777" w:rsidR="00E36CDF" w:rsidRPr="003C7226" w:rsidRDefault="00E36CDF" w:rsidP="00F531CF">
            <w:pPr>
              <w:rPr>
                <w:rFonts w:ascii="Arial" w:hAnsi="Arial" w:cs="Arial"/>
                <w:sz w:val="24"/>
                <w:szCs w:val="24"/>
              </w:rPr>
            </w:pPr>
            <w:r w:rsidRPr="003C7226">
              <w:rPr>
                <w:rFonts w:ascii="Arial" w:hAnsi="Arial" w:cs="Arial"/>
                <w:sz w:val="24"/>
                <w:szCs w:val="24"/>
              </w:rPr>
              <w:t>629563</w:t>
            </w:r>
          </w:p>
        </w:tc>
      </w:tr>
      <w:tr w:rsidR="003C7226" w:rsidRPr="003C7226" w14:paraId="40D55B8D" w14:textId="77777777" w:rsidTr="00F531CF">
        <w:trPr>
          <w:trHeight w:val="300"/>
        </w:trPr>
        <w:tc>
          <w:tcPr>
            <w:tcW w:w="4405" w:type="dxa"/>
            <w:noWrap/>
            <w:hideMark/>
          </w:tcPr>
          <w:p w14:paraId="63146D97" w14:textId="77777777" w:rsidR="00E36CDF" w:rsidRPr="003C7226" w:rsidRDefault="00E36CDF" w:rsidP="00F531CF">
            <w:pPr>
              <w:rPr>
                <w:rFonts w:ascii="Arial" w:hAnsi="Arial" w:cs="Arial"/>
                <w:sz w:val="24"/>
                <w:szCs w:val="24"/>
              </w:rPr>
            </w:pPr>
            <w:r w:rsidRPr="003C7226">
              <w:rPr>
                <w:rFonts w:ascii="Arial" w:hAnsi="Arial" w:cs="Arial"/>
                <w:sz w:val="24"/>
                <w:szCs w:val="24"/>
              </w:rPr>
              <w:t>Operating expenses</w:t>
            </w:r>
          </w:p>
        </w:tc>
        <w:tc>
          <w:tcPr>
            <w:tcW w:w="1039" w:type="dxa"/>
            <w:noWrap/>
            <w:hideMark/>
          </w:tcPr>
          <w:p w14:paraId="21BD1AF7" w14:textId="77777777" w:rsidR="00E36CDF" w:rsidRPr="003C7226" w:rsidRDefault="00E36CDF" w:rsidP="00F531CF">
            <w:pPr>
              <w:rPr>
                <w:rFonts w:ascii="Arial" w:hAnsi="Arial" w:cs="Arial"/>
                <w:sz w:val="24"/>
                <w:szCs w:val="24"/>
              </w:rPr>
            </w:pPr>
            <w:r w:rsidRPr="003C7226">
              <w:rPr>
                <w:rFonts w:ascii="Arial" w:hAnsi="Arial" w:cs="Arial"/>
                <w:sz w:val="24"/>
                <w:szCs w:val="24"/>
              </w:rPr>
              <w:t>405000</w:t>
            </w:r>
          </w:p>
        </w:tc>
        <w:tc>
          <w:tcPr>
            <w:tcW w:w="1027" w:type="dxa"/>
            <w:noWrap/>
            <w:hideMark/>
          </w:tcPr>
          <w:p w14:paraId="6EC038CA" w14:textId="77777777" w:rsidR="00E36CDF" w:rsidRPr="003C7226" w:rsidRDefault="00E36CDF" w:rsidP="00F531CF">
            <w:pPr>
              <w:rPr>
                <w:rFonts w:ascii="Arial" w:hAnsi="Arial" w:cs="Arial"/>
                <w:sz w:val="24"/>
                <w:szCs w:val="24"/>
              </w:rPr>
            </w:pPr>
            <w:r w:rsidRPr="003C7226">
              <w:rPr>
                <w:rFonts w:ascii="Arial" w:hAnsi="Arial" w:cs="Arial"/>
                <w:sz w:val="24"/>
                <w:szCs w:val="24"/>
              </w:rPr>
              <w:t>364500</w:t>
            </w:r>
          </w:p>
        </w:tc>
        <w:tc>
          <w:tcPr>
            <w:tcW w:w="1174" w:type="dxa"/>
            <w:noWrap/>
            <w:hideMark/>
          </w:tcPr>
          <w:p w14:paraId="5F4F8D06" w14:textId="77777777" w:rsidR="00E36CDF" w:rsidRPr="003C7226" w:rsidRDefault="00E36CDF" w:rsidP="00F531CF">
            <w:pPr>
              <w:rPr>
                <w:rFonts w:ascii="Arial" w:hAnsi="Arial" w:cs="Arial"/>
                <w:sz w:val="24"/>
                <w:szCs w:val="24"/>
              </w:rPr>
            </w:pPr>
            <w:r w:rsidRPr="003C7226">
              <w:rPr>
                <w:rFonts w:ascii="Arial" w:hAnsi="Arial" w:cs="Arial"/>
                <w:sz w:val="24"/>
                <w:szCs w:val="24"/>
              </w:rPr>
              <w:t>364500</w:t>
            </w:r>
          </w:p>
        </w:tc>
        <w:tc>
          <w:tcPr>
            <w:tcW w:w="1170" w:type="dxa"/>
            <w:noWrap/>
            <w:hideMark/>
          </w:tcPr>
          <w:p w14:paraId="09E211E6" w14:textId="77777777" w:rsidR="00E36CDF" w:rsidRPr="003C7226" w:rsidRDefault="00E36CDF" w:rsidP="00F531CF">
            <w:pPr>
              <w:rPr>
                <w:rFonts w:ascii="Arial" w:hAnsi="Arial" w:cs="Arial"/>
                <w:sz w:val="24"/>
                <w:szCs w:val="24"/>
              </w:rPr>
            </w:pPr>
            <w:r w:rsidRPr="003C7226">
              <w:rPr>
                <w:rFonts w:ascii="Arial" w:hAnsi="Arial" w:cs="Arial"/>
                <w:sz w:val="24"/>
                <w:szCs w:val="24"/>
              </w:rPr>
              <w:t>364500</w:t>
            </w:r>
          </w:p>
        </w:tc>
      </w:tr>
      <w:tr w:rsidR="003C7226" w:rsidRPr="003C7226" w14:paraId="0D26684A" w14:textId="77777777" w:rsidTr="00F531CF">
        <w:trPr>
          <w:trHeight w:val="300"/>
        </w:trPr>
        <w:tc>
          <w:tcPr>
            <w:tcW w:w="4405" w:type="dxa"/>
            <w:noWrap/>
            <w:hideMark/>
          </w:tcPr>
          <w:p w14:paraId="54261680" w14:textId="77777777" w:rsidR="00E36CDF" w:rsidRPr="003C7226" w:rsidRDefault="00E36CDF" w:rsidP="00F531CF">
            <w:pPr>
              <w:rPr>
                <w:rFonts w:ascii="Arial" w:hAnsi="Arial" w:cs="Arial"/>
                <w:sz w:val="24"/>
                <w:szCs w:val="24"/>
              </w:rPr>
            </w:pPr>
            <w:r w:rsidRPr="003C7226">
              <w:rPr>
                <w:rFonts w:ascii="Arial" w:hAnsi="Arial" w:cs="Arial"/>
                <w:sz w:val="24"/>
                <w:szCs w:val="24"/>
              </w:rPr>
              <w:t>Gross profit</w:t>
            </w:r>
          </w:p>
        </w:tc>
        <w:tc>
          <w:tcPr>
            <w:tcW w:w="1039" w:type="dxa"/>
            <w:noWrap/>
            <w:hideMark/>
          </w:tcPr>
          <w:p w14:paraId="543A0404" w14:textId="77777777" w:rsidR="00E36CDF" w:rsidRPr="003C7226" w:rsidRDefault="00E36CDF" w:rsidP="00F531CF">
            <w:pPr>
              <w:rPr>
                <w:rFonts w:ascii="Arial" w:hAnsi="Arial" w:cs="Arial"/>
                <w:sz w:val="24"/>
                <w:szCs w:val="24"/>
              </w:rPr>
            </w:pPr>
            <w:r w:rsidRPr="003C7226">
              <w:rPr>
                <w:rFonts w:ascii="Arial" w:hAnsi="Arial" w:cs="Arial"/>
                <w:sz w:val="24"/>
                <w:szCs w:val="24"/>
              </w:rPr>
              <w:t>68000</w:t>
            </w:r>
          </w:p>
        </w:tc>
        <w:tc>
          <w:tcPr>
            <w:tcW w:w="1027" w:type="dxa"/>
            <w:noWrap/>
            <w:hideMark/>
          </w:tcPr>
          <w:p w14:paraId="50B8ED49" w14:textId="77777777" w:rsidR="00E36CDF" w:rsidRPr="003C7226" w:rsidRDefault="00E36CDF" w:rsidP="00F531CF">
            <w:pPr>
              <w:rPr>
                <w:rFonts w:ascii="Arial" w:hAnsi="Arial" w:cs="Arial"/>
                <w:sz w:val="24"/>
                <w:szCs w:val="24"/>
              </w:rPr>
            </w:pPr>
            <w:r w:rsidRPr="003C7226">
              <w:rPr>
                <w:rFonts w:ascii="Arial" w:hAnsi="Arial" w:cs="Arial"/>
                <w:sz w:val="24"/>
                <w:szCs w:val="24"/>
              </w:rPr>
              <w:t>155800</w:t>
            </w:r>
          </w:p>
        </w:tc>
        <w:tc>
          <w:tcPr>
            <w:tcW w:w="1174" w:type="dxa"/>
            <w:noWrap/>
            <w:hideMark/>
          </w:tcPr>
          <w:p w14:paraId="6173EF92" w14:textId="77777777" w:rsidR="00E36CDF" w:rsidRPr="003C7226" w:rsidRDefault="00E36CDF" w:rsidP="00F531CF">
            <w:pPr>
              <w:rPr>
                <w:rFonts w:ascii="Arial" w:hAnsi="Arial" w:cs="Arial"/>
                <w:sz w:val="24"/>
                <w:szCs w:val="24"/>
              </w:rPr>
            </w:pPr>
            <w:r w:rsidRPr="003C7226">
              <w:rPr>
                <w:rFonts w:ascii="Arial" w:hAnsi="Arial" w:cs="Arial"/>
                <w:sz w:val="24"/>
                <w:szCs w:val="24"/>
              </w:rPr>
              <w:t>207830</w:t>
            </w:r>
          </w:p>
        </w:tc>
        <w:tc>
          <w:tcPr>
            <w:tcW w:w="1170" w:type="dxa"/>
            <w:noWrap/>
            <w:hideMark/>
          </w:tcPr>
          <w:p w14:paraId="37BA9D04" w14:textId="77777777" w:rsidR="00E36CDF" w:rsidRPr="003C7226" w:rsidRDefault="00E36CDF" w:rsidP="00F531CF">
            <w:pPr>
              <w:rPr>
                <w:rFonts w:ascii="Arial" w:hAnsi="Arial" w:cs="Arial"/>
                <w:sz w:val="24"/>
                <w:szCs w:val="24"/>
              </w:rPr>
            </w:pPr>
            <w:r w:rsidRPr="003C7226">
              <w:rPr>
                <w:rFonts w:ascii="Arial" w:hAnsi="Arial" w:cs="Arial"/>
                <w:sz w:val="24"/>
                <w:szCs w:val="24"/>
              </w:rPr>
              <w:t>265063</w:t>
            </w:r>
          </w:p>
        </w:tc>
      </w:tr>
      <w:tr w:rsidR="003C7226" w:rsidRPr="003C7226" w14:paraId="31E4B255" w14:textId="77777777" w:rsidTr="00F531CF">
        <w:trPr>
          <w:trHeight w:val="300"/>
        </w:trPr>
        <w:tc>
          <w:tcPr>
            <w:tcW w:w="4405" w:type="dxa"/>
            <w:noWrap/>
            <w:hideMark/>
          </w:tcPr>
          <w:p w14:paraId="157B9D73" w14:textId="77777777" w:rsidR="00E36CDF" w:rsidRPr="003C7226" w:rsidRDefault="00E36CDF" w:rsidP="00F531CF">
            <w:pPr>
              <w:rPr>
                <w:rFonts w:ascii="Arial" w:hAnsi="Arial" w:cs="Arial"/>
                <w:sz w:val="24"/>
                <w:szCs w:val="24"/>
              </w:rPr>
            </w:pPr>
            <w:r w:rsidRPr="003C7226">
              <w:rPr>
                <w:rFonts w:ascii="Arial" w:hAnsi="Arial" w:cs="Arial"/>
                <w:sz w:val="24"/>
                <w:szCs w:val="24"/>
              </w:rPr>
              <w:t>Net profit (after corporate tax 20%)</w:t>
            </w:r>
          </w:p>
        </w:tc>
        <w:tc>
          <w:tcPr>
            <w:tcW w:w="1039" w:type="dxa"/>
            <w:noWrap/>
            <w:hideMark/>
          </w:tcPr>
          <w:p w14:paraId="425411F4" w14:textId="77777777" w:rsidR="00E36CDF" w:rsidRPr="003C7226" w:rsidRDefault="00E36CDF" w:rsidP="00F531CF">
            <w:pPr>
              <w:rPr>
                <w:rFonts w:ascii="Arial" w:hAnsi="Arial" w:cs="Arial"/>
                <w:sz w:val="24"/>
                <w:szCs w:val="24"/>
              </w:rPr>
            </w:pPr>
            <w:r w:rsidRPr="003C7226">
              <w:rPr>
                <w:rFonts w:ascii="Arial" w:hAnsi="Arial" w:cs="Arial"/>
                <w:sz w:val="24"/>
                <w:szCs w:val="24"/>
              </w:rPr>
              <w:t>54400</w:t>
            </w:r>
          </w:p>
        </w:tc>
        <w:tc>
          <w:tcPr>
            <w:tcW w:w="1027" w:type="dxa"/>
            <w:noWrap/>
            <w:hideMark/>
          </w:tcPr>
          <w:p w14:paraId="2E419AEE" w14:textId="77777777" w:rsidR="00E36CDF" w:rsidRPr="003C7226" w:rsidRDefault="00E36CDF" w:rsidP="00F531CF">
            <w:pPr>
              <w:rPr>
                <w:rFonts w:ascii="Arial" w:hAnsi="Arial" w:cs="Arial"/>
                <w:sz w:val="24"/>
                <w:szCs w:val="24"/>
              </w:rPr>
            </w:pPr>
            <w:r w:rsidRPr="003C7226">
              <w:rPr>
                <w:rFonts w:ascii="Arial" w:hAnsi="Arial" w:cs="Arial"/>
                <w:sz w:val="24"/>
                <w:szCs w:val="24"/>
              </w:rPr>
              <w:t>124640</w:t>
            </w:r>
          </w:p>
        </w:tc>
        <w:tc>
          <w:tcPr>
            <w:tcW w:w="1174" w:type="dxa"/>
            <w:noWrap/>
            <w:hideMark/>
          </w:tcPr>
          <w:p w14:paraId="25E15569" w14:textId="77777777" w:rsidR="00E36CDF" w:rsidRPr="003C7226" w:rsidRDefault="00E36CDF" w:rsidP="00F531CF">
            <w:pPr>
              <w:rPr>
                <w:rFonts w:ascii="Arial" w:hAnsi="Arial" w:cs="Arial"/>
                <w:sz w:val="24"/>
                <w:szCs w:val="24"/>
              </w:rPr>
            </w:pPr>
            <w:r w:rsidRPr="003C7226">
              <w:rPr>
                <w:rFonts w:ascii="Arial" w:hAnsi="Arial" w:cs="Arial"/>
                <w:sz w:val="24"/>
                <w:szCs w:val="24"/>
              </w:rPr>
              <w:t>166264</w:t>
            </w:r>
          </w:p>
        </w:tc>
        <w:tc>
          <w:tcPr>
            <w:tcW w:w="1170" w:type="dxa"/>
            <w:noWrap/>
            <w:hideMark/>
          </w:tcPr>
          <w:p w14:paraId="5096526B" w14:textId="77777777" w:rsidR="00E36CDF" w:rsidRPr="003C7226" w:rsidRDefault="00E36CDF" w:rsidP="00F531CF">
            <w:pPr>
              <w:rPr>
                <w:rFonts w:ascii="Arial" w:hAnsi="Arial" w:cs="Arial"/>
                <w:sz w:val="24"/>
                <w:szCs w:val="24"/>
              </w:rPr>
            </w:pPr>
            <w:r w:rsidRPr="003C7226">
              <w:rPr>
                <w:rFonts w:ascii="Arial" w:hAnsi="Arial" w:cs="Arial"/>
                <w:sz w:val="24"/>
                <w:szCs w:val="24"/>
              </w:rPr>
              <w:t>212050</w:t>
            </w:r>
          </w:p>
        </w:tc>
      </w:tr>
      <w:tr w:rsidR="003C7226" w:rsidRPr="003C7226" w14:paraId="291E119B" w14:textId="77777777" w:rsidTr="00F531CF">
        <w:trPr>
          <w:trHeight w:val="300"/>
        </w:trPr>
        <w:tc>
          <w:tcPr>
            <w:tcW w:w="4405" w:type="dxa"/>
            <w:noWrap/>
            <w:hideMark/>
          </w:tcPr>
          <w:p w14:paraId="2D9A2A17" w14:textId="77777777" w:rsidR="00E36CDF" w:rsidRPr="003C7226" w:rsidRDefault="00E36CDF" w:rsidP="00F531CF">
            <w:pPr>
              <w:rPr>
                <w:rFonts w:ascii="Arial" w:hAnsi="Arial" w:cs="Arial"/>
                <w:sz w:val="24"/>
                <w:szCs w:val="24"/>
              </w:rPr>
            </w:pPr>
            <w:r w:rsidRPr="003C7226">
              <w:rPr>
                <w:rFonts w:ascii="Arial" w:hAnsi="Arial" w:cs="Arial"/>
                <w:sz w:val="24"/>
                <w:szCs w:val="24"/>
              </w:rPr>
              <w:t>Net Profit Margin</w:t>
            </w:r>
          </w:p>
        </w:tc>
        <w:tc>
          <w:tcPr>
            <w:tcW w:w="1039" w:type="dxa"/>
            <w:noWrap/>
            <w:hideMark/>
          </w:tcPr>
          <w:p w14:paraId="0E4D8B93" w14:textId="77777777" w:rsidR="00E36CDF" w:rsidRPr="003C7226" w:rsidRDefault="00E36CDF" w:rsidP="00F531CF">
            <w:pPr>
              <w:rPr>
                <w:rFonts w:ascii="Arial" w:hAnsi="Arial" w:cs="Arial"/>
                <w:sz w:val="24"/>
                <w:szCs w:val="24"/>
              </w:rPr>
            </w:pPr>
            <w:r w:rsidRPr="003C7226">
              <w:rPr>
                <w:rFonts w:ascii="Arial" w:hAnsi="Arial" w:cs="Arial"/>
                <w:sz w:val="24"/>
                <w:szCs w:val="24"/>
              </w:rPr>
              <w:t>15%</w:t>
            </w:r>
          </w:p>
        </w:tc>
        <w:tc>
          <w:tcPr>
            <w:tcW w:w="1027" w:type="dxa"/>
            <w:noWrap/>
            <w:hideMark/>
          </w:tcPr>
          <w:p w14:paraId="4FF04A5D" w14:textId="77777777" w:rsidR="00E36CDF" w:rsidRPr="003C7226" w:rsidRDefault="00E36CDF" w:rsidP="00F531CF">
            <w:pPr>
              <w:rPr>
                <w:rFonts w:ascii="Arial" w:hAnsi="Arial" w:cs="Arial"/>
                <w:sz w:val="24"/>
                <w:szCs w:val="24"/>
              </w:rPr>
            </w:pPr>
            <w:r w:rsidRPr="003C7226">
              <w:rPr>
                <w:rFonts w:ascii="Arial" w:hAnsi="Arial" w:cs="Arial"/>
                <w:sz w:val="24"/>
                <w:szCs w:val="24"/>
              </w:rPr>
              <w:t>24%</w:t>
            </w:r>
          </w:p>
        </w:tc>
        <w:tc>
          <w:tcPr>
            <w:tcW w:w="1174" w:type="dxa"/>
            <w:noWrap/>
            <w:hideMark/>
          </w:tcPr>
          <w:p w14:paraId="5061A1F5" w14:textId="77777777" w:rsidR="00E36CDF" w:rsidRPr="003C7226" w:rsidRDefault="00E36CDF" w:rsidP="00F531CF">
            <w:pPr>
              <w:rPr>
                <w:rFonts w:ascii="Arial" w:hAnsi="Arial" w:cs="Arial"/>
                <w:sz w:val="24"/>
                <w:szCs w:val="24"/>
              </w:rPr>
            </w:pPr>
            <w:r w:rsidRPr="003C7226">
              <w:rPr>
                <w:rFonts w:ascii="Arial" w:hAnsi="Arial" w:cs="Arial"/>
                <w:sz w:val="24"/>
                <w:szCs w:val="24"/>
              </w:rPr>
              <w:t>29.10%</w:t>
            </w:r>
          </w:p>
        </w:tc>
        <w:tc>
          <w:tcPr>
            <w:tcW w:w="1170" w:type="dxa"/>
            <w:noWrap/>
            <w:hideMark/>
          </w:tcPr>
          <w:p w14:paraId="4C8F1B7B" w14:textId="77777777" w:rsidR="00E36CDF" w:rsidRPr="003C7226" w:rsidRDefault="00E36CDF" w:rsidP="00F531CF">
            <w:pPr>
              <w:rPr>
                <w:rFonts w:ascii="Arial" w:hAnsi="Arial" w:cs="Arial"/>
                <w:sz w:val="24"/>
                <w:szCs w:val="24"/>
              </w:rPr>
            </w:pPr>
            <w:r w:rsidRPr="003C7226">
              <w:rPr>
                <w:rFonts w:ascii="Arial" w:hAnsi="Arial" w:cs="Arial"/>
                <w:sz w:val="24"/>
                <w:szCs w:val="24"/>
              </w:rPr>
              <w:t>34.00%</w:t>
            </w:r>
          </w:p>
        </w:tc>
      </w:tr>
      <w:tr w:rsidR="003C7226" w:rsidRPr="003C7226" w14:paraId="6CB9052E" w14:textId="77777777" w:rsidTr="00F531CF">
        <w:trPr>
          <w:trHeight w:val="300"/>
        </w:trPr>
        <w:tc>
          <w:tcPr>
            <w:tcW w:w="4405" w:type="dxa"/>
            <w:noWrap/>
            <w:hideMark/>
          </w:tcPr>
          <w:p w14:paraId="01962B93" w14:textId="77777777" w:rsidR="00E36CDF" w:rsidRPr="003C7226" w:rsidRDefault="00E36CDF" w:rsidP="00F531CF">
            <w:pPr>
              <w:rPr>
                <w:rFonts w:ascii="Arial" w:hAnsi="Arial" w:cs="Arial"/>
                <w:sz w:val="24"/>
                <w:szCs w:val="24"/>
              </w:rPr>
            </w:pPr>
          </w:p>
        </w:tc>
        <w:tc>
          <w:tcPr>
            <w:tcW w:w="1039" w:type="dxa"/>
            <w:noWrap/>
            <w:hideMark/>
          </w:tcPr>
          <w:p w14:paraId="791245B8" w14:textId="77777777" w:rsidR="00E36CDF" w:rsidRPr="003C7226" w:rsidRDefault="00E36CDF" w:rsidP="00F531CF">
            <w:pPr>
              <w:rPr>
                <w:rFonts w:ascii="Arial" w:hAnsi="Arial" w:cs="Arial"/>
                <w:sz w:val="24"/>
                <w:szCs w:val="24"/>
              </w:rPr>
            </w:pPr>
          </w:p>
        </w:tc>
        <w:tc>
          <w:tcPr>
            <w:tcW w:w="1027" w:type="dxa"/>
            <w:noWrap/>
            <w:hideMark/>
          </w:tcPr>
          <w:p w14:paraId="4D09A133" w14:textId="77777777" w:rsidR="00E36CDF" w:rsidRPr="003C7226" w:rsidRDefault="00E36CDF" w:rsidP="00F531CF">
            <w:pPr>
              <w:rPr>
                <w:rFonts w:ascii="Arial" w:hAnsi="Arial" w:cs="Arial"/>
                <w:sz w:val="24"/>
                <w:szCs w:val="24"/>
              </w:rPr>
            </w:pPr>
          </w:p>
        </w:tc>
        <w:tc>
          <w:tcPr>
            <w:tcW w:w="1174" w:type="dxa"/>
            <w:noWrap/>
            <w:hideMark/>
          </w:tcPr>
          <w:p w14:paraId="057A0290" w14:textId="77777777" w:rsidR="00E36CDF" w:rsidRPr="003C7226" w:rsidRDefault="00E36CDF" w:rsidP="00F531CF">
            <w:pPr>
              <w:rPr>
                <w:rFonts w:ascii="Arial" w:hAnsi="Arial" w:cs="Arial"/>
                <w:sz w:val="24"/>
                <w:szCs w:val="24"/>
              </w:rPr>
            </w:pPr>
          </w:p>
        </w:tc>
        <w:tc>
          <w:tcPr>
            <w:tcW w:w="1170" w:type="dxa"/>
            <w:noWrap/>
            <w:hideMark/>
          </w:tcPr>
          <w:p w14:paraId="34C10A68" w14:textId="77777777" w:rsidR="00E36CDF" w:rsidRPr="003C7226" w:rsidRDefault="00E36CDF" w:rsidP="00F531CF">
            <w:pPr>
              <w:rPr>
                <w:rFonts w:ascii="Arial" w:hAnsi="Arial" w:cs="Arial"/>
                <w:sz w:val="24"/>
                <w:szCs w:val="24"/>
              </w:rPr>
            </w:pPr>
          </w:p>
        </w:tc>
      </w:tr>
      <w:tr w:rsidR="003C7226" w:rsidRPr="003C7226" w14:paraId="345D5722" w14:textId="77777777" w:rsidTr="00F531CF">
        <w:trPr>
          <w:trHeight w:val="300"/>
        </w:trPr>
        <w:tc>
          <w:tcPr>
            <w:tcW w:w="4405" w:type="dxa"/>
            <w:noWrap/>
            <w:hideMark/>
          </w:tcPr>
          <w:p w14:paraId="1108A7E8" w14:textId="77777777" w:rsidR="00E36CDF" w:rsidRPr="003C7226" w:rsidRDefault="00E36CDF" w:rsidP="00F531CF">
            <w:pPr>
              <w:rPr>
                <w:rFonts w:ascii="Arial" w:hAnsi="Arial" w:cs="Arial"/>
                <w:sz w:val="24"/>
                <w:szCs w:val="24"/>
              </w:rPr>
            </w:pPr>
          </w:p>
        </w:tc>
        <w:tc>
          <w:tcPr>
            <w:tcW w:w="1039" w:type="dxa"/>
            <w:noWrap/>
            <w:hideMark/>
          </w:tcPr>
          <w:p w14:paraId="141E1BDE" w14:textId="77777777" w:rsidR="00E36CDF" w:rsidRPr="003C7226" w:rsidRDefault="00E36CDF" w:rsidP="00F531CF">
            <w:pPr>
              <w:rPr>
                <w:rFonts w:ascii="Arial" w:hAnsi="Arial" w:cs="Arial"/>
                <w:sz w:val="24"/>
                <w:szCs w:val="24"/>
              </w:rPr>
            </w:pPr>
          </w:p>
        </w:tc>
        <w:tc>
          <w:tcPr>
            <w:tcW w:w="1027" w:type="dxa"/>
            <w:noWrap/>
            <w:hideMark/>
          </w:tcPr>
          <w:p w14:paraId="621FCA0B" w14:textId="77777777" w:rsidR="00E36CDF" w:rsidRPr="003C7226" w:rsidRDefault="00E36CDF" w:rsidP="00F531CF">
            <w:pPr>
              <w:rPr>
                <w:rFonts w:ascii="Arial" w:hAnsi="Arial" w:cs="Arial"/>
                <w:sz w:val="24"/>
                <w:szCs w:val="24"/>
              </w:rPr>
            </w:pPr>
          </w:p>
        </w:tc>
        <w:tc>
          <w:tcPr>
            <w:tcW w:w="1174" w:type="dxa"/>
            <w:noWrap/>
            <w:hideMark/>
          </w:tcPr>
          <w:p w14:paraId="78970340" w14:textId="77777777" w:rsidR="00E36CDF" w:rsidRPr="003C7226" w:rsidRDefault="00E36CDF" w:rsidP="00F531CF">
            <w:pPr>
              <w:rPr>
                <w:rFonts w:ascii="Arial" w:hAnsi="Arial" w:cs="Arial"/>
                <w:sz w:val="24"/>
                <w:szCs w:val="24"/>
              </w:rPr>
            </w:pPr>
          </w:p>
        </w:tc>
        <w:tc>
          <w:tcPr>
            <w:tcW w:w="1170" w:type="dxa"/>
            <w:noWrap/>
            <w:hideMark/>
          </w:tcPr>
          <w:p w14:paraId="5464A6BC" w14:textId="77777777" w:rsidR="00E36CDF" w:rsidRPr="003C7226" w:rsidRDefault="00E36CDF" w:rsidP="00F531CF">
            <w:pPr>
              <w:rPr>
                <w:rFonts w:ascii="Arial" w:hAnsi="Arial" w:cs="Arial"/>
                <w:sz w:val="24"/>
                <w:szCs w:val="24"/>
              </w:rPr>
            </w:pPr>
          </w:p>
        </w:tc>
      </w:tr>
      <w:tr w:rsidR="003C7226" w:rsidRPr="003C7226" w14:paraId="7606060B" w14:textId="77777777" w:rsidTr="00F531CF">
        <w:trPr>
          <w:trHeight w:val="300"/>
        </w:trPr>
        <w:tc>
          <w:tcPr>
            <w:tcW w:w="4405" w:type="dxa"/>
            <w:noWrap/>
            <w:hideMark/>
          </w:tcPr>
          <w:p w14:paraId="7BE48F36" w14:textId="77777777" w:rsidR="00E36CDF" w:rsidRPr="003C7226" w:rsidRDefault="00E36CDF" w:rsidP="00F531CF">
            <w:pPr>
              <w:rPr>
                <w:rFonts w:ascii="Arial" w:hAnsi="Arial" w:cs="Arial"/>
                <w:b/>
                <w:bCs/>
                <w:sz w:val="24"/>
                <w:szCs w:val="24"/>
              </w:rPr>
            </w:pPr>
            <w:r w:rsidRPr="003C7226">
              <w:rPr>
                <w:rFonts w:ascii="Arial" w:hAnsi="Arial" w:cs="Arial"/>
                <w:b/>
                <w:bCs/>
                <w:sz w:val="24"/>
                <w:szCs w:val="24"/>
              </w:rPr>
              <w:t>Balance Sheet Projections (End of 2026)</w:t>
            </w:r>
          </w:p>
        </w:tc>
        <w:tc>
          <w:tcPr>
            <w:tcW w:w="1039" w:type="dxa"/>
            <w:noWrap/>
            <w:hideMark/>
          </w:tcPr>
          <w:p w14:paraId="0A56FEFC" w14:textId="77777777" w:rsidR="00E36CDF" w:rsidRPr="003C7226" w:rsidRDefault="00E36CDF" w:rsidP="00F531CF">
            <w:pPr>
              <w:rPr>
                <w:rFonts w:ascii="Arial" w:hAnsi="Arial" w:cs="Arial"/>
                <w:b/>
                <w:bCs/>
                <w:sz w:val="24"/>
                <w:szCs w:val="24"/>
              </w:rPr>
            </w:pPr>
          </w:p>
        </w:tc>
        <w:tc>
          <w:tcPr>
            <w:tcW w:w="1027" w:type="dxa"/>
            <w:noWrap/>
            <w:hideMark/>
          </w:tcPr>
          <w:p w14:paraId="4680C078" w14:textId="77777777" w:rsidR="00E36CDF" w:rsidRPr="003C7226" w:rsidRDefault="00E36CDF" w:rsidP="00F531CF">
            <w:pPr>
              <w:rPr>
                <w:rFonts w:ascii="Arial" w:hAnsi="Arial" w:cs="Arial"/>
                <w:sz w:val="24"/>
                <w:szCs w:val="24"/>
              </w:rPr>
            </w:pPr>
          </w:p>
        </w:tc>
        <w:tc>
          <w:tcPr>
            <w:tcW w:w="1174" w:type="dxa"/>
            <w:noWrap/>
            <w:hideMark/>
          </w:tcPr>
          <w:p w14:paraId="54649AE7" w14:textId="77777777" w:rsidR="00E36CDF" w:rsidRPr="003C7226" w:rsidRDefault="00E36CDF" w:rsidP="00F531CF">
            <w:pPr>
              <w:rPr>
                <w:rFonts w:ascii="Arial" w:hAnsi="Arial" w:cs="Arial"/>
                <w:sz w:val="24"/>
                <w:szCs w:val="24"/>
              </w:rPr>
            </w:pPr>
          </w:p>
        </w:tc>
        <w:tc>
          <w:tcPr>
            <w:tcW w:w="1170" w:type="dxa"/>
            <w:noWrap/>
            <w:hideMark/>
          </w:tcPr>
          <w:p w14:paraId="32976B8E" w14:textId="77777777" w:rsidR="00E36CDF" w:rsidRPr="003C7226" w:rsidRDefault="00E36CDF" w:rsidP="00F531CF">
            <w:pPr>
              <w:rPr>
                <w:rFonts w:ascii="Arial" w:hAnsi="Arial" w:cs="Arial"/>
                <w:sz w:val="24"/>
                <w:szCs w:val="24"/>
              </w:rPr>
            </w:pPr>
          </w:p>
        </w:tc>
      </w:tr>
      <w:tr w:rsidR="003C7226" w:rsidRPr="003C7226" w14:paraId="3D17C5D8" w14:textId="77777777" w:rsidTr="00F531CF">
        <w:trPr>
          <w:trHeight w:val="300"/>
        </w:trPr>
        <w:tc>
          <w:tcPr>
            <w:tcW w:w="4405" w:type="dxa"/>
            <w:noWrap/>
            <w:hideMark/>
          </w:tcPr>
          <w:p w14:paraId="6022BD92" w14:textId="77777777" w:rsidR="00E36CDF" w:rsidRPr="003C7226" w:rsidRDefault="00E36CDF" w:rsidP="00F531CF">
            <w:pPr>
              <w:rPr>
                <w:rFonts w:ascii="Arial" w:hAnsi="Arial" w:cs="Arial"/>
                <w:b/>
                <w:bCs/>
                <w:sz w:val="24"/>
                <w:szCs w:val="24"/>
              </w:rPr>
            </w:pPr>
            <w:r w:rsidRPr="003C7226">
              <w:rPr>
                <w:rFonts w:ascii="Arial" w:hAnsi="Arial" w:cs="Arial"/>
                <w:b/>
                <w:bCs/>
                <w:sz w:val="24"/>
                <w:szCs w:val="24"/>
              </w:rPr>
              <w:t>Total Assets</w:t>
            </w:r>
          </w:p>
        </w:tc>
        <w:tc>
          <w:tcPr>
            <w:tcW w:w="1039" w:type="dxa"/>
            <w:noWrap/>
            <w:hideMark/>
          </w:tcPr>
          <w:p w14:paraId="2FCF6155" w14:textId="77777777" w:rsidR="00E36CDF" w:rsidRPr="003C7226" w:rsidRDefault="00E36CDF" w:rsidP="00F531CF">
            <w:pPr>
              <w:rPr>
                <w:rFonts w:ascii="Arial" w:hAnsi="Arial" w:cs="Arial"/>
                <w:b/>
                <w:sz w:val="24"/>
                <w:szCs w:val="24"/>
              </w:rPr>
            </w:pPr>
            <w:r w:rsidRPr="003C7226">
              <w:rPr>
                <w:rFonts w:ascii="Arial" w:hAnsi="Arial" w:cs="Arial"/>
                <w:b/>
                <w:sz w:val="24"/>
                <w:szCs w:val="24"/>
              </w:rPr>
              <w:t>1440000</w:t>
            </w:r>
          </w:p>
        </w:tc>
        <w:tc>
          <w:tcPr>
            <w:tcW w:w="1027" w:type="dxa"/>
            <w:noWrap/>
            <w:hideMark/>
          </w:tcPr>
          <w:p w14:paraId="41D5C4CF" w14:textId="77777777" w:rsidR="00E36CDF" w:rsidRPr="003C7226" w:rsidRDefault="00E36CDF" w:rsidP="00F531CF">
            <w:pPr>
              <w:rPr>
                <w:rFonts w:ascii="Arial" w:hAnsi="Arial" w:cs="Arial"/>
                <w:sz w:val="24"/>
                <w:szCs w:val="24"/>
              </w:rPr>
            </w:pPr>
          </w:p>
        </w:tc>
        <w:tc>
          <w:tcPr>
            <w:tcW w:w="1174" w:type="dxa"/>
            <w:noWrap/>
            <w:hideMark/>
          </w:tcPr>
          <w:p w14:paraId="40EC0540" w14:textId="77777777" w:rsidR="00E36CDF" w:rsidRPr="003C7226" w:rsidRDefault="00E36CDF" w:rsidP="00F531CF">
            <w:pPr>
              <w:rPr>
                <w:rFonts w:ascii="Arial" w:hAnsi="Arial" w:cs="Arial"/>
                <w:sz w:val="24"/>
                <w:szCs w:val="24"/>
              </w:rPr>
            </w:pPr>
          </w:p>
        </w:tc>
        <w:tc>
          <w:tcPr>
            <w:tcW w:w="1170" w:type="dxa"/>
            <w:noWrap/>
            <w:hideMark/>
          </w:tcPr>
          <w:p w14:paraId="3992501A" w14:textId="77777777" w:rsidR="00E36CDF" w:rsidRPr="003C7226" w:rsidRDefault="00E36CDF" w:rsidP="00F531CF">
            <w:pPr>
              <w:rPr>
                <w:rFonts w:ascii="Arial" w:hAnsi="Arial" w:cs="Arial"/>
                <w:sz w:val="24"/>
                <w:szCs w:val="24"/>
              </w:rPr>
            </w:pPr>
          </w:p>
        </w:tc>
      </w:tr>
      <w:tr w:rsidR="003C7226" w:rsidRPr="003C7226" w14:paraId="444802EA" w14:textId="77777777" w:rsidTr="00F531CF">
        <w:trPr>
          <w:trHeight w:val="300"/>
        </w:trPr>
        <w:tc>
          <w:tcPr>
            <w:tcW w:w="4405" w:type="dxa"/>
            <w:noWrap/>
            <w:hideMark/>
          </w:tcPr>
          <w:p w14:paraId="540DC57C" w14:textId="77777777" w:rsidR="00E36CDF" w:rsidRPr="003C7226" w:rsidRDefault="00E36CDF" w:rsidP="00F531CF">
            <w:pPr>
              <w:rPr>
                <w:rFonts w:ascii="Arial" w:hAnsi="Arial" w:cs="Arial"/>
                <w:sz w:val="24"/>
                <w:szCs w:val="24"/>
              </w:rPr>
            </w:pPr>
            <w:r w:rsidRPr="003C7226">
              <w:rPr>
                <w:rFonts w:ascii="Arial" w:hAnsi="Arial" w:cs="Arial"/>
                <w:sz w:val="24"/>
                <w:szCs w:val="24"/>
              </w:rPr>
              <w:t>Current assets</w:t>
            </w:r>
          </w:p>
        </w:tc>
        <w:tc>
          <w:tcPr>
            <w:tcW w:w="1039" w:type="dxa"/>
            <w:noWrap/>
            <w:hideMark/>
          </w:tcPr>
          <w:p w14:paraId="2F5E13F8" w14:textId="77777777" w:rsidR="00E36CDF" w:rsidRPr="003C7226" w:rsidRDefault="00E36CDF" w:rsidP="00F531CF">
            <w:pPr>
              <w:rPr>
                <w:rFonts w:ascii="Arial" w:hAnsi="Arial" w:cs="Arial"/>
                <w:sz w:val="24"/>
                <w:szCs w:val="24"/>
              </w:rPr>
            </w:pPr>
            <w:r w:rsidRPr="003C7226">
              <w:rPr>
                <w:rFonts w:ascii="Arial" w:hAnsi="Arial" w:cs="Arial"/>
                <w:sz w:val="24"/>
                <w:szCs w:val="24"/>
              </w:rPr>
              <w:t>300000</w:t>
            </w:r>
          </w:p>
        </w:tc>
        <w:tc>
          <w:tcPr>
            <w:tcW w:w="1027" w:type="dxa"/>
            <w:noWrap/>
            <w:hideMark/>
          </w:tcPr>
          <w:p w14:paraId="4730D67A" w14:textId="77777777" w:rsidR="00E36CDF" w:rsidRPr="003C7226" w:rsidRDefault="00E36CDF" w:rsidP="00F531CF">
            <w:pPr>
              <w:rPr>
                <w:rFonts w:ascii="Arial" w:hAnsi="Arial" w:cs="Arial"/>
                <w:sz w:val="24"/>
                <w:szCs w:val="24"/>
              </w:rPr>
            </w:pPr>
          </w:p>
        </w:tc>
        <w:tc>
          <w:tcPr>
            <w:tcW w:w="1174" w:type="dxa"/>
            <w:noWrap/>
            <w:hideMark/>
          </w:tcPr>
          <w:p w14:paraId="37A0E7CE" w14:textId="77777777" w:rsidR="00E36CDF" w:rsidRPr="003C7226" w:rsidRDefault="00E36CDF" w:rsidP="00F531CF">
            <w:pPr>
              <w:rPr>
                <w:rFonts w:ascii="Arial" w:hAnsi="Arial" w:cs="Arial"/>
                <w:sz w:val="24"/>
                <w:szCs w:val="24"/>
              </w:rPr>
            </w:pPr>
          </w:p>
        </w:tc>
        <w:tc>
          <w:tcPr>
            <w:tcW w:w="1170" w:type="dxa"/>
            <w:noWrap/>
            <w:hideMark/>
          </w:tcPr>
          <w:p w14:paraId="32E98960" w14:textId="77777777" w:rsidR="00E36CDF" w:rsidRPr="003C7226" w:rsidRDefault="00E36CDF" w:rsidP="00F531CF">
            <w:pPr>
              <w:rPr>
                <w:rFonts w:ascii="Arial" w:hAnsi="Arial" w:cs="Arial"/>
                <w:sz w:val="24"/>
                <w:szCs w:val="24"/>
              </w:rPr>
            </w:pPr>
          </w:p>
        </w:tc>
      </w:tr>
      <w:tr w:rsidR="003C7226" w:rsidRPr="003C7226" w14:paraId="419EE5BD" w14:textId="77777777" w:rsidTr="00F531CF">
        <w:trPr>
          <w:trHeight w:val="300"/>
        </w:trPr>
        <w:tc>
          <w:tcPr>
            <w:tcW w:w="4405" w:type="dxa"/>
            <w:noWrap/>
            <w:hideMark/>
          </w:tcPr>
          <w:p w14:paraId="19A49916" w14:textId="77777777" w:rsidR="00E36CDF" w:rsidRPr="003C7226" w:rsidRDefault="00E36CDF" w:rsidP="00F531CF">
            <w:pPr>
              <w:rPr>
                <w:rFonts w:ascii="Arial" w:hAnsi="Arial" w:cs="Arial"/>
                <w:sz w:val="24"/>
                <w:szCs w:val="24"/>
              </w:rPr>
            </w:pPr>
            <w:r w:rsidRPr="003C7226">
              <w:rPr>
                <w:rFonts w:ascii="Arial" w:hAnsi="Arial" w:cs="Arial"/>
                <w:sz w:val="24"/>
                <w:szCs w:val="24"/>
              </w:rPr>
              <w:t>Property and Equipment</w:t>
            </w:r>
          </w:p>
        </w:tc>
        <w:tc>
          <w:tcPr>
            <w:tcW w:w="1039" w:type="dxa"/>
            <w:noWrap/>
            <w:hideMark/>
          </w:tcPr>
          <w:p w14:paraId="5A919ECF" w14:textId="77777777" w:rsidR="00E36CDF" w:rsidRPr="003C7226" w:rsidRDefault="00E36CDF" w:rsidP="00F531CF">
            <w:pPr>
              <w:rPr>
                <w:rFonts w:ascii="Arial" w:hAnsi="Arial" w:cs="Arial"/>
                <w:sz w:val="24"/>
                <w:szCs w:val="24"/>
              </w:rPr>
            </w:pPr>
            <w:r w:rsidRPr="003C7226">
              <w:rPr>
                <w:rFonts w:ascii="Arial" w:hAnsi="Arial" w:cs="Arial"/>
                <w:sz w:val="24"/>
                <w:szCs w:val="24"/>
              </w:rPr>
              <w:t>960000</w:t>
            </w:r>
          </w:p>
        </w:tc>
        <w:tc>
          <w:tcPr>
            <w:tcW w:w="1027" w:type="dxa"/>
            <w:noWrap/>
            <w:hideMark/>
          </w:tcPr>
          <w:p w14:paraId="1F863F6C" w14:textId="77777777" w:rsidR="00E36CDF" w:rsidRPr="003C7226" w:rsidRDefault="00E36CDF" w:rsidP="00F531CF">
            <w:pPr>
              <w:rPr>
                <w:rFonts w:ascii="Arial" w:hAnsi="Arial" w:cs="Arial"/>
                <w:sz w:val="24"/>
                <w:szCs w:val="24"/>
              </w:rPr>
            </w:pPr>
          </w:p>
        </w:tc>
        <w:tc>
          <w:tcPr>
            <w:tcW w:w="1174" w:type="dxa"/>
            <w:noWrap/>
            <w:hideMark/>
          </w:tcPr>
          <w:p w14:paraId="7C3BCC00" w14:textId="77777777" w:rsidR="00E36CDF" w:rsidRPr="003C7226" w:rsidRDefault="00E36CDF" w:rsidP="00F531CF">
            <w:pPr>
              <w:rPr>
                <w:rFonts w:ascii="Arial" w:hAnsi="Arial" w:cs="Arial"/>
                <w:sz w:val="24"/>
                <w:szCs w:val="24"/>
              </w:rPr>
            </w:pPr>
          </w:p>
        </w:tc>
        <w:tc>
          <w:tcPr>
            <w:tcW w:w="1170" w:type="dxa"/>
            <w:noWrap/>
            <w:hideMark/>
          </w:tcPr>
          <w:p w14:paraId="1D0E1DEE" w14:textId="77777777" w:rsidR="00E36CDF" w:rsidRPr="003C7226" w:rsidRDefault="00E36CDF" w:rsidP="00F531CF">
            <w:pPr>
              <w:rPr>
                <w:rFonts w:ascii="Arial" w:hAnsi="Arial" w:cs="Arial"/>
                <w:sz w:val="24"/>
                <w:szCs w:val="24"/>
              </w:rPr>
            </w:pPr>
          </w:p>
        </w:tc>
      </w:tr>
      <w:tr w:rsidR="003C7226" w:rsidRPr="003C7226" w14:paraId="395E9336" w14:textId="77777777" w:rsidTr="00F531CF">
        <w:trPr>
          <w:trHeight w:val="300"/>
        </w:trPr>
        <w:tc>
          <w:tcPr>
            <w:tcW w:w="4405" w:type="dxa"/>
            <w:noWrap/>
            <w:hideMark/>
          </w:tcPr>
          <w:p w14:paraId="07E058EF" w14:textId="77777777" w:rsidR="00E36CDF" w:rsidRPr="003C7226" w:rsidRDefault="00E36CDF" w:rsidP="00F531CF">
            <w:pPr>
              <w:rPr>
                <w:rFonts w:ascii="Arial" w:hAnsi="Arial" w:cs="Arial"/>
                <w:sz w:val="24"/>
                <w:szCs w:val="24"/>
              </w:rPr>
            </w:pPr>
            <w:r w:rsidRPr="003C7226">
              <w:rPr>
                <w:rFonts w:ascii="Arial" w:hAnsi="Arial" w:cs="Arial"/>
                <w:sz w:val="24"/>
                <w:szCs w:val="24"/>
              </w:rPr>
              <w:t>Other Assets</w:t>
            </w:r>
          </w:p>
        </w:tc>
        <w:tc>
          <w:tcPr>
            <w:tcW w:w="1039" w:type="dxa"/>
            <w:noWrap/>
            <w:hideMark/>
          </w:tcPr>
          <w:p w14:paraId="44C07110" w14:textId="77777777" w:rsidR="00E36CDF" w:rsidRPr="003C7226" w:rsidRDefault="00E36CDF" w:rsidP="00F531CF">
            <w:pPr>
              <w:rPr>
                <w:rFonts w:ascii="Arial" w:hAnsi="Arial" w:cs="Arial"/>
                <w:sz w:val="24"/>
                <w:szCs w:val="24"/>
              </w:rPr>
            </w:pPr>
            <w:r w:rsidRPr="003C7226">
              <w:rPr>
                <w:rFonts w:ascii="Arial" w:hAnsi="Arial" w:cs="Arial"/>
                <w:sz w:val="24"/>
                <w:szCs w:val="24"/>
              </w:rPr>
              <w:t>180000</w:t>
            </w:r>
          </w:p>
        </w:tc>
        <w:tc>
          <w:tcPr>
            <w:tcW w:w="1027" w:type="dxa"/>
            <w:noWrap/>
            <w:hideMark/>
          </w:tcPr>
          <w:p w14:paraId="25BE3B0C" w14:textId="77777777" w:rsidR="00E36CDF" w:rsidRPr="003C7226" w:rsidRDefault="00E36CDF" w:rsidP="00F531CF">
            <w:pPr>
              <w:rPr>
                <w:rFonts w:ascii="Arial" w:hAnsi="Arial" w:cs="Arial"/>
                <w:sz w:val="24"/>
                <w:szCs w:val="24"/>
              </w:rPr>
            </w:pPr>
          </w:p>
        </w:tc>
        <w:tc>
          <w:tcPr>
            <w:tcW w:w="1174" w:type="dxa"/>
            <w:noWrap/>
            <w:hideMark/>
          </w:tcPr>
          <w:p w14:paraId="0DEBF2BC" w14:textId="77777777" w:rsidR="00E36CDF" w:rsidRPr="003C7226" w:rsidRDefault="00E36CDF" w:rsidP="00F531CF">
            <w:pPr>
              <w:rPr>
                <w:rFonts w:ascii="Arial" w:hAnsi="Arial" w:cs="Arial"/>
                <w:sz w:val="24"/>
                <w:szCs w:val="24"/>
              </w:rPr>
            </w:pPr>
          </w:p>
        </w:tc>
        <w:tc>
          <w:tcPr>
            <w:tcW w:w="1170" w:type="dxa"/>
            <w:noWrap/>
            <w:hideMark/>
          </w:tcPr>
          <w:p w14:paraId="2FCBD2B1" w14:textId="77777777" w:rsidR="00E36CDF" w:rsidRPr="003C7226" w:rsidRDefault="00E36CDF" w:rsidP="00F531CF">
            <w:pPr>
              <w:rPr>
                <w:rFonts w:ascii="Arial" w:hAnsi="Arial" w:cs="Arial"/>
                <w:sz w:val="24"/>
                <w:szCs w:val="24"/>
              </w:rPr>
            </w:pPr>
          </w:p>
        </w:tc>
      </w:tr>
      <w:tr w:rsidR="003C7226" w:rsidRPr="003C7226" w14:paraId="298186B4" w14:textId="77777777" w:rsidTr="00F531CF">
        <w:trPr>
          <w:trHeight w:val="300"/>
        </w:trPr>
        <w:tc>
          <w:tcPr>
            <w:tcW w:w="4405" w:type="dxa"/>
            <w:noWrap/>
            <w:hideMark/>
          </w:tcPr>
          <w:p w14:paraId="7C426052" w14:textId="77777777" w:rsidR="00E36CDF" w:rsidRPr="003C7226" w:rsidRDefault="00E36CDF" w:rsidP="00F531CF">
            <w:pPr>
              <w:rPr>
                <w:rFonts w:ascii="Arial" w:hAnsi="Arial" w:cs="Arial"/>
                <w:b/>
                <w:bCs/>
                <w:sz w:val="24"/>
                <w:szCs w:val="24"/>
              </w:rPr>
            </w:pPr>
            <w:r w:rsidRPr="003C7226">
              <w:rPr>
                <w:rFonts w:ascii="Arial" w:hAnsi="Arial" w:cs="Arial"/>
                <w:b/>
                <w:bCs/>
                <w:sz w:val="24"/>
                <w:szCs w:val="24"/>
              </w:rPr>
              <w:t>Total Liabilities</w:t>
            </w:r>
          </w:p>
        </w:tc>
        <w:tc>
          <w:tcPr>
            <w:tcW w:w="1039" w:type="dxa"/>
            <w:noWrap/>
            <w:hideMark/>
          </w:tcPr>
          <w:p w14:paraId="19762499" w14:textId="77777777" w:rsidR="00E36CDF" w:rsidRPr="003C7226" w:rsidRDefault="00E36CDF" w:rsidP="00F531CF">
            <w:pPr>
              <w:rPr>
                <w:rFonts w:ascii="Arial" w:hAnsi="Arial" w:cs="Arial"/>
                <w:b/>
                <w:sz w:val="24"/>
                <w:szCs w:val="24"/>
              </w:rPr>
            </w:pPr>
            <w:r w:rsidRPr="003C7226">
              <w:rPr>
                <w:rFonts w:ascii="Arial" w:hAnsi="Arial" w:cs="Arial"/>
                <w:b/>
                <w:sz w:val="24"/>
                <w:szCs w:val="24"/>
              </w:rPr>
              <w:t>1440000</w:t>
            </w:r>
          </w:p>
        </w:tc>
        <w:tc>
          <w:tcPr>
            <w:tcW w:w="1027" w:type="dxa"/>
            <w:noWrap/>
            <w:hideMark/>
          </w:tcPr>
          <w:p w14:paraId="6466D054" w14:textId="77777777" w:rsidR="00E36CDF" w:rsidRPr="003C7226" w:rsidRDefault="00E36CDF" w:rsidP="00F531CF">
            <w:pPr>
              <w:rPr>
                <w:rFonts w:ascii="Arial" w:hAnsi="Arial" w:cs="Arial"/>
                <w:b/>
                <w:sz w:val="24"/>
                <w:szCs w:val="24"/>
              </w:rPr>
            </w:pPr>
          </w:p>
        </w:tc>
        <w:tc>
          <w:tcPr>
            <w:tcW w:w="1174" w:type="dxa"/>
            <w:noWrap/>
            <w:hideMark/>
          </w:tcPr>
          <w:p w14:paraId="5753230C" w14:textId="77777777" w:rsidR="00E36CDF" w:rsidRPr="003C7226" w:rsidRDefault="00E36CDF" w:rsidP="00F531CF">
            <w:pPr>
              <w:rPr>
                <w:rFonts w:ascii="Arial" w:hAnsi="Arial" w:cs="Arial"/>
                <w:sz w:val="24"/>
                <w:szCs w:val="24"/>
              </w:rPr>
            </w:pPr>
          </w:p>
        </w:tc>
        <w:tc>
          <w:tcPr>
            <w:tcW w:w="1170" w:type="dxa"/>
            <w:noWrap/>
            <w:hideMark/>
          </w:tcPr>
          <w:p w14:paraId="2B7458DB" w14:textId="77777777" w:rsidR="00E36CDF" w:rsidRPr="003C7226" w:rsidRDefault="00E36CDF" w:rsidP="00F531CF">
            <w:pPr>
              <w:rPr>
                <w:rFonts w:ascii="Arial" w:hAnsi="Arial" w:cs="Arial"/>
                <w:sz w:val="24"/>
                <w:szCs w:val="24"/>
              </w:rPr>
            </w:pPr>
          </w:p>
        </w:tc>
      </w:tr>
      <w:tr w:rsidR="003C7226" w:rsidRPr="003C7226" w14:paraId="16316221" w14:textId="77777777" w:rsidTr="00F531CF">
        <w:trPr>
          <w:trHeight w:val="300"/>
        </w:trPr>
        <w:tc>
          <w:tcPr>
            <w:tcW w:w="4405" w:type="dxa"/>
            <w:noWrap/>
            <w:hideMark/>
          </w:tcPr>
          <w:p w14:paraId="69196342" w14:textId="77777777" w:rsidR="00E36CDF" w:rsidRPr="003C7226" w:rsidRDefault="00E36CDF" w:rsidP="00F531CF">
            <w:pPr>
              <w:rPr>
                <w:rFonts w:ascii="Arial" w:hAnsi="Arial" w:cs="Arial"/>
                <w:sz w:val="24"/>
                <w:szCs w:val="24"/>
              </w:rPr>
            </w:pPr>
            <w:r w:rsidRPr="003C7226">
              <w:rPr>
                <w:rFonts w:ascii="Arial" w:hAnsi="Arial" w:cs="Arial"/>
                <w:sz w:val="24"/>
                <w:szCs w:val="24"/>
              </w:rPr>
              <w:t>Current Liabilities</w:t>
            </w:r>
          </w:p>
        </w:tc>
        <w:tc>
          <w:tcPr>
            <w:tcW w:w="1039" w:type="dxa"/>
            <w:noWrap/>
            <w:hideMark/>
          </w:tcPr>
          <w:p w14:paraId="0E01B9D7" w14:textId="77777777" w:rsidR="00E36CDF" w:rsidRPr="003C7226" w:rsidRDefault="00E36CDF" w:rsidP="00F531CF">
            <w:pPr>
              <w:rPr>
                <w:rFonts w:ascii="Arial" w:hAnsi="Arial" w:cs="Arial"/>
                <w:sz w:val="24"/>
                <w:szCs w:val="24"/>
              </w:rPr>
            </w:pPr>
            <w:r w:rsidRPr="003C7226">
              <w:rPr>
                <w:rFonts w:ascii="Arial" w:hAnsi="Arial" w:cs="Arial"/>
                <w:sz w:val="24"/>
                <w:szCs w:val="24"/>
              </w:rPr>
              <w:t>180000</w:t>
            </w:r>
          </w:p>
        </w:tc>
        <w:tc>
          <w:tcPr>
            <w:tcW w:w="1027" w:type="dxa"/>
            <w:noWrap/>
            <w:hideMark/>
          </w:tcPr>
          <w:p w14:paraId="73431EEE" w14:textId="77777777" w:rsidR="00E36CDF" w:rsidRPr="003C7226" w:rsidRDefault="00E36CDF" w:rsidP="00F531CF">
            <w:pPr>
              <w:rPr>
                <w:rFonts w:ascii="Arial" w:hAnsi="Arial" w:cs="Arial"/>
                <w:sz w:val="24"/>
                <w:szCs w:val="24"/>
              </w:rPr>
            </w:pPr>
          </w:p>
        </w:tc>
        <w:tc>
          <w:tcPr>
            <w:tcW w:w="1174" w:type="dxa"/>
            <w:noWrap/>
            <w:hideMark/>
          </w:tcPr>
          <w:p w14:paraId="710688A5" w14:textId="77777777" w:rsidR="00E36CDF" w:rsidRPr="003C7226" w:rsidRDefault="00E36CDF" w:rsidP="00F531CF">
            <w:pPr>
              <w:rPr>
                <w:rFonts w:ascii="Arial" w:hAnsi="Arial" w:cs="Arial"/>
                <w:sz w:val="24"/>
                <w:szCs w:val="24"/>
              </w:rPr>
            </w:pPr>
          </w:p>
        </w:tc>
        <w:tc>
          <w:tcPr>
            <w:tcW w:w="1170" w:type="dxa"/>
            <w:noWrap/>
            <w:hideMark/>
          </w:tcPr>
          <w:p w14:paraId="22B50945" w14:textId="77777777" w:rsidR="00E36CDF" w:rsidRPr="003C7226" w:rsidRDefault="00E36CDF" w:rsidP="00F531CF">
            <w:pPr>
              <w:rPr>
                <w:rFonts w:ascii="Arial" w:hAnsi="Arial" w:cs="Arial"/>
                <w:sz w:val="24"/>
                <w:szCs w:val="24"/>
              </w:rPr>
            </w:pPr>
          </w:p>
        </w:tc>
      </w:tr>
      <w:tr w:rsidR="003C7226" w:rsidRPr="003C7226" w14:paraId="3DE23354" w14:textId="77777777" w:rsidTr="00F531CF">
        <w:trPr>
          <w:trHeight w:val="323"/>
        </w:trPr>
        <w:tc>
          <w:tcPr>
            <w:tcW w:w="4405" w:type="dxa"/>
            <w:noWrap/>
            <w:hideMark/>
          </w:tcPr>
          <w:p w14:paraId="7F8E3917" w14:textId="77777777" w:rsidR="00E36CDF" w:rsidRPr="003C7226" w:rsidRDefault="00E36CDF" w:rsidP="00F531CF">
            <w:pPr>
              <w:rPr>
                <w:rFonts w:ascii="Arial" w:hAnsi="Arial" w:cs="Arial"/>
                <w:sz w:val="24"/>
                <w:szCs w:val="24"/>
              </w:rPr>
            </w:pPr>
            <w:r w:rsidRPr="003C7226">
              <w:rPr>
                <w:rFonts w:ascii="Arial" w:hAnsi="Arial" w:cs="Arial"/>
                <w:sz w:val="24"/>
                <w:szCs w:val="24"/>
              </w:rPr>
              <w:t>Long-term debt</w:t>
            </w:r>
          </w:p>
        </w:tc>
        <w:tc>
          <w:tcPr>
            <w:tcW w:w="1039" w:type="dxa"/>
            <w:noWrap/>
            <w:hideMark/>
          </w:tcPr>
          <w:p w14:paraId="0E3134E6" w14:textId="77777777" w:rsidR="00E36CDF" w:rsidRPr="003C7226" w:rsidRDefault="00E36CDF" w:rsidP="00F531CF">
            <w:pPr>
              <w:rPr>
                <w:rFonts w:ascii="Arial" w:hAnsi="Arial" w:cs="Arial"/>
                <w:sz w:val="24"/>
                <w:szCs w:val="24"/>
              </w:rPr>
            </w:pPr>
            <w:r w:rsidRPr="003C7226">
              <w:rPr>
                <w:rFonts w:ascii="Arial" w:hAnsi="Arial" w:cs="Arial"/>
                <w:sz w:val="24"/>
                <w:szCs w:val="24"/>
              </w:rPr>
              <w:t>525000</w:t>
            </w:r>
          </w:p>
        </w:tc>
        <w:tc>
          <w:tcPr>
            <w:tcW w:w="1027" w:type="dxa"/>
            <w:noWrap/>
            <w:hideMark/>
          </w:tcPr>
          <w:p w14:paraId="10C713AE" w14:textId="77777777" w:rsidR="00E36CDF" w:rsidRPr="003C7226" w:rsidRDefault="00E36CDF" w:rsidP="00F531CF">
            <w:pPr>
              <w:rPr>
                <w:rFonts w:ascii="Arial" w:hAnsi="Arial" w:cs="Arial"/>
                <w:sz w:val="24"/>
                <w:szCs w:val="24"/>
              </w:rPr>
            </w:pPr>
          </w:p>
        </w:tc>
        <w:tc>
          <w:tcPr>
            <w:tcW w:w="1174" w:type="dxa"/>
            <w:noWrap/>
            <w:hideMark/>
          </w:tcPr>
          <w:p w14:paraId="404AAF8F" w14:textId="77777777" w:rsidR="00E36CDF" w:rsidRPr="003C7226" w:rsidRDefault="00E36CDF" w:rsidP="00F531CF">
            <w:pPr>
              <w:rPr>
                <w:rFonts w:ascii="Arial" w:hAnsi="Arial" w:cs="Arial"/>
                <w:sz w:val="24"/>
                <w:szCs w:val="24"/>
              </w:rPr>
            </w:pPr>
          </w:p>
        </w:tc>
        <w:tc>
          <w:tcPr>
            <w:tcW w:w="1170" w:type="dxa"/>
            <w:noWrap/>
            <w:hideMark/>
          </w:tcPr>
          <w:p w14:paraId="0C3DE761" w14:textId="77777777" w:rsidR="00E36CDF" w:rsidRPr="003C7226" w:rsidRDefault="00E36CDF" w:rsidP="00F531CF">
            <w:pPr>
              <w:rPr>
                <w:rFonts w:ascii="Arial" w:hAnsi="Arial" w:cs="Arial"/>
                <w:sz w:val="24"/>
                <w:szCs w:val="24"/>
              </w:rPr>
            </w:pPr>
          </w:p>
        </w:tc>
      </w:tr>
      <w:tr w:rsidR="003C7226" w:rsidRPr="003C7226" w14:paraId="72D0F10E" w14:textId="77777777" w:rsidTr="00F531CF">
        <w:trPr>
          <w:trHeight w:val="332"/>
        </w:trPr>
        <w:tc>
          <w:tcPr>
            <w:tcW w:w="4405" w:type="dxa"/>
            <w:noWrap/>
            <w:hideMark/>
          </w:tcPr>
          <w:p w14:paraId="29D7F51C" w14:textId="77777777" w:rsidR="00E36CDF" w:rsidRPr="003C7226" w:rsidRDefault="00E36CDF" w:rsidP="00F531CF">
            <w:pPr>
              <w:rPr>
                <w:rFonts w:ascii="Arial" w:hAnsi="Arial" w:cs="Arial"/>
                <w:b/>
                <w:bCs/>
                <w:sz w:val="24"/>
                <w:szCs w:val="24"/>
              </w:rPr>
            </w:pPr>
            <w:r w:rsidRPr="003C7226">
              <w:rPr>
                <w:rFonts w:ascii="Arial" w:hAnsi="Arial" w:cs="Arial"/>
                <w:b/>
                <w:bCs/>
                <w:sz w:val="24"/>
                <w:szCs w:val="24"/>
              </w:rPr>
              <w:t>Equity</w:t>
            </w:r>
          </w:p>
        </w:tc>
        <w:tc>
          <w:tcPr>
            <w:tcW w:w="1039" w:type="dxa"/>
            <w:noWrap/>
            <w:hideMark/>
          </w:tcPr>
          <w:p w14:paraId="5CE2F39C" w14:textId="77777777" w:rsidR="00E36CDF" w:rsidRPr="003C7226" w:rsidRDefault="00E36CDF" w:rsidP="00F531CF">
            <w:pPr>
              <w:rPr>
                <w:rFonts w:ascii="Arial" w:hAnsi="Arial" w:cs="Arial"/>
                <w:sz w:val="24"/>
                <w:szCs w:val="24"/>
              </w:rPr>
            </w:pPr>
            <w:r w:rsidRPr="003C7226">
              <w:rPr>
                <w:rFonts w:ascii="Arial" w:hAnsi="Arial" w:cs="Arial"/>
                <w:sz w:val="24"/>
                <w:szCs w:val="24"/>
              </w:rPr>
              <w:t>735000</w:t>
            </w:r>
          </w:p>
        </w:tc>
        <w:tc>
          <w:tcPr>
            <w:tcW w:w="1027" w:type="dxa"/>
            <w:noWrap/>
            <w:hideMark/>
          </w:tcPr>
          <w:p w14:paraId="09A8899B" w14:textId="77777777" w:rsidR="00E36CDF" w:rsidRPr="003C7226" w:rsidRDefault="00E36CDF" w:rsidP="00F531CF">
            <w:pPr>
              <w:rPr>
                <w:rFonts w:ascii="Arial" w:hAnsi="Arial" w:cs="Arial"/>
                <w:sz w:val="24"/>
                <w:szCs w:val="24"/>
              </w:rPr>
            </w:pPr>
          </w:p>
        </w:tc>
        <w:tc>
          <w:tcPr>
            <w:tcW w:w="1174" w:type="dxa"/>
            <w:noWrap/>
            <w:hideMark/>
          </w:tcPr>
          <w:p w14:paraId="21B3C24C" w14:textId="77777777" w:rsidR="00E36CDF" w:rsidRPr="003C7226" w:rsidRDefault="00E36CDF" w:rsidP="00F531CF">
            <w:pPr>
              <w:rPr>
                <w:rFonts w:ascii="Arial" w:hAnsi="Arial" w:cs="Arial"/>
                <w:sz w:val="24"/>
                <w:szCs w:val="24"/>
              </w:rPr>
            </w:pPr>
          </w:p>
        </w:tc>
        <w:tc>
          <w:tcPr>
            <w:tcW w:w="1170" w:type="dxa"/>
            <w:noWrap/>
            <w:hideMark/>
          </w:tcPr>
          <w:p w14:paraId="08319FED" w14:textId="77777777" w:rsidR="00E36CDF" w:rsidRPr="003C7226" w:rsidRDefault="00E36CDF" w:rsidP="00F531CF">
            <w:pPr>
              <w:rPr>
                <w:rFonts w:ascii="Arial" w:hAnsi="Arial" w:cs="Arial"/>
                <w:sz w:val="24"/>
                <w:szCs w:val="24"/>
              </w:rPr>
            </w:pPr>
          </w:p>
        </w:tc>
      </w:tr>
    </w:tbl>
    <w:p w14:paraId="54BC9B7F" w14:textId="77777777" w:rsidR="00E36CDF" w:rsidRPr="003C7226" w:rsidRDefault="00E36CDF" w:rsidP="00E36CDF">
      <w:pPr>
        <w:rPr>
          <w:rFonts w:ascii="Arial" w:hAnsi="Arial" w:cs="Arial"/>
          <w:sz w:val="24"/>
          <w:szCs w:val="24"/>
        </w:rPr>
      </w:pPr>
    </w:p>
    <w:p w14:paraId="62A64940" w14:textId="77777777" w:rsidR="00E36CDF" w:rsidRPr="003C7226" w:rsidRDefault="00E36CDF" w:rsidP="00F7297F">
      <w:pPr>
        <w:spacing w:line="360" w:lineRule="auto"/>
        <w:jc w:val="center"/>
        <w:rPr>
          <w:rFonts w:ascii="Arial" w:hAnsi="Arial" w:cs="Arial"/>
          <w:b/>
          <w:sz w:val="24"/>
          <w:szCs w:val="24"/>
        </w:rPr>
      </w:pPr>
    </w:p>
    <w:p w14:paraId="20550E98" w14:textId="77777777" w:rsidR="00E30158" w:rsidRPr="003C7226" w:rsidRDefault="00E30158" w:rsidP="00F7297F">
      <w:pPr>
        <w:spacing w:line="360" w:lineRule="auto"/>
        <w:jc w:val="center"/>
        <w:rPr>
          <w:rFonts w:ascii="Arial" w:hAnsi="Arial" w:cs="Arial"/>
          <w:b/>
          <w:sz w:val="24"/>
          <w:szCs w:val="24"/>
        </w:rPr>
      </w:pPr>
    </w:p>
    <w:p w14:paraId="7A1D97BC" w14:textId="77777777" w:rsidR="00101709" w:rsidRPr="003C7226" w:rsidRDefault="00BA1215" w:rsidP="00F7297F">
      <w:pPr>
        <w:spacing w:line="360" w:lineRule="auto"/>
        <w:jc w:val="center"/>
        <w:rPr>
          <w:rFonts w:ascii="Arial" w:hAnsi="Arial" w:cs="Arial"/>
          <w:b/>
          <w:sz w:val="24"/>
          <w:szCs w:val="24"/>
        </w:rPr>
      </w:pPr>
      <w:r w:rsidRPr="003C7226">
        <w:rPr>
          <w:rFonts w:ascii="Arial" w:hAnsi="Arial" w:cs="Arial"/>
          <w:b/>
          <w:sz w:val="24"/>
          <w:szCs w:val="24"/>
        </w:rPr>
        <w:t>Reference List</w:t>
      </w:r>
    </w:p>
    <w:p w14:paraId="5C53022E" w14:textId="77777777" w:rsidR="00101709" w:rsidRPr="003C7226" w:rsidRDefault="00BA1215" w:rsidP="00F7297F">
      <w:pPr>
        <w:pStyle w:val="NormalWeb"/>
        <w:spacing w:before="0" w:beforeAutospacing="0" w:after="0" w:afterAutospacing="0" w:line="360" w:lineRule="auto"/>
        <w:ind w:left="720" w:hanging="720"/>
        <w:rPr>
          <w:rFonts w:ascii="Arial" w:hAnsi="Arial" w:cs="Arial"/>
          <w:shd w:val="clear" w:color="auto" w:fill="FFFFFF"/>
        </w:rPr>
      </w:pPr>
      <w:r w:rsidRPr="003C7226">
        <w:rPr>
          <w:rFonts w:ascii="Arial" w:hAnsi="Arial" w:cs="Arial"/>
          <w:shd w:val="clear" w:color="auto" w:fill="FFFFFF"/>
        </w:rPr>
        <w:t>Ashraf, M.S., Akhtar, N., Ashraf, R.U., Hou, F., Junaid, M. and Kirmani, S.A.A., 2020. Traveling responsibly to ecofriendly destinations: an individual-level cross-cultural comparison between the United Kingdom and China. </w:t>
      </w:r>
      <w:r w:rsidRPr="003C7226">
        <w:rPr>
          <w:rFonts w:ascii="Arial" w:hAnsi="Arial" w:cs="Arial"/>
          <w:i/>
          <w:iCs/>
          <w:shd w:val="clear" w:color="auto" w:fill="FFFFFF"/>
        </w:rPr>
        <w:t>Sustainability</w:t>
      </w:r>
      <w:r w:rsidRPr="003C7226">
        <w:rPr>
          <w:rFonts w:ascii="Arial" w:hAnsi="Arial" w:cs="Arial"/>
          <w:shd w:val="clear" w:color="auto" w:fill="FFFFFF"/>
        </w:rPr>
        <w:t>, </w:t>
      </w:r>
      <w:r w:rsidRPr="003C7226">
        <w:rPr>
          <w:rFonts w:ascii="Arial" w:hAnsi="Arial" w:cs="Arial"/>
          <w:i/>
          <w:iCs/>
          <w:shd w:val="clear" w:color="auto" w:fill="FFFFFF"/>
        </w:rPr>
        <w:t>12</w:t>
      </w:r>
      <w:r w:rsidRPr="003C7226">
        <w:rPr>
          <w:rFonts w:ascii="Arial" w:hAnsi="Arial" w:cs="Arial"/>
          <w:shd w:val="clear" w:color="auto" w:fill="FFFFFF"/>
        </w:rPr>
        <w:t>(8), p.3248.</w:t>
      </w:r>
    </w:p>
    <w:p w14:paraId="7787745A" w14:textId="77777777" w:rsidR="00101709" w:rsidRPr="003C7226" w:rsidRDefault="00BA1215" w:rsidP="00F7297F">
      <w:pPr>
        <w:pStyle w:val="NormalWeb"/>
        <w:spacing w:before="0" w:beforeAutospacing="0" w:after="0" w:afterAutospacing="0" w:line="360" w:lineRule="auto"/>
        <w:ind w:left="720" w:hanging="720"/>
        <w:rPr>
          <w:rFonts w:ascii="Arial" w:hAnsi="Arial" w:cs="Arial"/>
          <w:shd w:val="clear" w:color="auto" w:fill="FFFFFF"/>
        </w:rPr>
      </w:pPr>
      <w:r w:rsidRPr="003C7226">
        <w:rPr>
          <w:rFonts w:ascii="Arial" w:hAnsi="Arial" w:cs="Arial"/>
          <w:shd w:val="clear" w:color="auto" w:fill="FFFFFF"/>
        </w:rPr>
        <w:t>Brindescu-Olariu, D., 2016. Solvency ratio as a tool for bankruptcy prediction. </w:t>
      </w:r>
      <w:r w:rsidRPr="003C7226">
        <w:rPr>
          <w:rFonts w:ascii="Arial" w:hAnsi="Arial" w:cs="Arial"/>
          <w:i/>
          <w:iCs/>
          <w:shd w:val="clear" w:color="auto" w:fill="FFFFFF"/>
        </w:rPr>
        <w:t>Ecoforum Journal</w:t>
      </w:r>
      <w:r w:rsidRPr="003C7226">
        <w:rPr>
          <w:rFonts w:ascii="Arial" w:hAnsi="Arial" w:cs="Arial"/>
          <w:shd w:val="clear" w:color="auto" w:fill="FFFFFF"/>
        </w:rPr>
        <w:t>, </w:t>
      </w:r>
      <w:r w:rsidRPr="003C7226">
        <w:rPr>
          <w:rFonts w:ascii="Arial" w:hAnsi="Arial" w:cs="Arial"/>
          <w:i/>
          <w:iCs/>
          <w:shd w:val="clear" w:color="auto" w:fill="FFFFFF"/>
        </w:rPr>
        <w:t>5</w:t>
      </w:r>
      <w:r w:rsidRPr="003C7226">
        <w:rPr>
          <w:rFonts w:ascii="Arial" w:hAnsi="Arial" w:cs="Arial"/>
          <w:shd w:val="clear" w:color="auto" w:fill="FFFFFF"/>
        </w:rPr>
        <w:t>(2), pp.278-281.</w:t>
      </w:r>
    </w:p>
    <w:p w14:paraId="22879224" w14:textId="77777777" w:rsidR="00676348" w:rsidRPr="003C7226" w:rsidRDefault="00BA1215" w:rsidP="00F7297F">
      <w:pPr>
        <w:pStyle w:val="NormalWeb"/>
        <w:spacing w:before="0" w:beforeAutospacing="0" w:after="0" w:afterAutospacing="0" w:line="360" w:lineRule="auto"/>
        <w:ind w:left="720" w:hanging="720"/>
        <w:rPr>
          <w:rFonts w:ascii="Arial" w:hAnsi="Arial" w:cs="Arial"/>
          <w:shd w:val="clear" w:color="auto" w:fill="FFFFFF"/>
        </w:rPr>
      </w:pPr>
      <w:r w:rsidRPr="003C7226">
        <w:rPr>
          <w:rFonts w:ascii="Arial" w:hAnsi="Arial" w:cs="Arial"/>
          <w:shd w:val="clear" w:color="auto" w:fill="FFFFFF"/>
        </w:rPr>
        <w:t xml:space="preserve">Darmawan, A.H. and Azizah, S., 2020, January. Resistance to change: Causes and strategies as an organisational challenge. In </w:t>
      </w:r>
      <w:r w:rsidRPr="003C7226">
        <w:rPr>
          <w:rFonts w:ascii="Arial" w:hAnsi="Arial" w:cs="Arial"/>
          <w:i/>
          <w:iCs/>
          <w:shd w:val="clear" w:color="auto" w:fill="FFFFFF"/>
        </w:rPr>
        <w:t>5th ASEAN Conference on Psychology, Counselling, and Humanities (ACPCH 2019)</w:t>
      </w:r>
      <w:r w:rsidRPr="003C7226">
        <w:rPr>
          <w:rFonts w:ascii="Arial" w:hAnsi="Arial" w:cs="Arial"/>
          <w:shd w:val="clear" w:color="auto" w:fill="FFFFFF"/>
        </w:rPr>
        <w:t> (pp. 49-53). Atlantis Press.</w:t>
      </w:r>
    </w:p>
    <w:p w14:paraId="45FE22DB" w14:textId="77777777" w:rsidR="00101709" w:rsidRPr="003C7226" w:rsidRDefault="00BA1215" w:rsidP="00F7297F">
      <w:pPr>
        <w:pStyle w:val="NormalWeb"/>
        <w:spacing w:before="0" w:beforeAutospacing="0" w:after="0" w:afterAutospacing="0" w:line="360" w:lineRule="auto"/>
        <w:ind w:left="720" w:hanging="720"/>
        <w:rPr>
          <w:rFonts w:ascii="Arial" w:hAnsi="Arial" w:cs="Arial"/>
        </w:rPr>
      </w:pPr>
      <w:r w:rsidRPr="003C7226">
        <w:rPr>
          <w:rFonts w:ascii="Arial" w:hAnsi="Arial" w:cs="Arial"/>
        </w:rPr>
        <w:t>Frank, K. 2022. </w:t>
      </w:r>
      <w:r w:rsidRPr="003C7226">
        <w:rPr>
          <w:rFonts w:ascii="Arial" w:hAnsi="Arial" w:cs="Arial"/>
          <w:i/>
          <w:iCs/>
        </w:rPr>
        <w:t>UK Hotel trading performance in 2022 exceeds expectations but the pace of recovery is set to slow in light of the economic downturn</w:t>
      </w:r>
      <w:r w:rsidRPr="003C7226">
        <w:rPr>
          <w:rFonts w:ascii="Arial" w:hAnsi="Arial" w:cs="Arial"/>
        </w:rPr>
        <w:t xml:space="preserve">. [online] Hospitality Net. Available at: </w:t>
      </w:r>
      <w:hyperlink r:id="rId6" w:history="1">
        <w:r w:rsidRPr="003C7226">
          <w:rPr>
            <w:rStyle w:val="Hyperlink"/>
            <w:rFonts w:ascii="Arial" w:hAnsi="Arial" w:cs="Arial"/>
            <w:color w:val="auto"/>
          </w:rPr>
          <w:t>https://www.hospitalitynet.org/news/4113848.html</w:t>
        </w:r>
      </w:hyperlink>
      <w:r w:rsidRPr="003C7226">
        <w:rPr>
          <w:rFonts w:ascii="Arial" w:hAnsi="Arial" w:cs="Arial"/>
        </w:rPr>
        <w:t>.</w:t>
      </w:r>
    </w:p>
    <w:p w14:paraId="418BF2BE" w14:textId="77777777" w:rsidR="00101709" w:rsidRPr="003C7226" w:rsidRDefault="00BA1215" w:rsidP="00F7297F">
      <w:pPr>
        <w:pStyle w:val="NormalWeb"/>
        <w:spacing w:before="0" w:beforeAutospacing="0" w:after="0" w:afterAutospacing="0" w:line="360" w:lineRule="auto"/>
        <w:ind w:left="720" w:hanging="720"/>
        <w:rPr>
          <w:rFonts w:ascii="Arial" w:hAnsi="Arial" w:cs="Arial"/>
        </w:rPr>
      </w:pPr>
      <w:r w:rsidRPr="003C7226">
        <w:rPr>
          <w:rFonts w:ascii="Arial" w:hAnsi="Arial" w:cs="Arial"/>
        </w:rPr>
        <w:t>‌IBIS World 2022. </w:t>
      </w:r>
      <w:r w:rsidRPr="003C7226">
        <w:rPr>
          <w:rFonts w:ascii="Arial" w:hAnsi="Arial" w:cs="Arial"/>
          <w:i/>
          <w:iCs/>
        </w:rPr>
        <w:t>Hotels in the UK - Market Size, Industry Analysis, Trends and Forecasts (2023-2028)| IBISWorld</w:t>
      </w:r>
      <w:r w:rsidRPr="003C7226">
        <w:rPr>
          <w:rFonts w:ascii="Arial" w:hAnsi="Arial" w:cs="Arial"/>
        </w:rPr>
        <w:t>. [online] Available at: https://www.ibisworld.com/united-kingdom/market-research-reports/hotels-industry/#GeographicBreakdown [Accessed 7 Nov. 2023].</w:t>
      </w:r>
    </w:p>
    <w:p w14:paraId="30EC2BEE" w14:textId="77777777" w:rsidR="00101709" w:rsidRPr="003C7226" w:rsidRDefault="00BA1215" w:rsidP="00F7297F">
      <w:pPr>
        <w:spacing w:line="360" w:lineRule="auto"/>
        <w:ind w:left="720" w:hanging="720"/>
        <w:rPr>
          <w:rFonts w:ascii="Arial" w:hAnsi="Arial" w:cs="Arial"/>
          <w:sz w:val="24"/>
          <w:szCs w:val="24"/>
          <w:shd w:val="clear" w:color="auto" w:fill="FFFFFF"/>
        </w:rPr>
      </w:pPr>
      <w:r w:rsidRPr="003C7226">
        <w:rPr>
          <w:rFonts w:ascii="Arial" w:hAnsi="Arial" w:cs="Arial"/>
          <w:sz w:val="24"/>
          <w:szCs w:val="24"/>
          <w:shd w:val="clear" w:color="auto" w:fill="FFFFFF"/>
        </w:rPr>
        <w:t>Jewell, J.J. and Mankin, J.A., 2011. What is your ROA? An investigation of the many formulas for calculating return on assets. </w:t>
      </w:r>
      <w:r w:rsidRPr="003C7226">
        <w:rPr>
          <w:rFonts w:ascii="Arial" w:hAnsi="Arial" w:cs="Arial"/>
          <w:i/>
          <w:iCs/>
          <w:sz w:val="24"/>
          <w:szCs w:val="24"/>
          <w:shd w:val="clear" w:color="auto" w:fill="FFFFFF"/>
        </w:rPr>
        <w:t>Academy of Educational Leadership Journal</w:t>
      </w:r>
      <w:r w:rsidRPr="003C7226">
        <w:rPr>
          <w:rFonts w:ascii="Arial" w:hAnsi="Arial" w:cs="Arial"/>
          <w:sz w:val="24"/>
          <w:szCs w:val="24"/>
          <w:shd w:val="clear" w:color="auto" w:fill="FFFFFF"/>
        </w:rPr>
        <w:t>, </w:t>
      </w:r>
      <w:r w:rsidRPr="003C7226">
        <w:rPr>
          <w:rFonts w:ascii="Arial" w:hAnsi="Arial" w:cs="Arial"/>
          <w:i/>
          <w:iCs/>
          <w:sz w:val="24"/>
          <w:szCs w:val="24"/>
          <w:shd w:val="clear" w:color="auto" w:fill="FFFFFF"/>
        </w:rPr>
        <w:t>15</w:t>
      </w:r>
      <w:r w:rsidRPr="003C7226">
        <w:rPr>
          <w:rFonts w:ascii="Arial" w:hAnsi="Arial" w:cs="Arial"/>
          <w:sz w:val="24"/>
          <w:szCs w:val="24"/>
          <w:shd w:val="clear" w:color="auto" w:fill="FFFFFF"/>
        </w:rPr>
        <w:t xml:space="preserve">, pp.79-91. </w:t>
      </w:r>
    </w:p>
    <w:p w14:paraId="6F5E192F" w14:textId="77777777" w:rsidR="00101709" w:rsidRPr="003C7226" w:rsidRDefault="00000000" w:rsidP="00F7297F">
      <w:pPr>
        <w:pStyle w:val="NormalWeb"/>
        <w:spacing w:before="0" w:beforeAutospacing="0" w:after="0" w:afterAutospacing="0" w:line="360" w:lineRule="auto"/>
        <w:ind w:left="720" w:hanging="720"/>
        <w:rPr>
          <w:rFonts w:ascii="Arial" w:hAnsi="Arial" w:cs="Arial"/>
        </w:rPr>
      </w:pPr>
      <w:hyperlink r:id="rId7" w:history="1">
        <w:r w:rsidR="00BA1215" w:rsidRPr="003C7226">
          <w:rPr>
            <w:rStyle w:val="Hyperlink"/>
            <w:rFonts w:ascii="Arial" w:hAnsi="Arial" w:cs="Arial"/>
            <w:color w:val="auto"/>
            <w:u w:val="none"/>
            <w:bdr w:val="none" w:sz="0" w:space="0" w:color="auto" w:frame="1"/>
            <w:shd w:val="clear" w:color="auto" w:fill="FFFFFF"/>
          </w:rPr>
          <w:t>Ledsham</w:t>
        </w:r>
      </w:hyperlink>
      <w:r w:rsidR="00BA1215" w:rsidRPr="003C7226">
        <w:rPr>
          <w:rFonts w:ascii="Arial" w:hAnsi="Arial" w:cs="Arial"/>
          <w:shd w:val="clear" w:color="auto" w:fill="FFFFFF"/>
        </w:rPr>
        <w:t>.C</w:t>
      </w:r>
      <w:r w:rsidR="00BA1215" w:rsidRPr="003C7226">
        <w:rPr>
          <w:rFonts w:ascii="Arial" w:hAnsi="Arial" w:cs="Arial"/>
          <w:iCs/>
        </w:rPr>
        <w:t xml:space="preserve"> 2023.Hotel chains are adding rooms as independent properties are losing ground</w:t>
      </w:r>
      <w:r w:rsidR="00BA1215" w:rsidRPr="003C7226">
        <w:rPr>
          <w:rFonts w:ascii="Arial" w:hAnsi="Arial" w:cs="Arial"/>
        </w:rPr>
        <w:t>. [online] Available at: https://www.statista.com/chart/28368/hotel-chains-gaining-ground/.</w:t>
      </w:r>
    </w:p>
    <w:p w14:paraId="07F9041B" w14:textId="77777777" w:rsidR="00101709" w:rsidRPr="003C7226" w:rsidRDefault="00BA1215" w:rsidP="00F7297F">
      <w:pPr>
        <w:pStyle w:val="NormalWeb"/>
        <w:spacing w:before="0" w:beforeAutospacing="0" w:after="0" w:afterAutospacing="0" w:line="360" w:lineRule="auto"/>
        <w:ind w:left="720" w:hanging="720"/>
        <w:rPr>
          <w:rFonts w:ascii="Arial" w:hAnsi="Arial" w:cs="Arial"/>
        </w:rPr>
      </w:pPr>
      <w:r w:rsidRPr="003C7226">
        <w:rPr>
          <w:rFonts w:ascii="Arial" w:hAnsi="Arial" w:cs="Arial"/>
        </w:rPr>
        <w:t>Mordor Intelligence 2022. </w:t>
      </w:r>
      <w:r w:rsidRPr="003C7226">
        <w:rPr>
          <w:rFonts w:ascii="Arial" w:hAnsi="Arial" w:cs="Arial"/>
          <w:i/>
          <w:iCs/>
        </w:rPr>
        <w:t>Hospitality Industry in the United Kingdom - Growth, Trends, and Forecasts (2020 - 2025)</w:t>
      </w:r>
      <w:r w:rsidRPr="003C7226">
        <w:rPr>
          <w:rFonts w:ascii="Arial" w:hAnsi="Arial" w:cs="Arial"/>
        </w:rPr>
        <w:t>. [online] www.mordorintelligence.com. Available at: https://www.mordorintelligence.com/industry-reports/hospitality-industry-in-the-united-kingdom.</w:t>
      </w:r>
    </w:p>
    <w:p w14:paraId="771F462A" w14:textId="77777777" w:rsidR="00101709" w:rsidRPr="003C7226" w:rsidRDefault="00BA1215" w:rsidP="00F7297F">
      <w:pPr>
        <w:pStyle w:val="NormalWeb"/>
        <w:spacing w:before="0" w:beforeAutospacing="0" w:after="0" w:afterAutospacing="0" w:line="360" w:lineRule="auto"/>
        <w:ind w:left="720" w:hanging="720"/>
        <w:rPr>
          <w:rFonts w:ascii="Arial" w:hAnsi="Arial" w:cs="Arial"/>
        </w:rPr>
      </w:pPr>
      <w:r w:rsidRPr="003C7226">
        <w:rPr>
          <w:rFonts w:ascii="Arial" w:hAnsi="Arial" w:cs="Arial"/>
          <w:shd w:val="clear" w:color="auto" w:fill="FFFFFF"/>
        </w:rPr>
        <w:lastRenderedPageBreak/>
        <w:t>Odor, H.O., 2018. Organisational culture and dynamics. </w:t>
      </w:r>
      <w:r w:rsidRPr="003C7226">
        <w:rPr>
          <w:rFonts w:ascii="Arial" w:hAnsi="Arial" w:cs="Arial"/>
          <w:i/>
          <w:iCs/>
          <w:shd w:val="clear" w:color="auto" w:fill="FFFFFF"/>
        </w:rPr>
        <w:t>Global Journal of Management and Business Research</w:t>
      </w:r>
      <w:r w:rsidRPr="003C7226">
        <w:rPr>
          <w:rFonts w:ascii="Arial" w:hAnsi="Arial" w:cs="Arial"/>
          <w:shd w:val="clear" w:color="auto" w:fill="FFFFFF"/>
        </w:rPr>
        <w:t>, </w:t>
      </w:r>
      <w:r w:rsidRPr="003C7226">
        <w:rPr>
          <w:rFonts w:ascii="Arial" w:hAnsi="Arial" w:cs="Arial"/>
          <w:i/>
          <w:iCs/>
          <w:shd w:val="clear" w:color="auto" w:fill="FFFFFF"/>
        </w:rPr>
        <w:t>18</w:t>
      </w:r>
      <w:r w:rsidRPr="003C7226">
        <w:rPr>
          <w:rFonts w:ascii="Arial" w:hAnsi="Arial" w:cs="Arial"/>
          <w:shd w:val="clear" w:color="auto" w:fill="FFFFFF"/>
        </w:rPr>
        <w:t>(1), pp.23-29.</w:t>
      </w:r>
    </w:p>
    <w:p w14:paraId="05D3A89B" w14:textId="77777777" w:rsidR="00101709" w:rsidRPr="003C7226" w:rsidRDefault="00BA1215" w:rsidP="00F7297F">
      <w:pPr>
        <w:pStyle w:val="NormalWeb"/>
        <w:spacing w:before="0" w:beforeAutospacing="0" w:after="0" w:afterAutospacing="0" w:line="360" w:lineRule="auto"/>
        <w:ind w:left="720" w:hanging="720"/>
        <w:rPr>
          <w:rFonts w:ascii="Arial" w:hAnsi="Arial" w:cs="Arial"/>
          <w:shd w:val="clear" w:color="auto" w:fill="FFFFFF"/>
        </w:rPr>
      </w:pPr>
      <w:r w:rsidRPr="003C7226">
        <w:rPr>
          <w:rFonts w:ascii="Arial" w:hAnsi="Arial" w:cs="Arial"/>
          <w:shd w:val="clear" w:color="auto" w:fill="FFFFFF"/>
        </w:rPr>
        <w:t xml:space="preserve">Office for National Statistics 2021. GDP and Events in history: How the COVID-19 Pandemic Shocked the UK Economy - Office for National Statistics. [online] www.ons.gov.uk. Available at: </w:t>
      </w:r>
      <w:hyperlink r:id="rId8" w:anchor=":~:text=The%20COVID%2D19%20pandemic%20prompted" w:history="1">
        <w:r w:rsidRPr="003C7226">
          <w:rPr>
            <w:rStyle w:val="Hyperlink"/>
            <w:rFonts w:ascii="Arial" w:hAnsi="Arial" w:cs="Arial"/>
            <w:color w:val="auto"/>
            <w:shd w:val="clear" w:color="auto" w:fill="FFFFFF"/>
          </w:rPr>
          <w:t>https://www.ons.gov.uk/economy/grossdomesticproductgdp/articles/gdpandeventsinhistoryhowthecovid19pandemicshockedtheukeconomy/2022-05-24#:~:text=The%20COVID%2D19%20pandemic%20prompted</w:t>
        </w:r>
      </w:hyperlink>
      <w:r w:rsidRPr="003C7226">
        <w:rPr>
          <w:rFonts w:ascii="Arial" w:hAnsi="Arial" w:cs="Arial"/>
          <w:shd w:val="clear" w:color="auto" w:fill="FFFFFF"/>
        </w:rPr>
        <w:t>.</w:t>
      </w:r>
    </w:p>
    <w:p w14:paraId="23F7F2CA" w14:textId="77777777" w:rsidR="00101709" w:rsidRPr="003C7226" w:rsidRDefault="00BA1215" w:rsidP="00F7297F">
      <w:pPr>
        <w:pStyle w:val="NormalWeb"/>
        <w:spacing w:before="0" w:beforeAutospacing="0" w:after="0" w:afterAutospacing="0" w:line="360" w:lineRule="auto"/>
        <w:ind w:left="720" w:hanging="720"/>
        <w:rPr>
          <w:rFonts w:ascii="Arial" w:hAnsi="Arial" w:cs="Arial"/>
          <w:shd w:val="clear" w:color="auto" w:fill="FFFFFF"/>
        </w:rPr>
      </w:pPr>
      <w:r w:rsidRPr="003C7226">
        <w:rPr>
          <w:rFonts w:ascii="Arial" w:hAnsi="Arial" w:cs="Arial"/>
          <w:shd w:val="clear" w:color="auto" w:fill="FFFFFF"/>
        </w:rPr>
        <w:t xml:space="preserve">PwC 2020. UK Hotels Forecast 2019-2020 - PwC UK. [online] PwC. Available at: </w:t>
      </w:r>
      <w:hyperlink r:id="rId9" w:history="1">
        <w:r w:rsidRPr="003C7226">
          <w:rPr>
            <w:rStyle w:val="Hyperlink"/>
            <w:rFonts w:ascii="Arial" w:hAnsi="Arial" w:cs="Arial"/>
            <w:color w:val="auto"/>
            <w:shd w:val="clear" w:color="auto" w:fill="FFFFFF"/>
          </w:rPr>
          <w:t>https://www.pwc.co.uk/industries/hospitality-leisure/insights/uk-hotels-forecast.html</w:t>
        </w:r>
      </w:hyperlink>
      <w:r w:rsidRPr="003C7226">
        <w:rPr>
          <w:rFonts w:ascii="Arial" w:hAnsi="Arial" w:cs="Arial"/>
          <w:shd w:val="clear" w:color="auto" w:fill="FFFFFF"/>
        </w:rPr>
        <w:t>.</w:t>
      </w:r>
    </w:p>
    <w:p w14:paraId="7A29F6DC" w14:textId="77777777" w:rsidR="00101709" w:rsidRPr="003C7226" w:rsidRDefault="00BA1215" w:rsidP="00F7297F">
      <w:pPr>
        <w:pStyle w:val="NormalWeb"/>
        <w:spacing w:before="0" w:beforeAutospacing="0" w:after="0" w:afterAutospacing="0" w:line="360" w:lineRule="auto"/>
        <w:ind w:left="720" w:hanging="720"/>
        <w:rPr>
          <w:rFonts w:ascii="Arial" w:hAnsi="Arial" w:cs="Arial"/>
          <w:shd w:val="clear" w:color="auto" w:fill="FFFFFF"/>
        </w:rPr>
      </w:pPr>
      <w:r w:rsidRPr="003C7226">
        <w:rPr>
          <w:rFonts w:ascii="Arial" w:hAnsi="Arial" w:cs="Arial"/>
          <w:shd w:val="clear" w:color="auto" w:fill="FFFFFF"/>
        </w:rPr>
        <w:t>Radwan, H.R.I. and Radwan, I., 2017. Managing hotels during economic challenges: A case study on hotels in Sharm El-Sheikh and Hurghada, Egypt. </w:t>
      </w:r>
      <w:r w:rsidRPr="003C7226">
        <w:rPr>
          <w:rFonts w:ascii="Arial" w:hAnsi="Arial" w:cs="Arial"/>
          <w:i/>
          <w:iCs/>
          <w:shd w:val="clear" w:color="auto" w:fill="FFFFFF"/>
        </w:rPr>
        <w:t>Journal of Tourism and Hospitality Management</w:t>
      </w:r>
      <w:r w:rsidRPr="003C7226">
        <w:rPr>
          <w:rFonts w:ascii="Arial" w:hAnsi="Arial" w:cs="Arial"/>
          <w:shd w:val="clear" w:color="auto" w:fill="FFFFFF"/>
        </w:rPr>
        <w:t>, </w:t>
      </w:r>
      <w:r w:rsidRPr="003C7226">
        <w:rPr>
          <w:rFonts w:ascii="Arial" w:hAnsi="Arial" w:cs="Arial"/>
          <w:i/>
          <w:iCs/>
          <w:shd w:val="clear" w:color="auto" w:fill="FFFFFF"/>
        </w:rPr>
        <w:t>5</w:t>
      </w:r>
      <w:r w:rsidRPr="003C7226">
        <w:rPr>
          <w:rFonts w:ascii="Arial" w:hAnsi="Arial" w:cs="Arial"/>
          <w:shd w:val="clear" w:color="auto" w:fill="FFFFFF"/>
        </w:rPr>
        <w:t>(2), pp.84-100.</w:t>
      </w:r>
    </w:p>
    <w:p w14:paraId="36F06111" w14:textId="77777777" w:rsidR="00101709" w:rsidRPr="003C7226" w:rsidRDefault="00BA1215" w:rsidP="00F7297F">
      <w:pPr>
        <w:pStyle w:val="NormalWeb"/>
        <w:spacing w:before="0" w:beforeAutospacing="0" w:after="0" w:afterAutospacing="0" w:line="360" w:lineRule="auto"/>
        <w:ind w:left="720" w:hanging="720"/>
        <w:rPr>
          <w:rFonts w:ascii="Arial" w:hAnsi="Arial" w:cs="Arial"/>
          <w:shd w:val="clear" w:color="auto" w:fill="FFFFFF"/>
        </w:rPr>
      </w:pPr>
      <w:r w:rsidRPr="003C7226">
        <w:rPr>
          <w:rFonts w:ascii="Arial" w:hAnsi="Arial" w:cs="Arial"/>
          <w:shd w:val="clear" w:color="auto" w:fill="FFFFFF"/>
        </w:rPr>
        <w:t>Raimo, N., Caragnano, A., Zito, M., Vitolla, F. and Mariani, M., 2021. Extending the benefits of ESG disclosure: The effect on the cost of debt financing. </w:t>
      </w:r>
      <w:r w:rsidRPr="003C7226">
        <w:rPr>
          <w:rFonts w:ascii="Arial" w:hAnsi="Arial" w:cs="Arial"/>
          <w:i/>
          <w:iCs/>
          <w:shd w:val="clear" w:color="auto" w:fill="FFFFFF"/>
        </w:rPr>
        <w:t>Corporate Social Responsibility and Environmental Management</w:t>
      </w:r>
      <w:r w:rsidRPr="003C7226">
        <w:rPr>
          <w:rFonts w:ascii="Arial" w:hAnsi="Arial" w:cs="Arial"/>
          <w:shd w:val="clear" w:color="auto" w:fill="FFFFFF"/>
        </w:rPr>
        <w:t>, </w:t>
      </w:r>
      <w:r w:rsidRPr="003C7226">
        <w:rPr>
          <w:rFonts w:ascii="Arial" w:hAnsi="Arial" w:cs="Arial"/>
          <w:i/>
          <w:iCs/>
          <w:shd w:val="clear" w:color="auto" w:fill="FFFFFF"/>
        </w:rPr>
        <w:t>28</w:t>
      </w:r>
      <w:r w:rsidRPr="003C7226">
        <w:rPr>
          <w:rFonts w:ascii="Arial" w:hAnsi="Arial" w:cs="Arial"/>
          <w:shd w:val="clear" w:color="auto" w:fill="FFFFFF"/>
        </w:rPr>
        <w:t>(4), pp.1412-1421.</w:t>
      </w:r>
    </w:p>
    <w:p w14:paraId="3EC8887E" w14:textId="77777777" w:rsidR="00101709" w:rsidRPr="003C7226" w:rsidRDefault="00BA1215" w:rsidP="00F7297F">
      <w:pPr>
        <w:pStyle w:val="NormalWeb"/>
        <w:spacing w:before="0" w:beforeAutospacing="0" w:after="0" w:afterAutospacing="0" w:line="360" w:lineRule="auto"/>
        <w:ind w:left="720" w:hanging="720"/>
        <w:rPr>
          <w:rFonts w:ascii="Arial" w:hAnsi="Arial" w:cs="Arial"/>
        </w:rPr>
      </w:pPr>
      <w:r w:rsidRPr="003C7226">
        <w:rPr>
          <w:rFonts w:ascii="Arial" w:hAnsi="Arial" w:cs="Arial"/>
        </w:rPr>
        <w:t>Ramuni, L. 2021. </w:t>
      </w:r>
      <w:r w:rsidRPr="003C7226">
        <w:rPr>
          <w:rFonts w:ascii="Arial" w:hAnsi="Arial" w:cs="Arial"/>
          <w:i/>
          <w:iCs/>
        </w:rPr>
        <w:t>Coronavirus and its impact on UK hospitality - Office for National Statistics</w:t>
      </w:r>
      <w:r w:rsidRPr="003C7226">
        <w:rPr>
          <w:rFonts w:ascii="Arial" w:hAnsi="Arial" w:cs="Arial"/>
        </w:rPr>
        <w:t xml:space="preserve">. [online] ons. Available at: </w:t>
      </w:r>
      <w:hyperlink r:id="rId10" w:history="1">
        <w:r w:rsidRPr="003C7226">
          <w:rPr>
            <w:rStyle w:val="Hyperlink"/>
            <w:rFonts w:ascii="Arial" w:hAnsi="Arial" w:cs="Arial"/>
            <w:color w:val="auto"/>
          </w:rPr>
          <w:t>https://www.ons.gov.uk/businessindustryandtrade/business/activitysizeandlocation/articles/coronavirusanditsimpactonukhospitality/january2020tojune2021</w:t>
        </w:r>
      </w:hyperlink>
      <w:r w:rsidRPr="003C7226">
        <w:rPr>
          <w:rFonts w:ascii="Arial" w:hAnsi="Arial" w:cs="Arial"/>
        </w:rPr>
        <w:t>.</w:t>
      </w:r>
    </w:p>
    <w:p w14:paraId="2E290FE8" w14:textId="77777777" w:rsidR="00101709" w:rsidRPr="003C7226" w:rsidRDefault="00BA1215" w:rsidP="00F7297F">
      <w:pPr>
        <w:pStyle w:val="NormalWeb"/>
        <w:spacing w:before="0" w:beforeAutospacing="0" w:after="0" w:afterAutospacing="0" w:line="360" w:lineRule="auto"/>
        <w:ind w:left="720" w:hanging="720"/>
        <w:rPr>
          <w:rFonts w:ascii="Arial" w:hAnsi="Arial" w:cs="Arial"/>
          <w:shd w:val="clear" w:color="auto" w:fill="FFFFFF"/>
        </w:rPr>
      </w:pPr>
      <w:r w:rsidRPr="003C7226">
        <w:rPr>
          <w:rFonts w:ascii="Arial" w:hAnsi="Arial" w:cs="Arial"/>
          <w:shd w:val="clear" w:color="auto" w:fill="FFFFFF"/>
        </w:rPr>
        <w:t>Shahvaroughi Farahani, M., 2021. A review study of the effects of coronavirus and Brexit on the UK economy. </w:t>
      </w:r>
      <w:r w:rsidRPr="003C7226">
        <w:rPr>
          <w:rFonts w:ascii="Arial" w:hAnsi="Arial" w:cs="Arial"/>
          <w:i/>
          <w:iCs/>
          <w:shd w:val="clear" w:color="auto" w:fill="FFFFFF"/>
        </w:rPr>
        <w:t>International Journal of New Political Economy</w:t>
      </w:r>
      <w:r w:rsidRPr="003C7226">
        <w:rPr>
          <w:rFonts w:ascii="Arial" w:hAnsi="Arial" w:cs="Arial"/>
          <w:shd w:val="clear" w:color="auto" w:fill="FFFFFF"/>
        </w:rPr>
        <w:t>, </w:t>
      </w:r>
      <w:r w:rsidRPr="003C7226">
        <w:rPr>
          <w:rFonts w:ascii="Arial" w:hAnsi="Arial" w:cs="Arial"/>
          <w:i/>
          <w:iCs/>
          <w:shd w:val="clear" w:color="auto" w:fill="FFFFFF"/>
        </w:rPr>
        <w:t>2</w:t>
      </w:r>
      <w:r w:rsidRPr="003C7226">
        <w:rPr>
          <w:rFonts w:ascii="Arial" w:hAnsi="Arial" w:cs="Arial"/>
          <w:shd w:val="clear" w:color="auto" w:fill="FFFFFF"/>
        </w:rPr>
        <w:t>(2), pp.201-227.</w:t>
      </w:r>
    </w:p>
    <w:p w14:paraId="785411B7" w14:textId="77777777" w:rsidR="00101709" w:rsidRPr="003C7226" w:rsidRDefault="00BA1215" w:rsidP="00F7297F">
      <w:pPr>
        <w:pStyle w:val="NormalWeb"/>
        <w:spacing w:before="0" w:beforeAutospacing="0" w:after="0" w:afterAutospacing="0" w:line="360" w:lineRule="auto"/>
        <w:ind w:left="720" w:hanging="720"/>
        <w:rPr>
          <w:rFonts w:ascii="Arial" w:hAnsi="Arial" w:cs="Arial"/>
          <w:shd w:val="clear" w:color="auto" w:fill="FFFFFF"/>
        </w:rPr>
      </w:pPr>
      <w:r w:rsidRPr="003C7226">
        <w:rPr>
          <w:rFonts w:ascii="Arial" w:hAnsi="Arial" w:cs="Arial"/>
          <w:shd w:val="clear" w:color="auto" w:fill="FFFFFF"/>
        </w:rPr>
        <w:t>Sharma, A., Shin, H., Santa-María, M.J. and Nicolau, J.L., 2021. Hotels' COVID-19 innovation and performance. </w:t>
      </w:r>
      <w:r w:rsidRPr="003C7226">
        <w:rPr>
          <w:rFonts w:ascii="Arial" w:hAnsi="Arial" w:cs="Arial"/>
          <w:i/>
          <w:iCs/>
          <w:shd w:val="clear" w:color="auto" w:fill="FFFFFF"/>
        </w:rPr>
        <w:t>Annals of Tourism Research</w:t>
      </w:r>
      <w:r w:rsidRPr="003C7226">
        <w:rPr>
          <w:rFonts w:ascii="Arial" w:hAnsi="Arial" w:cs="Arial"/>
          <w:shd w:val="clear" w:color="auto" w:fill="FFFFFF"/>
        </w:rPr>
        <w:t>, </w:t>
      </w:r>
      <w:r w:rsidRPr="003C7226">
        <w:rPr>
          <w:rFonts w:ascii="Arial" w:hAnsi="Arial" w:cs="Arial"/>
          <w:i/>
          <w:iCs/>
          <w:shd w:val="clear" w:color="auto" w:fill="FFFFFF"/>
        </w:rPr>
        <w:t>88</w:t>
      </w:r>
      <w:r w:rsidRPr="003C7226">
        <w:rPr>
          <w:rFonts w:ascii="Arial" w:hAnsi="Arial" w:cs="Arial"/>
          <w:shd w:val="clear" w:color="auto" w:fill="FFFFFF"/>
        </w:rPr>
        <w:t>, p.103180.</w:t>
      </w:r>
    </w:p>
    <w:p w14:paraId="4C38A2E6" w14:textId="77777777" w:rsidR="00101709" w:rsidRPr="003C7226" w:rsidRDefault="00BA1215" w:rsidP="00F7297F">
      <w:pPr>
        <w:spacing w:line="360" w:lineRule="auto"/>
        <w:ind w:left="720" w:hanging="720"/>
        <w:rPr>
          <w:rFonts w:ascii="Arial" w:hAnsi="Arial" w:cs="Arial"/>
          <w:sz w:val="24"/>
          <w:szCs w:val="24"/>
          <w:shd w:val="clear" w:color="auto" w:fill="FFFFFF"/>
        </w:rPr>
      </w:pPr>
      <w:r w:rsidRPr="003C7226">
        <w:rPr>
          <w:rFonts w:ascii="Arial" w:hAnsi="Arial" w:cs="Arial"/>
          <w:sz w:val="24"/>
          <w:szCs w:val="24"/>
          <w:shd w:val="clear" w:color="auto" w:fill="FFFFFF"/>
        </w:rPr>
        <w:t>Soboleva, Y.P., Matveev, V.V., Ilminskaya, S.A., Efimenko, I.S., Rezvyakova, I.V. and Mazur, L.V., 2018. Monitoring of businesses operations with cash flow analysis. </w:t>
      </w:r>
      <w:r w:rsidRPr="003C7226">
        <w:rPr>
          <w:rFonts w:ascii="Arial" w:hAnsi="Arial" w:cs="Arial"/>
          <w:i/>
          <w:iCs/>
          <w:sz w:val="24"/>
          <w:szCs w:val="24"/>
          <w:shd w:val="clear" w:color="auto" w:fill="FFFFFF"/>
        </w:rPr>
        <w:t>International Journal of Civil Engineering and Technology</w:t>
      </w:r>
      <w:r w:rsidRPr="003C7226">
        <w:rPr>
          <w:rFonts w:ascii="Arial" w:hAnsi="Arial" w:cs="Arial"/>
          <w:sz w:val="24"/>
          <w:szCs w:val="24"/>
          <w:shd w:val="clear" w:color="auto" w:fill="FFFFFF"/>
        </w:rPr>
        <w:t>, </w:t>
      </w:r>
      <w:r w:rsidRPr="003C7226">
        <w:rPr>
          <w:rFonts w:ascii="Arial" w:hAnsi="Arial" w:cs="Arial"/>
          <w:i/>
          <w:iCs/>
          <w:sz w:val="24"/>
          <w:szCs w:val="24"/>
          <w:shd w:val="clear" w:color="auto" w:fill="FFFFFF"/>
        </w:rPr>
        <w:t>9</w:t>
      </w:r>
      <w:r w:rsidRPr="003C7226">
        <w:rPr>
          <w:rFonts w:ascii="Arial" w:hAnsi="Arial" w:cs="Arial"/>
          <w:sz w:val="24"/>
          <w:szCs w:val="24"/>
          <w:shd w:val="clear" w:color="auto" w:fill="FFFFFF"/>
        </w:rPr>
        <w:t>(11), p.2034.</w:t>
      </w:r>
    </w:p>
    <w:p w14:paraId="33CE307D" w14:textId="77777777" w:rsidR="00101709" w:rsidRPr="003C7226" w:rsidRDefault="00BA1215" w:rsidP="00F7297F">
      <w:pPr>
        <w:pStyle w:val="NormalWeb"/>
        <w:spacing w:before="0" w:beforeAutospacing="0" w:after="0" w:afterAutospacing="0" w:line="360" w:lineRule="auto"/>
        <w:ind w:left="720" w:hanging="720"/>
        <w:rPr>
          <w:rFonts w:ascii="Arial" w:hAnsi="Arial" w:cs="Arial"/>
        </w:rPr>
      </w:pPr>
      <w:r w:rsidRPr="003C7226">
        <w:rPr>
          <w:rFonts w:ascii="Arial" w:hAnsi="Arial" w:cs="Arial"/>
        </w:rPr>
        <w:lastRenderedPageBreak/>
        <w:t>‌Statista 2023. </w:t>
      </w:r>
      <w:r w:rsidRPr="003C7226">
        <w:rPr>
          <w:rFonts w:ascii="Arial" w:hAnsi="Arial" w:cs="Arial"/>
          <w:i/>
          <w:iCs/>
        </w:rPr>
        <w:t>Hotels - United Kingdom | Statista Market Forecast</w:t>
      </w:r>
      <w:r w:rsidRPr="003C7226">
        <w:rPr>
          <w:rFonts w:ascii="Arial" w:hAnsi="Arial" w:cs="Arial"/>
        </w:rPr>
        <w:t xml:space="preserve">. [online] Available at: </w:t>
      </w:r>
      <w:hyperlink r:id="rId11" w:anchor=":~:text=Revenue%20in%20the%20Hotels%20market" w:history="1">
        <w:r w:rsidRPr="003C7226">
          <w:rPr>
            <w:rStyle w:val="Hyperlink"/>
            <w:rFonts w:ascii="Arial" w:hAnsi="Arial" w:cs="Arial"/>
            <w:color w:val="auto"/>
          </w:rPr>
          <w:t>https://www.statista.com/outlook/mmo/travel-tourism/hotels/united-kingdom#:~:text=Revenue%20in%20the%20Hotels%20market</w:t>
        </w:r>
      </w:hyperlink>
      <w:r w:rsidRPr="003C7226">
        <w:rPr>
          <w:rFonts w:ascii="Arial" w:hAnsi="Arial" w:cs="Arial"/>
        </w:rPr>
        <w:t>.</w:t>
      </w:r>
    </w:p>
    <w:p w14:paraId="08270A93" w14:textId="77777777" w:rsidR="00101709" w:rsidRPr="003C7226" w:rsidRDefault="00BA1215" w:rsidP="00F7297F">
      <w:pPr>
        <w:pStyle w:val="NormalWeb"/>
        <w:spacing w:before="0" w:beforeAutospacing="0" w:after="0" w:afterAutospacing="0" w:line="360" w:lineRule="auto"/>
        <w:ind w:left="720" w:hanging="720"/>
        <w:rPr>
          <w:rFonts w:ascii="Arial" w:hAnsi="Arial" w:cs="Arial"/>
          <w:shd w:val="clear" w:color="auto" w:fill="FFFFFF"/>
        </w:rPr>
      </w:pPr>
      <w:r w:rsidRPr="003C7226">
        <w:rPr>
          <w:rFonts w:ascii="Arial" w:hAnsi="Arial" w:cs="Arial"/>
          <w:shd w:val="clear" w:color="auto" w:fill="FFFFFF"/>
        </w:rPr>
        <w:t>Weiss, M.A., Schwarzenberg, A.B., Nelson, R.M., Sutter, K.M. and Sutherland, M.D., 2020. </w:t>
      </w:r>
      <w:r w:rsidRPr="003C7226">
        <w:rPr>
          <w:rFonts w:ascii="Arial" w:hAnsi="Arial" w:cs="Arial"/>
          <w:i/>
          <w:iCs/>
          <w:shd w:val="clear" w:color="auto" w:fill="FFFFFF"/>
        </w:rPr>
        <w:t>Global economic effects of COVID-19</w:t>
      </w:r>
      <w:r w:rsidRPr="003C7226">
        <w:rPr>
          <w:rFonts w:ascii="Arial" w:hAnsi="Arial" w:cs="Arial"/>
          <w:shd w:val="clear" w:color="auto" w:fill="FFFFFF"/>
        </w:rPr>
        <w:t>. Congressional Research Service.</w:t>
      </w:r>
    </w:p>
    <w:p w14:paraId="5CCD50BD" w14:textId="77777777" w:rsidR="00101709" w:rsidRPr="003C7226" w:rsidRDefault="00BA1215" w:rsidP="00F7297F">
      <w:pPr>
        <w:pStyle w:val="NormalWeb"/>
        <w:spacing w:before="0" w:beforeAutospacing="0" w:after="0" w:afterAutospacing="0" w:line="360" w:lineRule="auto"/>
        <w:ind w:left="720" w:hanging="720"/>
        <w:rPr>
          <w:rFonts w:ascii="Arial" w:hAnsi="Arial" w:cs="Arial"/>
        </w:rPr>
      </w:pPr>
      <w:r w:rsidRPr="003C7226">
        <w:rPr>
          <w:rFonts w:ascii="Arial" w:hAnsi="Arial" w:cs="Arial"/>
          <w:shd w:val="clear" w:color="auto" w:fill="FFFFFF"/>
        </w:rPr>
        <w:t xml:space="preserve">Zafar, F. and Naveed, K., 2014. Organisational change and dealing with employees' resistance. </w:t>
      </w:r>
      <w:r w:rsidRPr="003C7226">
        <w:rPr>
          <w:rFonts w:ascii="Arial" w:hAnsi="Arial" w:cs="Arial"/>
          <w:i/>
          <w:iCs/>
          <w:shd w:val="clear" w:color="auto" w:fill="FFFFFF"/>
        </w:rPr>
        <w:t>International Journal of Management Excellence (ISSN: 2292-1648)</w:t>
      </w:r>
      <w:r w:rsidRPr="003C7226">
        <w:rPr>
          <w:rFonts w:ascii="Arial" w:hAnsi="Arial" w:cs="Arial"/>
          <w:shd w:val="clear" w:color="auto" w:fill="FFFFFF"/>
        </w:rPr>
        <w:t>, </w:t>
      </w:r>
      <w:r w:rsidRPr="003C7226">
        <w:rPr>
          <w:rFonts w:ascii="Arial" w:hAnsi="Arial" w:cs="Arial"/>
          <w:i/>
          <w:iCs/>
          <w:shd w:val="clear" w:color="auto" w:fill="FFFFFF"/>
        </w:rPr>
        <w:t>2</w:t>
      </w:r>
      <w:r w:rsidRPr="003C7226">
        <w:rPr>
          <w:rFonts w:ascii="Arial" w:hAnsi="Arial" w:cs="Arial"/>
          <w:shd w:val="clear" w:color="auto" w:fill="FFFFFF"/>
        </w:rPr>
        <w:t>(3), pp.237-246.</w:t>
      </w:r>
    </w:p>
    <w:p w14:paraId="4B9F4A5C" w14:textId="77777777" w:rsidR="00D92C28" w:rsidRPr="003C7226" w:rsidRDefault="00D92C28" w:rsidP="00F7297F">
      <w:pPr>
        <w:spacing w:line="360" w:lineRule="auto"/>
        <w:jc w:val="center"/>
        <w:rPr>
          <w:rFonts w:ascii="Arial" w:hAnsi="Arial" w:cs="Arial"/>
          <w:b/>
          <w:sz w:val="24"/>
          <w:szCs w:val="24"/>
        </w:rPr>
      </w:pPr>
    </w:p>
    <w:sectPr w:rsidR="00D92C28" w:rsidRPr="003C722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F3684"/>
    <w:multiLevelType w:val="hybridMultilevel"/>
    <w:tmpl w:val="8FCE7144"/>
    <w:lvl w:ilvl="0" w:tplc="E3F26A84">
      <w:start w:val="1"/>
      <w:numFmt w:val="lowerLetter"/>
      <w:lvlText w:val="%1)"/>
      <w:lvlJc w:val="left"/>
      <w:pPr>
        <w:ind w:left="720" w:hanging="360"/>
      </w:pPr>
      <w:rPr>
        <w:rFonts w:hint="default"/>
      </w:rPr>
    </w:lvl>
    <w:lvl w:ilvl="1" w:tplc="D09449FC" w:tentative="1">
      <w:start w:val="1"/>
      <w:numFmt w:val="lowerLetter"/>
      <w:lvlText w:val="%2."/>
      <w:lvlJc w:val="left"/>
      <w:pPr>
        <w:ind w:left="1440" w:hanging="360"/>
      </w:pPr>
    </w:lvl>
    <w:lvl w:ilvl="2" w:tplc="98DE25F2" w:tentative="1">
      <w:start w:val="1"/>
      <w:numFmt w:val="lowerRoman"/>
      <w:lvlText w:val="%3."/>
      <w:lvlJc w:val="right"/>
      <w:pPr>
        <w:ind w:left="2160" w:hanging="180"/>
      </w:pPr>
    </w:lvl>
    <w:lvl w:ilvl="3" w:tplc="2AC88420" w:tentative="1">
      <w:start w:val="1"/>
      <w:numFmt w:val="decimal"/>
      <w:lvlText w:val="%4."/>
      <w:lvlJc w:val="left"/>
      <w:pPr>
        <w:ind w:left="2880" w:hanging="360"/>
      </w:pPr>
    </w:lvl>
    <w:lvl w:ilvl="4" w:tplc="24040666" w:tentative="1">
      <w:start w:val="1"/>
      <w:numFmt w:val="lowerLetter"/>
      <w:lvlText w:val="%5."/>
      <w:lvlJc w:val="left"/>
      <w:pPr>
        <w:ind w:left="3600" w:hanging="360"/>
      </w:pPr>
    </w:lvl>
    <w:lvl w:ilvl="5" w:tplc="B1824744" w:tentative="1">
      <w:start w:val="1"/>
      <w:numFmt w:val="lowerRoman"/>
      <w:lvlText w:val="%6."/>
      <w:lvlJc w:val="right"/>
      <w:pPr>
        <w:ind w:left="4320" w:hanging="180"/>
      </w:pPr>
    </w:lvl>
    <w:lvl w:ilvl="6" w:tplc="85A0D1C2" w:tentative="1">
      <w:start w:val="1"/>
      <w:numFmt w:val="decimal"/>
      <w:lvlText w:val="%7."/>
      <w:lvlJc w:val="left"/>
      <w:pPr>
        <w:ind w:left="5040" w:hanging="360"/>
      </w:pPr>
    </w:lvl>
    <w:lvl w:ilvl="7" w:tplc="A6885982" w:tentative="1">
      <w:start w:val="1"/>
      <w:numFmt w:val="lowerLetter"/>
      <w:lvlText w:val="%8."/>
      <w:lvlJc w:val="left"/>
      <w:pPr>
        <w:ind w:left="5760" w:hanging="360"/>
      </w:pPr>
    </w:lvl>
    <w:lvl w:ilvl="8" w:tplc="6178A702" w:tentative="1">
      <w:start w:val="1"/>
      <w:numFmt w:val="lowerRoman"/>
      <w:lvlText w:val="%9."/>
      <w:lvlJc w:val="right"/>
      <w:pPr>
        <w:ind w:left="6480" w:hanging="180"/>
      </w:pPr>
    </w:lvl>
  </w:abstractNum>
  <w:abstractNum w:abstractNumId="1" w15:restartNumberingAfterBreak="0">
    <w:nsid w:val="61CA5308"/>
    <w:multiLevelType w:val="hybridMultilevel"/>
    <w:tmpl w:val="16FACE56"/>
    <w:lvl w:ilvl="0" w:tplc="3FD06166">
      <w:start w:val="1"/>
      <w:numFmt w:val="decimal"/>
      <w:lvlText w:val="%1."/>
      <w:lvlJc w:val="left"/>
      <w:pPr>
        <w:ind w:left="720" w:hanging="360"/>
      </w:pPr>
      <w:rPr>
        <w:rFonts w:hint="default"/>
      </w:rPr>
    </w:lvl>
    <w:lvl w:ilvl="1" w:tplc="016036CC" w:tentative="1">
      <w:start w:val="1"/>
      <w:numFmt w:val="lowerLetter"/>
      <w:lvlText w:val="%2."/>
      <w:lvlJc w:val="left"/>
      <w:pPr>
        <w:ind w:left="1440" w:hanging="360"/>
      </w:pPr>
    </w:lvl>
    <w:lvl w:ilvl="2" w:tplc="8996C112" w:tentative="1">
      <w:start w:val="1"/>
      <w:numFmt w:val="lowerRoman"/>
      <w:lvlText w:val="%3."/>
      <w:lvlJc w:val="right"/>
      <w:pPr>
        <w:ind w:left="2160" w:hanging="180"/>
      </w:pPr>
    </w:lvl>
    <w:lvl w:ilvl="3" w:tplc="54827382" w:tentative="1">
      <w:start w:val="1"/>
      <w:numFmt w:val="decimal"/>
      <w:lvlText w:val="%4."/>
      <w:lvlJc w:val="left"/>
      <w:pPr>
        <w:ind w:left="2880" w:hanging="360"/>
      </w:pPr>
    </w:lvl>
    <w:lvl w:ilvl="4" w:tplc="BE9E6316" w:tentative="1">
      <w:start w:val="1"/>
      <w:numFmt w:val="lowerLetter"/>
      <w:lvlText w:val="%5."/>
      <w:lvlJc w:val="left"/>
      <w:pPr>
        <w:ind w:left="3600" w:hanging="360"/>
      </w:pPr>
    </w:lvl>
    <w:lvl w:ilvl="5" w:tplc="9D5E85B6" w:tentative="1">
      <w:start w:val="1"/>
      <w:numFmt w:val="lowerRoman"/>
      <w:lvlText w:val="%6."/>
      <w:lvlJc w:val="right"/>
      <w:pPr>
        <w:ind w:left="4320" w:hanging="180"/>
      </w:pPr>
    </w:lvl>
    <w:lvl w:ilvl="6" w:tplc="0E88FDA4" w:tentative="1">
      <w:start w:val="1"/>
      <w:numFmt w:val="decimal"/>
      <w:lvlText w:val="%7."/>
      <w:lvlJc w:val="left"/>
      <w:pPr>
        <w:ind w:left="5040" w:hanging="360"/>
      </w:pPr>
    </w:lvl>
    <w:lvl w:ilvl="7" w:tplc="1B586CA4" w:tentative="1">
      <w:start w:val="1"/>
      <w:numFmt w:val="lowerLetter"/>
      <w:lvlText w:val="%8."/>
      <w:lvlJc w:val="left"/>
      <w:pPr>
        <w:ind w:left="5760" w:hanging="360"/>
      </w:pPr>
    </w:lvl>
    <w:lvl w:ilvl="8" w:tplc="45484538" w:tentative="1">
      <w:start w:val="1"/>
      <w:numFmt w:val="lowerRoman"/>
      <w:lvlText w:val="%9."/>
      <w:lvlJc w:val="right"/>
      <w:pPr>
        <w:ind w:left="6480" w:hanging="180"/>
      </w:pPr>
    </w:lvl>
  </w:abstractNum>
  <w:num w:numId="1" w16cid:durableId="1366366733">
    <w:abstractNumId w:val="1"/>
  </w:num>
  <w:num w:numId="2" w16cid:durableId="1592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0B76"/>
    <w:rsid w:val="00017C1C"/>
    <w:rsid w:val="00023028"/>
    <w:rsid w:val="00036117"/>
    <w:rsid w:val="00052CED"/>
    <w:rsid w:val="00091F9C"/>
    <w:rsid w:val="00095253"/>
    <w:rsid w:val="000B2562"/>
    <w:rsid w:val="000B5DEC"/>
    <w:rsid w:val="000C0B76"/>
    <w:rsid w:val="000C323C"/>
    <w:rsid w:val="00101709"/>
    <w:rsid w:val="00107E37"/>
    <w:rsid w:val="00127EEA"/>
    <w:rsid w:val="00133D8E"/>
    <w:rsid w:val="00141551"/>
    <w:rsid w:val="00145395"/>
    <w:rsid w:val="00147F8E"/>
    <w:rsid w:val="00153052"/>
    <w:rsid w:val="00160737"/>
    <w:rsid w:val="001773C5"/>
    <w:rsid w:val="00191F88"/>
    <w:rsid w:val="001B049A"/>
    <w:rsid w:val="001C4EAD"/>
    <w:rsid w:val="001C721B"/>
    <w:rsid w:val="001E1A17"/>
    <w:rsid w:val="001E471D"/>
    <w:rsid w:val="00235F52"/>
    <w:rsid w:val="00241B1F"/>
    <w:rsid w:val="0024531D"/>
    <w:rsid w:val="00270157"/>
    <w:rsid w:val="00280FF6"/>
    <w:rsid w:val="00281490"/>
    <w:rsid w:val="00296904"/>
    <w:rsid w:val="002A3DC3"/>
    <w:rsid w:val="002B7C2F"/>
    <w:rsid w:val="002C54B6"/>
    <w:rsid w:val="003431FF"/>
    <w:rsid w:val="00344D0A"/>
    <w:rsid w:val="00344E89"/>
    <w:rsid w:val="00376D0A"/>
    <w:rsid w:val="003B4B3C"/>
    <w:rsid w:val="003C423B"/>
    <w:rsid w:val="003C7226"/>
    <w:rsid w:val="003E67EE"/>
    <w:rsid w:val="00405DE0"/>
    <w:rsid w:val="0041456D"/>
    <w:rsid w:val="004428D4"/>
    <w:rsid w:val="00444FDF"/>
    <w:rsid w:val="00446CFB"/>
    <w:rsid w:val="00453C37"/>
    <w:rsid w:val="00492F8F"/>
    <w:rsid w:val="004A2D27"/>
    <w:rsid w:val="004B3297"/>
    <w:rsid w:val="004C0CE3"/>
    <w:rsid w:val="004D1DC8"/>
    <w:rsid w:val="004D3BEE"/>
    <w:rsid w:val="004E1CAB"/>
    <w:rsid w:val="00527D48"/>
    <w:rsid w:val="005401DA"/>
    <w:rsid w:val="00540768"/>
    <w:rsid w:val="00556388"/>
    <w:rsid w:val="00573A40"/>
    <w:rsid w:val="00583184"/>
    <w:rsid w:val="005C612F"/>
    <w:rsid w:val="005D6A74"/>
    <w:rsid w:val="005E4FCC"/>
    <w:rsid w:val="00617189"/>
    <w:rsid w:val="00676348"/>
    <w:rsid w:val="006849F0"/>
    <w:rsid w:val="006A069F"/>
    <w:rsid w:val="006A0BD9"/>
    <w:rsid w:val="006A5816"/>
    <w:rsid w:val="006B1B82"/>
    <w:rsid w:val="00713723"/>
    <w:rsid w:val="00722270"/>
    <w:rsid w:val="00725793"/>
    <w:rsid w:val="00760406"/>
    <w:rsid w:val="00764E77"/>
    <w:rsid w:val="007963B4"/>
    <w:rsid w:val="007A5FA2"/>
    <w:rsid w:val="007A718E"/>
    <w:rsid w:val="00804DBF"/>
    <w:rsid w:val="0080579B"/>
    <w:rsid w:val="00822E99"/>
    <w:rsid w:val="0088787D"/>
    <w:rsid w:val="00895605"/>
    <w:rsid w:val="008A7B84"/>
    <w:rsid w:val="008C3072"/>
    <w:rsid w:val="008C4F4A"/>
    <w:rsid w:val="008E018F"/>
    <w:rsid w:val="008F2889"/>
    <w:rsid w:val="0092586D"/>
    <w:rsid w:val="00986666"/>
    <w:rsid w:val="0099640B"/>
    <w:rsid w:val="009A3B6E"/>
    <w:rsid w:val="009A4B73"/>
    <w:rsid w:val="009A79A3"/>
    <w:rsid w:val="009C0F5F"/>
    <w:rsid w:val="009E078D"/>
    <w:rsid w:val="00A01600"/>
    <w:rsid w:val="00A20BCC"/>
    <w:rsid w:val="00A31555"/>
    <w:rsid w:val="00A37E40"/>
    <w:rsid w:val="00A4288B"/>
    <w:rsid w:val="00A7318A"/>
    <w:rsid w:val="00AD4979"/>
    <w:rsid w:val="00AF077F"/>
    <w:rsid w:val="00B06C3D"/>
    <w:rsid w:val="00B344B8"/>
    <w:rsid w:val="00B441AD"/>
    <w:rsid w:val="00B72513"/>
    <w:rsid w:val="00B77DE5"/>
    <w:rsid w:val="00B77F2F"/>
    <w:rsid w:val="00B921C7"/>
    <w:rsid w:val="00BA1169"/>
    <w:rsid w:val="00BA1215"/>
    <w:rsid w:val="00BA4C7A"/>
    <w:rsid w:val="00BA593A"/>
    <w:rsid w:val="00BC25EA"/>
    <w:rsid w:val="00BD487D"/>
    <w:rsid w:val="00BF756B"/>
    <w:rsid w:val="00C01326"/>
    <w:rsid w:val="00C07C39"/>
    <w:rsid w:val="00C33660"/>
    <w:rsid w:val="00C361CF"/>
    <w:rsid w:val="00C57804"/>
    <w:rsid w:val="00C639B3"/>
    <w:rsid w:val="00C67B6D"/>
    <w:rsid w:val="00CB06A9"/>
    <w:rsid w:val="00CB1218"/>
    <w:rsid w:val="00CB7A36"/>
    <w:rsid w:val="00D320F9"/>
    <w:rsid w:val="00D32CE5"/>
    <w:rsid w:val="00D32E86"/>
    <w:rsid w:val="00D719A3"/>
    <w:rsid w:val="00D7337D"/>
    <w:rsid w:val="00D908D4"/>
    <w:rsid w:val="00D92C28"/>
    <w:rsid w:val="00DE132E"/>
    <w:rsid w:val="00E046D9"/>
    <w:rsid w:val="00E30158"/>
    <w:rsid w:val="00E36CDF"/>
    <w:rsid w:val="00E517A0"/>
    <w:rsid w:val="00E659A8"/>
    <w:rsid w:val="00EC7412"/>
    <w:rsid w:val="00EF3608"/>
    <w:rsid w:val="00F10EBD"/>
    <w:rsid w:val="00F302A6"/>
    <w:rsid w:val="00F70B94"/>
    <w:rsid w:val="00F7297F"/>
    <w:rsid w:val="00F83975"/>
    <w:rsid w:val="00F87B0C"/>
    <w:rsid w:val="00FC3900"/>
    <w:rsid w:val="00FC558E"/>
    <w:rsid w:val="00FF13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81326"/>
  <w15:chartTrackingRefBased/>
  <w15:docId w15:val="{840F602A-43C9-4980-B71F-B38661148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6C3D"/>
    <w:pPr>
      <w:ind w:left="720"/>
      <w:contextualSpacing/>
    </w:pPr>
  </w:style>
  <w:style w:type="character" w:styleId="Hyperlink">
    <w:name w:val="Hyperlink"/>
    <w:basedOn w:val="DefaultParagraphFont"/>
    <w:uiPriority w:val="99"/>
    <w:unhideWhenUsed/>
    <w:rsid w:val="00722270"/>
    <w:rPr>
      <w:color w:val="0563C1" w:themeColor="hyperlink"/>
      <w:u w:val="single"/>
    </w:rPr>
  </w:style>
  <w:style w:type="table" w:styleId="TableGrid">
    <w:name w:val="Table Grid"/>
    <w:basedOn w:val="TableNormal"/>
    <w:uiPriority w:val="39"/>
    <w:rsid w:val="00344D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0170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efault">
    <w:name w:val="Default"/>
    <w:rsid w:val="001B049A"/>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conomy/grossdomesticproductgdp/articles/gdpandeventsinhistoryhowthecovid19pandemicshockedtheukeconomy/2022-05-24"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christopher.ledsham@statista.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spitalitynet.org/news/4113848.html" TargetMode="External"/><Relationship Id="rId11" Type="http://schemas.openxmlformats.org/officeDocument/2006/relationships/hyperlink" Target="https://www.statista.com/outlook/mmo/travel-tourism/hotels/united-kingdom" TargetMode="External"/><Relationship Id="rId5" Type="http://schemas.openxmlformats.org/officeDocument/2006/relationships/hyperlink" Target="mailto:christopher.ledsham@statista.com" TargetMode="External"/><Relationship Id="rId10" Type="http://schemas.openxmlformats.org/officeDocument/2006/relationships/hyperlink" Target="https://www.ons.gov.uk/businessindustryandtrade/business/activitysizeandlocation/articles/coronavirusanditsimpactonukhospitality/january2020tojune2021" TargetMode="External"/><Relationship Id="rId4" Type="http://schemas.openxmlformats.org/officeDocument/2006/relationships/webSettings" Target="webSettings.xml"/><Relationship Id="rId9" Type="http://schemas.openxmlformats.org/officeDocument/2006/relationships/hyperlink" Target="https://www.pwc.co.uk/industries/hospitality-leisure/insights/uk-hotels-foreca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2851</Words>
  <Characters>16253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Clifford</dc:creator>
  <cp:lastModifiedBy>patronela gardea</cp:lastModifiedBy>
  <cp:revision>2</cp:revision>
  <dcterms:created xsi:type="dcterms:W3CDTF">2023-11-14T10:40:00Z</dcterms:created>
  <dcterms:modified xsi:type="dcterms:W3CDTF">2023-11-14T10:40:00Z</dcterms:modified>
</cp:coreProperties>
</file>