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F752E" w14:textId="77777777" w:rsidR="00E67236" w:rsidRDefault="00E67236" w:rsidP="00E67236">
      <w:pPr>
        <w:jc w:val="center"/>
        <w:rPr>
          <w:rFonts w:cs="Arial"/>
          <w:bCs/>
          <w:sz w:val="34"/>
          <w:szCs w:val="34"/>
        </w:rPr>
      </w:pPr>
    </w:p>
    <w:p w14:paraId="76DF665C" w14:textId="4376DEBD" w:rsidR="00E67236" w:rsidRDefault="00047443" w:rsidP="00E67236">
      <w:pPr>
        <w:jc w:val="center"/>
        <w:rPr>
          <w:rFonts w:cs="Arial"/>
          <w:bCs/>
          <w:sz w:val="34"/>
          <w:szCs w:val="34"/>
        </w:rPr>
      </w:pPr>
      <w:r>
        <w:rPr>
          <w:rFonts w:cs="Arial"/>
          <w:bCs/>
          <w:sz w:val="34"/>
          <w:szCs w:val="34"/>
        </w:rPr>
        <w:t>University of Wales</w:t>
      </w:r>
      <w:r w:rsidR="00677B0E">
        <w:rPr>
          <w:rFonts w:cs="Arial"/>
          <w:bCs/>
          <w:sz w:val="34"/>
          <w:szCs w:val="34"/>
          <w:lang w:val="bg-BG"/>
        </w:rPr>
        <w:t xml:space="preserve"> </w:t>
      </w:r>
      <w:proofErr w:type="spellStart"/>
      <w:r w:rsidR="00677B0E">
        <w:rPr>
          <w:rFonts w:cs="Arial"/>
          <w:bCs/>
          <w:sz w:val="34"/>
          <w:szCs w:val="34"/>
          <w:lang w:val="bg-BG"/>
        </w:rPr>
        <w:t>Trinity</w:t>
      </w:r>
      <w:proofErr w:type="spellEnd"/>
      <w:r w:rsidR="00677B0E">
        <w:rPr>
          <w:rFonts w:cs="Arial"/>
          <w:bCs/>
          <w:sz w:val="34"/>
          <w:szCs w:val="34"/>
          <w:lang w:val="bg-BG"/>
        </w:rPr>
        <w:t xml:space="preserve"> </w:t>
      </w:r>
      <w:proofErr w:type="spellStart"/>
      <w:r w:rsidR="00677B0E">
        <w:rPr>
          <w:rFonts w:cs="Arial"/>
          <w:bCs/>
          <w:sz w:val="34"/>
          <w:szCs w:val="34"/>
          <w:lang w:val="bg-BG"/>
        </w:rPr>
        <w:t>Saint</w:t>
      </w:r>
      <w:proofErr w:type="spellEnd"/>
      <w:r w:rsidR="00677B0E">
        <w:rPr>
          <w:rFonts w:cs="Arial"/>
          <w:bCs/>
          <w:sz w:val="34"/>
          <w:szCs w:val="34"/>
          <w:lang w:val="bg-BG"/>
        </w:rPr>
        <w:t xml:space="preserve"> </w:t>
      </w:r>
      <w:proofErr w:type="spellStart"/>
      <w:r w:rsidR="00677B0E">
        <w:rPr>
          <w:rFonts w:cs="Arial"/>
          <w:bCs/>
          <w:sz w:val="34"/>
          <w:szCs w:val="34"/>
          <w:lang w:val="bg-BG"/>
        </w:rPr>
        <w:t>David</w:t>
      </w:r>
      <w:proofErr w:type="spellEnd"/>
      <w:r w:rsidR="00677B0E">
        <w:rPr>
          <w:rFonts w:cs="Arial"/>
          <w:bCs/>
          <w:sz w:val="34"/>
          <w:szCs w:val="34"/>
          <w:lang w:val="bg-BG"/>
        </w:rPr>
        <w:t xml:space="preserve"> </w:t>
      </w:r>
    </w:p>
    <w:p w14:paraId="7366D2E7" w14:textId="77777777" w:rsidR="00E67236" w:rsidRPr="00E67236" w:rsidRDefault="00E67236" w:rsidP="00E67236">
      <w:pPr>
        <w:jc w:val="center"/>
        <w:rPr>
          <w:rFonts w:cs="Arial"/>
          <w:bCs/>
          <w:sz w:val="44"/>
          <w:szCs w:val="34"/>
        </w:rPr>
      </w:pPr>
    </w:p>
    <w:p w14:paraId="7BEC2C55" w14:textId="76E639BF" w:rsidR="00E67236" w:rsidRPr="00E67236" w:rsidRDefault="00E67236" w:rsidP="00E67236">
      <w:pPr>
        <w:jc w:val="center"/>
        <w:rPr>
          <w:rFonts w:cs="Arial"/>
          <w:bCs/>
          <w:sz w:val="44"/>
          <w:szCs w:val="34"/>
        </w:rPr>
      </w:pPr>
      <w:r w:rsidRPr="00E67236">
        <w:rPr>
          <w:rFonts w:cs="Arial"/>
          <w:bCs/>
          <w:sz w:val="44"/>
          <w:szCs w:val="34"/>
        </w:rPr>
        <w:t xml:space="preserve">Community Engagement </w:t>
      </w:r>
      <w:r w:rsidR="00047443">
        <w:rPr>
          <w:rFonts w:cs="Arial"/>
          <w:bCs/>
          <w:sz w:val="44"/>
          <w:szCs w:val="34"/>
        </w:rPr>
        <w:t>(</w:t>
      </w:r>
      <w:r w:rsidRPr="00E67236">
        <w:rPr>
          <w:rFonts w:cs="Arial"/>
          <w:bCs/>
          <w:sz w:val="44"/>
          <w:szCs w:val="34"/>
        </w:rPr>
        <w:t>Assessment 1</w:t>
      </w:r>
      <w:r w:rsidR="00047443">
        <w:rPr>
          <w:rFonts w:cs="Arial"/>
          <w:bCs/>
          <w:sz w:val="44"/>
          <w:szCs w:val="34"/>
        </w:rPr>
        <w:t>)</w:t>
      </w:r>
    </w:p>
    <w:p w14:paraId="0347D30A" w14:textId="77777777" w:rsidR="00047443" w:rsidRDefault="00047443" w:rsidP="00047443"/>
    <w:p w14:paraId="7577C906" w14:textId="77777777" w:rsidR="00047443" w:rsidRDefault="00047443" w:rsidP="00047443"/>
    <w:p w14:paraId="0F67D356" w14:textId="77777777" w:rsidR="00047443" w:rsidRDefault="00047443" w:rsidP="00047443"/>
    <w:p w14:paraId="1D2340DE" w14:textId="77777777" w:rsidR="00047443" w:rsidRDefault="00047443" w:rsidP="00047443"/>
    <w:p w14:paraId="79FEAFAA" w14:textId="77777777" w:rsidR="00047443" w:rsidRDefault="00047443" w:rsidP="00047443"/>
    <w:p w14:paraId="3AA6013C" w14:textId="77777777" w:rsidR="00047443" w:rsidRDefault="00047443" w:rsidP="00047443"/>
    <w:p w14:paraId="63F2BD5B" w14:textId="677DA9E7" w:rsidR="00E67236" w:rsidRPr="00E67236" w:rsidRDefault="00E67236" w:rsidP="00047443">
      <w:r w:rsidRPr="00E67236">
        <w:t>Student</w:t>
      </w:r>
      <w:r w:rsidR="00580942">
        <w:t>’s</w:t>
      </w:r>
      <w:r w:rsidRPr="00E67236">
        <w:t xml:space="preserve"> Name:</w:t>
      </w:r>
      <w:r>
        <w:t xml:space="preserve"> Veronika Zhevala</w:t>
      </w:r>
    </w:p>
    <w:p w14:paraId="04144F15" w14:textId="068B5631" w:rsidR="00E67236" w:rsidRPr="00E67236" w:rsidRDefault="00E67236" w:rsidP="00047443">
      <w:r w:rsidRPr="00E67236">
        <w:t xml:space="preserve">Student </w:t>
      </w:r>
      <w:r>
        <w:t>Number</w:t>
      </w:r>
      <w:r w:rsidRPr="00E67236">
        <w:t>:</w:t>
      </w:r>
      <w:r w:rsidR="00AB1D06">
        <w:rPr>
          <w:lang w:val="bg-BG"/>
        </w:rPr>
        <w:t xml:space="preserve">2009819 </w:t>
      </w:r>
    </w:p>
    <w:p w14:paraId="6208634F" w14:textId="408745B3" w:rsidR="003C70A9" w:rsidRPr="00E67236" w:rsidRDefault="00160C9A" w:rsidP="00047443">
      <w:r>
        <w:t>Programme</w:t>
      </w:r>
      <w:r w:rsidR="003C70A9" w:rsidRPr="00E67236">
        <w:t>:</w:t>
      </w:r>
      <w:r w:rsidR="00E67236">
        <w:t xml:space="preserve"> </w:t>
      </w:r>
      <w:r w:rsidR="00047443">
        <w:t xml:space="preserve">BA </w:t>
      </w:r>
      <w:r w:rsidR="00E67236">
        <w:t>Business Management</w:t>
      </w:r>
    </w:p>
    <w:p w14:paraId="6278E4D9" w14:textId="69F4DDF5" w:rsidR="003C70A9" w:rsidRDefault="00E67236" w:rsidP="00047443">
      <w:pPr>
        <w:rPr>
          <w:szCs w:val="32"/>
          <w:lang w:val="bg-BG"/>
        </w:rPr>
      </w:pPr>
      <w:r w:rsidRPr="00E67236">
        <w:rPr>
          <w:szCs w:val="32"/>
        </w:rPr>
        <w:t>Module</w:t>
      </w:r>
      <w:r w:rsidR="00580942">
        <w:rPr>
          <w:szCs w:val="32"/>
          <w:lang w:val="en-US"/>
        </w:rPr>
        <w:t xml:space="preserve"> Lecturer</w:t>
      </w:r>
      <w:r w:rsidRPr="00E67236">
        <w:rPr>
          <w:szCs w:val="32"/>
          <w:lang w:val="en-US"/>
        </w:rPr>
        <w:t>:</w:t>
      </w:r>
      <w:r>
        <w:rPr>
          <w:szCs w:val="32"/>
          <w:lang w:val="en-US"/>
        </w:rPr>
        <w:t xml:space="preserve"> </w:t>
      </w:r>
      <w:proofErr w:type="spellStart"/>
      <w:r w:rsidR="00677B0E">
        <w:rPr>
          <w:szCs w:val="32"/>
          <w:lang w:val="bg-BG"/>
        </w:rPr>
        <w:t>Riaz</w:t>
      </w:r>
      <w:proofErr w:type="spellEnd"/>
      <w:r w:rsidR="00677B0E">
        <w:rPr>
          <w:szCs w:val="32"/>
          <w:lang w:val="bg-BG"/>
        </w:rPr>
        <w:t xml:space="preserve">  </w:t>
      </w:r>
      <w:proofErr w:type="spellStart"/>
      <w:r w:rsidR="00677B0E">
        <w:rPr>
          <w:szCs w:val="32"/>
          <w:lang w:val="bg-BG"/>
        </w:rPr>
        <w:t>Bahatti</w:t>
      </w:r>
      <w:proofErr w:type="spellEnd"/>
    </w:p>
    <w:p w14:paraId="71F3E29B" w14:textId="34495603" w:rsidR="00677B0E" w:rsidRDefault="00677B0E" w:rsidP="00047443">
      <w:pPr>
        <w:rPr>
          <w:szCs w:val="32"/>
          <w:lang w:val="bg-BG"/>
        </w:rPr>
      </w:pPr>
    </w:p>
    <w:p w14:paraId="7C7574BF" w14:textId="410CC46A" w:rsidR="00677B0E" w:rsidRDefault="00677B0E" w:rsidP="00047443">
      <w:pPr>
        <w:rPr>
          <w:szCs w:val="32"/>
          <w:lang w:val="bg-BG"/>
        </w:rPr>
      </w:pPr>
    </w:p>
    <w:p w14:paraId="21D7E842" w14:textId="72F5E5F8" w:rsidR="00677B0E" w:rsidRDefault="00677B0E" w:rsidP="00047443">
      <w:pPr>
        <w:rPr>
          <w:szCs w:val="32"/>
          <w:lang w:val="bg-BG"/>
        </w:rPr>
      </w:pPr>
    </w:p>
    <w:p w14:paraId="5E844B8F" w14:textId="14539F84" w:rsidR="00677B0E" w:rsidRDefault="00677B0E" w:rsidP="00047443">
      <w:pPr>
        <w:rPr>
          <w:szCs w:val="32"/>
          <w:lang w:val="bg-BG"/>
        </w:rPr>
      </w:pPr>
    </w:p>
    <w:p w14:paraId="671B5A60" w14:textId="1F670366" w:rsidR="00677B0E" w:rsidRDefault="00677B0E" w:rsidP="00047443">
      <w:pPr>
        <w:rPr>
          <w:szCs w:val="32"/>
          <w:lang w:val="bg-BG"/>
        </w:rPr>
      </w:pPr>
    </w:p>
    <w:p w14:paraId="4DFA1075" w14:textId="0D563F62" w:rsidR="00677B0E" w:rsidRDefault="00677B0E" w:rsidP="00047443">
      <w:pPr>
        <w:rPr>
          <w:szCs w:val="32"/>
          <w:lang w:val="bg-BG"/>
        </w:rPr>
      </w:pPr>
    </w:p>
    <w:p w14:paraId="40CA5523" w14:textId="2D3104F2" w:rsidR="00677B0E" w:rsidRDefault="00677B0E" w:rsidP="00047443">
      <w:pPr>
        <w:rPr>
          <w:szCs w:val="32"/>
          <w:lang w:val="bg-BG"/>
        </w:rPr>
      </w:pPr>
    </w:p>
    <w:p w14:paraId="4C977A9A" w14:textId="77777777" w:rsidR="00677B0E" w:rsidRPr="00E67236" w:rsidRDefault="00677B0E" w:rsidP="00047443">
      <w:pPr>
        <w:rPr>
          <w:szCs w:val="32"/>
          <w:lang w:val="bg-BG"/>
        </w:rPr>
      </w:pPr>
    </w:p>
    <w:sdt>
      <w:sdtPr>
        <w:rPr>
          <w:rFonts w:ascii="Arial" w:eastAsiaTheme="minorHAnsi" w:hAnsi="Arial" w:cstheme="minorBidi"/>
          <w:color w:val="auto"/>
          <w:sz w:val="24"/>
          <w:szCs w:val="22"/>
          <w:lang w:val="en-GB"/>
        </w:rPr>
        <w:id w:val="58065093"/>
        <w:docPartObj>
          <w:docPartGallery w:val="Table of Contents"/>
          <w:docPartUnique/>
        </w:docPartObj>
      </w:sdtPr>
      <w:sdtEndPr>
        <w:rPr>
          <w:b/>
          <w:bCs/>
          <w:noProof/>
        </w:rPr>
      </w:sdtEndPr>
      <w:sdtContent>
        <w:p w14:paraId="2B1E75CF" w14:textId="37F9B5AA" w:rsidR="003C70A9" w:rsidRDefault="003C70A9">
          <w:pPr>
            <w:pStyle w:val="a9"/>
          </w:pPr>
          <w:r>
            <w:t>Contents</w:t>
          </w:r>
        </w:p>
        <w:p w14:paraId="28580B27" w14:textId="77777777" w:rsidR="00047443" w:rsidRDefault="003C70A9">
          <w:pPr>
            <w:pStyle w:val="1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8618189" w:history="1">
            <w:r w:rsidR="00047443" w:rsidRPr="00D515F3">
              <w:rPr>
                <w:rStyle w:val="aa"/>
                <w:noProof/>
              </w:rPr>
              <w:t>Introduction</w:t>
            </w:r>
            <w:r w:rsidR="00047443">
              <w:rPr>
                <w:noProof/>
                <w:webHidden/>
              </w:rPr>
              <w:tab/>
            </w:r>
            <w:r w:rsidR="00047443">
              <w:rPr>
                <w:noProof/>
                <w:webHidden/>
              </w:rPr>
              <w:fldChar w:fldCharType="begin"/>
            </w:r>
            <w:r w:rsidR="00047443">
              <w:rPr>
                <w:noProof/>
                <w:webHidden/>
              </w:rPr>
              <w:instrText xml:space="preserve"> PAGEREF _Toc58618189 \h </w:instrText>
            </w:r>
            <w:r w:rsidR="00047443">
              <w:rPr>
                <w:noProof/>
                <w:webHidden/>
              </w:rPr>
            </w:r>
            <w:r w:rsidR="00047443">
              <w:rPr>
                <w:noProof/>
                <w:webHidden/>
              </w:rPr>
              <w:fldChar w:fldCharType="separate"/>
            </w:r>
            <w:r w:rsidR="00047443">
              <w:rPr>
                <w:noProof/>
                <w:webHidden/>
              </w:rPr>
              <w:t>1</w:t>
            </w:r>
            <w:r w:rsidR="00047443">
              <w:rPr>
                <w:noProof/>
                <w:webHidden/>
              </w:rPr>
              <w:fldChar w:fldCharType="end"/>
            </w:r>
          </w:hyperlink>
        </w:p>
        <w:p w14:paraId="54B0B281" w14:textId="77777777" w:rsidR="00047443" w:rsidRDefault="00D03895">
          <w:pPr>
            <w:pStyle w:val="21"/>
            <w:tabs>
              <w:tab w:val="right" w:leader="dot" w:pos="9016"/>
            </w:tabs>
            <w:rPr>
              <w:rFonts w:asciiTheme="minorHAnsi" w:eastAsiaTheme="minorEastAsia" w:hAnsiTheme="minorHAnsi"/>
              <w:noProof/>
              <w:sz w:val="22"/>
              <w:lang w:eastAsia="en-GB"/>
            </w:rPr>
          </w:pPr>
          <w:hyperlink w:anchor="_Toc58618190" w:history="1">
            <w:r w:rsidR="00047443" w:rsidRPr="00D515F3">
              <w:rPr>
                <w:rStyle w:val="aa"/>
                <w:noProof/>
                <w:lang w:val="en-US"/>
              </w:rPr>
              <w:t>Establishment of relationship with the stakeholders and engaging with them</w:t>
            </w:r>
            <w:r w:rsidR="00047443">
              <w:rPr>
                <w:noProof/>
                <w:webHidden/>
              </w:rPr>
              <w:tab/>
            </w:r>
            <w:r w:rsidR="00047443">
              <w:rPr>
                <w:noProof/>
                <w:webHidden/>
              </w:rPr>
              <w:fldChar w:fldCharType="begin"/>
            </w:r>
            <w:r w:rsidR="00047443">
              <w:rPr>
                <w:noProof/>
                <w:webHidden/>
              </w:rPr>
              <w:instrText xml:space="preserve"> PAGEREF _Toc58618190 \h </w:instrText>
            </w:r>
            <w:r w:rsidR="00047443">
              <w:rPr>
                <w:noProof/>
                <w:webHidden/>
              </w:rPr>
            </w:r>
            <w:r w:rsidR="00047443">
              <w:rPr>
                <w:noProof/>
                <w:webHidden/>
              </w:rPr>
              <w:fldChar w:fldCharType="separate"/>
            </w:r>
            <w:r w:rsidR="00047443">
              <w:rPr>
                <w:noProof/>
                <w:webHidden/>
              </w:rPr>
              <w:t>2</w:t>
            </w:r>
            <w:r w:rsidR="00047443">
              <w:rPr>
                <w:noProof/>
                <w:webHidden/>
              </w:rPr>
              <w:fldChar w:fldCharType="end"/>
            </w:r>
          </w:hyperlink>
        </w:p>
        <w:p w14:paraId="19BCE8D1" w14:textId="77777777" w:rsidR="00047443" w:rsidRDefault="00D03895">
          <w:pPr>
            <w:pStyle w:val="21"/>
            <w:tabs>
              <w:tab w:val="right" w:leader="dot" w:pos="9016"/>
            </w:tabs>
            <w:rPr>
              <w:rFonts w:asciiTheme="minorHAnsi" w:eastAsiaTheme="minorEastAsia" w:hAnsiTheme="minorHAnsi"/>
              <w:noProof/>
              <w:sz w:val="22"/>
              <w:lang w:eastAsia="en-GB"/>
            </w:rPr>
          </w:pPr>
          <w:hyperlink w:anchor="_Toc58618191" w:history="1">
            <w:r w:rsidR="00047443" w:rsidRPr="00D515F3">
              <w:rPr>
                <w:rStyle w:val="aa"/>
                <w:noProof/>
              </w:rPr>
              <w:t>Different eras of Oxfam’s community engagement and employee management</w:t>
            </w:r>
            <w:r w:rsidR="00047443">
              <w:rPr>
                <w:noProof/>
                <w:webHidden/>
              </w:rPr>
              <w:tab/>
            </w:r>
            <w:r w:rsidR="00047443">
              <w:rPr>
                <w:noProof/>
                <w:webHidden/>
              </w:rPr>
              <w:fldChar w:fldCharType="begin"/>
            </w:r>
            <w:r w:rsidR="00047443">
              <w:rPr>
                <w:noProof/>
                <w:webHidden/>
              </w:rPr>
              <w:instrText xml:space="preserve"> PAGEREF _Toc58618191 \h </w:instrText>
            </w:r>
            <w:r w:rsidR="00047443">
              <w:rPr>
                <w:noProof/>
                <w:webHidden/>
              </w:rPr>
            </w:r>
            <w:r w:rsidR="00047443">
              <w:rPr>
                <w:noProof/>
                <w:webHidden/>
              </w:rPr>
              <w:fldChar w:fldCharType="separate"/>
            </w:r>
            <w:r w:rsidR="00047443">
              <w:rPr>
                <w:noProof/>
                <w:webHidden/>
              </w:rPr>
              <w:t>3</w:t>
            </w:r>
            <w:r w:rsidR="00047443">
              <w:rPr>
                <w:noProof/>
                <w:webHidden/>
              </w:rPr>
              <w:fldChar w:fldCharType="end"/>
            </w:r>
          </w:hyperlink>
        </w:p>
        <w:p w14:paraId="7F3C4741" w14:textId="77777777" w:rsidR="00047443" w:rsidRDefault="00D03895">
          <w:pPr>
            <w:pStyle w:val="21"/>
            <w:tabs>
              <w:tab w:val="right" w:leader="dot" w:pos="9016"/>
            </w:tabs>
            <w:rPr>
              <w:rFonts w:asciiTheme="minorHAnsi" w:eastAsiaTheme="minorEastAsia" w:hAnsiTheme="minorHAnsi"/>
              <w:noProof/>
              <w:sz w:val="22"/>
              <w:lang w:eastAsia="en-GB"/>
            </w:rPr>
          </w:pPr>
          <w:hyperlink w:anchor="_Toc58618192" w:history="1">
            <w:r w:rsidR="00047443" w:rsidRPr="00D515F3">
              <w:rPr>
                <w:rStyle w:val="aa"/>
                <w:noProof/>
              </w:rPr>
              <w:t>Utilization of the different social media platforms to support the programs</w:t>
            </w:r>
            <w:r w:rsidR="00047443">
              <w:rPr>
                <w:noProof/>
                <w:webHidden/>
              </w:rPr>
              <w:tab/>
            </w:r>
            <w:r w:rsidR="00047443">
              <w:rPr>
                <w:noProof/>
                <w:webHidden/>
              </w:rPr>
              <w:fldChar w:fldCharType="begin"/>
            </w:r>
            <w:r w:rsidR="00047443">
              <w:rPr>
                <w:noProof/>
                <w:webHidden/>
              </w:rPr>
              <w:instrText xml:space="preserve"> PAGEREF _Toc58618192 \h </w:instrText>
            </w:r>
            <w:r w:rsidR="00047443">
              <w:rPr>
                <w:noProof/>
                <w:webHidden/>
              </w:rPr>
            </w:r>
            <w:r w:rsidR="00047443">
              <w:rPr>
                <w:noProof/>
                <w:webHidden/>
              </w:rPr>
              <w:fldChar w:fldCharType="separate"/>
            </w:r>
            <w:r w:rsidR="00047443">
              <w:rPr>
                <w:noProof/>
                <w:webHidden/>
              </w:rPr>
              <w:t>4</w:t>
            </w:r>
            <w:r w:rsidR="00047443">
              <w:rPr>
                <w:noProof/>
                <w:webHidden/>
              </w:rPr>
              <w:fldChar w:fldCharType="end"/>
            </w:r>
          </w:hyperlink>
        </w:p>
        <w:p w14:paraId="468684B2" w14:textId="77777777" w:rsidR="00047443" w:rsidRDefault="00D03895">
          <w:pPr>
            <w:pStyle w:val="21"/>
            <w:tabs>
              <w:tab w:val="right" w:leader="dot" w:pos="9016"/>
            </w:tabs>
            <w:rPr>
              <w:rFonts w:asciiTheme="minorHAnsi" w:eastAsiaTheme="minorEastAsia" w:hAnsiTheme="minorHAnsi"/>
              <w:noProof/>
              <w:sz w:val="22"/>
              <w:lang w:eastAsia="en-GB"/>
            </w:rPr>
          </w:pPr>
          <w:hyperlink w:anchor="_Toc58618193" w:history="1">
            <w:r w:rsidR="00047443" w:rsidRPr="00D515F3">
              <w:rPr>
                <w:rStyle w:val="aa"/>
                <w:noProof/>
              </w:rPr>
              <w:t>The training and development to equip employees at Oxfam</w:t>
            </w:r>
            <w:r w:rsidR="00047443">
              <w:rPr>
                <w:noProof/>
                <w:webHidden/>
              </w:rPr>
              <w:tab/>
            </w:r>
            <w:r w:rsidR="00047443">
              <w:rPr>
                <w:noProof/>
                <w:webHidden/>
              </w:rPr>
              <w:fldChar w:fldCharType="begin"/>
            </w:r>
            <w:r w:rsidR="00047443">
              <w:rPr>
                <w:noProof/>
                <w:webHidden/>
              </w:rPr>
              <w:instrText xml:space="preserve"> PAGEREF _Toc58618193 \h </w:instrText>
            </w:r>
            <w:r w:rsidR="00047443">
              <w:rPr>
                <w:noProof/>
                <w:webHidden/>
              </w:rPr>
            </w:r>
            <w:r w:rsidR="00047443">
              <w:rPr>
                <w:noProof/>
                <w:webHidden/>
              </w:rPr>
              <w:fldChar w:fldCharType="separate"/>
            </w:r>
            <w:r w:rsidR="00047443">
              <w:rPr>
                <w:noProof/>
                <w:webHidden/>
              </w:rPr>
              <w:t>5</w:t>
            </w:r>
            <w:r w:rsidR="00047443">
              <w:rPr>
                <w:noProof/>
                <w:webHidden/>
              </w:rPr>
              <w:fldChar w:fldCharType="end"/>
            </w:r>
          </w:hyperlink>
        </w:p>
        <w:p w14:paraId="319D72B6" w14:textId="77777777" w:rsidR="00047443" w:rsidRDefault="00D03895">
          <w:pPr>
            <w:pStyle w:val="21"/>
            <w:tabs>
              <w:tab w:val="right" w:leader="dot" w:pos="9016"/>
            </w:tabs>
            <w:rPr>
              <w:rFonts w:asciiTheme="minorHAnsi" w:eastAsiaTheme="minorEastAsia" w:hAnsiTheme="minorHAnsi"/>
              <w:noProof/>
              <w:sz w:val="22"/>
              <w:lang w:eastAsia="en-GB"/>
            </w:rPr>
          </w:pPr>
          <w:hyperlink w:anchor="_Toc58618194" w:history="1">
            <w:r w:rsidR="00047443" w:rsidRPr="00D515F3">
              <w:rPr>
                <w:rStyle w:val="aa"/>
                <w:noProof/>
              </w:rPr>
              <w:t>Forward-looking approach in Oxfam training programs to deal with multiculturalism and the external factors</w:t>
            </w:r>
            <w:r w:rsidR="00047443">
              <w:rPr>
                <w:noProof/>
                <w:webHidden/>
              </w:rPr>
              <w:tab/>
            </w:r>
            <w:r w:rsidR="00047443">
              <w:rPr>
                <w:noProof/>
                <w:webHidden/>
              </w:rPr>
              <w:fldChar w:fldCharType="begin"/>
            </w:r>
            <w:r w:rsidR="00047443">
              <w:rPr>
                <w:noProof/>
                <w:webHidden/>
              </w:rPr>
              <w:instrText xml:space="preserve"> PAGEREF _Toc58618194 \h </w:instrText>
            </w:r>
            <w:r w:rsidR="00047443">
              <w:rPr>
                <w:noProof/>
                <w:webHidden/>
              </w:rPr>
            </w:r>
            <w:r w:rsidR="00047443">
              <w:rPr>
                <w:noProof/>
                <w:webHidden/>
              </w:rPr>
              <w:fldChar w:fldCharType="separate"/>
            </w:r>
            <w:r w:rsidR="00047443">
              <w:rPr>
                <w:noProof/>
                <w:webHidden/>
              </w:rPr>
              <w:t>6</w:t>
            </w:r>
            <w:r w:rsidR="00047443">
              <w:rPr>
                <w:noProof/>
                <w:webHidden/>
              </w:rPr>
              <w:fldChar w:fldCharType="end"/>
            </w:r>
          </w:hyperlink>
        </w:p>
        <w:p w14:paraId="004685FD" w14:textId="77777777" w:rsidR="00047443" w:rsidRDefault="00D03895">
          <w:pPr>
            <w:pStyle w:val="11"/>
            <w:tabs>
              <w:tab w:val="right" w:leader="dot" w:pos="9016"/>
            </w:tabs>
            <w:rPr>
              <w:rFonts w:asciiTheme="minorHAnsi" w:eastAsiaTheme="minorEastAsia" w:hAnsiTheme="minorHAnsi"/>
              <w:noProof/>
              <w:sz w:val="22"/>
              <w:lang w:eastAsia="en-GB"/>
            </w:rPr>
          </w:pPr>
          <w:hyperlink w:anchor="_Toc58618195" w:history="1">
            <w:r w:rsidR="00047443" w:rsidRPr="00D515F3">
              <w:rPr>
                <w:rStyle w:val="aa"/>
                <w:noProof/>
              </w:rPr>
              <w:t>Conclusion and recommendation</w:t>
            </w:r>
            <w:r w:rsidR="00047443">
              <w:rPr>
                <w:noProof/>
                <w:webHidden/>
              </w:rPr>
              <w:tab/>
            </w:r>
            <w:r w:rsidR="00047443">
              <w:rPr>
                <w:noProof/>
                <w:webHidden/>
              </w:rPr>
              <w:fldChar w:fldCharType="begin"/>
            </w:r>
            <w:r w:rsidR="00047443">
              <w:rPr>
                <w:noProof/>
                <w:webHidden/>
              </w:rPr>
              <w:instrText xml:space="preserve"> PAGEREF _Toc58618195 \h </w:instrText>
            </w:r>
            <w:r w:rsidR="00047443">
              <w:rPr>
                <w:noProof/>
                <w:webHidden/>
              </w:rPr>
            </w:r>
            <w:r w:rsidR="00047443">
              <w:rPr>
                <w:noProof/>
                <w:webHidden/>
              </w:rPr>
              <w:fldChar w:fldCharType="separate"/>
            </w:r>
            <w:r w:rsidR="00047443">
              <w:rPr>
                <w:noProof/>
                <w:webHidden/>
              </w:rPr>
              <w:t>7</w:t>
            </w:r>
            <w:r w:rsidR="00047443">
              <w:rPr>
                <w:noProof/>
                <w:webHidden/>
              </w:rPr>
              <w:fldChar w:fldCharType="end"/>
            </w:r>
          </w:hyperlink>
        </w:p>
        <w:p w14:paraId="2C8EF488" w14:textId="77777777" w:rsidR="00047443" w:rsidRDefault="00D03895">
          <w:pPr>
            <w:pStyle w:val="11"/>
            <w:tabs>
              <w:tab w:val="right" w:leader="dot" w:pos="9016"/>
            </w:tabs>
            <w:rPr>
              <w:rFonts w:asciiTheme="minorHAnsi" w:eastAsiaTheme="minorEastAsia" w:hAnsiTheme="minorHAnsi"/>
              <w:noProof/>
              <w:sz w:val="22"/>
              <w:lang w:eastAsia="en-GB"/>
            </w:rPr>
          </w:pPr>
          <w:hyperlink w:anchor="_Toc58618196" w:history="1">
            <w:r w:rsidR="00047443" w:rsidRPr="00D515F3">
              <w:rPr>
                <w:rStyle w:val="aa"/>
                <w:noProof/>
              </w:rPr>
              <w:t>Reference</w:t>
            </w:r>
            <w:r w:rsidR="00047443">
              <w:rPr>
                <w:noProof/>
                <w:webHidden/>
              </w:rPr>
              <w:tab/>
            </w:r>
            <w:r w:rsidR="00047443">
              <w:rPr>
                <w:noProof/>
                <w:webHidden/>
              </w:rPr>
              <w:fldChar w:fldCharType="begin"/>
            </w:r>
            <w:r w:rsidR="00047443">
              <w:rPr>
                <w:noProof/>
                <w:webHidden/>
              </w:rPr>
              <w:instrText xml:space="preserve"> PAGEREF _Toc58618196 \h </w:instrText>
            </w:r>
            <w:r w:rsidR="00047443">
              <w:rPr>
                <w:noProof/>
                <w:webHidden/>
              </w:rPr>
            </w:r>
            <w:r w:rsidR="00047443">
              <w:rPr>
                <w:noProof/>
                <w:webHidden/>
              </w:rPr>
              <w:fldChar w:fldCharType="separate"/>
            </w:r>
            <w:r w:rsidR="00047443">
              <w:rPr>
                <w:noProof/>
                <w:webHidden/>
              </w:rPr>
              <w:t>8</w:t>
            </w:r>
            <w:r w:rsidR="00047443">
              <w:rPr>
                <w:noProof/>
                <w:webHidden/>
              </w:rPr>
              <w:fldChar w:fldCharType="end"/>
            </w:r>
          </w:hyperlink>
        </w:p>
        <w:p w14:paraId="4A9A61B0" w14:textId="2543A997" w:rsidR="003C70A9" w:rsidRDefault="003C70A9">
          <w:r>
            <w:rPr>
              <w:b/>
              <w:bCs/>
              <w:noProof/>
            </w:rPr>
            <w:fldChar w:fldCharType="end"/>
          </w:r>
        </w:p>
      </w:sdtContent>
    </w:sdt>
    <w:p w14:paraId="51544770" w14:textId="77777777" w:rsidR="003C70A9" w:rsidRDefault="003C70A9">
      <w:pPr>
        <w:spacing w:line="240" w:lineRule="auto"/>
        <w:rPr>
          <w:lang w:val="en-US"/>
        </w:rPr>
      </w:pPr>
      <w:r>
        <w:rPr>
          <w:lang w:val="en-US"/>
        </w:rPr>
        <w:br w:type="page"/>
      </w:r>
    </w:p>
    <w:p w14:paraId="32066796" w14:textId="77777777" w:rsidR="003C70A9" w:rsidRDefault="003C70A9" w:rsidP="003C70A9">
      <w:pPr>
        <w:pStyle w:val="1"/>
        <w:sectPr w:rsidR="003C70A9">
          <w:pgSz w:w="11906" w:h="16838"/>
          <w:pgMar w:top="1440" w:right="1440" w:bottom="1440" w:left="1440" w:header="720" w:footer="720" w:gutter="0"/>
          <w:cols w:space="720"/>
          <w:docGrid w:linePitch="360"/>
        </w:sectPr>
      </w:pPr>
    </w:p>
    <w:p w14:paraId="35177EC6" w14:textId="2089083C" w:rsidR="003C70A9" w:rsidRPr="003C70A9" w:rsidRDefault="003C70A9" w:rsidP="003C70A9">
      <w:pPr>
        <w:pStyle w:val="1"/>
      </w:pPr>
      <w:bookmarkStart w:id="0" w:name="_Toc58618189"/>
      <w:r>
        <w:lastRenderedPageBreak/>
        <w:t>Introduction</w:t>
      </w:r>
      <w:bookmarkEnd w:id="0"/>
    </w:p>
    <w:p w14:paraId="6C181A93" w14:textId="48D57577" w:rsidR="00431A21" w:rsidRDefault="00206A2F" w:rsidP="00206A2F">
      <w:pPr>
        <w:rPr>
          <w:lang w:val="en-US"/>
        </w:rPr>
      </w:pPr>
      <w:r>
        <w:rPr>
          <w:lang w:val="en-US"/>
        </w:rPr>
        <w:t xml:space="preserve">Community engagement refers to the </w:t>
      </w:r>
      <w:r w:rsidR="00517F58">
        <w:rPr>
          <w:lang w:val="en-US"/>
        </w:rPr>
        <w:t>process of working</w:t>
      </w:r>
      <w:r>
        <w:rPr>
          <w:lang w:val="en-US"/>
        </w:rPr>
        <w:t xml:space="preserve"> </w:t>
      </w:r>
      <w:r w:rsidR="00517F58">
        <w:rPr>
          <w:lang w:val="en-US"/>
        </w:rPr>
        <w:t xml:space="preserve">collaboratively </w:t>
      </w:r>
      <w:r>
        <w:rPr>
          <w:lang w:val="en-US"/>
        </w:rPr>
        <w:t xml:space="preserve">within an </w:t>
      </w:r>
      <w:r w:rsidR="000821F6">
        <w:rPr>
          <w:lang w:val="en-US"/>
        </w:rPr>
        <w:t>organisation</w:t>
      </w:r>
      <w:r>
        <w:rPr>
          <w:lang w:val="en-US"/>
        </w:rPr>
        <w:t xml:space="preserve"> that involves the stakeholders </w:t>
      </w:r>
      <w:r w:rsidR="00517F58">
        <w:rPr>
          <w:lang w:val="en-US"/>
        </w:rPr>
        <w:t>into the persuasion</w:t>
      </w:r>
      <w:r>
        <w:rPr>
          <w:lang w:val="en-US"/>
        </w:rPr>
        <w:t xml:space="preserve"> </w:t>
      </w:r>
      <w:r w:rsidR="00517F58">
        <w:rPr>
          <w:lang w:val="en-US"/>
        </w:rPr>
        <w:t xml:space="preserve">of </w:t>
      </w:r>
      <w:r>
        <w:rPr>
          <w:lang w:val="en-US"/>
        </w:rPr>
        <w:t>well-being of the community.</w:t>
      </w:r>
      <w:r w:rsidR="00007225">
        <w:rPr>
          <w:lang w:val="en-US"/>
        </w:rPr>
        <w:t xml:space="preserve"> Community engagement thrives for </w:t>
      </w:r>
      <w:r w:rsidR="00007225" w:rsidRPr="00007225">
        <w:t>endeavour</w:t>
      </w:r>
      <w:r w:rsidR="00573A41">
        <w:t>ing the community to participate within a framework for achieving the sustainable and long-term</w:t>
      </w:r>
      <w:r w:rsidR="00007225">
        <w:t xml:space="preserve"> </w:t>
      </w:r>
      <w:r w:rsidR="00573A41">
        <w:rPr>
          <w:lang w:val="en-US"/>
        </w:rPr>
        <w:t>outcome.</w:t>
      </w:r>
      <w:r w:rsidR="00A44C3A">
        <w:rPr>
          <w:lang w:val="en-US"/>
        </w:rPr>
        <w:t xml:space="preserve"> </w:t>
      </w:r>
      <w:r w:rsidR="00533C4B">
        <w:rPr>
          <w:lang w:val="en-US"/>
        </w:rPr>
        <w:t xml:space="preserve">Community engagement often includes the alliance and partnership with similar or supplementary communal engagement related </w:t>
      </w:r>
      <w:r w:rsidR="000821F6">
        <w:rPr>
          <w:lang w:val="en-US"/>
        </w:rPr>
        <w:t>organisation</w:t>
      </w:r>
      <w:r w:rsidR="00533C4B">
        <w:rPr>
          <w:lang w:val="en-US"/>
        </w:rPr>
        <w:t xml:space="preserve">s. The partnership within community engagement provides both the </w:t>
      </w:r>
      <w:r w:rsidR="000821F6">
        <w:rPr>
          <w:lang w:val="en-US"/>
        </w:rPr>
        <w:t>organisation</w:t>
      </w:r>
      <w:r w:rsidR="00533C4B">
        <w:rPr>
          <w:lang w:val="en-US"/>
        </w:rPr>
        <w:t xml:space="preserve">s a fledged mobilization of resources and more effective </w:t>
      </w:r>
      <w:r w:rsidR="00125B88">
        <w:rPr>
          <w:lang w:val="en-US"/>
        </w:rPr>
        <w:t>workforces.</w:t>
      </w:r>
      <w:r w:rsidR="00B44F3F">
        <w:rPr>
          <w:lang w:val="en-US"/>
        </w:rPr>
        <w:t xml:space="preserve"> The </w:t>
      </w:r>
      <w:r w:rsidR="000821F6">
        <w:rPr>
          <w:lang w:val="en-US"/>
        </w:rPr>
        <w:t>organisation</w:t>
      </w:r>
      <w:r w:rsidR="000B3046">
        <w:rPr>
          <w:lang w:val="en-US"/>
        </w:rPr>
        <w:t xml:space="preserve"> tends to ensure participation of all the members within a community to compete </w:t>
      </w:r>
      <w:r w:rsidR="008D4C0F">
        <w:rPr>
          <w:lang w:val="en-US"/>
        </w:rPr>
        <w:t xml:space="preserve">with the community related </w:t>
      </w:r>
      <w:r w:rsidR="00BE12D7">
        <w:rPr>
          <w:lang w:val="en-US"/>
        </w:rPr>
        <w:t>issues</w:t>
      </w:r>
      <w:r w:rsidR="00FD42EA">
        <w:rPr>
          <w:lang w:val="en-US"/>
        </w:rPr>
        <w:t xml:space="preserve"> (</w:t>
      </w:r>
      <w:r w:rsidR="00FD42EA">
        <w:rPr>
          <w:shd w:val="clear" w:color="auto" w:fill="FFFFFF"/>
        </w:rPr>
        <w:t>Firestone, Hoen, and Pohl, 2018</w:t>
      </w:r>
      <w:r w:rsidR="00FD42EA">
        <w:rPr>
          <w:lang w:val="en-US"/>
        </w:rPr>
        <w:t>)</w:t>
      </w:r>
      <w:r w:rsidR="00BE12D7">
        <w:rPr>
          <w:lang w:val="en-US"/>
        </w:rPr>
        <w:t xml:space="preserve">. </w:t>
      </w:r>
      <w:r w:rsidR="00FB28A5">
        <w:rPr>
          <w:lang w:val="en-US"/>
        </w:rPr>
        <w:t xml:space="preserve">For example, the initiatives are undertaken by the Oxfam International to compete with Ebola crisis in 2015. This paper will discuss the initiatives that are implemented by Oxfam International to spread awareness amongst the members thus, ensuring engagement of the members </w:t>
      </w:r>
      <w:r w:rsidR="00D57717">
        <w:rPr>
          <w:lang w:val="en-US"/>
        </w:rPr>
        <w:t>from a</w:t>
      </w:r>
      <w:r w:rsidR="00FB28A5">
        <w:rPr>
          <w:lang w:val="en-US"/>
        </w:rPr>
        <w:t xml:space="preserve"> specific community to contend a specific crisis</w:t>
      </w:r>
      <w:r w:rsidR="00684A4B">
        <w:rPr>
          <w:lang w:val="en-US"/>
        </w:rPr>
        <w:t xml:space="preserve">. This paper formulates an analysis on the topic, </w:t>
      </w:r>
      <w:r w:rsidR="00783AD1" w:rsidRPr="007F0ACC">
        <w:rPr>
          <w:b/>
        </w:rPr>
        <w:t>“Role of</w:t>
      </w:r>
      <w:r w:rsidR="00684A4B" w:rsidRPr="007F0ACC">
        <w:rPr>
          <w:b/>
        </w:rPr>
        <w:t xml:space="preserve"> Oxfam</w:t>
      </w:r>
      <w:r w:rsidR="00783AD1" w:rsidRPr="007F0ACC">
        <w:rPr>
          <w:b/>
        </w:rPr>
        <w:t xml:space="preserve"> in engaging the community to resolve the Ebola Crisis, Protection of Peace, and Covid-19 Pandemic</w:t>
      </w:r>
      <w:r w:rsidR="001144AF" w:rsidRPr="007F0ACC">
        <w:rPr>
          <w:b/>
        </w:rPr>
        <w:t>”</w:t>
      </w:r>
      <w:r w:rsidR="00684A4B" w:rsidRPr="007F0ACC">
        <w:rPr>
          <w:b/>
        </w:rPr>
        <w:t>.</w:t>
      </w:r>
      <w:r w:rsidR="001A0B9B">
        <w:rPr>
          <w:lang w:val="en-US"/>
        </w:rPr>
        <w:t xml:space="preserve"> This paper demonstrates several issues that were resolved through the proper application of appropriate tools and techniques for ensuring the community engagement. The issues are including the Ebola Crisis, Protection of Peace,</w:t>
      </w:r>
      <w:r w:rsidR="00386052">
        <w:rPr>
          <w:lang w:val="en-US"/>
        </w:rPr>
        <w:t xml:space="preserve"> Covid-19</w:t>
      </w:r>
      <w:r w:rsidR="001A0B9B">
        <w:rPr>
          <w:lang w:val="en-US"/>
        </w:rPr>
        <w:t xml:space="preserve"> </w:t>
      </w:r>
      <w:r w:rsidR="00A15EEA">
        <w:rPr>
          <w:lang w:val="en-US"/>
        </w:rPr>
        <w:t xml:space="preserve">etc. </w:t>
      </w:r>
    </w:p>
    <w:p w14:paraId="65150F5C" w14:textId="77777777" w:rsidR="00431A21" w:rsidRDefault="00431A21">
      <w:pPr>
        <w:spacing w:line="240" w:lineRule="auto"/>
        <w:rPr>
          <w:lang w:val="en-US"/>
        </w:rPr>
      </w:pPr>
      <w:r>
        <w:rPr>
          <w:lang w:val="en-US"/>
        </w:rPr>
        <w:br w:type="page"/>
      </w:r>
    </w:p>
    <w:p w14:paraId="36DAFAC5" w14:textId="051897DD" w:rsidR="00B005F8" w:rsidRPr="00B005F8" w:rsidRDefault="00B005F8" w:rsidP="00B005F8">
      <w:pPr>
        <w:pStyle w:val="2"/>
        <w:rPr>
          <w:lang w:val="en-US"/>
        </w:rPr>
      </w:pPr>
      <w:bookmarkStart w:id="1" w:name="_Toc58618190"/>
      <w:r>
        <w:rPr>
          <w:lang w:val="en-US"/>
        </w:rPr>
        <w:lastRenderedPageBreak/>
        <w:t>Establishment of relationship with the stakeholders and engaging with them</w:t>
      </w:r>
      <w:bookmarkEnd w:id="1"/>
    </w:p>
    <w:p w14:paraId="141DD1B4" w14:textId="2E17DF9A" w:rsidR="00AC00CD" w:rsidRDefault="0028327C" w:rsidP="00D23102">
      <w:r>
        <w:rPr>
          <w:lang w:val="en-US"/>
        </w:rPr>
        <w:t xml:space="preserve">Oxfam International has been working for ensuring the participation of the stakeholders through community engagement for competing several issues at different times. </w:t>
      </w:r>
      <w:r w:rsidR="00A46E27">
        <w:rPr>
          <w:lang w:val="en-US"/>
        </w:rPr>
        <w:t xml:space="preserve">During the Ebola Crisis in Africa, Oxfam has been building a cohesive program for spreading awareness among the people. The </w:t>
      </w:r>
      <w:r w:rsidR="007E2147">
        <w:rPr>
          <w:lang w:val="en-US"/>
        </w:rPr>
        <w:t>to-</w:t>
      </w:r>
      <w:r w:rsidR="00A46E27">
        <w:rPr>
          <w:lang w:val="en-US"/>
        </w:rPr>
        <w:t xml:space="preserve">do list of Oxfam’s undertaken project included the direct participation of the people through engaging them into the program.  </w:t>
      </w:r>
      <w:r w:rsidR="00863044">
        <w:rPr>
          <w:lang w:val="en-US"/>
        </w:rPr>
        <w:t xml:space="preserve">Oxfam sought on producing an evidence-based overview of the Ebola issue. It took around an anniversary to formulate a proper plan by the </w:t>
      </w:r>
      <w:r w:rsidR="000821F6">
        <w:rPr>
          <w:lang w:val="en-US"/>
        </w:rPr>
        <w:t>organisation</w:t>
      </w:r>
      <w:r w:rsidR="00863044">
        <w:rPr>
          <w:lang w:val="en-US"/>
        </w:rPr>
        <w:t xml:space="preserve">. Oxfam felt the requirements for extra medical toolkits, medical beds, and </w:t>
      </w:r>
      <w:r w:rsidR="00234271">
        <w:rPr>
          <w:lang w:val="en-US"/>
        </w:rPr>
        <w:t>more skilled human resources</w:t>
      </w:r>
      <w:r w:rsidR="00EC051E">
        <w:rPr>
          <w:lang w:val="en-US"/>
        </w:rPr>
        <w:t xml:space="preserve"> (</w:t>
      </w:r>
      <w:r w:rsidR="00EC051E">
        <w:rPr>
          <w:shd w:val="clear" w:color="auto" w:fill="FFFFFF"/>
        </w:rPr>
        <w:t>Pedi, Gillespie, and Conte, 2017)</w:t>
      </w:r>
      <w:r w:rsidR="00234271">
        <w:rPr>
          <w:lang w:val="en-US"/>
        </w:rPr>
        <w:t xml:space="preserve">. </w:t>
      </w:r>
      <w:r w:rsidR="00AC6C05">
        <w:rPr>
          <w:lang w:val="en-US"/>
        </w:rPr>
        <w:t>Oxfam tends to establish a friendly relationship with the stakeholders under a project. At the first phase of Ebola Crisis, Oxfam found that there had been a wide range of misperceptions among the stakeholders.</w:t>
      </w:r>
      <w:r w:rsidR="00BE7172">
        <w:rPr>
          <w:lang w:val="en-US"/>
        </w:rPr>
        <w:t xml:space="preserve"> The community firstly assumed that Ebola is equal to death, a maximum level of panic has been evolving at that stage. </w:t>
      </w:r>
      <w:r w:rsidR="00386052">
        <w:rPr>
          <w:lang w:val="en-US"/>
        </w:rPr>
        <w:t xml:space="preserve">Oxfam outlines the partners who also tends to work on the same issue of engaging community for contending Ebola Crisis. </w:t>
      </w:r>
      <w:r w:rsidR="00FD75C8">
        <w:rPr>
          <w:lang w:val="en-US"/>
        </w:rPr>
        <w:t xml:space="preserve">Oxfam formed an alliance with </w:t>
      </w:r>
      <w:r w:rsidR="00FD75C8" w:rsidRPr="00FD75C8">
        <w:t>Sierra Leone Social Mobilisation Pillar for Ebola</w:t>
      </w:r>
      <w:r w:rsidR="00FD75C8">
        <w:t>, MEDAIR, IBIS, and GOAL for enabling a cohesive environment and formulating better integration among the workforce</w:t>
      </w:r>
      <w:r w:rsidR="00FD42EA">
        <w:t xml:space="preserve"> (</w:t>
      </w:r>
      <w:r w:rsidR="00FD42EA">
        <w:rPr>
          <w:shd w:val="clear" w:color="auto" w:fill="FFFFFF"/>
        </w:rPr>
        <w:t>Reynolds, and Sariola, 2018</w:t>
      </w:r>
      <w:r w:rsidR="00FD42EA">
        <w:t>)</w:t>
      </w:r>
      <w:r w:rsidR="00FD75C8">
        <w:t xml:space="preserve">. A higher </w:t>
      </w:r>
      <w:r w:rsidR="00D45F69">
        <w:t xml:space="preserve">number of assets were accumulated through the partnership and the stakeholders both in the </w:t>
      </w:r>
      <w:r w:rsidR="000821F6">
        <w:t>organisation</w:t>
      </w:r>
      <w:r w:rsidR="00D45F69">
        <w:t xml:space="preserve">al and community were engaged within the project. </w:t>
      </w:r>
      <w:r w:rsidR="007328F8">
        <w:t xml:space="preserve">Social media </w:t>
      </w:r>
      <w:r w:rsidR="00914E7C">
        <w:t>was utilized effectively for</w:t>
      </w:r>
      <w:r w:rsidR="007328F8">
        <w:t xml:space="preserve"> spreading the </w:t>
      </w:r>
      <w:r w:rsidR="00914E7C">
        <w:t xml:space="preserve">awareness about the Ebola. </w:t>
      </w:r>
      <w:r w:rsidR="00244EC3">
        <w:t xml:space="preserve">The community were engaged with consciousness that Ebola doesn’t mean death, but a secure distance and sanitization is required for contending the crisis. </w:t>
      </w:r>
    </w:p>
    <w:p w14:paraId="7D5626D7" w14:textId="39E8A184" w:rsidR="00D23102" w:rsidRDefault="00AC00CD" w:rsidP="00D23102">
      <w:r>
        <w:t xml:space="preserve">Oxfam and the partner NGOs has been successful in engaging the people of the Ebola threatened community in Africa. The projected community engagement brought them actual knowledge on Ebola and made them conscious about cleanliness, sanitization, </w:t>
      </w:r>
      <w:r w:rsidR="00FC2FA1">
        <w:t xml:space="preserve">medical supports, and other guidelines. </w:t>
      </w:r>
    </w:p>
    <w:p w14:paraId="05F2C8B8" w14:textId="77777777" w:rsidR="00736B13" w:rsidRDefault="00736B13" w:rsidP="003A497F">
      <w:pPr>
        <w:pStyle w:val="2"/>
      </w:pPr>
    </w:p>
    <w:p w14:paraId="574D3724" w14:textId="6707EB70" w:rsidR="003A497F" w:rsidRDefault="003A497F" w:rsidP="003A497F">
      <w:pPr>
        <w:pStyle w:val="2"/>
      </w:pPr>
      <w:bookmarkStart w:id="2" w:name="_Toc58618191"/>
      <w:r>
        <w:t>Different era</w:t>
      </w:r>
      <w:r w:rsidR="007F0ACC">
        <w:t>s</w:t>
      </w:r>
      <w:r>
        <w:t xml:space="preserve"> of Oxfam’s community engagement and employee management</w:t>
      </w:r>
      <w:bookmarkEnd w:id="2"/>
    </w:p>
    <w:p w14:paraId="6BBD18CD" w14:textId="62A947E9" w:rsidR="00F92526" w:rsidRPr="00F92526" w:rsidRDefault="00F92526" w:rsidP="00F92526">
      <w:r>
        <w:t xml:space="preserve">Oxfam evolved </w:t>
      </w:r>
      <w:r w:rsidRPr="00F92526">
        <w:t xml:space="preserve">through </w:t>
      </w:r>
      <w:r>
        <w:t>the foundation of the</w:t>
      </w:r>
      <w:r w:rsidRPr="00F92526">
        <w:t xml:space="preserve"> Oxford Committee for Famine Relief</w:t>
      </w:r>
      <w:r>
        <w:t xml:space="preserve"> by a social activists group in 1942 and registered according to the law of UK in 1943. </w:t>
      </w:r>
      <w:r w:rsidR="001E4954">
        <w:t xml:space="preserve">The first attempt of the </w:t>
      </w:r>
      <w:r w:rsidR="001E4954" w:rsidRPr="00F92526">
        <w:t>Oxford Committee for Famine Relief</w:t>
      </w:r>
      <w:r w:rsidR="001E4954">
        <w:t xml:space="preserve"> was to support the peoples at occupied Greece in 1942. The </w:t>
      </w:r>
      <w:r w:rsidR="000821F6">
        <w:t>organisation</w:t>
      </w:r>
      <w:r w:rsidR="001E4954">
        <w:t xml:space="preserve"> </w:t>
      </w:r>
      <w:r w:rsidR="00DA4E7B">
        <w:t>pushed the UK government to allow food relief through the naval blockades.</w:t>
      </w:r>
      <w:r w:rsidR="000648EC">
        <w:t xml:space="preserve"> By 1960s, Oxfam had become a prominent Non-governmental Aid </w:t>
      </w:r>
      <w:r w:rsidR="000821F6">
        <w:t>Organisation</w:t>
      </w:r>
      <w:r w:rsidR="000648EC">
        <w:t xml:space="preserve"> and involved in the fixing of concurrent issues through engaging the communities under a </w:t>
      </w:r>
      <w:r w:rsidR="009529FD">
        <w:t xml:space="preserve">regulated guideline. In 1965 the </w:t>
      </w:r>
      <w:r w:rsidR="000821F6">
        <w:t>organisation</w:t>
      </w:r>
      <w:r w:rsidR="009529FD">
        <w:t xml:space="preserve"> changed the</w:t>
      </w:r>
      <w:r w:rsidR="007F0ACC">
        <w:t xml:space="preserve"> name to Oxfam, and the Oxford G</w:t>
      </w:r>
      <w:r w:rsidR="009529FD">
        <w:t>roup was introduced as Oxfam Great Britain</w:t>
      </w:r>
      <w:r w:rsidR="00FD42EA">
        <w:t xml:space="preserve"> (</w:t>
      </w:r>
      <w:r w:rsidR="00FD42EA">
        <w:rPr>
          <w:shd w:val="clear" w:color="auto" w:fill="FFFFFF"/>
        </w:rPr>
        <w:t>Pelling, 2011</w:t>
      </w:r>
      <w:r w:rsidR="00FD42EA">
        <w:t>)</w:t>
      </w:r>
      <w:r w:rsidR="009529FD">
        <w:t xml:space="preserve">. </w:t>
      </w:r>
    </w:p>
    <w:p w14:paraId="4A0E22ED" w14:textId="292107CF" w:rsidR="004F116A" w:rsidRDefault="003A497F" w:rsidP="003A497F">
      <w:r>
        <w:t xml:space="preserve">Oxfam runs by some core values and missions and motivates their workforce according to the </w:t>
      </w:r>
      <w:r w:rsidR="000821F6">
        <w:t>organisation</w:t>
      </w:r>
      <w:r>
        <w:t>al values</w:t>
      </w:r>
      <w:r w:rsidR="002553ED">
        <w:t xml:space="preserve"> and morale</w:t>
      </w:r>
      <w:r>
        <w:t xml:space="preserve">. </w:t>
      </w:r>
      <w:r w:rsidR="00E756AA">
        <w:t>In 2000, Oxfam had projected a right-based approach that stressed on the universality and the necessity of protecting human rights. The values required a high level of interpersonal skills among the workforces</w:t>
      </w:r>
      <w:r w:rsidR="00EC051E">
        <w:t xml:space="preserve"> (</w:t>
      </w:r>
      <w:r w:rsidR="00EC051E">
        <w:rPr>
          <w:shd w:val="clear" w:color="auto" w:fill="FFFFFF"/>
        </w:rPr>
        <w:t>Anguelovski, 2011</w:t>
      </w:r>
      <w:r w:rsidR="00EC051E">
        <w:t>)</w:t>
      </w:r>
      <w:r w:rsidR="00E756AA">
        <w:t xml:space="preserve">. </w:t>
      </w:r>
      <w:r w:rsidR="00297A89">
        <w:t xml:space="preserve">Oxfam projected several skill development plans to motivate their employees according to the </w:t>
      </w:r>
      <w:r w:rsidR="000821F6">
        <w:t>organisation</w:t>
      </w:r>
      <w:r w:rsidR="00297A89">
        <w:t xml:space="preserve">al morale. </w:t>
      </w:r>
      <w:r w:rsidR="008852D4">
        <w:t xml:space="preserve">Oxfam had organized several training programs and motivational conferences. The employees were provided with detailed guidelines in favour of the </w:t>
      </w:r>
      <w:r w:rsidR="000821F6">
        <w:t>organisation</w:t>
      </w:r>
      <w:r w:rsidR="008852D4">
        <w:t xml:space="preserve">al visions. </w:t>
      </w:r>
    </w:p>
    <w:p w14:paraId="6D62EA53" w14:textId="77777777" w:rsidR="00FF60E5" w:rsidRDefault="008852D4" w:rsidP="00FF60E5">
      <w:pPr>
        <w:pStyle w:val="ab"/>
        <w:numPr>
          <w:ilvl w:val="0"/>
          <w:numId w:val="1"/>
        </w:numPr>
      </w:pPr>
      <w:r>
        <w:t>Oxfam included the protection of right to sustainable livelihood among</w:t>
      </w:r>
      <w:r w:rsidR="004F116A">
        <w:t>st the communities</w:t>
      </w:r>
      <w:r>
        <w:t>.</w:t>
      </w:r>
      <w:r w:rsidR="004F116A">
        <w:t xml:space="preserve"> </w:t>
      </w:r>
    </w:p>
    <w:p w14:paraId="00AD7392" w14:textId="06C47056" w:rsidR="003A497F" w:rsidRDefault="004F116A" w:rsidP="00FF60E5">
      <w:pPr>
        <w:pStyle w:val="ab"/>
        <w:numPr>
          <w:ilvl w:val="0"/>
          <w:numId w:val="1"/>
        </w:numPr>
      </w:pPr>
      <w:r>
        <w:t xml:space="preserve">Social safety net for the underprivileged and protection of right to basic social services. </w:t>
      </w:r>
    </w:p>
    <w:p w14:paraId="0E281E82" w14:textId="114653A6" w:rsidR="00FF60E5" w:rsidRDefault="005D31AE" w:rsidP="00FF60E5">
      <w:pPr>
        <w:pStyle w:val="ab"/>
        <w:numPr>
          <w:ilvl w:val="0"/>
          <w:numId w:val="1"/>
        </w:numPr>
      </w:pPr>
      <w:r>
        <w:t>Right to live a secured life, this including protection from any sudden pandemic or war.</w:t>
      </w:r>
    </w:p>
    <w:p w14:paraId="466AFBAF" w14:textId="071BFC2C" w:rsidR="005D31AE" w:rsidRDefault="005D31AE" w:rsidP="00FF60E5">
      <w:pPr>
        <w:pStyle w:val="ab"/>
        <w:numPr>
          <w:ilvl w:val="0"/>
          <w:numId w:val="1"/>
        </w:numPr>
      </w:pPr>
      <w:r>
        <w:t>The right to an identical recognition of the members from different communities</w:t>
      </w:r>
      <w:r w:rsidR="00EC051E">
        <w:t xml:space="preserve"> (</w:t>
      </w:r>
      <w:r w:rsidR="00EC051E">
        <w:rPr>
          <w:shd w:val="clear" w:color="auto" w:fill="FFFFFF"/>
        </w:rPr>
        <w:t>Anguelovski, 2011</w:t>
      </w:r>
      <w:r w:rsidR="00EC051E">
        <w:t>)</w:t>
      </w:r>
      <w:r>
        <w:t>.</w:t>
      </w:r>
    </w:p>
    <w:p w14:paraId="4F8B7015" w14:textId="2E2A0303" w:rsidR="00B91BCA" w:rsidRDefault="007B6722" w:rsidP="00B91BCA">
      <w:r>
        <w:t>The employees at Oxfam are motivated according to these core values and it initiated development programs for enhancing their interpersonal skills. Effective communication with the projected communities was emphasized while managing the skill development of the employees.</w:t>
      </w:r>
    </w:p>
    <w:p w14:paraId="12C5BBCA" w14:textId="3072F434" w:rsidR="00911E4C" w:rsidRDefault="00911E4C" w:rsidP="00911E4C">
      <w:pPr>
        <w:pStyle w:val="2"/>
      </w:pPr>
      <w:bookmarkStart w:id="3" w:name="_Toc58618192"/>
      <w:r>
        <w:lastRenderedPageBreak/>
        <w:t xml:space="preserve">Utilization of </w:t>
      </w:r>
      <w:r w:rsidR="00EE4675">
        <w:t xml:space="preserve">the </w:t>
      </w:r>
      <w:r>
        <w:t>different social media platforms to support the programs</w:t>
      </w:r>
      <w:bookmarkEnd w:id="3"/>
    </w:p>
    <w:p w14:paraId="29E2177D" w14:textId="6237BE8E" w:rsidR="00917D33" w:rsidRDefault="009A198C" w:rsidP="00911E4C">
      <w:r>
        <w:t xml:space="preserve">Oxfam utilizes the social media for spreading the agendas among the projected communities on several issues. Social media has been effective tool for communicating with the focused community. </w:t>
      </w:r>
      <w:r w:rsidR="001D7F79">
        <w:t xml:space="preserve">The professional skill of decisive thinking and effective communication skills helped the </w:t>
      </w:r>
      <w:r w:rsidR="000821F6">
        <w:t>organisation</w:t>
      </w:r>
      <w:r w:rsidR="001D7F79">
        <w:t xml:space="preserve"> to inform the community about proper guidelines. For conte</w:t>
      </w:r>
      <w:r w:rsidR="007F0ACC">
        <w:t>nding the Ebola Crisis and Covid</w:t>
      </w:r>
      <w:r w:rsidR="001D7F79">
        <w:t xml:space="preserve">-19 pandemic, a wide awareness is required within the community. </w:t>
      </w:r>
      <w:r w:rsidR="00B90C40">
        <w:t xml:space="preserve">Oxfam had initiated the WASH program for contending Ebola Crisis and undertaken </w:t>
      </w:r>
      <w:r w:rsidR="00865D68">
        <w:t>awareness building on social distancing and sanitization. The social media is used to communicate with the stakeholders and enhanced community engagement</w:t>
      </w:r>
      <w:r w:rsidR="00FD42EA">
        <w:t xml:space="preserve"> (</w:t>
      </w:r>
      <w:r w:rsidR="00FD42EA">
        <w:rPr>
          <w:shd w:val="clear" w:color="auto" w:fill="FFFFFF"/>
        </w:rPr>
        <w:t>Gillespie, Richey, C., Manoncourt, and Quereshi, 2016</w:t>
      </w:r>
      <w:r w:rsidR="00FD42EA">
        <w:t>)</w:t>
      </w:r>
      <w:r w:rsidR="00865D68">
        <w:t xml:space="preserve">. </w:t>
      </w:r>
    </w:p>
    <w:p w14:paraId="506AF845" w14:textId="40EAA630" w:rsidR="00911E4C" w:rsidRDefault="007E479E" w:rsidP="00911E4C">
      <w:r>
        <w:t xml:space="preserve">Communication is become easier through the social media, where the awareness </w:t>
      </w:r>
      <w:r w:rsidR="007F0ACC">
        <w:t xml:space="preserve">and </w:t>
      </w:r>
      <w:r>
        <w:t xml:space="preserve">guidance are concluded within easy and understandable interface. </w:t>
      </w:r>
      <w:r w:rsidR="00327A06">
        <w:t>Oxfam posted their updates through their Facebook pages, support groups, Twitter, and Instagram profiles.</w:t>
      </w:r>
      <w:r w:rsidR="0032018C">
        <w:t xml:space="preserve"> The LinkedIn is utilized for searching the appropriate employees with required interpersonal and professional skills to engage the community. </w:t>
      </w:r>
      <w:r w:rsidR="0009562F">
        <w:t>Social media is applied for spreading the awareness program through maintaining the communication standards and the projected community is engaged effectively</w:t>
      </w:r>
      <w:r w:rsidR="00FD42EA">
        <w:t xml:space="preserve"> </w:t>
      </w:r>
      <w:r w:rsidR="007F0ACC">
        <w:t>(</w:t>
      </w:r>
      <w:r w:rsidR="00FD42EA">
        <w:rPr>
          <w:shd w:val="clear" w:color="auto" w:fill="FFFFFF"/>
        </w:rPr>
        <w:t>Gillespie, Richey, C., Manoncourt, and Quereshi, 2016</w:t>
      </w:r>
      <w:r w:rsidR="00FD42EA">
        <w:t>)</w:t>
      </w:r>
      <w:r w:rsidR="0009562F">
        <w:t>.</w:t>
      </w:r>
    </w:p>
    <w:p w14:paraId="7AFF5CA0" w14:textId="77777777" w:rsidR="007F0ACC" w:rsidRDefault="007F0ACC">
      <w:pPr>
        <w:spacing w:line="240" w:lineRule="auto"/>
        <w:rPr>
          <w:rFonts w:eastAsiaTheme="majorEastAsia" w:cstheme="majorBidi"/>
          <w:b/>
          <w:sz w:val="28"/>
          <w:szCs w:val="24"/>
        </w:rPr>
      </w:pPr>
      <w:r>
        <w:br w:type="page"/>
      </w:r>
    </w:p>
    <w:p w14:paraId="32FF9D58" w14:textId="04F6614C" w:rsidR="0044439A" w:rsidRDefault="0044439A" w:rsidP="0044439A">
      <w:pPr>
        <w:pStyle w:val="2"/>
      </w:pPr>
      <w:bookmarkStart w:id="4" w:name="_Toc58618193"/>
      <w:r>
        <w:lastRenderedPageBreak/>
        <w:t>The training and development to equip employees at Oxfam</w:t>
      </w:r>
      <w:bookmarkEnd w:id="4"/>
    </w:p>
    <w:p w14:paraId="6C866DCA" w14:textId="2E1D74D3" w:rsidR="00917D33" w:rsidRDefault="0044439A" w:rsidP="00D23102">
      <w:r>
        <w:t xml:space="preserve"> </w:t>
      </w:r>
      <w:r w:rsidR="00EE4675">
        <w:t xml:space="preserve">Employees are the driving force for engaging the community in effective resolution to </w:t>
      </w:r>
      <w:r w:rsidR="0003795F">
        <w:t xml:space="preserve">the </w:t>
      </w:r>
      <w:r w:rsidR="00EE4675">
        <w:t>Ebola Crisis, Covid-19 outbreaks, and Protection of Peace</w:t>
      </w:r>
      <w:r w:rsidR="0003795F">
        <w:t xml:space="preserve"> programs</w:t>
      </w:r>
      <w:r w:rsidR="00EE4675">
        <w:t xml:space="preserve">. </w:t>
      </w:r>
      <w:r w:rsidR="00BC5812">
        <w:t xml:space="preserve">Oxfam formulates several strategies those required professional excellence to carry out. </w:t>
      </w:r>
      <w:r w:rsidR="009B1997">
        <w:t xml:space="preserve">Effective communication with the community is the premier condition for reaching the community. To ensure proper participation of the stakeholders in contending the crisis and social issues, effective communication is seemed as a crucial skill. </w:t>
      </w:r>
      <w:r w:rsidR="008E21C3">
        <w:t xml:space="preserve">The employees are trained according to the </w:t>
      </w:r>
      <w:r w:rsidR="000821F6">
        <w:t>organisation</w:t>
      </w:r>
      <w:r w:rsidR="008E21C3">
        <w:t xml:space="preserve">al values and the training programs included the development of employees’ communication skills. Oxfam formulated several cautious messages to the projected community in contending Covid-19 outbreak. These imply that sneezing and coughing pass the Covid-19 infection within others. The </w:t>
      </w:r>
      <w:r w:rsidR="000821F6">
        <w:t>organisation</w:t>
      </w:r>
      <w:r w:rsidR="008E21C3">
        <w:t xml:space="preserve"> suggested to use tissues or flexed elbow to resolve Corona expansion. The community is involved into practice according to the regulated guidelines given by Oxfam. The </w:t>
      </w:r>
      <w:r w:rsidR="000821F6">
        <w:t>organisation</w:t>
      </w:r>
      <w:r w:rsidR="008E21C3">
        <w:t xml:space="preserve"> opened up an initial help desk online, to support the community from Covid-19 infection</w:t>
      </w:r>
      <w:r w:rsidR="00EC051E">
        <w:t xml:space="preserve"> (</w:t>
      </w:r>
      <w:r w:rsidR="00EC051E">
        <w:rPr>
          <w:shd w:val="clear" w:color="auto" w:fill="FFFFFF"/>
        </w:rPr>
        <w:t>Ebersöhn, Loots, Eloff, and Ferreira, 2015</w:t>
      </w:r>
      <w:r w:rsidR="00EC051E">
        <w:t>)</w:t>
      </w:r>
      <w:r w:rsidR="008E21C3">
        <w:t xml:space="preserve">. </w:t>
      </w:r>
    </w:p>
    <w:p w14:paraId="032863E8" w14:textId="11743B20" w:rsidR="00826B16" w:rsidRDefault="00AF4C42" w:rsidP="00D23102">
      <w:r>
        <w:t xml:space="preserve">The employees at Oxfam are motivated by the program for increasing efficiency within their service delivery. </w:t>
      </w:r>
      <w:r w:rsidR="00826B16">
        <w:t xml:space="preserve">The core values of Oxfam are implemented properly through developing the employees’ interpersonal skill of creative thinking. </w:t>
      </w:r>
      <w:r w:rsidR="00B7716E">
        <w:t>The issues arose in different era has been different and mostly new. The employees’ creative thinking helps Oxfam to face the newly arose issues. The employees</w:t>
      </w:r>
      <w:r w:rsidR="00B27DE9">
        <w:t>’</w:t>
      </w:r>
      <w:r w:rsidR="00B7716E">
        <w:t xml:space="preserve"> excellence is helpful to support the community and ensures the effective participation in the resolution program. </w:t>
      </w:r>
      <w:r w:rsidR="00F73C2D">
        <w:t xml:space="preserve">Oxfam undertakes a regular basis weekly conferences to motivate the workforce within </w:t>
      </w:r>
      <w:r w:rsidR="000821F6">
        <w:t>organisation</w:t>
      </w:r>
      <w:r w:rsidR="00F73C2D">
        <w:t>al visions and values</w:t>
      </w:r>
      <w:r w:rsidR="00EC051E">
        <w:t xml:space="preserve"> (</w:t>
      </w:r>
      <w:r w:rsidR="00EC051E">
        <w:rPr>
          <w:shd w:val="clear" w:color="auto" w:fill="FFFFFF"/>
        </w:rPr>
        <w:t>Niederberger, Ferron, and O'Reilly, 2016</w:t>
      </w:r>
      <w:r w:rsidR="00EC051E">
        <w:t>)</w:t>
      </w:r>
      <w:r w:rsidR="00F73C2D">
        <w:t xml:space="preserve">. </w:t>
      </w:r>
    </w:p>
    <w:p w14:paraId="2F26F7AF" w14:textId="77777777" w:rsidR="007F0ACC" w:rsidRDefault="007F0ACC">
      <w:pPr>
        <w:spacing w:line="240" w:lineRule="auto"/>
        <w:rPr>
          <w:rFonts w:eastAsiaTheme="majorEastAsia" w:cstheme="majorBidi"/>
          <w:b/>
          <w:sz w:val="28"/>
          <w:szCs w:val="24"/>
        </w:rPr>
      </w:pPr>
      <w:r>
        <w:br w:type="page"/>
      </w:r>
    </w:p>
    <w:p w14:paraId="3CA96B86" w14:textId="319152EC" w:rsidR="00C9741A" w:rsidRDefault="00C9741A" w:rsidP="00C9741A">
      <w:pPr>
        <w:pStyle w:val="2"/>
      </w:pPr>
      <w:bookmarkStart w:id="5" w:name="_Toc58618194"/>
      <w:r>
        <w:lastRenderedPageBreak/>
        <w:t>Forward-looking approach in Oxfam training programs to deal with multiculturalism and the external factors</w:t>
      </w:r>
      <w:bookmarkEnd w:id="5"/>
    </w:p>
    <w:p w14:paraId="34C4681A" w14:textId="11F4AEAC" w:rsidR="00C9741A" w:rsidRDefault="00BB7DDB" w:rsidP="00C9741A">
      <w:r>
        <w:t xml:space="preserve">The workforce at Oxfam are required to </w:t>
      </w:r>
      <w:r w:rsidR="00207B30">
        <w:t>deal with the multicultural s</w:t>
      </w:r>
      <w:r w:rsidR="00E74510">
        <w:t xml:space="preserve">ettings. </w:t>
      </w:r>
      <w:r w:rsidR="00403A02">
        <w:t xml:space="preserve">The given contexts are odd and cultural diversity is evident in the different contexts. </w:t>
      </w:r>
      <w:r w:rsidR="00026BCB">
        <w:t xml:space="preserve">The training programs at Oxfam includes the guidelines for dealing with the diverse cultures amongst communities. The collaborated actions with UNs’ Protection of Peace programs are undertaken at the diverse geographic locations and there are existing different cultural settings. </w:t>
      </w:r>
      <w:r w:rsidR="00CE4D77">
        <w:t>These communities are complex to communicate under an effective engagement program. The officials’ interpersonal skill plays an important role in resolving the multicultural odds. The training program</w:t>
      </w:r>
      <w:r w:rsidR="00AF1C97">
        <w:t>s</w:t>
      </w:r>
      <w:r w:rsidR="00CE4D77">
        <w:t xml:space="preserve"> are set to push the employees to think within a standardized</w:t>
      </w:r>
      <w:r w:rsidR="00AF1C97">
        <w:t xml:space="preserve"> regulation.</w:t>
      </w:r>
      <w:r w:rsidR="00961F1E">
        <w:t xml:space="preserve"> The Protection of</w:t>
      </w:r>
      <w:r w:rsidR="00AF1C97">
        <w:t xml:space="preserve"> </w:t>
      </w:r>
      <w:r w:rsidR="00961F1E">
        <w:t xml:space="preserve">Peace acts were marked as rhetoric in the communities and formed a higher complex set for </w:t>
      </w:r>
      <w:r w:rsidR="00961F1E" w:rsidRPr="003E4DC1">
        <w:t>initiating appropriate community engagement</w:t>
      </w:r>
      <w:r w:rsidR="00EC051E">
        <w:t xml:space="preserve"> (</w:t>
      </w:r>
      <w:r w:rsidR="00EC051E">
        <w:rPr>
          <w:shd w:val="clear" w:color="auto" w:fill="FFFFFF"/>
        </w:rPr>
        <w:t>Perkin, 2010</w:t>
      </w:r>
      <w:r w:rsidR="00EC051E">
        <w:t>)</w:t>
      </w:r>
      <w:r w:rsidR="00961F1E" w:rsidRPr="003E4DC1">
        <w:t xml:space="preserve">. </w:t>
      </w:r>
      <w:r w:rsidR="003E4DC1" w:rsidRPr="003E4DC1">
        <w:t xml:space="preserve">The Non-governmental </w:t>
      </w:r>
      <w:r w:rsidR="000821F6">
        <w:t>Organisation</w:t>
      </w:r>
      <w:r w:rsidR="003E4DC1" w:rsidRPr="003E4DC1">
        <w:t>s including Oxfam, Global Centre for R2P, PAX, Nonviolent Peace-force, Refugees International and World Vision, and IRC</w:t>
      </w:r>
      <w:r w:rsidR="00531912">
        <w:t xml:space="preserve"> had undertaken some key criteria while training their employees.</w:t>
      </w:r>
    </w:p>
    <w:p w14:paraId="375458BC" w14:textId="6E228FA2" w:rsidR="008E2662" w:rsidRDefault="002D4776" w:rsidP="00C9741A">
      <w:r>
        <w:t xml:space="preserve">The NGOs prioritized the community engagement since the 2010 Peace Operations for effective reservation of peace within communities. </w:t>
      </w:r>
      <w:r w:rsidR="00E0381F">
        <w:t xml:space="preserve">Community engagement is located at the front and centre and irrespective of the diverse political and socio-cultural settings. </w:t>
      </w:r>
      <w:r w:rsidR="0022282F">
        <w:t xml:space="preserve">The employees are motivated with concentrating their sole focus on the community engagement for operationalizing the Protection of Peace. </w:t>
      </w:r>
      <w:r w:rsidR="00DC5923">
        <w:t xml:space="preserve">The diverse socio-cultural beliefs are undertaken within analysis and the employees are given with proper understanding of the concepts at different regions. </w:t>
      </w:r>
      <w:r w:rsidR="00E9305B">
        <w:t>The Ebola outbreaks had been constrained within African regions, while Covid-19 is found more as a pandemic in the European regions. The multicultural elements also diversified the concept of Peace at different regions</w:t>
      </w:r>
      <w:r w:rsidR="00EC051E">
        <w:t xml:space="preserve"> (</w:t>
      </w:r>
      <w:r w:rsidR="00EC051E">
        <w:rPr>
          <w:shd w:val="clear" w:color="auto" w:fill="FFFFFF"/>
        </w:rPr>
        <w:t>Rosche, 2016</w:t>
      </w:r>
      <w:r w:rsidR="00EC051E">
        <w:t>)</w:t>
      </w:r>
      <w:r w:rsidR="00E9305B">
        <w:t xml:space="preserve">. So, Oxfam has correlated the multiculturalism and diverse external factors within the training programs of their employees. The interpersonal and professional skills of the employees are developed with specialization for contending different issues. </w:t>
      </w:r>
      <w:r w:rsidR="00731B25">
        <w:t>The inclusion of proper understanding of the socio-cultural diversity into the employees’ training has been helpful in increasing the employees</w:t>
      </w:r>
      <w:r w:rsidR="008E2662">
        <w:t>’</w:t>
      </w:r>
      <w:r w:rsidR="00731B25">
        <w:t xml:space="preserve"> productivity and brought a higher success in engaging communities to compete the social issues.</w:t>
      </w:r>
    </w:p>
    <w:p w14:paraId="3862EE19" w14:textId="055297A3" w:rsidR="002D4776" w:rsidRDefault="00C677B6" w:rsidP="00047443">
      <w:pPr>
        <w:pStyle w:val="1"/>
      </w:pPr>
      <w:bookmarkStart w:id="6" w:name="_Toc58618195"/>
      <w:r>
        <w:lastRenderedPageBreak/>
        <w:t>Conclusion and recommendation</w:t>
      </w:r>
      <w:bookmarkEnd w:id="6"/>
    </w:p>
    <w:p w14:paraId="22AA1565" w14:textId="77777777" w:rsidR="00047443" w:rsidRDefault="00072559" w:rsidP="00C677B6">
      <w:pPr>
        <w:rPr>
          <w:lang w:val="en-US"/>
        </w:rPr>
      </w:pPr>
      <w:r>
        <w:rPr>
          <w:lang w:val="en-US"/>
        </w:rPr>
        <w:t xml:space="preserve">Oxfam has been successfully implementing the planned processes to engage community for resolving any sudden crisis. </w:t>
      </w:r>
      <w:r w:rsidR="00A33D5B">
        <w:rPr>
          <w:lang w:val="en-US"/>
        </w:rPr>
        <w:t xml:space="preserve">The Ebola outbreak in Africa has threatened the whole community and a hazard was emerged. The community has been distracted from the regulated acts and panic was reached at the peak. </w:t>
      </w:r>
      <w:r w:rsidR="003C0069">
        <w:rPr>
          <w:lang w:val="en-US"/>
        </w:rPr>
        <w:t>Oxfam had introduced their awareness programs and communicate with the panicked community. With a higher skilled workforce, Oxfam successfully engaged the community in spreading social awareness an</w:t>
      </w:r>
      <w:r w:rsidR="00D32A3E">
        <w:rPr>
          <w:lang w:val="en-US"/>
        </w:rPr>
        <w:t xml:space="preserve">d resolved the panic situation. Oxfam had allied with several NGOs’ with similar intensions to engage the community and the process was even accelerated. </w:t>
      </w:r>
      <w:r w:rsidR="00AC166E">
        <w:rPr>
          <w:lang w:val="en-US"/>
        </w:rPr>
        <w:t>The Protection of Peace programs at African, and Middle Eastern regions had been trembled with complexities that were originating from the diverse socio-cultural settings. The external factors had been odd to an effective community engagement. The development of interpersonal skills within the professionals and employees at Oxfam had been effective in resolving the situation as well</w:t>
      </w:r>
      <w:r w:rsidR="00EC051E">
        <w:rPr>
          <w:lang w:val="en-US"/>
        </w:rPr>
        <w:t xml:space="preserve"> (</w:t>
      </w:r>
      <w:r w:rsidR="00EC051E">
        <w:rPr>
          <w:shd w:val="clear" w:color="auto" w:fill="FFFFFF"/>
        </w:rPr>
        <w:t>Que, 2015</w:t>
      </w:r>
      <w:r w:rsidR="00EC051E">
        <w:rPr>
          <w:lang w:val="en-US"/>
        </w:rPr>
        <w:t>)</w:t>
      </w:r>
      <w:r w:rsidR="00AC166E">
        <w:rPr>
          <w:lang w:val="en-US"/>
        </w:rPr>
        <w:t xml:space="preserve">. </w:t>
      </w:r>
    </w:p>
    <w:p w14:paraId="2D7A59A6" w14:textId="3F4C6FAD" w:rsidR="00A80754" w:rsidRDefault="00466C6B" w:rsidP="00C677B6">
      <w:pPr>
        <w:rPr>
          <w:lang w:val="en-US"/>
        </w:rPr>
      </w:pPr>
      <w:r>
        <w:rPr>
          <w:lang w:val="en-US"/>
        </w:rPr>
        <w:t xml:space="preserve">The very recent Covid-19 pandemic is found easier than the peace mission and collaborated by a wide range of </w:t>
      </w:r>
      <w:r w:rsidR="000821F6">
        <w:rPr>
          <w:lang w:val="en-US"/>
        </w:rPr>
        <w:t>organisation</w:t>
      </w:r>
      <w:r>
        <w:rPr>
          <w:lang w:val="en-US"/>
        </w:rPr>
        <w:t xml:space="preserve">s. The Covid-19 has been engaging the community with the association of </w:t>
      </w:r>
      <w:r w:rsidR="006E5E72">
        <w:rPr>
          <w:lang w:val="en-US"/>
        </w:rPr>
        <w:t>several NGOs’ worldwide.</w:t>
      </w:r>
      <w:r w:rsidR="00F0673B">
        <w:rPr>
          <w:lang w:val="en-US"/>
        </w:rPr>
        <w:t xml:space="preserve"> </w:t>
      </w:r>
      <w:r w:rsidR="005C6AE2">
        <w:rPr>
          <w:lang w:val="en-US"/>
        </w:rPr>
        <w:t xml:space="preserve">Oxfam is required to develop their employees’ according to the diverse cultures in different regions. The frequency of peace issues in the different regions should be located and the specified regions should be undertaken for analysis. Oxfam can motivate their employees according to the </w:t>
      </w:r>
      <w:r w:rsidR="00C51740">
        <w:rPr>
          <w:lang w:val="en-US"/>
        </w:rPr>
        <w:t>multicultural setting in the highlighted regions. This will include a better experience in communicating and engaging the community effectively.</w:t>
      </w:r>
    </w:p>
    <w:p w14:paraId="4C3A0B3C" w14:textId="77777777" w:rsidR="00A80754" w:rsidRDefault="00A80754">
      <w:pPr>
        <w:spacing w:line="240" w:lineRule="auto"/>
        <w:rPr>
          <w:lang w:val="en-US"/>
        </w:rPr>
      </w:pPr>
      <w:r>
        <w:rPr>
          <w:lang w:val="en-US"/>
        </w:rPr>
        <w:br w:type="page"/>
      </w:r>
    </w:p>
    <w:p w14:paraId="479496B8" w14:textId="1268158A" w:rsidR="005C6AE2" w:rsidRPr="00047443" w:rsidRDefault="00A80754" w:rsidP="00047443">
      <w:pPr>
        <w:pStyle w:val="1"/>
      </w:pPr>
      <w:bookmarkStart w:id="7" w:name="_Toc58618196"/>
      <w:r>
        <w:lastRenderedPageBreak/>
        <w:t>Reference</w:t>
      </w:r>
      <w:bookmarkEnd w:id="7"/>
    </w:p>
    <w:p w14:paraId="6D8EFEA5" w14:textId="77777777" w:rsidR="00EC051E" w:rsidRDefault="00EC051E" w:rsidP="00EC051E">
      <w:pPr>
        <w:rPr>
          <w:shd w:val="clear" w:color="auto" w:fill="FFFFFF"/>
        </w:rPr>
      </w:pPr>
      <w:r>
        <w:rPr>
          <w:shd w:val="clear" w:color="auto" w:fill="FFFFFF"/>
        </w:rPr>
        <w:t>Firestone, J., Hoen, B., Rand, J., Elliott, D., Hübner, G. and Pohl, J., 2018. Reconsidering barriers to wind power projects: community engagement, developer transparency and place. </w:t>
      </w:r>
      <w:r>
        <w:rPr>
          <w:i/>
          <w:iCs/>
          <w:shd w:val="clear" w:color="auto" w:fill="FFFFFF"/>
        </w:rPr>
        <w:t>Journal of environmental policy &amp; planning</w:t>
      </w:r>
      <w:r>
        <w:rPr>
          <w:shd w:val="clear" w:color="auto" w:fill="FFFFFF"/>
        </w:rPr>
        <w:t>, </w:t>
      </w:r>
      <w:r>
        <w:rPr>
          <w:i/>
          <w:iCs/>
          <w:shd w:val="clear" w:color="auto" w:fill="FFFFFF"/>
        </w:rPr>
        <w:t>20</w:t>
      </w:r>
      <w:r>
        <w:rPr>
          <w:shd w:val="clear" w:color="auto" w:fill="FFFFFF"/>
        </w:rPr>
        <w:t>(3), pp.370-386.</w:t>
      </w:r>
    </w:p>
    <w:p w14:paraId="21CBE120" w14:textId="77777777" w:rsidR="00EC051E" w:rsidRDefault="00EC051E" w:rsidP="00EC051E">
      <w:pPr>
        <w:rPr>
          <w:shd w:val="clear" w:color="auto" w:fill="FFFFFF"/>
        </w:rPr>
      </w:pPr>
      <w:r>
        <w:rPr>
          <w:shd w:val="clear" w:color="auto" w:fill="FFFFFF"/>
        </w:rPr>
        <w:t>Reynolds, L. and Sariola, S., 2018. The ethics and politics of community engagement in global health research, pp. 22-26.</w:t>
      </w:r>
    </w:p>
    <w:p w14:paraId="258852BB" w14:textId="77777777" w:rsidR="00EC051E" w:rsidRDefault="00EC051E" w:rsidP="00EC051E">
      <w:pPr>
        <w:rPr>
          <w:shd w:val="clear" w:color="auto" w:fill="FFFFFF"/>
        </w:rPr>
      </w:pPr>
      <w:r>
        <w:rPr>
          <w:shd w:val="clear" w:color="auto" w:fill="FFFFFF"/>
        </w:rPr>
        <w:t>Pedi, D., Gillespie, A., Bedson, J., Jalloh, M.F., Jalloh, M.B., Kamara, A., Bertram, K., Owen, K., Jalloh, M.A. and Conte, L., 2017. The development of standard operating procedures for social mobilization and community engagement in Sierra Leone during the West Africa Ebola outbreak of 2014–2015. </w:t>
      </w:r>
      <w:r>
        <w:rPr>
          <w:i/>
          <w:iCs/>
          <w:shd w:val="clear" w:color="auto" w:fill="FFFFFF"/>
        </w:rPr>
        <w:t>Journal of health communication</w:t>
      </w:r>
      <w:r>
        <w:rPr>
          <w:shd w:val="clear" w:color="auto" w:fill="FFFFFF"/>
        </w:rPr>
        <w:t>, </w:t>
      </w:r>
      <w:r>
        <w:rPr>
          <w:i/>
          <w:iCs/>
          <w:shd w:val="clear" w:color="auto" w:fill="FFFFFF"/>
        </w:rPr>
        <w:t>22</w:t>
      </w:r>
      <w:r>
        <w:rPr>
          <w:shd w:val="clear" w:color="auto" w:fill="FFFFFF"/>
        </w:rPr>
        <w:t>(sup1), pp.39-50.</w:t>
      </w:r>
    </w:p>
    <w:p w14:paraId="79DA9C0F" w14:textId="77777777" w:rsidR="00EC051E" w:rsidRDefault="00EC051E" w:rsidP="00EC051E">
      <w:pPr>
        <w:rPr>
          <w:shd w:val="clear" w:color="auto" w:fill="FFFFFF"/>
        </w:rPr>
      </w:pPr>
      <w:r>
        <w:rPr>
          <w:shd w:val="clear" w:color="auto" w:fill="FFFFFF"/>
        </w:rPr>
        <w:t>Anguelovski, I., 2011. Understanding the dynamics of community engagement of corporations in communities: the iterative relationship between dialogue processes and local protest at the Tintaya copper mine in Peru. </w:t>
      </w:r>
      <w:r>
        <w:rPr>
          <w:i/>
          <w:iCs/>
          <w:shd w:val="clear" w:color="auto" w:fill="FFFFFF"/>
        </w:rPr>
        <w:t>Society and Natural Resources</w:t>
      </w:r>
      <w:r>
        <w:rPr>
          <w:shd w:val="clear" w:color="auto" w:fill="FFFFFF"/>
        </w:rPr>
        <w:t>, </w:t>
      </w:r>
      <w:r>
        <w:rPr>
          <w:i/>
          <w:iCs/>
          <w:shd w:val="clear" w:color="auto" w:fill="FFFFFF"/>
        </w:rPr>
        <w:t>24</w:t>
      </w:r>
      <w:r>
        <w:rPr>
          <w:shd w:val="clear" w:color="auto" w:fill="FFFFFF"/>
        </w:rPr>
        <w:t>(4), pp.384-399.</w:t>
      </w:r>
    </w:p>
    <w:p w14:paraId="52A1DA44" w14:textId="77777777" w:rsidR="00EC051E" w:rsidRDefault="00EC051E" w:rsidP="00EC051E">
      <w:pPr>
        <w:rPr>
          <w:shd w:val="clear" w:color="auto" w:fill="FFFFFF"/>
        </w:rPr>
      </w:pPr>
      <w:r>
        <w:rPr>
          <w:shd w:val="clear" w:color="auto" w:fill="FFFFFF"/>
        </w:rPr>
        <w:t>Gillespie, A.M., Obregon, R., El Asawi, R., Richey, C., Manoncourt, E., Joshi, K., Naqvi, S., Pouye, A., Safi, N., Chitnis, K. and Quereshi, S., 2016. Social mobilization and community engagement central to the Ebola response in West Africa: lessons for future public health emergencies. </w:t>
      </w:r>
      <w:r>
        <w:rPr>
          <w:i/>
          <w:iCs/>
          <w:shd w:val="clear" w:color="auto" w:fill="FFFFFF"/>
        </w:rPr>
        <w:t>Global Health: Science and Practice</w:t>
      </w:r>
      <w:r>
        <w:rPr>
          <w:shd w:val="clear" w:color="auto" w:fill="FFFFFF"/>
        </w:rPr>
        <w:t>, </w:t>
      </w:r>
      <w:r>
        <w:rPr>
          <w:i/>
          <w:iCs/>
          <w:shd w:val="clear" w:color="auto" w:fill="FFFFFF"/>
        </w:rPr>
        <w:t>4</w:t>
      </w:r>
      <w:r>
        <w:rPr>
          <w:shd w:val="clear" w:color="auto" w:fill="FFFFFF"/>
        </w:rPr>
        <w:t>(4), pp.626-646.</w:t>
      </w:r>
    </w:p>
    <w:p w14:paraId="263F556C" w14:textId="77777777" w:rsidR="00EC051E" w:rsidRDefault="00EC051E" w:rsidP="00EC051E">
      <w:pPr>
        <w:rPr>
          <w:shd w:val="clear" w:color="auto" w:fill="FFFFFF"/>
        </w:rPr>
      </w:pPr>
      <w:r>
        <w:rPr>
          <w:shd w:val="clear" w:color="auto" w:fill="FFFFFF"/>
        </w:rPr>
        <w:t>Pelling, M., 2011. Urban governance and disaster risk reduction in the Caribbean: the experiences of Oxfam GB. </w:t>
      </w:r>
      <w:r>
        <w:rPr>
          <w:i/>
          <w:iCs/>
          <w:shd w:val="clear" w:color="auto" w:fill="FFFFFF"/>
        </w:rPr>
        <w:t>Environment and Urbanization</w:t>
      </w:r>
      <w:r>
        <w:rPr>
          <w:shd w:val="clear" w:color="auto" w:fill="FFFFFF"/>
        </w:rPr>
        <w:t>, </w:t>
      </w:r>
      <w:r>
        <w:rPr>
          <w:i/>
          <w:iCs/>
          <w:shd w:val="clear" w:color="auto" w:fill="FFFFFF"/>
        </w:rPr>
        <w:t>23</w:t>
      </w:r>
      <w:r>
        <w:rPr>
          <w:shd w:val="clear" w:color="auto" w:fill="FFFFFF"/>
        </w:rPr>
        <w:t>(2), pp.383-400.</w:t>
      </w:r>
    </w:p>
    <w:p w14:paraId="66BCC73B" w14:textId="77777777" w:rsidR="00EC051E" w:rsidRDefault="00EC051E" w:rsidP="00EC051E">
      <w:pPr>
        <w:rPr>
          <w:shd w:val="clear" w:color="auto" w:fill="FFFFFF"/>
        </w:rPr>
      </w:pPr>
      <w:r>
        <w:rPr>
          <w:shd w:val="clear" w:color="auto" w:fill="FFFFFF"/>
        </w:rPr>
        <w:t>Ebersöhn, L., Loots, T., Eloff, I. and Ferreira, R., 2015. Taking note of obstacles research partners negotiate in long-term higher education community engagement partnerships. </w:t>
      </w:r>
      <w:r>
        <w:rPr>
          <w:i/>
          <w:iCs/>
          <w:shd w:val="clear" w:color="auto" w:fill="FFFFFF"/>
        </w:rPr>
        <w:t>Teaching and Teacher Education</w:t>
      </w:r>
      <w:r>
        <w:rPr>
          <w:shd w:val="clear" w:color="auto" w:fill="FFFFFF"/>
        </w:rPr>
        <w:t>, </w:t>
      </w:r>
      <w:r>
        <w:rPr>
          <w:i/>
          <w:iCs/>
          <w:shd w:val="clear" w:color="auto" w:fill="FFFFFF"/>
        </w:rPr>
        <w:t>45</w:t>
      </w:r>
      <w:r>
        <w:rPr>
          <w:shd w:val="clear" w:color="auto" w:fill="FFFFFF"/>
        </w:rPr>
        <w:t>, pp.59-72.</w:t>
      </w:r>
    </w:p>
    <w:p w14:paraId="733408B5" w14:textId="77777777" w:rsidR="00EC051E" w:rsidRDefault="00EC051E" w:rsidP="00EC051E">
      <w:pPr>
        <w:rPr>
          <w:shd w:val="clear" w:color="auto" w:fill="FFFFFF"/>
        </w:rPr>
      </w:pPr>
      <w:r>
        <w:rPr>
          <w:shd w:val="clear" w:color="auto" w:fill="FFFFFF"/>
        </w:rPr>
        <w:t>Niederberger, E., Ferron, S. and O'Reilly, M., 2016. Guide to Community Engagement in WaSH: A practitioners' guide, based on lessons from Ebola, pp.109-112.</w:t>
      </w:r>
    </w:p>
    <w:p w14:paraId="2E3F05A3" w14:textId="77777777" w:rsidR="00EC051E" w:rsidRPr="00E21E1A" w:rsidRDefault="00EC051E" w:rsidP="00EC051E">
      <w:pPr>
        <w:rPr>
          <w:lang w:val="en-US"/>
        </w:rPr>
      </w:pPr>
      <w:r>
        <w:rPr>
          <w:shd w:val="clear" w:color="auto" w:fill="FFFFFF"/>
        </w:rPr>
        <w:lastRenderedPageBreak/>
        <w:t>Perkin, C., 2010. Beyond the rhetoric: negotiating the politics and realising the potential of community</w:t>
      </w:r>
      <w:r>
        <w:rPr>
          <w:rFonts w:ascii="Cambria Math" w:hAnsi="Cambria Math" w:cs="Cambria Math"/>
          <w:shd w:val="clear" w:color="auto" w:fill="FFFFFF"/>
        </w:rPr>
        <w:t>‐</w:t>
      </w:r>
      <w:r>
        <w:rPr>
          <w:shd w:val="clear" w:color="auto" w:fill="FFFFFF"/>
        </w:rPr>
        <w:t>driven heritage engagement. </w:t>
      </w:r>
      <w:r>
        <w:rPr>
          <w:i/>
          <w:iCs/>
          <w:shd w:val="clear" w:color="auto" w:fill="FFFFFF"/>
        </w:rPr>
        <w:t>International Journal of Heritage Studies</w:t>
      </w:r>
      <w:r>
        <w:rPr>
          <w:shd w:val="clear" w:color="auto" w:fill="FFFFFF"/>
        </w:rPr>
        <w:t>, </w:t>
      </w:r>
      <w:r>
        <w:rPr>
          <w:i/>
          <w:iCs/>
          <w:shd w:val="clear" w:color="auto" w:fill="FFFFFF"/>
        </w:rPr>
        <w:t>16</w:t>
      </w:r>
      <w:r>
        <w:rPr>
          <w:shd w:val="clear" w:color="auto" w:fill="FFFFFF"/>
        </w:rPr>
        <w:t>(1-2), pp.107-122.</w:t>
      </w:r>
    </w:p>
    <w:p w14:paraId="42C7F7AF" w14:textId="77777777" w:rsidR="00EC051E" w:rsidRDefault="00EC051E" w:rsidP="00EC051E">
      <w:pPr>
        <w:rPr>
          <w:shd w:val="clear" w:color="auto" w:fill="FFFFFF"/>
        </w:rPr>
      </w:pPr>
      <w:r>
        <w:rPr>
          <w:shd w:val="clear" w:color="auto" w:fill="FFFFFF"/>
        </w:rPr>
        <w:t>Rosche, D., 2016. Agenda 2030 and the sustainable development goals: Gender equality at last? An Oxfam perspective. </w:t>
      </w:r>
      <w:r>
        <w:rPr>
          <w:i/>
          <w:iCs/>
          <w:shd w:val="clear" w:color="auto" w:fill="FFFFFF"/>
        </w:rPr>
        <w:t>Gender &amp; Development</w:t>
      </w:r>
      <w:r>
        <w:rPr>
          <w:shd w:val="clear" w:color="auto" w:fill="FFFFFF"/>
        </w:rPr>
        <w:t>, </w:t>
      </w:r>
      <w:r>
        <w:rPr>
          <w:i/>
          <w:iCs/>
          <w:shd w:val="clear" w:color="auto" w:fill="FFFFFF"/>
        </w:rPr>
        <w:t>24</w:t>
      </w:r>
      <w:r>
        <w:rPr>
          <w:shd w:val="clear" w:color="auto" w:fill="FFFFFF"/>
        </w:rPr>
        <w:t>(1), pp.111-126.</w:t>
      </w:r>
    </w:p>
    <w:p w14:paraId="0C75DAA1" w14:textId="77777777" w:rsidR="00EC051E" w:rsidRDefault="00EC051E" w:rsidP="00EC051E">
      <w:pPr>
        <w:rPr>
          <w:shd w:val="clear" w:color="auto" w:fill="FFFFFF"/>
        </w:rPr>
      </w:pPr>
      <w:r>
        <w:rPr>
          <w:shd w:val="clear" w:color="auto" w:fill="FFFFFF"/>
        </w:rPr>
        <w:t>Que, S., 2015. Describing local community acceptance with discrete choice theory for enhanced community engagement, pp. 56-98.</w:t>
      </w:r>
    </w:p>
    <w:p w14:paraId="05FC796A" w14:textId="77777777" w:rsidR="00A80754" w:rsidRPr="00A80754" w:rsidRDefault="00A80754" w:rsidP="00A80754">
      <w:pPr>
        <w:rPr>
          <w:lang w:val="en-US"/>
        </w:rPr>
      </w:pPr>
    </w:p>
    <w:sectPr w:rsidR="00A80754" w:rsidRPr="00A80754" w:rsidSect="003C70A9">
      <w:headerReference w:type="default" r:id="rId8"/>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DF5F11" w14:textId="77777777" w:rsidR="00B6357E" w:rsidRDefault="00B6357E" w:rsidP="003C70A9">
      <w:pPr>
        <w:spacing w:after="0" w:line="240" w:lineRule="auto"/>
      </w:pPr>
      <w:r>
        <w:separator/>
      </w:r>
    </w:p>
  </w:endnote>
  <w:endnote w:type="continuationSeparator" w:id="0">
    <w:p w14:paraId="3BA37E29" w14:textId="77777777" w:rsidR="00B6357E" w:rsidRDefault="00B6357E" w:rsidP="003C7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3426A6" w14:textId="77777777" w:rsidR="00B6357E" w:rsidRDefault="00B6357E" w:rsidP="003C70A9">
      <w:pPr>
        <w:spacing w:after="0" w:line="240" w:lineRule="auto"/>
      </w:pPr>
      <w:r>
        <w:separator/>
      </w:r>
    </w:p>
  </w:footnote>
  <w:footnote w:type="continuationSeparator" w:id="0">
    <w:p w14:paraId="0ADAA623" w14:textId="77777777" w:rsidR="00B6357E" w:rsidRDefault="00B6357E" w:rsidP="003C70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6670378"/>
      <w:docPartObj>
        <w:docPartGallery w:val="Page Numbers (Top of Page)"/>
        <w:docPartUnique/>
      </w:docPartObj>
    </w:sdtPr>
    <w:sdtEndPr>
      <w:rPr>
        <w:noProof/>
      </w:rPr>
    </w:sdtEndPr>
    <w:sdtContent>
      <w:p w14:paraId="6A3214BD" w14:textId="5CA14570" w:rsidR="00FD42EA" w:rsidRDefault="00FD42EA">
        <w:pPr>
          <w:pStyle w:val="a5"/>
          <w:jc w:val="right"/>
        </w:pPr>
        <w:r>
          <w:fldChar w:fldCharType="begin"/>
        </w:r>
        <w:r>
          <w:instrText xml:space="preserve"> PAGE   \* MERGEFORMAT </w:instrText>
        </w:r>
        <w:r>
          <w:fldChar w:fldCharType="separate"/>
        </w:r>
        <w:r w:rsidR="00CB659E">
          <w:rPr>
            <w:noProof/>
          </w:rPr>
          <w:t>9</w:t>
        </w:r>
        <w:r>
          <w:rPr>
            <w:noProof/>
          </w:rPr>
          <w:fldChar w:fldCharType="end"/>
        </w:r>
      </w:p>
    </w:sdtContent>
  </w:sdt>
  <w:p w14:paraId="3AEA1F77" w14:textId="77777777" w:rsidR="00FD42EA" w:rsidRDefault="00FD42EA">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4E7EA0"/>
    <w:multiLevelType w:val="hybridMultilevel"/>
    <w:tmpl w:val="2E8A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IyMzMxNzEwMDSyNDZU0lEKTi0uzszPAykwrAUA/d+lkiwAAAA="/>
  </w:docVars>
  <w:rsids>
    <w:rsidRoot w:val="003C70A9"/>
    <w:rsid w:val="00007225"/>
    <w:rsid w:val="00026BCB"/>
    <w:rsid w:val="00034FA0"/>
    <w:rsid w:val="0003795F"/>
    <w:rsid w:val="00047443"/>
    <w:rsid w:val="000648EC"/>
    <w:rsid w:val="00072559"/>
    <w:rsid w:val="000800F6"/>
    <w:rsid w:val="000821F6"/>
    <w:rsid w:val="0009562F"/>
    <w:rsid w:val="000B3046"/>
    <w:rsid w:val="000E7C27"/>
    <w:rsid w:val="001144AF"/>
    <w:rsid w:val="00125B88"/>
    <w:rsid w:val="00160C9A"/>
    <w:rsid w:val="001A0B9B"/>
    <w:rsid w:val="001A2651"/>
    <w:rsid w:val="001D7F79"/>
    <w:rsid w:val="001E4954"/>
    <w:rsid w:val="00206A2F"/>
    <w:rsid w:val="00207B30"/>
    <w:rsid w:val="0022282F"/>
    <w:rsid w:val="00234271"/>
    <w:rsid w:val="00244EC3"/>
    <w:rsid w:val="002553ED"/>
    <w:rsid w:val="0028327C"/>
    <w:rsid w:val="00297A89"/>
    <w:rsid w:val="002B3B66"/>
    <w:rsid w:val="002D4776"/>
    <w:rsid w:val="0032018C"/>
    <w:rsid w:val="00327A06"/>
    <w:rsid w:val="003331B5"/>
    <w:rsid w:val="00386052"/>
    <w:rsid w:val="003A497F"/>
    <w:rsid w:val="003C0069"/>
    <w:rsid w:val="003C17BF"/>
    <w:rsid w:val="003C70A9"/>
    <w:rsid w:val="003D73CF"/>
    <w:rsid w:val="003E4DC1"/>
    <w:rsid w:val="00403A02"/>
    <w:rsid w:val="00430DF3"/>
    <w:rsid w:val="00431A21"/>
    <w:rsid w:val="0044439A"/>
    <w:rsid w:val="00466C6B"/>
    <w:rsid w:val="004909FF"/>
    <w:rsid w:val="004C1891"/>
    <w:rsid w:val="004C4B18"/>
    <w:rsid w:val="004F116A"/>
    <w:rsid w:val="00517F58"/>
    <w:rsid w:val="00531912"/>
    <w:rsid w:val="00533C4B"/>
    <w:rsid w:val="00573A41"/>
    <w:rsid w:val="00580942"/>
    <w:rsid w:val="005C6AE2"/>
    <w:rsid w:val="005D31AE"/>
    <w:rsid w:val="005E6032"/>
    <w:rsid w:val="00611CC6"/>
    <w:rsid w:val="0065103A"/>
    <w:rsid w:val="00677B0E"/>
    <w:rsid w:val="00684A4B"/>
    <w:rsid w:val="006A57D9"/>
    <w:rsid w:val="006B1352"/>
    <w:rsid w:val="006E5E72"/>
    <w:rsid w:val="00717A32"/>
    <w:rsid w:val="00731B25"/>
    <w:rsid w:val="007328F8"/>
    <w:rsid w:val="00736B13"/>
    <w:rsid w:val="00783AD1"/>
    <w:rsid w:val="007B6722"/>
    <w:rsid w:val="007E2147"/>
    <w:rsid w:val="007E479E"/>
    <w:rsid w:val="007E70A2"/>
    <w:rsid w:val="007F0ACC"/>
    <w:rsid w:val="007F1205"/>
    <w:rsid w:val="00826B16"/>
    <w:rsid w:val="00863044"/>
    <w:rsid w:val="00865D68"/>
    <w:rsid w:val="008852D4"/>
    <w:rsid w:val="008D4C0F"/>
    <w:rsid w:val="008E21C3"/>
    <w:rsid w:val="008E2662"/>
    <w:rsid w:val="008E5684"/>
    <w:rsid w:val="00911E4C"/>
    <w:rsid w:val="00914E7C"/>
    <w:rsid w:val="00917D33"/>
    <w:rsid w:val="009529FD"/>
    <w:rsid w:val="00961F1E"/>
    <w:rsid w:val="009A198C"/>
    <w:rsid w:val="009B1997"/>
    <w:rsid w:val="009C21C8"/>
    <w:rsid w:val="009D4FCC"/>
    <w:rsid w:val="00A15EEA"/>
    <w:rsid w:val="00A1685D"/>
    <w:rsid w:val="00A33D5B"/>
    <w:rsid w:val="00A44C3A"/>
    <w:rsid w:val="00A46E27"/>
    <w:rsid w:val="00A80754"/>
    <w:rsid w:val="00AB1D06"/>
    <w:rsid w:val="00AC00CD"/>
    <w:rsid w:val="00AC166E"/>
    <w:rsid w:val="00AC6C05"/>
    <w:rsid w:val="00AF1C97"/>
    <w:rsid w:val="00AF4C42"/>
    <w:rsid w:val="00B005F8"/>
    <w:rsid w:val="00B27DE9"/>
    <w:rsid w:val="00B44F3F"/>
    <w:rsid w:val="00B62B41"/>
    <w:rsid w:val="00B6357E"/>
    <w:rsid w:val="00B7716E"/>
    <w:rsid w:val="00B90C40"/>
    <w:rsid w:val="00B91BCA"/>
    <w:rsid w:val="00BB7DDB"/>
    <w:rsid w:val="00BC5812"/>
    <w:rsid w:val="00BE12D7"/>
    <w:rsid w:val="00BE7172"/>
    <w:rsid w:val="00C3304A"/>
    <w:rsid w:val="00C51740"/>
    <w:rsid w:val="00C677B6"/>
    <w:rsid w:val="00C9741A"/>
    <w:rsid w:val="00CB659E"/>
    <w:rsid w:val="00CD21C6"/>
    <w:rsid w:val="00CD329D"/>
    <w:rsid w:val="00CE4D77"/>
    <w:rsid w:val="00D23102"/>
    <w:rsid w:val="00D32A3E"/>
    <w:rsid w:val="00D45F69"/>
    <w:rsid w:val="00D57717"/>
    <w:rsid w:val="00DA4E7B"/>
    <w:rsid w:val="00DB5D2C"/>
    <w:rsid w:val="00DC5923"/>
    <w:rsid w:val="00DD2EE7"/>
    <w:rsid w:val="00E0381F"/>
    <w:rsid w:val="00E2028C"/>
    <w:rsid w:val="00E67236"/>
    <w:rsid w:val="00E74510"/>
    <w:rsid w:val="00E756AA"/>
    <w:rsid w:val="00E9305B"/>
    <w:rsid w:val="00EC051E"/>
    <w:rsid w:val="00EE4675"/>
    <w:rsid w:val="00F0673B"/>
    <w:rsid w:val="00F301C5"/>
    <w:rsid w:val="00F73C2D"/>
    <w:rsid w:val="00F92526"/>
    <w:rsid w:val="00FB28A5"/>
    <w:rsid w:val="00FC2FA1"/>
    <w:rsid w:val="00FC6E24"/>
    <w:rsid w:val="00FD42EA"/>
    <w:rsid w:val="00FD75C8"/>
    <w:rsid w:val="00FE390D"/>
    <w:rsid w:val="00FF6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524E6"/>
  <w15:chartTrackingRefBased/>
  <w15:docId w15:val="{BB834DC9-CB50-46A1-B65C-B6E1A0C8E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1205"/>
    <w:pPr>
      <w:spacing w:line="360" w:lineRule="auto"/>
    </w:pPr>
    <w:rPr>
      <w:rFonts w:ascii="Arial" w:hAnsi="Arial"/>
      <w:sz w:val="24"/>
    </w:rPr>
  </w:style>
  <w:style w:type="paragraph" w:styleId="1">
    <w:name w:val="heading 1"/>
    <w:basedOn w:val="a"/>
    <w:next w:val="a"/>
    <w:link w:val="10"/>
    <w:autoRedefine/>
    <w:uiPriority w:val="9"/>
    <w:qFormat/>
    <w:rsid w:val="00047443"/>
    <w:pPr>
      <w:keepNext/>
      <w:keepLines/>
      <w:spacing w:before="240" w:after="0"/>
      <w:outlineLvl w:val="0"/>
    </w:pPr>
    <w:rPr>
      <w:rFonts w:eastAsiaTheme="majorEastAsia" w:cstheme="majorBidi"/>
      <w:b/>
      <w:color w:val="44546A" w:themeColor="text2"/>
      <w:sz w:val="32"/>
      <w:szCs w:val="32"/>
      <w:lang w:val="en-US"/>
    </w:rPr>
  </w:style>
  <w:style w:type="paragraph" w:styleId="2">
    <w:name w:val="heading 2"/>
    <w:basedOn w:val="a"/>
    <w:next w:val="a"/>
    <w:link w:val="20"/>
    <w:autoRedefine/>
    <w:uiPriority w:val="9"/>
    <w:unhideWhenUsed/>
    <w:qFormat/>
    <w:rsid w:val="006A57D9"/>
    <w:pPr>
      <w:keepNext/>
      <w:keepLines/>
      <w:spacing w:before="40" w:after="0"/>
      <w:outlineLvl w:val="1"/>
    </w:pPr>
    <w:rPr>
      <w:rFonts w:eastAsiaTheme="majorEastAsia" w:cstheme="majorBidi"/>
      <w:b/>
      <w:sz w:val="28"/>
      <w:szCs w:val="24"/>
    </w:rPr>
  </w:style>
  <w:style w:type="paragraph" w:styleId="3">
    <w:name w:val="heading 3"/>
    <w:basedOn w:val="a"/>
    <w:next w:val="a"/>
    <w:link w:val="30"/>
    <w:autoRedefine/>
    <w:uiPriority w:val="9"/>
    <w:unhideWhenUsed/>
    <w:rsid w:val="006A57D9"/>
    <w:pPr>
      <w:keepNext/>
      <w:keepLines/>
      <w:spacing w:before="40" w:after="0"/>
      <w:outlineLvl w:val="2"/>
    </w:pPr>
    <w:rPr>
      <w:rFonts w:eastAsiaTheme="majorEastAsia" w:cstheme="majorBidi"/>
      <w:b/>
      <w:szCs w:val="24"/>
    </w:rPr>
  </w:style>
  <w:style w:type="paragraph" w:styleId="4">
    <w:name w:val="heading 4"/>
    <w:basedOn w:val="a"/>
    <w:next w:val="a"/>
    <w:link w:val="40"/>
    <w:uiPriority w:val="9"/>
    <w:semiHidden/>
    <w:unhideWhenUsed/>
    <w:qFormat/>
    <w:rsid w:val="00047443"/>
    <w:pPr>
      <w:keepNext/>
      <w:keepLines/>
      <w:spacing w:before="40" w:after="0"/>
      <w:outlineLvl w:val="3"/>
    </w:pPr>
    <w:rPr>
      <w:rFonts w:eastAsiaTheme="majorEastAsia" w:cstheme="majorBidi"/>
      <w:b/>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047443"/>
    <w:rPr>
      <w:rFonts w:ascii="Arial" w:eastAsiaTheme="majorEastAsia" w:hAnsi="Arial" w:cstheme="majorBidi"/>
      <w:b/>
      <w:color w:val="44546A" w:themeColor="text2"/>
      <w:sz w:val="32"/>
      <w:szCs w:val="32"/>
      <w:lang w:val="en-US"/>
    </w:rPr>
  </w:style>
  <w:style w:type="character" w:customStyle="1" w:styleId="20">
    <w:name w:val="Заглавие 2 Знак"/>
    <w:basedOn w:val="a0"/>
    <w:link w:val="2"/>
    <w:uiPriority w:val="9"/>
    <w:rsid w:val="006A57D9"/>
    <w:rPr>
      <w:rFonts w:ascii="Arial" w:eastAsiaTheme="majorEastAsia" w:hAnsi="Arial" w:cstheme="majorBidi"/>
      <w:b/>
      <w:sz w:val="28"/>
      <w:szCs w:val="24"/>
    </w:rPr>
  </w:style>
  <w:style w:type="paragraph" w:styleId="a3">
    <w:name w:val="Title"/>
    <w:basedOn w:val="a"/>
    <w:next w:val="a"/>
    <w:link w:val="a4"/>
    <w:autoRedefine/>
    <w:uiPriority w:val="10"/>
    <w:qFormat/>
    <w:rsid w:val="00C3304A"/>
    <w:pPr>
      <w:spacing w:after="0" w:line="240" w:lineRule="auto"/>
      <w:contextualSpacing/>
    </w:pPr>
    <w:rPr>
      <w:rFonts w:eastAsiaTheme="majorEastAsia" w:cstheme="majorBidi"/>
      <w:b/>
      <w:spacing w:val="-10"/>
      <w:kern w:val="28"/>
      <w:sz w:val="56"/>
      <w:szCs w:val="56"/>
    </w:rPr>
  </w:style>
  <w:style w:type="character" w:customStyle="1" w:styleId="a4">
    <w:name w:val="Заглавие Знак"/>
    <w:basedOn w:val="a0"/>
    <w:link w:val="a3"/>
    <w:uiPriority w:val="10"/>
    <w:rsid w:val="00C3304A"/>
    <w:rPr>
      <w:rFonts w:ascii="Arial" w:eastAsiaTheme="majorEastAsia" w:hAnsi="Arial" w:cstheme="majorBidi"/>
      <w:b/>
      <w:spacing w:val="-10"/>
      <w:kern w:val="28"/>
      <w:sz w:val="56"/>
      <w:szCs w:val="56"/>
    </w:rPr>
  </w:style>
  <w:style w:type="character" w:customStyle="1" w:styleId="30">
    <w:name w:val="Заглавие 3 Знак"/>
    <w:basedOn w:val="a0"/>
    <w:link w:val="3"/>
    <w:uiPriority w:val="9"/>
    <w:rsid w:val="006A57D9"/>
    <w:rPr>
      <w:rFonts w:ascii="Arial" w:eastAsiaTheme="majorEastAsia" w:hAnsi="Arial" w:cstheme="majorBidi"/>
      <w:b/>
      <w:sz w:val="24"/>
      <w:szCs w:val="24"/>
    </w:rPr>
  </w:style>
  <w:style w:type="paragraph" w:styleId="a5">
    <w:name w:val="header"/>
    <w:basedOn w:val="a"/>
    <w:link w:val="a6"/>
    <w:uiPriority w:val="99"/>
    <w:unhideWhenUsed/>
    <w:rsid w:val="003C70A9"/>
    <w:pPr>
      <w:tabs>
        <w:tab w:val="center" w:pos="4513"/>
        <w:tab w:val="right" w:pos="9026"/>
      </w:tabs>
      <w:spacing w:after="0" w:line="240" w:lineRule="auto"/>
    </w:pPr>
  </w:style>
  <w:style w:type="character" w:customStyle="1" w:styleId="a6">
    <w:name w:val="Горен колонтитул Знак"/>
    <w:basedOn w:val="a0"/>
    <w:link w:val="a5"/>
    <w:uiPriority w:val="99"/>
    <w:rsid w:val="003C70A9"/>
    <w:rPr>
      <w:rFonts w:ascii="Arial" w:hAnsi="Arial"/>
      <w:sz w:val="24"/>
    </w:rPr>
  </w:style>
  <w:style w:type="paragraph" w:styleId="a7">
    <w:name w:val="footer"/>
    <w:basedOn w:val="a"/>
    <w:link w:val="a8"/>
    <w:uiPriority w:val="99"/>
    <w:unhideWhenUsed/>
    <w:rsid w:val="003C70A9"/>
    <w:pPr>
      <w:tabs>
        <w:tab w:val="center" w:pos="4513"/>
        <w:tab w:val="right" w:pos="9026"/>
      </w:tabs>
      <w:spacing w:after="0" w:line="240" w:lineRule="auto"/>
    </w:pPr>
  </w:style>
  <w:style w:type="character" w:customStyle="1" w:styleId="a8">
    <w:name w:val="Долен колонтитул Знак"/>
    <w:basedOn w:val="a0"/>
    <w:link w:val="a7"/>
    <w:uiPriority w:val="99"/>
    <w:rsid w:val="003C70A9"/>
    <w:rPr>
      <w:rFonts w:ascii="Arial" w:hAnsi="Arial"/>
      <w:sz w:val="24"/>
    </w:rPr>
  </w:style>
  <w:style w:type="paragraph" w:styleId="a9">
    <w:name w:val="TOC Heading"/>
    <w:basedOn w:val="1"/>
    <w:next w:val="a"/>
    <w:uiPriority w:val="39"/>
    <w:unhideWhenUsed/>
    <w:qFormat/>
    <w:rsid w:val="003C70A9"/>
    <w:pPr>
      <w:spacing w:line="259" w:lineRule="auto"/>
      <w:jc w:val="left"/>
      <w:outlineLvl w:val="9"/>
    </w:pPr>
    <w:rPr>
      <w:rFonts w:asciiTheme="majorHAnsi" w:hAnsiTheme="majorHAnsi"/>
      <w:b w:val="0"/>
      <w:color w:val="2F5496" w:themeColor="accent1" w:themeShade="BF"/>
    </w:rPr>
  </w:style>
  <w:style w:type="paragraph" w:styleId="11">
    <w:name w:val="toc 1"/>
    <w:basedOn w:val="a"/>
    <w:next w:val="a"/>
    <w:autoRedefine/>
    <w:uiPriority w:val="39"/>
    <w:unhideWhenUsed/>
    <w:rsid w:val="003C70A9"/>
    <w:pPr>
      <w:spacing w:after="100"/>
    </w:pPr>
  </w:style>
  <w:style w:type="character" w:styleId="aa">
    <w:name w:val="Hyperlink"/>
    <w:basedOn w:val="a0"/>
    <w:uiPriority w:val="99"/>
    <w:unhideWhenUsed/>
    <w:rsid w:val="003C70A9"/>
    <w:rPr>
      <w:color w:val="0563C1" w:themeColor="hyperlink"/>
      <w:u w:val="single"/>
    </w:rPr>
  </w:style>
  <w:style w:type="paragraph" w:styleId="ab">
    <w:name w:val="List Paragraph"/>
    <w:basedOn w:val="a"/>
    <w:uiPriority w:val="34"/>
    <w:qFormat/>
    <w:rsid w:val="00FF60E5"/>
    <w:pPr>
      <w:ind w:left="720"/>
      <w:contextualSpacing/>
    </w:pPr>
  </w:style>
  <w:style w:type="paragraph" w:styleId="21">
    <w:name w:val="toc 2"/>
    <w:basedOn w:val="a"/>
    <w:next w:val="a"/>
    <w:autoRedefine/>
    <w:uiPriority w:val="39"/>
    <w:unhideWhenUsed/>
    <w:rsid w:val="00B005F8"/>
    <w:pPr>
      <w:spacing w:after="100"/>
      <w:ind w:left="240"/>
    </w:pPr>
  </w:style>
  <w:style w:type="character" w:customStyle="1" w:styleId="40">
    <w:name w:val="Заглавие 4 Знак"/>
    <w:basedOn w:val="a0"/>
    <w:link w:val="4"/>
    <w:uiPriority w:val="9"/>
    <w:semiHidden/>
    <w:rsid w:val="00047443"/>
    <w:rPr>
      <w:rFonts w:ascii="Arial" w:eastAsiaTheme="majorEastAsia" w:hAnsi="Arial" w:cstheme="majorBidi"/>
      <w:b/>
      <w:i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CF6E3F-98BD-4A8E-8FE6-EEBB3221E72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2511</Words>
  <Characters>14317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Veronika Zhevala</dc:creator>
  <cp:keywords/>
  <dc:description/>
  <cp:lastModifiedBy>Veronika Zheleva</cp:lastModifiedBy>
  <cp:revision>2</cp:revision>
  <dcterms:created xsi:type="dcterms:W3CDTF">2020-12-14T21:22:00Z</dcterms:created>
  <dcterms:modified xsi:type="dcterms:W3CDTF">2020-12-14T21:22:00Z</dcterms:modified>
</cp:coreProperties>
</file>