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12"/>
        <w:jc w:val="center"/>
        <w:rPr>
          <w:b/>
          <w:sz w:val="56"/>
        </w:rPr>
      </w:pPr>
      <w:r>
        <w:rPr>
          <w:b/>
          <w:sz w:val="56"/>
        </w:rPr>
        <w:drawing>
          <wp:inline distT="0" distB="0" distL="0" distR="0">
            <wp:extent cx="3524250" cy="1404620"/>
            <wp:effectExtent l="0" t="0" r="0" b="5080"/>
            <wp:docPr id="4" name="Picture 4"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3535284" cy="1409307"/>
                    </a:xfrm>
                    <a:prstGeom prst="rect">
                      <a:avLst/>
                    </a:prstGeom>
                    <a:noFill/>
                  </pic:spPr>
                </pic:pic>
              </a:graphicData>
            </a:graphic>
          </wp:inline>
        </w:drawing>
      </w:r>
    </w:p>
    <w:p>
      <w:pPr>
        <w:spacing w:before="212"/>
        <w:jc w:val="center"/>
        <w:rPr>
          <w:b/>
          <w:sz w:val="36"/>
          <w:szCs w:val="36"/>
        </w:rPr>
      </w:pPr>
    </w:p>
    <w:p>
      <w:pPr>
        <w:spacing w:before="212"/>
        <w:rPr>
          <w:b/>
          <w:sz w:val="56"/>
        </w:rPr>
      </w:pPr>
    </w:p>
    <w:p>
      <w:pPr>
        <w:spacing w:before="212"/>
        <w:rPr>
          <w:b/>
          <w:sz w:val="48"/>
          <w:szCs w:val="48"/>
        </w:rPr>
      </w:pPr>
      <w:r>
        <w:rPr>
          <w:b/>
          <w:sz w:val="48"/>
          <w:szCs w:val="48"/>
        </w:rPr>
        <w:t>MODULE CODE: ECDE7020</w:t>
      </w:r>
    </w:p>
    <w:p>
      <w:pPr>
        <w:spacing w:before="212"/>
        <w:rPr>
          <w:b/>
          <w:sz w:val="48"/>
          <w:szCs w:val="48"/>
        </w:rPr>
      </w:pPr>
    </w:p>
    <w:p>
      <w:pPr>
        <w:spacing w:before="212"/>
        <w:rPr>
          <w:b/>
          <w:sz w:val="48"/>
          <w:szCs w:val="48"/>
        </w:rPr>
      </w:pPr>
      <w:r>
        <w:rPr>
          <w:b/>
          <w:sz w:val="48"/>
          <w:szCs w:val="48"/>
        </w:rPr>
        <w:t>ASSESSMENT COMPONENT: 1</w:t>
      </w:r>
    </w:p>
    <w:p>
      <w:pPr>
        <w:spacing w:before="7"/>
        <w:jc w:val="center"/>
        <w:rPr>
          <w:b/>
          <w:sz w:val="44"/>
        </w:rPr>
      </w:pPr>
    </w:p>
    <w:p>
      <w:pPr>
        <w:spacing w:before="3"/>
        <w:rPr>
          <w:rFonts w:hint="default"/>
          <w:b/>
          <w:sz w:val="48"/>
          <w:szCs w:val="48"/>
          <w:lang w:val="en-US"/>
        </w:rPr>
      </w:pPr>
      <w:r>
        <w:rPr>
          <w:b/>
          <w:sz w:val="48"/>
          <w:szCs w:val="48"/>
        </w:rPr>
        <w:t>STUDENT NAME:</w:t>
      </w:r>
      <w:r>
        <w:rPr>
          <w:rFonts w:hint="default"/>
          <w:b/>
          <w:sz w:val="48"/>
          <w:szCs w:val="48"/>
          <w:lang w:val="en-US"/>
        </w:rPr>
        <w:t xml:space="preserve"> Mengying Huang</w:t>
      </w:r>
    </w:p>
    <w:p>
      <w:pPr>
        <w:spacing w:before="3"/>
        <w:rPr>
          <w:b/>
          <w:sz w:val="48"/>
          <w:szCs w:val="48"/>
        </w:rPr>
      </w:pPr>
    </w:p>
    <w:p>
      <w:pPr>
        <w:spacing w:before="3"/>
        <w:rPr>
          <w:rFonts w:hint="default"/>
          <w:b/>
          <w:sz w:val="48"/>
          <w:szCs w:val="48"/>
          <w:lang w:val="en-US"/>
        </w:rPr>
      </w:pPr>
      <w:r>
        <w:rPr>
          <w:b/>
          <w:sz w:val="48"/>
          <w:szCs w:val="48"/>
        </w:rPr>
        <w:t>STUDENT NUMBER:</w:t>
      </w:r>
      <w:r>
        <w:rPr>
          <w:rFonts w:hint="default"/>
          <w:b/>
          <w:sz w:val="48"/>
          <w:szCs w:val="48"/>
          <w:lang w:val="en-US"/>
        </w:rPr>
        <w:t xml:space="preserve"> 2306791</w:t>
      </w:r>
    </w:p>
    <w:p>
      <w:pPr>
        <w:rPr>
          <w:b/>
          <w:sz w:val="47"/>
        </w:rPr>
      </w:pPr>
    </w:p>
    <w:p>
      <w:pPr>
        <w:ind w:left="100"/>
        <w:jc w:val="center"/>
        <w:rPr>
          <w:b/>
          <w:sz w:val="47"/>
        </w:rPr>
      </w:pPr>
    </w:p>
    <w:p>
      <w:pPr>
        <w:ind w:left="100"/>
        <w:rPr>
          <w:b/>
          <w:sz w:val="47"/>
        </w:rPr>
      </w:pPr>
    </w:p>
    <w:p>
      <w:pPr>
        <w:ind w:left="100"/>
        <w:rPr>
          <w:b/>
          <w:sz w:val="47"/>
        </w:rPr>
      </w:pPr>
    </w:p>
    <w:p>
      <w:pPr>
        <w:ind w:left="100"/>
        <w:rPr>
          <w:b/>
          <w:sz w:val="47"/>
        </w:rPr>
      </w:pPr>
      <w:r>
        <w:rPr>
          <w:b/>
          <w:sz w:val="47"/>
        </w:rPr>
        <w:t>Doctorate in Education (EdD)</w:t>
      </w:r>
    </w:p>
    <w:p>
      <w:pPr>
        <w:spacing w:before="200"/>
        <w:ind w:firstLine="720"/>
        <w:jc w:val="center"/>
        <w:rPr>
          <w:rFonts w:cs="Arial"/>
          <w:b/>
          <w:sz w:val="22"/>
          <w:szCs w:val="22"/>
        </w:rPr>
      </w:pPr>
    </w:p>
    <w:p>
      <w:pPr>
        <w:rPr>
          <w:rFonts w:cs="Arial"/>
          <w:b/>
          <w:sz w:val="22"/>
          <w:szCs w:val="22"/>
        </w:rPr>
      </w:pPr>
      <w:r>
        <w:rPr>
          <w:rFonts w:cs="Arial"/>
          <w:b/>
          <w:sz w:val="22"/>
          <w:szCs w:val="22"/>
        </w:rPr>
        <w:br w:type="page"/>
      </w:r>
    </w:p>
    <w:p>
      <w:pPr>
        <w:spacing w:before="200"/>
        <w:ind w:firstLine="720"/>
        <w:jc w:val="center"/>
        <w:rPr>
          <w:rFonts w:cs="Arial"/>
          <w:b/>
          <w:sz w:val="22"/>
          <w:szCs w:val="22"/>
        </w:rPr>
      </w:pPr>
      <w:r>
        <w:rPr>
          <w:rFonts w:cs="Arial"/>
          <w:b/>
          <w:sz w:val="22"/>
          <w:szCs w:val="22"/>
        </w:rPr>
        <w:t>ECDE7020 Research Proposal</w:t>
      </w:r>
    </w:p>
    <w:p>
      <w:pPr>
        <w:rPr>
          <w:rFonts w:cs="Arial"/>
          <w:b/>
          <w:sz w:val="22"/>
          <w:szCs w:val="22"/>
        </w:rPr>
      </w:pPr>
    </w:p>
    <w:p>
      <w:pPr>
        <w:spacing w:before="240"/>
        <w:rPr>
          <w:rFonts w:cs="Arial"/>
          <w:b/>
          <w:sz w:val="22"/>
          <w:szCs w:val="22"/>
        </w:rPr>
      </w:pPr>
      <w:r>
        <w:rPr>
          <w:rFonts w:cs="Arial"/>
          <w:b/>
          <w:sz w:val="22"/>
          <w:szCs w:val="22"/>
        </w:rPr>
        <w:t xml:space="preserve">Student Details </w:t>
      </w:r>
    </w:p>
    <w:p>
      <w:pPr>
        <w:spacing w:before="240"/>
        <w:rPr>
          <w:rFonts w:cs="Arial"/>
          <w:b/>
          <w:sz w:val="22"/>
          <w:szCs w:val="22"/>
        </w:rPr>
      </w:pP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0"/>
        <w:gridCol w:w="2381"/>
        <w:gridCol w:w="2155"/>
        <w:gridCol w:w="35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1" w:type="dxa"/>
            <w:gridSpan w:val="2"/>
            <w:shd w:val="clear" w:color="auto" w:fill="F1F1F1" w:themeFill="background1" w:themeFillShade="F2"/>
          </w:tcPr>
          <w:p>
            <w:pPr>
              <w:tabs>
                <w:tab w:val="center" w:pos="2202"/>
              </w:tabs>
              <w:rPr>
                <w:rFonts w:cs="Arial"/>
                <w:sz w:val="22"/>
                <w:szCs w:val="22"/>
              </w:rPr>
            </w:pPr>
            <w:r>
              <w:rPr>
                <w:rFonts w:cs="Arial"/>
                <w:b/>
                <w:bCs/>
                <w:sz w:val="22"/>
                <w:szCs w:val="22"/>
              </w:rPr>
              <w:t>Student Family / Surname</w:t>
            </w:r>
            <w:r>
              <w:rPr>
                <w:rFonts w:cs="Arial"/>
                <w:sz w:val="22"/>
                <w:szCs w:val="22"/>
              </w:rPr>
              <w:t>:</w:t>
            </w:r>
          </w:p>
          <w:p>
            <w:pPr>
              <w:rPr>
                <w:rFonts w:cs="Arial"/>
                <w:sz w:val="22"/>
                <w:szCs w:val="22"/>
              </w:rPr>
            </w:pPr>
          </w:p>
        </w:tc>
        <w:tc>
          <w:tcPr>
            <w:tcW w:w="5670" w:type="dxa"/>
            <w:gridSpan w:val="2"/>
            <w:shd w:val="clear" w:color="auto" w:fill="auto"/>
          </w:tcPr>
          <w:p>
            <w:pPr>
              <w:rPr>
                <w:rFonts w:hint="default" w:cs="Arial"/>
                <w:sz w:val="22"/>
                <w:szCs w:val="22"/>
                <w:lang w:val="en-US"/>
              </w:rPr>
            </w:pPr>
            <w:r>
              <w:rPr>
                <w:rFonts w:hint="default" w:cs="Arial"/>
                <w:sz w:val="22"/>
                <w:szCs w:val="22"/>
                <w:lang w:val="en-US"/>
              </w:rPr>
              <w:t>Huang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1" w:type="dxa"/>
            <w:gridSpan w:val="2"/>
            <w:shd w:val="clear" w:color="auto" w:fill="F1F1F1" w:themeFill="background1" w:themeFillShade="F2"/>
          </w:tcPr>
          <w:p>
            <w:pPr>
              <w:rPr>
                <w:rFonts w:cs="Arial"/>
                <w:sz w:val="22"/>
                <w:szCs w:val="22"/>
              </w:rPr>
            </w:pPr>
            <w:r>
              <w:rPr>
                <w:rFonts w:cs="Arial"/>
                <w:b/>
                <w:bCs/>
                <w:sz w:val="22"/>
                <w:szCs w:val="22"/>
              </w:rPr>
              <w:t>Student Given / First name</w:t>
            </w:r>
            <w:r>
              <w:rPr>
                <w:rFonts w:cs="Arial"/>
                <w:sz w:val="22"/>
                <w:szCs w:val="22"/>
              </w:rPr>
              <w:t>:</w:t>
            </w:r>
          </w:p>
          <w:p>
            <w:pPr>
              <w:rPr>
                <w:rFonts w:cs="Arial"/>
                <w:sz w:val="22"/>
                <w:szCs w:val="22"/>
              </w:rPr>
            </w:pPr>
          </w:p>
        </w:tc>
        <w:tc>
          <w:tcPr>
            <w:tcW w:w="5670" w:type="dxa"/>
            <w:gridSpan w:val="2"/>
            <w:shd w:val="clear" w:color="auto" w:fill="auto"/>
          </w:tcPr>
          <w:p>
            <w:pPr>
              <w:rPr>
                <w:rFonts w:hint="default" w:cs="Arial"/>
                <w:sz w:val="22"/>
                <w:szCs w:val="22"/>
                <w:lang w:val="en-US"/>
              </w:rPr>
            </w:pPr>
            <w:r>
              <w:rPr>
                <w:rFonts w:hint="default" w:cs="Arial"/>
                <w:sz w:val="22"/>
                <w:szCs w:val="22"/>
                <w:lang w:val="en-US"/>
              </w:rPr>
              <w:t>Mengying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1" w:type="dxa"/>
            <w:gridSpan w:val="2"/>
            <w:shd w:val="clear" w:color="auto" w:fill="F1F1F1" w:themeFill="background1" w:themeFillShade="F2"/>
          </w:tcPr>
          <w:p>
            <w:pPr>
              <w:rPr>
                <w:rFonts w:cs="Arial"/>
                <w:b/>
                <w:bCs/>
                <w:sz w:val="22"/>
                <w:szCs w:val="22"/>
              </w:rPr>
            </w:pPr>
            <w:r>
              <w:rPr>
                <w:rFonts w:cs="Arial"/>
                <w:b/>
                <w:bCs/>
                <w:sz w:val="22"/>
                <w:szCs w:val="22"/>
              </w:rPr>
              <w:t>Student Number</w:t>
            </w:r>
          </w:p>
          <w:p>
            <w:pPr>
              <w:tabs>
                <w:tab w:val="center" w:pos="2202"/>
              </w:tabs>
              <w:rPr>
                <w:rFonts w:cs="Arial"/>
                <w:sz w:val="22"/>
                <w:szCs w:val="22"/>
              </w:rPr>
            </w:pPr>
          </w:p>
        </w:tc>
        <w:tc>
          <w:tcPr>
            <w:tcW w:w="5670" w:type="dxa"/>
            <w:gridSpan w:val="2"/>
            <w:shd w:val="clear" w:color="auto" w:fill="auto"/>
          </w:tcPr>
          <w:p>
            <w:pPr>
              <w:rPr>
                <w:rFonts w:hint="default" w:cs="Arial"/>
                <w:sz w:val="22"/>
                <w:szCs w:val="22"/>
                <w:lang w:val="en-US"/>
              </w:rPr>
            </w:pPr>
            <w:r>
              <w:rPr>
                <w:rFonts w:hint="default" w:cs="Arial"/>
                <w:sz w:val="22"/>
                <w:szCs w:val="22"/>
                <w:lang w:val="en-US"/>
              </w:rPr>
              <w:t>2306791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30" w:type="dxa"/>
            <w:shd w:val="clear" w:color="auto" w:fill="F1F1F1" w:themeFill="background1" w:themeFillShade="F2"/>
          </w:tcPr>
          <w:p>
            <w:pPr>
              <w:rPr>
                <w:rFonts w:cs="Arial"/>
                <w:b/>
                <w:bCs/>
                <w:sz w:val="22"/>
                <w:szCs w:val="22"/>
              </w:rPr>
            </w:pPr>
            <w:r>
              <w:rPr>
                <w:rFonts w:cs="Arial"/>
                <w:b/>
                <w:bCs/>
                <w:sz w:val="22"/>
                <w:szCs w:val="22"/>
              </w:rPr>
              <w:t>Start Date</w:t>
            </w:r>
          </w:p>
        </w:tc>
        <w:tc>
          <w:tcPr>
            <w:tcW w:w="2381" w:type="dxa"/>
            <w:shd w:val="clear" w:color="auto" w:fill="FFFFFF" w:themeFill="background1"/>
          </w:tcPr>
          <w:p>
            <w:pPr>
              <w:rPr>
                <w:rFonts w:hint="default" w:cs="Arial"/>
                <w:color w:val="000000" w:themeColor="text1"/>
                <w:sz w:val="22"/>
                <w:szCs w:val="22"/>
                <w:lang w:val="en-US"/>
                <w14:textFill>
                  <w14:solidFill>
                    <w14:schemeClr w14:val="tx1"/>
                  </w14:solidFill>
                </w14:textFill>
              </w:rPr>
            </w:pPr>
            <w:r>
              <w:rPr>
                <w:rFonts w:hint="default" w:cs="Arial"/>
                <w:color w:val="000000" w:themeColor="text1"/>
                <w:sz w:val="22"/>
                <w:szCs w:val="22"/>
                <w:lang w:val="en-US"/>
                <w14:textFill>
                  <w14:solidFill>
                    <w14:schemeClr w14:val="tx1"/>
                  </w14:solidFill>
                </w14:textFill>
              </w:rPr>
              <w:t>01/10/2024</w:t>
            </w:r>
          </w:p>
        </w:tc>
        <w:tc>
          <w:tcPr>
            <w:tcW w:w="2155" w:type="dxa"/>
            <w:shd w:val="clear" w:color="auto" w:fill="F1F1F1" w:themeFill="background1" w:themeFillShade="F2"/>
          </w:tcPr>
          <w:p>
            <w:pPr>
              <w:rPr>
                <w:rFonts w:cs="Arial"/>
                <w:b/>
                <w:bCs/>
                <w:sz w:val="22"/>
                <w:szCs w:val="22"/>
              </w:rPr>
            </w:pPr>
            <w:r>
              <w:rPr>
                <w:rFonts w:cs="Arial"/>
                <w:b/>
                <w:bCs/>
                <w:sz w:val="22"/>
                <w:szCs w:val="22"/>
              </w:rPr>
              <w:t>End Date</w:t>
            </w:r>
          </w:p>
        </w:tc>
        <w:tc>
          <w:tcPr>
            <w:tcW w:w="3515" w:type="dxa"/>
            <w:shd w:val="clear" w:color="auto" w:fill="auto"/>
          </w:tcPr>
          <w:p>
            <w:pPr>
              <w:rPr>
                <w:rFonts w:hint="default" w:cs="Arial"/>
                <w:sz w:val="22"/>
                <w:szCs w:val="22"/>
                <w:lang w:val="en-US"/>
              </w:rPr>
            </w:pPr>
            <w:r>
              <w:rPr>
                <w:rFonts w:hint="default" w:cs="Arial"/>
                <w:sz w:val="22"/>
                <w:szCs w:val="22"/>
                <w:lang w:val="en-US"/>
              </w:rPr>
              <w:t>30/09/2027</w:t>
            </w:r>
          </w:p>
        </w:tc>
      </w:tr>
    </w:tbl>
    <w:p/>
    <w:tbl>
      <w:tblPr>
        <w:tblStyle w:val="1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3"/>
        <w:gridCol w:w="1660"/>
        <w:gridCol w:w="1648"/>
        <w:gridCol w:w="1662"/>
        <w:gridCol w:w="1629"/>
        <w:gridCol w:w="1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shd w:val="clear" w:color="auto" w:fill="F1F1F1" w:themeFill="background1" w:themeFillShade="F2"/>
          </w:tcPr>
          <w:p>
            <w:pPr>
              <w:rPr>
                <w:rFonts w:cs="Arial"/>
                <w:sz w:val="22"/>
                <w:szCs w:val="22"/>
              </w:rPr>
            </w:pPr>
            <w:r>
              <w:rPr>
                <w:rFonts w:cs="Arial"/>
                <w:sz w:val="22"/>
                <w:szCs w:val="22"/>
              </w:rPr>
              <w:t>PhD</w:t>
            </w:r>
          </w:p>
          <w:p>
            <w:pPr>
              <w:rPr>
                <w:rFonts w:cs="Arial"/>
                <w:sz w:val="22"/>
                <w:szCs w:val="22"/>
              </w:rPr>
            </w:pPr>
            <w:r>
              <w:rPr>
                <w:rFonts w:cs="Arial"/>
                <w:sz w:val="22"/>
                <w:szCs w:val="22"/>
              </w:rPr>
              <w:t>by Research</w:t>
            </w:r>
          </w:p>
        </w:tc>
        <w:tc>
          <w:tcPr>
            <w:tcW w:w="1660" w:type="dxa"/>
            <w:shd w:val="clear" w:color="auto" w:fill="F1F1F1" w:themeFill="background1" w:themeFillShade="F2"/>
          </w:tcPr>
          <w:p>
            <w:pPr>
              <w:rPr>
                <w:rFonts w:cs="Arial"/>
                <w:sz w:val="22"/>
                <w:szCs w:val="22"/>
              </w:rPr>
            </w:pPr>
            <w:r>
              <w:rPr>
                <w:rFonts w:cs="Arial"/>
                <w:sz w:val="22"/>
                <w:szCs w:val="22"/>
              </w:rPr>
              <w:t xml:space="preserve">PhD </w:t>
            </w:r>
          </w:p>
          <w:p>
            <w:pPr>
              <w:rPr>
                <w:rFonts w:cs="Arial"/>
                <w:sz w:val="22"/>
                <w:szCs w:val="22"/>
              </w:rPr>
            </w:pPr>
            <w:r>
              <w:rPr>
                <w:rFonts w:cs="Arial"/>
                <w:sz w:val="22"/>
                <w:szCs w:val="22"/>
              </w:rPr>
              <w:t>Practice Based</w:t>
            </w:r>
          </w:p>
        </w:tc>
        <w:tc>
          <w:tcPr>
            <w:tcW w:w="1648" w:type="dxa"/>
            <w:shd w:val="clear" w:color="auto" w:fill="F1F1F1" w:themeFill="background1" w:themeFillShade="F2"/>
          </w:tcPr>
          <w:p>
            <w:pPr>
              <w:rPr>
                <w:rFonts w:cs="Arial"/>
                <w:sz w:val="22"/>
                <w:szCs w:val="22"/>
              </w:rPr>
            </w:pPr>
            <w:r>
              <w:rPr>
                <w:rFonts w:cs="Arial"/>
                <w:sz w:val="22"/>
                <w:szCs w:val="22"/>
              </w:rPr>
              <w:t xml:space="preserve">PhD by </w:t>
            </w:r>
          </w:p>
          <w:p>
            <w:pPr>
              <w:rPr>
                <w:rFonts w:cs="Arial"/>
                <w:sz w:val="22"/>
                <w:szCs w:val="22"/>
              </w:rPr>
            </w:pPr>
            <w:r>
              <w:rPr>
                <w:rFonts w:cs="Arial"/>
                <w:sz w:val="22"/>
                <w:szCs w:val="22"/>
              </w:rPr>
              <w:t>Published Works</w:t>
            </w:r>
          </w:p>
        </w:tc>
        <w:tc>
          <w:tcPr>
            <w:tcW w:w="1662" w:type="dxa"/>
            <w:shd w:val="clear" w:color="auto" w:fill="F1F1F1" w:themeFill="background1" w:themeFillShade="F2"/>
          </w:tcPr>
          <w:p>
            <w:pPr>
              <w:rPr>
                <w:rFonts w:cs="Arial"/>
                <w:sz w:val="22"/>
                <w:szCs w:val="22"/>
              </w:rPr>
            </w:pPr>
            <w:r>
              <w:rPr>
                <w:rFonts w:cs="Arial"/>
                <w:sz w:val="22"/>
                <w:szCs w:val="22"/>
              </w:rPr>
              <w:t>Professional Doctorate</w:t>
            </w:r>
          </w:p>
          <w:p>
            <w:pPr>
              <w:rPr>
                <w:rFonts w:cs="Arial"/>
                <w:sz w:val="22"/>
                <w:szCs w:val="22"/>
              </w:rPr>
            </w:pPr>
            <w:r>
              <w:rPr>
                <w:rFonts w:cs="Arial"/>
                <w:szCs w:val="22"/>
              </w:rPr>
              <w:t>(including DBA, DProf, Ed D)</w:t>
            </w:r>
          </w:p>
        </w:tc>
        <w:tc>
          <w:tcPr>
            <w:tcW w:w="1629" w:type="dxa"/>
            <w:shd w:val="clear" w:color="auto" w:fill="F1F1F1" w:themeFill="background1" w:themeFillShade="F2"/>
          </w:tcPr>
          <w:p>
            <w:pPr>
              <w:rPr>
                <w:rFonts w:cs="Arial"/>
                <w:sz w:val="22"/>
                <w:szCs w:val="22"/>
              </w:rPr>
            </w:pPr>
            <w:r>
              <w:rPr>
                <w:rFonts w:cs="Arial"/>
                <w:sz w:val="22"/>
                <w:szCs w:val="22"/>
              </w:rPr>
              <w:t>MPhil by Research</w:t>
            </w:r>
          </w:p>
          <w:p>
            <w:pPr>
              <w:rPr>
                <w:rFonts w:cs="Arial"/>
                <w:sz w:val="22"/>
                <w:szCs w:val="22"/>
              </w:rPr>
            </w:pPr>
          </w:p>
        </w:tc>
        <w:tc>
          <w:tcPr>
            <w:tcW w:w="1525" w:type="dxa"/>
            <w:shd w:val="clear" w:color="auto" w:fill="F1F1F1" w:themeFill="background1" w:themeFillShade="F2"/>
          </w:tcPr>
          <w:p>
            <w:pPr>
              <w:rPr>
                <w:rFonts w:cs="Arial"/>
                <w:sz w:val="22"/>
                <w:szCs w:val="22"/>
              </w:rPr>
            </w:pPr>
            <w:r>
              <w:rPr>
                <w:rFonts w:cs="Arial"/>
                <w:sz w:val="22"/>
                <w:szCs w:val="22"/>
              </w:rPr>
              <w:t>MPhil</w:t>
            </w:r>
          </w:p>
          <w:p>
            <w:pPr>
              <w:rPr>
                <w:rFonts w:cs="Arial"/>
                <w:sz w:val="22"/>
                <w:szCs w:val="22"/>
              </w:rPr>
            </w:pPr>
            <w:r>
              <w:rPr>
                <w:rFonts w:cs="Arial"/>
                <w:sz w:val="22"/>
                <w:szCs w:val="22"/>
              </w:rPr>
              <w:t xml:space="preserve">Practice Based </w:t>
            </w:r>
          </w:p>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tcPr>
          <w:sdt>
            <w:sdtPr>
              <w:rPr>
                <w:rFonts w:cs="Arial"/>
                <w:sz w:val="22"/>
                <w:szCs w:val="22"/>
              </w:rPr>
              <w:id w:val="-1"/>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sdt>
          <w:sdtPr>
            <w:rPr>
              <w:rFonts w:cs="Arial"/>
              <w:sz w:val="22"/>
              <w:szCs w:val="22"/>
            </w:rPr>
            <w:id w:val="-1"/>
            <w14:checkbox>
              <w14:checked w14:val="0"/>
              <w14:checkedState w14:val="2612" w14:font="MS Gothic"/>
              <w14:uncheckedState w14:val="2610" w14:font="MS Gothic"/>
            </w14:checkbox>
          </w:sdtPr>
          <w:sdtEndPr>
            <w:rPr>
              <w:rFonts w:cs="Arial"/>
              <w:sz w:val="22"/>
              <w:szCs w:val="22"/>
            </w:rPr>
          </w:sdtEndPr>
          <w:sdtContent>
            <w:tc>
              <w:tcPr>
                <w:tcW w:w="1660"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rPr>
              <w:rFonts w:cs="Arial"/>
              <w:sz w:val="22"/>
              <w:szCs w:val="22"/>
            </w:rPr>
          </w:sdtEndPr>
          <w:sdtContent>
            <w:tc>
              <w:tcPr>
                <w:tcW w:w="1648"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
            <w14:checkbox>
              <w14:checked w14:val="1"/>
              <w14:checkedState w14:val="2612" w14:font="MS Gothic"/>
              <w14:uncheckedState w14:val="2610" w14:font="MS Gothic"/>
            </w14:checkbox>
          </w:sdtPr>
          <w:sdtEndPr>
            <w:rPr>
              <w:rFonts w:cs="Arial"/>
              <w:sz w:val="22"/>
              <w:szCs w:val="22"/>
            </w:rPr>
          </w:sdtEndPr>
          <w:sdtContent>
            <w:tc>
              <w:tcPr>
                <w:tcW w:w="1662" w:type="dxa"/>
              </w:tcPr>
              <w:p>
                <w:pPr>
                  <w:jc w:val="center"/>
                  <w:rPr>
                    <w:rFonts w:cs="Arial"/>
                    <w:sz w:val="22"/>
                    <w:szCs w:val="22"/>
                  </w:rPr>
                </w:pPr>
                <w:r>
                  <w:rPr>
                    <w:rFonts w:hint="eastAsia" w:ascii="MS Gothic" w:hAnsi="MS Gothic" w:eastAsia="MS Gothic" w:cs="Arial"/>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EndPr>
            <w:rPr>
              <w:rFonts w:cs="Arial"/>
              <w:sz w:val="22"/>
              <w:szCs w:val="22"/>
            </w:rPr>
          </w:sdtEndPr>
          <w:sdtContent>
            <w:tc>
              <w:tcPr>
                <w:tcW w:w="1629"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rPr>
              <w:rFonts w:cs="Arial"/>
              <w:sz w:val="22"/>
              <w:szCs w:val="22"/>
            </w:rPr>
          </w:sdtEndPr>
          <w:sdtContent>
            <w:tc>
              <w:tcPr>
                <w:tcW w:w="1525" w:type="dxa"/>
              </w:tcPr>
              <w:p>
                <w:pPr>
                  <w:jc w:val="center"/>
                  <w:rPr>
                    <w:rFonts w:cs="Arial"/>
                    <w:sz w:val="22"/>
                    <w:szCs w:val="22"/>
                  </w:rPr>
                </w:pPr>
                <w:r>
                  <w:rPr>
                    <w:rFonts w:ascii="MS Gothic" w:hAnsi="MS Gothic" w:eastAsia="MS Gothic" w:cs="Arial"/>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shd w:val="clear" w:color="auto" w:fill="D8D8D8" w:themeFill="background1" w:themeFillShade="D9"/>
          </w:tcPr>
          <w:p>
            <w:pPr>
              <w:jc w:val="center"/>
              <w:rPr>
                <w:rFonts w:cs="Arial"/>
                <w:sz w:val="22"/>
                <w:szCs w:val="22"/>
              </w:rPr>
            </w:pPr>
            <w:r>
              <w:rPr>
                <w:rFonts w:cs="Arial"/>
                <w:sz w:val="22"/>
                <w:szCs w:val="22"/>
              </w:rPr>
              <w:t>MA by Research</w:t>
            </w:r>
          </w:p>
        </w:tc>
        <w:tc>
          <w:tcPr>
            <w:tcW w:w="1660" w:type="dxa"/>
            <w:shd w:val="clear" w:color="auto" w:fill="D8D8D8" w:themeFill="background1" w:themeFillShade="D9"/>
          </w:tcPr>
          <w:p>
            <w:pPr>
              <w:jc w:val="center"/>
              <w:rPr>
                <w:rFonts w:cs="Arial"/>
                <w:sz w:val="22"/>
                <w:szCs w:val="22"/>
              </w:rPr>
            </w:pPr>
            <w:r>
              <w:rPr>
                <w:rFonts w:cs="Arial"/>
                <w:sz w:val="22"/>
                <w:szCs w:val="22"/>
              </w:rPr>
              <w:t>MSc by Research</w:t>
            </w:r>
          </w:p>
        </w:tc>
        <w:tc>
          <w:tcPr>
            <w:tcW w:w="1648" w:type="dxa"/>
            <w:shd w:val="clear" w:color="auto" w:fill="D8D8D8" w:themeFill="background1" w:themeFillShade="D9"/>
          </w:tcPr>
          <w:p>
            <w:pPr>
              <w:jc w:val="center"/>
              <w:rPr>
                <w:rFonts w:cs="Arial"/>
                <w:sz w:val="22"/>
                <w:szCs w:val="22"/>
              </w:rPr>
            </w:pPr>
            <w:r>
              <w:rPr>
                <w:rFonts w:cs="Arial"/>
                <w:sz w:val="22"/>
                <w:szCs w:val="22"/>
              </w:rPr>
              <w:t>MRes</w:t>
            </w:r>
          </w:p>
        </w:tc>
        <w:tc>
          <w:tcPr>
            <w:tcW w:w="1662" w:type="dxa"/>
            <w:shd w:val="clear" w:color="auto" w:fill="D8D8D8" w:themeFill="background1" w:themeFillShade="D9"/>
          </w:tcPr>
          <w:p>
            <w:pPr>
              <w:jc w:val="center"/>
              <w:rPr>
                <w:rFonts w:cs="Arial"/>
                <w:sz w:val="22"/>
                <w:szCs w:val="22"/>
              </w:rPr>
            </w:pPr>
          </w:p>
        </w:tc>
        <w:tc>
          <w:tcPr>
            <w:tcW w:w="1629" w:type="dxa"/>
            <w:shd w:val="clear" w:color="auto" w:fill="D8D8D8" w:themeFill="background1" w:themeFillShade="D9"/>
          </w:tcPr>
          <w:p>
            <w:pPr>
              <w:jc w:val="center"/>
              <w:rPr>
                <w:rFonts w:cs="Arial"/>
                <w:sz w:val="22"/>
                <w:szCs w:val="22"/>
              </w:rPr>
            </w:pPr>
          </w:p>
        </w:tc>
        <w:tc>
          <w:tcPr>
            <w:tcW w:w="1525" w:type="dxa"/>
            <w:shd w:val="clear" w:color="auto" w:fill="D8D8D8" w:themeFill="background1" w:themeFillShade="D9"/>
          </w:tcPr>
          <w:p>
            <w:pPr>
              <w:jc w:val="cente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tcPr>
          <w:sdt>
            <w:sdtPr>
              <w:rPr>
                <w:rFonts w:cs="Arial"/>
                <w:sz w:val="22"/>
                <w:szCs w:val="22"/>
              </w:rPr>
              <w:id w:val="-1"/>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62" w:type="dxa"/>
          </w:tcPr>
          <w:p>
            <w:pPr>
              <w:jc w:val="center"/>
              <w:rPr>
                <w:rFonts w:cs="Arial"/>
                <w:sz w:val="22"/>
                <w:szCs w:val="22"/>
              </w:rPr>
            </w:pPr>
          </w:p>
        </w:tc>
        <w:tc>
          <w:tcPr>
            <w:tcW w:w="1629" w:type="dxa"/>
          </w:tcPr>
          <w:p>
            <w:pPr>
              <w:jc w:val="center"/>
              <w:rPr>
                <w:rFonts w:cs="Arial"/>
                <w:sz w:val="22"/>
                <w:szCs w:val="22"/>
              </w:rPr>
            </w:pPr>
          </w:p>
        </w:tc>
        <w:tc>
          <w:tcPr>
            <w:tcW w:w="1525" w:type="dxa"/>
          </w:tcPr>
          <w:p>
            <w:pPr>
              <w:jc w:val="center"/>
              <w:rPr>
                <w:rFonts w:cs="Arial"/>
                <w:sz w:val="22"/>
                <w:szCs w:val="22"/>
              </w:rPr>
            </w:pPr>
          </w:p>
        </w:tc>
      </w:tr>
    </w:tbl>
    <w:p>
      <w:pPr>
        <w:ind w:left="180" w:hanging="270"/>
        <w:rPr>
          <w:rFonts w:cs="Arial"/>
          <w:b/>
          <w:sz w:val="22"/>
          <w:szCs w:val="22"/>
        </w:rPr>
      </w:pPr>
    </w:p>
    <w:p>
      <w:pPr>
        <w:rPr>
          <w:rFonts w:cs="Arial"/>
          <w:sz w:val="22"/>
          <w:szCs w:val="22"/>
        </w:rPr>
      </w:pPr>
    </w:p>
    <w:p>
      <w:pPr>
        <w:ind w:left="-142"/>
        <w:rPr>
          <w:rFonts w:cs="Arial"/>
          <w:bCs/>
          <w:sz w:val="22"/>
          <w:szCs w:val="22"/>
        </w:rPr>
      </w:pPr>
      <w:r>
        <w:rPr>
          <w:rFonts w:cs="Arial"/>
          <w:b/>
          <w:bCs/>
          <w:sz w:val="22"/>
          <w:szCs w:val="22"/>
        </w:rPr>
        <w:t>Proposed Research</w:t>
      </w:r>
    </w:p>
    <w:p>
      <w:pPr>
        <w:rPr>
          <w:rFonts w:cs="Arial"/>
          <w:sz w:val="22"/>
          <w:szCs w:val="22"/>
        </w:rPr>
      </w:pP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b/>
                <w:bCs/>
                <w:sz w:val="22"/>
                <w:szCs w:val="22"/>
              </w:rPr>
              <w:t>Proposed Research Question and sub-questions</w:t>
            </w:r>
            <w:r>
              <w:rPr>
                <w:rFonts w:cs="Arial"/>
                <w:sz w:val="22"/>
                <w:szCs w:val="22"/>
              </w:rPr>
              <w:t xml:space="preserve"> (</w:t>
            </w:r>
            <w:r>
              <w:rPr>
                <w:rFonts w:cs="Arial"/>
                <w:sz w:val="22"/>
                <w:szCs w:val="22"/>
                <w:u w:val="single"/>
              </w:rPr>
              <w:t>if appropriate</w:t>
            </w:r>
            <w:r>
              <w:rPr>
                <w:rFonts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rPr>
                <w:rFonts w:cs="Arial"/>
                <w:sz w:val="22"/>
                <w:szCs w:val="22"/>
              </w:rPr>
            </w:pPr>
          </w:p>
          <w:p>
            <w:pPr>
              <w:rPr>
                <w:rFonts w:cs="Arial"/>
                <w:sz w:val="22"/>
                <w:szCs w:val="22"/>
              </w:rPr>
            </w:pPr>
            <w:r>
              <w:rPr>
                <w:rFonts w:cs="Arial"/>
                <w:sz w:val="22"/>
                <w:szCs w:val="22"/>
              </w:rPr>
              <w:t>Main Research Question:</w:t>
            </w:r>
          </w:p>
          <w:p>
            <w:pPr>
              <w:rPr>
                <w:rFonts w:cs="Arial"/>
                <w:sz w:val="22"/>
                <w:szCs w:val="22"/>
              </w:rPr>
            </w:pPr>
          </w:p>
          <w:p>
            <w:pPr>
              <w:rPr>
                <w:rFonts w:hint="default" w:cs="Arial"/>
                <w:sz w:val="22"/>
                <w:szCs w:val="22"/>
                <w:lang w:val="en-US"/>
              </w:rPr>
            </w:pPr>
            <w:r>
              <w:rPr>
                <w:rFonts w:hint="default" w:cs="Arial"/>
                <w:sz w:val="22"/>
                <w:szCs w:val="22"/>
                <w:lang w:val="en-US"/>
              </w:rPr>
              <w:t xml:space="preserve">The relationship between growth mindset and mathematics anxiety among junior high school students in Jiangxi Province, China. </w:t>
            </w:r>
          </w:p>
          <w:p>
            <w:pPr>
              <w:rPr>
                <w:rFonts w:cs="Arial"/>
                <w:sz w:val="22"/>
                <w:szCs w:val="22"/>
              </w:rPr>
            </w:pPr>
          </w:p>
          <w:p>
            <w:pPr>
              <w:rPr>
                <w:rFonts w:cs="Arial"/>
                <w:sz w:val="22"/>
                <w:szCs w:val="22"/>
              </w:rPr>
            </w:pPr>
            <w:r>
              <w:rPr>
                <w:rFonts w:cs="Arial"/>
                <w:sz w:val="22"/>
                <w:szCs w:val="22"/>
              </w:rPr>
              <w:t>Sub-questions:</w:t>
            </w:r>
          </w:p>
          <w:p>
            <w:pPr>
              <w:pStyle w:val="26"/>
              <w:numPr>
                <w:ilvl w:val="0"/>
                <w:numId w:val="1"/>
              </w:numPr>
              <w:rPr>
                <w:rFonts w:cs="Arial"/>
                <w:sz w:val="22"/>
                <w:szCs w:val="22"/>
              </w:rPr>
            </w:pPr>
            <w:r>
              <w:rPr>
                <w:rFonts w:hint="eastAsia" w:cs="Arial"/>
                <w:sz w:val="22"/>
                <w:szCs w:val="22"/>
              </w:rPr>
              <w:t>What is the current status of junior high school students' growth mindset in mathematics in Jiangxi Province?</w:t>
            </w:r>
          </w:p>
          <w:p>
            <w:pPr>
              <w:pStyle w:val="26"/>
              <w:numPr>
                <w:ilvl w:val="0"/>
                <w:numId w:val="1"/>
              </w:numPr>
              <w:rPr>
                <w:rFonts w:cs="Arial"/>
                <w:sz w:val="22"/>
                <w:szCs w:val="22"/>
              </w:rPr>
            </w:pPr>
            <w:r>
              <w:rPr>
                <w:rFonts w:hint="eastAsia" w:cs="Arial"/>
                <w:sz w:val="22"/>
                <w:szCs w:val="22"/>
              </w:rPr>
              <w:t>What is the relationship between the growth mindset and mathematics anxiety among junior high school students in Jiangxi Province?</w:t>
            </w:r>
          </w:p>
          <w:p>
            <w:pPr>
              <w:rPr>
                <w:rFonts w:cs="Arial"/>
                <w:sz w:val="22"/>
                <w:szCs w:val="22"/>
              </w:rPr>
            </w:pPr>
          </w:p>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 xml:space="preserve"> </w:t>
            </w:r>
            <w:r>
              <w:rPr>
                <w:rFonts w:cs="Arial"/>
                <w:b/>
                <w:bCs/>
                <w:sz w:val="22"/>
                <w:szCs w:val="22"/>
              </w:rPr>
              <w:t>Background &amp; Context</w:t>
            </w:r>
            <w:r>
              <w:rPr>
                <w:rFonts w:cs="Arial"/>
                <w:sz w:val="22"/>
                <w:szCs w:val="22"/>
              </w:rPr>
              <w:t xml:space="preserve"> (approx. 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contextualSpacing/>
              <w:jc w:val="both"/>
              <w:textAlignment w:val="auto"/>
              <w:rPr>
                <w:rFonts w:hint="eastAsia" w:asciiTheme="minorHAnsi" w:hAnsiTheme="minorHAnsi" w:cstheme="minorHAnsi"/>
                <w:sz w:val="24"/>
                <w:szCs w:val="24"/>
              </w:rPr>
            </w:pPr>
            <w:r>
              <w:rPr>
                <w:rFonts w:hint="eastAsia" w:asciiTheme="minorHAnsi" w:hAnsiTheme="minorHAnsi" w:cstheme="minorHAnsi"/>
                <w:sz w:val="24"/>
                <w:szCs w:val="24"/>
              </w:rPr>
              <w:t>Junior high school students in China are facing increasing academic pressure, especially math anxiety. It is a problem that cannot be ignored. It not only significantly affects students' academic performance, but also leads to the decline of learning efficiency and the fluctuation of grades.</w:t>
            </w:r>
            <w:r>
              <w:rPr>
                <w:rFonts w:hint="default" w:asciiTheme="minorHAnsi" w:hAnsiTheme="minorHAnsi" w:cstheme="minorHAnsi"/>
                <w:sz w:val="24"/>
                <w:szCs w:val="24"/>
                <w:lang w:val="en-US"/>
              </w:rPr>
              <w:t xml:space="preserve"> </w:t>
            </w:r>
            <w:r>
              <w:rPr>
                <w:rFonts w:hint="eastAsia" w:asciiTheme="minorHAnsi" w:hAnsiTheme="minorHAnsi" w:cstheme="minorHAnsi"/>
                <w:sz w:val="24"/>
                <w:szCs w:val="24"/>
              </w:rPr>
              <w:t>Luttenberger, Wimmer</w:t>
            </w:r>
            <w:r>
              <w:rPr>
                <w:rFonts w:hint="default" w:asciiTheme="minorHAnsi" w:hAnsiTheme="minorHAnsi" w:cstheme="minorHAnsi"/>
                <w:sz w:val="24"/>
                <w:szCs w:val="24"/>
                <w:lang w:val="en-US"/>
              </w:rPr>
              <w:t xml:space="preserve"> and</w:t>
            </w:r>
            <w:r>
              <w:rPr>
                <w:rFonts w:hint="eastAsia" w:asciiTheme="minorHAnsi" w:hAnsiTheme="minorHAnsi" w:cstheme="minorHAnsi"/>
                <w:sz w:val="24"/>
                <w:szCs w:val="24"/>
              </w:rPr>
              <w:t xml:space="preserve"> Paechter</w:t>
            </w:r>
            <w:r>
              <w:rPr>
                <w:rFonts w:hint="default" w:asciiTheme="minorHAnsi" w:hAnsiTheme="minorHAnsi" w:cstheme="minorHAnsi"/>
                <w:sz w:val="24"/>
                <w:szCs w:val="24"/>
                <w:lang w:val="en-US"/>
              </w:rPr>
              <w:t xml:space="preserve"> (2018)</w:t>
            </w:r>
            <w:r>
              <w:rPr>
                <w:rFonts w:hint="eastAsia" w:asciiTheme="minorHAnsi" w:hAnsiTheme="minorHAnsi" w:cstheme="minorHAnsi"/>
                <w:sz w:val="24"/>
                <w:szCs w:val="24"/>
              </w:rPr>
              <w:t xml:space="preserve"> </w:t>
            </w:r>
            <w:r>
              <w:rPr>
                <w:rFonts w:hint="default" w:asciiTheme="minorHAnsi" w:hAnsiTheme="minorHAnsi" w:cstheme="minorHAnsi"/>
                <w:sz w:val="24"/>
                <w:szCs w:val="24"/>
                <w:lang w:val="en-US"/>
              </w:rPr>
              <w:t>point out that math anxiety</w:t>
            </w:r>
            <w:r>
              <w:rPr>
                <w:rFonts w:hint="eastAsia" w:asciiTheme="minorHAnsi" w:hAnsiTheme="minorHAnsi" w:cstheme="minorHAnsi"/>
                <w:sz w:val="24"/>
                <w:szCs w:val="24"/>
              </w:rPr>
              <w:t xml:space="preserve"> also hinders the normal development of students' mathematical thinking and cognitive ability. Andrews and Brown (2015) propose that students in a long-term state of anxiety are prone to physical and mental health problems, such as mood swings, insomnia, etc., and may even have low self-esteem and frustration. In addition, Monroe, Amidon and Cook (2024) also believe that math anxiety may exacerbate educational inequality and propose that math anxiety will occupy students' working memory resources used to solve math problems, making them more difficult to face math problems. This extra cognitive load can make students feel more helpless and depressed, which further exacerbates math anxiety, creating a vicious cycle in which some students fall behind in math due to lack of effective coping strategies. Therefore, it is of great significance to pay attention to and solve the mathematics anxiety of junior middle school students for promoting their all-round development. </w:t>
            </w:r>
          </w:p>
          <w:p>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contextualSpacing/>
              <w:jc w:val="both"/>
              <w:textAlignment w:val="auto"/>
              <w:rPr>
                <w:rFonts w:hint="eastAsia" w:asciiTheme="minorHAnsi" w:hAnsiTheme="minorHAnsi" w:cstheme="minorHAnsi"/>
                <w:sz w:val="24"/>
                <w:szCs w:val="24"/>
              </w:rPr>
            </w:pPr>
            <w:r>
              <w:rPr>
                <w:rFonts w:hint="eastAsia" w:asciiTheme="minorHAnsi" w:hAnsiTheme="minorHAnsi" w:cstheme="minorHAnsi"/>
                <w:sz w:val="24"/>
                <w:szCs w:val="24"/>
              </w:rPr>
              <w:t>Dweck (2016) point</w:t>
            </w:r>
            <w:r>
              <w:rPr>
                <w:rFonts w:hint="default" w:asciiTheme="minorHAnsi" w:hAnsiTheme="minorHAnsi" w:cstheme="minorHAnsi"/>
                <w:sz w:val="24"/>
                <w:szCs w:val="24"/>
                <w:lang w:val="en-US"/>
              </w:rPr>
              <w:t>s</w:t>
            </w:r>
            <w:r>
              <w:rPr>
                <w:rFonts w:hint="eastAsia" w:asciiTheme="minorHAnsi" w:hAnsiTheme="minorHAnsi" w:cstheme="minorHAnsi"/>
                <w:sz w:val="24"/>
                <w:szCs w:val="24"/>
              </w:rPr>
              <w:t xml:space="preserve"> out that learners with a growth mindset believe that their intelligence can be changed by their own hard work, and people with a growth mindset are more likely to succeed than those with a fixed mindset. Prior to this study, Samuel and Warner (2021) propos</w:t>
            </w:r>
            <w:r>
              <w:rPr>
                <w:rFonts w:hint="default" w:asciiTheme="minorHAnsi" w:hAnsiTheme="minorHAnsi" w:cstheme="minorHAnsi"/>
                <w:sz w:val="24"/>
                <w:szCs w:val="24"/>
                <w:lang w:val="en-US"/>
              </w:rPr>
              <w:t>e</w:t>
            </w:r>
            <w:r>
              <w:rPr>
                <w:rFonts w:hint="eastAsia" w:asciiTheme="minorHAnsi" w:hAnsiTheme="minorHAnsi" w:cstheme="minorHAnsi"/>
                <w:sz w:val="24"/>
                <w:szCs w:val="24"/>
              </w:rPr>
              <w:t xml:space="preserve"> that several weeks of growth mindset training for college students in an American school could help alleviate their math anxiety and improve their self-efficacy. So there really is a relationship between growth mindset and math anxiety. But the relationship between growth mindset and math anxiety is not the same across countries and cultures. In contrast, Dong, Jia and Fei (2023) believe that there is indeed a relationship between growth mindset and math anxiety, but the relationship between the two is not direct, but indirectly affected by failure attribution as </w:t>
            </w:r>
            <w:r>
              <w:rPr>
                <w:rFonts w:hint="default" w:asciiTheme="minorHAnsi" w:hAnsiTheme="minorHAnsi" w:cstheme="minorHAnsi"/>
                <w:sz w:val="24"/>
                <w:szCs w:val="24"/>
                <w:lang w:val="en-US"/>
              </w:rPr>
              <w:t>a mediator</w:t>
            </w:r>
            <w:r>
              <w:rPr>
                <w:rFonts w:hint="eastAsia" w:asciiTheme="minorHAnsi" w:hAnsiTheme="minorHAnsi" w:cstheme="minorHAnsi"/>
                <w:sz w:val="24"/>
                <w:szCs w:val="24"/>
              </w:rPr>
              <w:t xml:space="preserve">. However, since the study process was limited to one Chinese junior high school, it is still worth considering whether the results are representative of the whole city or even China. The same is focused on mediating effects, but the difference is that Sherwin (2020) pays more attention to the support of math teachers and proposes that growth mindset can effectively alleviate students' math anxiety only if there is teacher's attention and support and the cultivation of growth mindset. Whether the relationship between growth mindset and math anxiety is inter-related or indirect remains to be explored. </w:t>
            </w:r>
          </w:p>
          <w:p>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contextualSpacing/>
              <w:jc w:val="both"/>
              <w:textAlignment w:val="auto"/>
              <w:rPr>
                <w:rFonts w:cs="Arial"/>
                <w:sz w:val="22"/>
                <w:szCs w:val="22"/>
              </w:rPr>
            </w:pPr>
            <w:r>
              <w:rPr>
                <w:rFonts w:hint="eastAsia" w:asciiTheme="minorHAnsi" w:hAnsiTheme="minorHAnsi" w:cstheme="minorHAnsi"/>
                <w:sz w:val="24"/>
                <w:szCs w:val="24"/>
              </w:rPr>
              <w:t>What is certain is that students' math anxiety and growth mindset can be influenced by culture. Leung (2002) claims that Confucianism has a profound influence on Chinese education, especially mathematics education, both in theory and practice. Therefore, in order to explore the relationship between growth mindset and mathematics anxiety in a more detailed and accurate way under the influence of Chinese Confucian culture, this study selects Jiangxi Province, one of China's major education provinces, as a research area, which can not only help to understand students' mental state and emotional changes in the process of learning mathematics in a more comprehensive way. It can also provide valuable inspiration for educators to optimi</w:t>
            </w:r>
            <w:r>
              <w:rPr>
                <w:rFonts w:hint="default" w:asciiTheme="minorHAnsi" w:hAnsiTheme="minorHAnsi" w:cstheme="minorHAnsi"/>
                <w:sz w:val="24"/>
                <w:szCs w:val="24"/>
                <w:lang w:val="en-US"/>
              </w:rPr>
              <w:t>z</w:t>
            </w:r>
            <w:r>
              <w:rPr>
                <w:rFonts w:hint="eastAsia" w:asciiTheme="minorHAnsi" w:hAnsiTheme="minorHAnsi" w:cstheme="minorHAnsi"/>
                <w:sz w:val="24"/>
                <w:szCs w:val="24"/>
              </w:rPr>
              <w:t>e teaching strategies and design teaching activities that better meet the needs of students. At the same time, this research is also of great significance for promoting educational equity and narrowing the academic gap between students. By focusing on students' growth mindset and math anxiety, teachers can provide them with more personalized teaching support, thereby enhancing their overall quality and future development potential, and providing a scientific basis for education policymakers.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b/>
                <w:bCs/>
                <w:sz w:val="22"/>
                <w:szCs w:val="22"/>
              </w:rPr>
              <w:t>Aims &amp; Objectives</w:t>
            </w:r>
            <w:r>
              <w:rPr>
                <w:rFonts w:cs="Arial"/>
                <w:sz w:val="22"/>
                <w:szCs w:val="22"/>
              </w:rPr>
              <w:t xml:space="preserve"> (approx. 250-500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keepNext w:val="0"/>
              <w:keepLines w:val="0"/>
              <w:pageBreakBefore w:val="0"/>
              <w:widowControl/>
              <w:kinsoku/>
              <w:wordWrap/>
              <w:overflowPunct/>
              <w:topLinePunct w:val="0"/>
              <w:autoSpaceDE w:val="0"/>
              <w:autoSpaceDN w:val="0"/>
              <w:bidi w:val="0"/>
              <w:adjustRightInd w:val="0"/>
              <w:snapToGrid/>
              <w:spacing w:line="360" w:lineRule="auto"/>
              <w:ind w:firstLine="440" w:firstLineChars="200"/>
              <w:contextualSpacing/>
              <w:jc w:val="both"/>
              <w:textAlignment w:val="auto"/>
              <w:rPr>
                <w:rFonts w:hint="eastAsia" w:cs="Arial"/>
                <w:sz w:val="22"/>
                <w:szCs w:val="22"/>
              </w:rPr>
            </w:pPr>
            <w:r>
              <w:rPr>
                <w:rFonts w:hint="eastAsia" w:cs="Arial"/>
                <w:sz w:val="22"/>
                <w:szCs w:val="22"/>
              </w:rPr>
              <w:t>Xie, Lan and Tang (2024) propos</w:t>
            </w:r>
            <w:r>
              <w:rPr>
                <w:rFonts w:hint="default" w:cs="Arial"/>
                <w:sz w:val="22"/>
                <w:szCs w:val="22"/>
                <w:lang w:val="en-US"/>
              </w:rPr>
              <w:t>e</w:t>
            </w:r>
            <w:r>
              <w:rPr>
                <w:rFonts w:hint="eastAsia" w:cs="Arial"/>
                <w:sz w:val="22"/>
                <w:szCs w:val="22"/>
              </w:rPr>
              <w:t xml:space="preserve"> that in the Chinese educational environment, parents' expectations for their children maximize students' learning anxiety, especially math anxiety. Zhang, Zhao</w:t>
            </w:r>
            <w:r>
              <w:rPr>
                <w:rFonts w:hint="default" w:cs="Arial"/>
                <w:sz w:val="22"/>
                <w:szCs w:val="22"/>
                <w:lang w:val="en-US"/>
              </w:rPr>
              <w:t xml:space="preserve"> and</w:t>
            </w:r>
            <w:r>
              <w:rPr>
                <w:rFonts w:hint="eastAsia" w:cs="Arial"/>
                <w:sz w:val="22"/>
                <w:szCs w:val="22"/>
              </w:rPr>
              <w:t xml:space="preserve"> Kong</w:t>
            </w:r>
            <w:r>
              <w:rPr>
                <w:rFonts w:hint="default" w:cs="Arial"/>
                <w:sz w:val="22"/>
                <w:szCs w:val="22"/>
                <w:lang w:val="en-US"/>
              </w:rPr>
              <w:t xml:space="preserve"> (2019) support that m</w:t>
            </w:r>
            <w:r>
              <w:rPr>
                <w:rFonts w:hint="eastAsia" w:cs="Arial"/>
                <w:sz w:val="22"/>
                <w:szCs w:val="22"/>
              </w:rPr>
              <w:t>ath anxiety</w:t>
            </w:r>
            <w:r>
              <w:rPr>
                <w:rFonts w:hint="default" w:cs="Arial"/>
                <w:sz w:val="22"/>
                <w:szCs w:val="22"/>
                <w:lang w:val="en-US"/>
              </w:rPr>
              <w:t xml:space="preserve"> </w:t>
            </w:r>
            <w:r>
              <w:rPr>
                <w:rFonts w:hint="eastAsia" w:cs="Arial"/>
                <w:sz w:val="22"/>
                <w:szCs w:val="22"/>
              </w:rPr>
              <w:t>seriously hinders students' ability to effectively understand and solve math problems, resulting in slowing down their problem-solving speed and declining accuracy</w:t>
            </w:r>
            <w:r>
              <w:rPr>
                <w:rFonts w:hint="default" w:cs="Arial"/>
                <w:sz w:val="22"/>
                <w:szCs w:val="22"/>
                <w:lang w:val="en-US"/>
              </w:rPr>
              <w:t xml:space="preserve">. Khasawneh, Gosling and Williams (2021) also point out that math anxiety </w:t>
            </w:r>
            <w:r>
              <w:rPr>
                <w:rFonts w:hint="eastAsia" w:cs="Arial"/>
                <w:sz w:val="22"/>
                <w:szCs w:val="22"/>
              </w:rPr>
              <w:t>profoundly affects students' mental health and self-confidence, making them feel nervous, fearful and even fleeing when facing math</w:t>
            </w:r>
            <w:r>
              <w:rPr>
                <w:rFonts w:hint="default" w:cs="Arial"/>
                <w:sz w:val="22"/>
                <w:szCs w:val="22"/>
                <w:lang w:val="en-US"/>
              </w:rPr>
              <w:t>. In this way, it may</w:t>
            </w:r>
            <w:r>
              <w:rPr>
                <w:rFonts w:hint="eastAsia" w:cs="Arial"/>
                <w:sz w:val="22"/>
                <w:szCs w:val="22"/>
              </w:rPr>
              <w:t xml:space="preserve"> lead to a series of negative emotions and physiological reactions, such as anxiety, depression and accelerated heartbeat. McMullan, Jones</w:t>
            </w:r>
            <w:r>
              <w:rPr>
                <w:rFonts w:hint="default" w:cs="Arial"/>
                <w:sz w:val="22"/>
                <w:szCs w:val="22"/>
                <w:lang w:val="en-US"/>
              </w:rPr>
              <w:t xml:space="preserve"> and</w:t>
            </w:r>
            <w:r>
              <w:rPr>
                <w:rFonts w:hint="eastAsia" w:cs="Arial"/>
                <w:sz w:val="22"/>
                <w:szCs w:val="22"/>
              </w:rPr>
              <w:t xml:space="preserve"> Lea</w:t>
            </w:r>
            <w:r>
              <w:rPr>
                <w:rFonts w:hint="default" w:cs="Arial"/>
                <w:sz w:val="22"/>
                <w:szCs w:val="22"/>
                <w:lang w:val="en-US"/>
              </w:rPr>
              <w:t xml:space="preserve"> (2012) propose that i</w:t>
            </w:r>
            <w:r>
              <w:rPr>
                <w:rFonts w:hint="eastAsia" w:cs="Arial"/>
                <w:sz w:val="22"/>
                <w:szCs w:val="22"/>
              </w:rPr>
              <w:t xml:space="preserve">n the long run, </w:t>
            </w:r>
            <w:r>
              <w:rPr>
                <w:rFonts w:hint="default" w:cs="Arial"/>
                <w:sz w:val="22"/>
                <w:szCs w:val="22"/>
                <w:lang w:val="en-US"/>
              </w:rPr>
              <w:t>math anxiety</w:t>
            </w:r>
            <w:r>
              <w:rPr>
                <w:rFonts w:hint="eastAsia" w:cs="Arial"/>
                <w:sz w:val="22"/>
                <w:szCs w:val="22"/>
              </w:rPr>
              <w:t xml:space="preserve"> will damage students' self-efficacy, limit their career development and comprehensive quality improvement in mathematics and related fields, and have a potential negative impact on students' personal growth and future development. For junior high school students who are in the fastest stage of development, how to effectively alleviate students' math anxiety has always been a problem worthy of attention.</w:t>
            </w:r>
          </w:p>
          <w:p>
            <w:pPr>
              <w:keepNext w:val="0"/>
              <w:keepLines w:val="0"/>
              <w:pageBreakBefore w:val="0"/>
              <w:widowControl/>
              <w:kinsoku/>
              <w:wordWrap/>
              <w:overflowPunct/>
              <w:topLinePunct w:val="0"/>
              <w:autoSpaceDE w:val="0"/>
              <w:autoSpaceDN w:val="0"/>
              <w:bidi w:val="0"/>
              <w:adjustRightInd w:val="0"/>
              <w:snapToGrid/>
              <w:spacing w:line="360" w:lineRule="auto"/>
              <w:ind w:firstLine="440" w:firstLineChars="200"/>
              <w:contextualSpacing/>
              <w:jc w:val="both"/>
              <w:textAlignment w:val="auto"/>
              <w:rPr>
                <w:rFonts w:hint="default" w:cs="Arial"/>
                <w:sz w:val="22"/>
                <w:szCs w:val="22"/>
                <w:lang w:val="en-US"/>
              </w:rPr>
            </w:pPr>
            <w:r>
              <w:rPr>
                <w:rFonts w:hint="eastAsia" w:cs="Arial"/>
                <w:sz w:val="22"/>
                <w:szCs w:val="22"/>
              </w:rPr>
              <w:t xml:space="preserve">Baker (2017) suggests that a growth mindset can help students better adapt to difficulties and changes in math learning and maintain a positive learning attitude. This is because </w:t>
            </w:r>
            <w:r>
              <w:rPr>
                <w:rFonts w:hint="default" w:cs="Arial"/>
                <w:sz w:val="22"/>
                <w:szCs w:val="22"/>
                <w:lang w:val="en-US"/>
              </w:rPr>
              <w:t xml:space="preserve">that </w:t>
            </w:r>
            <w:r>
              <w:rPr>
                <w:rFonts w:hint="eastAsia" w:cs="Arial"/>
                <w:sz w:val="22"/>
                <w:szCs w:val="22"/>
              </w:rPr>
              <w:t>growth mindset emphasizes the understanding that abilities and intelligence can be developed and encourages students to persevere in the face of challenges and difficulties, believing that effort will lead to progress.</w:t>
            </w:r>
            <w:r>
              <w:rPr>
                <w:rFonts w:hint="default" w:cs="Arial"/>
                <w:sz w:val="22"/>
                <w:szCs w:val="22"/>
                <w:lang w:val="en-US"/>
              </w:rPr>
              <w:t xml:space="preserve"> Claro, Paunesku and Dweck (2016) also agree that growth mindset can predict math achievement and effect math anxiety and motivation.</w:t>
            </w:r>
          </w:p>
          <w:p>
            <w:pPr>
              <w:keepNext w:val="0"/>
              <w:keepLines w:val="0"/>
              <w:pageBreakBefore w:val="0"/>
              <w:widowControl/>
              <w:kinsoku/>
              <w:wordWrap/>
              <w:overflowPunct/>
              <w:topLinePunct w:val="0"/>
              <w:autoSpaceDE w:val="0"/>
              <w:autoSpaceDN w:val="0"/>
              <w:bidi w:val="0"/>
              <w:adjustRightInd w:val="0"/>
              <w:snapToGrid/>
              <w:spacing w:line="360" w:lineRule="auto"/>
              <w:ind w:firstLine="440" w:firstLineChars="200"/>
              <w:contextualSpacing/>
              <w:jc w:val="both"/>
              <w:textAlignment w:val="auto"/>
              <w:rPr>
                <w:rFonts w:hint="eastAsia" w:cs="Arial"/>
                <w:sz w:val="22"/>
                <w:szCs w:val="22"/>
              </w:rPr>
            </w:pPr>
            <w:r>
              <w:rPr>
                <w:rFonts w:hint="eastAsia" w:cs="Arial"/>
                <w:sz w:val="22"/>
                <w:szCs w:val="22"/>
              </w:rPr>
              <w:t>This study aims to explore the relationship between growth mindset and mathematics anxiety of junior middle school students in Jiangxi Province, China, in order to provide new insights into the field of educational psychology in this region and find out the ways of alleviating math anxiety by adjusting students’ growth mindset. Therefore, the main research questions of this paper are as follows:</w:t>
            </w:r>
          </w:p>
          <w:p>
            <w:pPr>
              <w:keepNext w:val="0"/>
              <w:keepLines w:val="0"/>
              <w:pageBreakBefore w:val="0"/>
              <w:widowControl/>
              <w:kinsoku/>
              <w:wordWrap/>
              <w:overflowPunct/>
              <w:topLinePunct w:val="0"/>
              <w:autoSpaceDE w:val="0"/>
              <w:autoSpaceDN w:val="0"/>
              <w:bidi w:val="0"/>
              <w:adjustRightInd w:val="0"/>
              <w:snapToGrid/>
              <w:spacing w:line="360" w:lineRule="auto"/>
              <w:ind w:firstLine="440" w:firstLineChars="200"/>
              <w:contextualSpacing/>
              <w:jc w:val="both"/>
              <w:textAlignment w:val="auto"/>
              <w:rPr>
                <w:rFonts w:hint="eastAsia" w:cs="Arial"/>
                <w:sz w:val="22"/>
                <w:szCs w:val="22"/>
              </w:rPr>
            </w:pPr>
            <w:r>
              <w:rPr>
                <w:rFonts w:hint="eastAsia" w:cs="Arial"/>
                <w:sz w:val="22"/>
                <w:szCs w:val="22"/>
              </w:rPr>
              <w:t>1.What is the current status of junior high school students' growth mindset in mathematics in Jiangxi Province?</w:t>
            </w:r>
          </w:p>
          <w:p>
            <w:pPr>
              <w:keepNext w:val="0"/>
              <w:keepLines w:val="0"/>
              <w:pageBreakBefore w:val="0"/>
              <w:widowControl/>
              <w:kinsoku/>
              <w:wordWrap/>
              <w:overflowPunct/>
              <w:topLinePunct w:val="0"/>
              <w:autoSpaceDE w:val="0"/>
              <w:autoSpaceDN w:val="0"/>
              <w:bidi w:val="0"/>
              <w:adjustRightInd w:val="0"/>
              <w:snapToGrid/>
              <w:spacing w:line="360" w:lineRule="auto"/>
              <w:ind w:firstLine="440" w:firstLineChars="200"/>
              <w:contextualSpacing/>
              <w:jc w:val="both"/>
              <w:textAlignment w:val="auto"/>
              <w:rPr>
                <w:rFonts w:hint="eastAsia" w:cs="Arial"/>
                <w:sz w:val="22"/>
                <w:szCs w:val="22"/>
              </w:rPr>
            </w:pPr>
            <w:r>
              <w:rPr>
                <w:rFonts w:hint="eastAsia" w:cs="Arial"/>
                <w:sz w:val="22"/>
                <w:szCs w:val="22"/>
              </w:rPr>
              <w:t>2.What is the relationship between the growth mindset and mathematics anxiety among junior high school students in Jiangxi Province?</w:t>
            </w:r>
          </w:p>
          <w:p>
            <w:pPr>
              <w:keepNext w:val="0"/>
              <w:keepLines w:val="0"/>
              <w:pageBreakBefore w:val="0"/>
              <w:widowControl/>
              <w:kinsoku/>
              <w:wordWrap/>
              <w:overflowPunct/>
              <w:topLinePunct w:val="0"/>
              <w:autoSpaceDE w:val="0"/>
              <w:autoSpaceDN w:val="0"/>
              <w:bidi w:val="0"/>
              <w:adjustRightInd w:val="0"/>
              <w:snapToGrid/>
              <w:spacing w:line="360" w:lineRule="auto"/>
              <w:ind w:firstLine="440" w:firstLineChars="200"/>
              <w:contextualSpacing/>
              <w:jc w:val="both"/>
              <w:textAlignment w:val="auto"/>
              <w:rPr>
                <w:rFonts w:cs="Arial"/>
                <w:sz w:val="22"/>
                <w:szCs w:val="22"/>
              </w:rPr>
            </w:pPr>
            <w:r>
              <w:rPr>
                <w:rFonts w:hint="eastAsia" w:cs="Arial"/>
                <w:sz w:val="22"/>
                <w:szCs w:val="22"/>
              </w:rPr>
              <w:t xml:space="preserve">And the selection of Jiangxi Province as the research object is mainly based on the following considerations: First, </w:t>
            </w:r>
            <w:r>
              <w:rPr>
                <w:rFonts w:hint="default" w:cs="Arial"/>
                <w:sz w:val="22"/>
                <w:szCs w:val="22"/>
                <w:lang w:val="en-US"/>
              </w:rPr>
              <w:t xml:space="preserve">Wang and Chen (2021) stress that </w:t>
            </w:r>
            <w:r>
              <w:rPr>
                <w:rFonts w:hint="eastAsia" w:cs="Arial"/>
                <w:sz w:val="22"/>
                <w:szCs w:val="22"/>
              </w:rPr>
              <w:t>Jiangxi Province, as a representative province in China, has a universal education system and cultural background, which can reflect the general psychological state of junior middle school students in vast areas of China. Secondly, Murphy</w:t>
            </w:r>
            <w:r>
              <w:rPr>
                <w:rFonts w:hint="default" w:cs="Arial"/>
                <w:sz w:val="22"/>
                <w:szCs w:val="22"/>
                <w:lang w:val="en-US"/>
              </w:rPr>
              <w:t xml:space="preserve"> (2014) points out that </w:t>
            </w:r>
            <w:r>
              <w:rPr>
                <w:rFonts w:hint="eastAsia" w:cs="Arial"/>
                <w:sz w:val="22"/>
                <w:szCs w:val="22"/>
              </w:rPr>
              <w:t>Jiangxi Province has received relatively little attention in the field of education research, especially the research on students' psychological growth and subject anxiety is more scarce, which makes this study has the potential value of filling the gap in regional research.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b/>
                <w:bCs/>
                <w:sz w:val="22"/>
                <w:szCs w:val="22"/>
              </w:rPr>
            </w:pPr>
            <w:r>
              <w:rPr>
                <w:rFonts w:cs="Arial"/>
                <w:b/>
                <w:bCs/>
                <w:sz w:val="22"/>
                <w:szCs w:val="22"/>
              </w:rPr>
              <w:t>Proposed Plan of Work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rPr>
                <w:rFonts w:cs="Arial"/>
                <w:sz w:val="22"/>
                <w:szCs w:val="22"/>
              </w:rPr>
            </w:pPr>
          </w:p>
          <w:p>
            <w:pPr>
              <w:rPr>
                <w:rFonts w:cs="Arial"/>
                <w:sz w:val="22"/>
                <w:szCs w:val="22"/>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1"/>
              <w:gridCol w:w="3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291" w:type="dxa"/>
                </w:tcPr>
                <w:p>
                  <w:pPr>
                    <w:rPr>
                      <w:rFonts w:cs="Arial"/>
                      <w:b/>
                      <w:bCs/>
                      <w:sz w:val="22"/>
                      <w:szCs w:val="22"/>
                    </w:rPr>
                  </w:pPr>
                  <w:r>
                    <w:rPr>
                      <w:rFonts w:cs="Arial"/>
                      <w:b/>
                      <w:bCs/>
                      <w:sz w:val="22"/>
                      <w:szCs w:val="22"/>
                    </w:rPr>
                    <w:t xml:space="preserve">Planned development </w:t>
                  </w:r>
                </w:p>
              </w:tc>
              <w:tc>
                <w:tcPr>
                  <w:tcW w:w="3264" w:type="dxa"/>
                </w:tcPr>
                <w:p>
                  <w:pPr>
                    <w:rPr>
                      <w:rFonts w:cs="Arial"/>
                      <w:b/>
                      <w:bCs/>
                      <w:sz w:val="22"/>
                      <w:szCs w:val="22"/>
                    </w:rPr>
                  </w:pPr>
                  <w:r>
                    <w:rPr>
                      <w:rFonts w:cs="Arial"/>
                      <w:b/>
                      <w:bCs/>
                      <w:sz w:val="22"/>
                      <w:szCs w:val="22"/>
                    </w:rPr>
                    <w:t>Target date for completion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291" w:type="dxa"/>
                </w:tcPr>
                <w:p>
                  <w:pPr>
                    <w:rPr>
                      <w:rFonts w:cs="Arial"/>
                      <w:sz w:val="22"/>
                      <w:szCs w:val="22"/>
                    </w:rPr>
                  </w:pPr>
                  <w:r>
                    <w:rPr>
                      <w:rFonts w:cs="Arial"/>
                      <w:sz w:val="22"/>
                      <w:szCs w:val="22"/>
                    </w:rPr>
                    <w:t>Reading and writing of introduction and literature review</w:t>
                  </w:r>
                </w:p>
              </w:tc>
              <w:tc>
                <w:tcPr>
                  <w:tcW w:w="3264" w:type="dxa"/>
                </w:tcPr>
                <w:p>
                  <w:pPr>
                    <w:rPr>
                      <w:rFonts w:hint="default" w:cs="Arial"/>
                      <w:sz w:val="22"/>
                      <w:szCs w:val="22"/>
                      <w:lang w:val="en-US"/>
                    </w:rPr>
                  </w:pPr>
                  <w:r>
                    <w:rPr>
                      <w:rFonts w:hint="default" w:cs="Arial"/>
                      <w:sz w:val="22"/>
                      <w:szCs w:val="22"/>
                      <w:lang w:val="en-US"/>
                    </w:rPr>
                    <w:t>29/04/2025-13/05/2025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291" w:type="dxa"/>
                </w:tcPr>
                <w:p>
                  <w:pPr>
                    <w:rPr>
                      <w:rFonts w:cs="Arial"/>
                      <w:sz w:val="22"/>
                      <w:szCs w:val="22"/>
                    </w:rPr>
                  </w:pPr>
                  <w:r>
                    <w:rPr>
                      <w:rFonts w:cs="Arial"/>
                      <w:sz w:val="22"/>
                      <w:szCs w:val="22"/>
                    </w:rPr>
                    <w:t>Reading and writing of methodology chapter</w:t>
                  </w:r>
                </w:p>
              </w:tc>
              <w:tc>
                <w:tcPr>
                  <w:tcW w:w="3264" w:type="dxa"/>
                </w:tcPr>
                <w:p>
                  <w:pPr>
                    <w:rPr>
                      <w:rFonts w:hint="default" w:cs="Arial"/>
                      <w:sz w:val="22"/>
                      <w:szCs w:val="22"/>
                      <w:lang w:val="en-US"/>
                    </w:rPr>
                  </w:pPr>
                  <w:r>
                    <w:rPr>
                      <w:rFonts w:hint="default" w:cs="Arial"/>
                      <w:sz w:val="22"/>
                      <w:szCs w:val="22"/>
                      <w:lang w:val="en-US"/>
                    </w:rPr>
                    <w:t>14/05/2025-20/05/2025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291" w:type="dxa"/>
                </w:tcPr>
                <w:p>
                  <w:pPr>
                    <w:rPr>
                      <w:rFonts w:cs="Arial"/>
                      <w:sz w:val="22"/>
                      <w:szCs w:val="22"/>
                    </w:rPr>
                  </w:pPr>
                  <w:r>
                    <w:rPr>
                      <w:rFonts w:cs="Arial"/>
                      <w:sz w:val="22"/>
                      <w:szCs w:val="22"/>
                    </w:rPr>
                    <w:t>Piloting research tools</w:t>
                  </w:r>
                </w:p>
              </w:tc>
              <w:tc>
                <w:tcPr>
                  <w:tcW w:w="3264" w:type="dxa"/>
                </w:tcPr>
                <w:p>
                  <w:pPr>
                    <w:rPr>
                      <w:rFonts w:hint="default" w:cs="Arial"/>
                      <w:sz w:val="22"/>
                      <w:szCs w:val="22"/>
                      <w:lang w:val="en-US"/>
                    </w:rPr>
                  </w:pPr>
                  <w:r>
                    <w:rPr>
                      <w:rFonts w:hint="default" w:cs="Arial"/>
                      <w:sz w:val="22"/>
                      <w:szCs w:val="22"/>
                      <w:lang w:val="en-US"/>
                    </w:rPr>
                    <w:t>21/05/2025-27/05/2025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291" w:type="dxa"/>
                </w:tcPr>
                <w:p>
                  <w:pPr>
                    <w:rPr>
                      <w:rFonts w:cs="Arial"/>
                      <w:sz w:val="22"/>
                      <w:szCs w:val="22"/>
                    </w:rPr>
                  </w:pPr>
                  <w:r>
                    <w:rPr>
                      <w:rFonts w:cs="Arial"/>
                      <w:sz w:val="22"/>
                      <w:szCs w:val="22"/>
                    </w:rPr>
                    <w:t>Collecting data</w:t>
                  </w:r>
                </w:p>
              </w:tc>
              <w:tc>
                <w:tcPr>
                  <w:tcW w:w="3264" w:type="dxa"/>
                </w:tcPr>
                <w:p>
                  <w:pPr>
                    <w:rPr>
                      <w:rFonts w:hint="default" w:cs="Arial"/>
                      <w:sz w:val="22"/>
                      <w:szCs w:val="22"/>
                      <w:lang w:val="en-US"/>
                    </w:rPr>
                  </w:pPr>
                  <w:r>
                    <w:rPr>
                      <w:rFonts w:hint="default" w:cs="Arial"/>
                      <w:sz w:val="22"/>
                      <w:szCs w:val="22"/>
                      <w:lang w:val="en-US"/>
                    </w:rPr>
                    <w:t>28/05/2025-17/06/2025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291" w:type="dxa"/>
                </w:tcPr>
                <w:p>
                  <w:pPr>
                    <w:rPr>
                      <w:rFonts w:cs="Arial"/>
                      <w:sz w:val="22"/>
                      <w:szCs w:val="22"/>
                    </w:rPr>
                  </w:pPr>
                  <w:r>
                    <w:rPr>
                      <w:rFonts w:cs="Arial"/>
                      <w:sz w:val="22"/>
                      <w:szCs w:val="22"/>
                    </w:rPr>
                    <w:t>Analysing data</w:t>
                  </w:r>
                </w:p>
              </w:tc>
              <w:tc>
                <w:tcPr>
                  <w:tcW w:w="3264" w:type="dxa"/>
                </w:tcPr>
                <w:p>
                  <w:pPr>
                    <w:rPr>
                      <w:rFonts w:hint="default" w:cs="Arial"/>
                      <w:sz w:val="22"/>
                      <w:szCs w:val="22"/>
                      <w:lang w:val="en-US"/>
                    </w:rPr>
                  </w:pPr>
                  <w:r>
                    <w:rPr>
                      <w:rFonts w:hint="default" w:cs="Arial"/>
                      <w:sz w:val="22"/>
                      <w:szCs w:val="22"/>
                      <w:lang w:val="en-US"/>
                    </w:rPr>
                    <w:t>18/06/2025-01/07/2025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291" w:type="dxa"/>
                </w:tcPr>
                <w:p>
                  <w:pPr>
                    <w:rPr>
                      <w:rFonts w:cs="Arial"/>
                      <w:sz w:val="22"/>
                      <w:szCs w:val="22"/>
                    </w:rPr>
                  </w:pPr>
                  <w:r>
                    <w:rPr>
                      <w:rFonts w:cs="Arial"/>
                      <w:sz w:val="22"/>
                      <w:szCs w:val="22"/>
                    </w:rPr>
                    <w:t>Writing up of results</w:t>
                  </w:r>
                </w:p>
              </w:tc>
              <w:tc>
                <w:tcPr>
                  <w:tcW w:w="3264" w:type="dxa"/>
                </w:tcPr>
                <w:p>
                  <w:pPr>
                    <w:rPr>
                      <w:rFonts w:hint="default" w:cs="Arial"/>
                      <w:sz w:val="22"/>
                      <w:szCs w:val="22"/>
                      <w:lang w:val="en-US"/>
                    </w:rPr>
                  </w:pPr>
                  <w:r>
                    <w:rPr>
                      <w:rFonts w:hint="default" w:cs="Arial"/>
                      <w:sz w:val="22"/>
                      <w:szCs w:val="22"/>
                      <w:lang w:val="en-US"/>
                    </w:rPr>
                    <w:t>02/07/2025-08/07/2025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291" w:type="dxa"/>
                </w:tcPr>
                <w:p>
                  <w:pPr>
                    <w:rPr>
                      <w:rFonts w:cs="Arial"/>
                      <w:sz w:val="22"/>
                      <w:szCs w:val="22"/>
                    </w:rPr>
                  </w:pPr>
                  <w:r>
                    <w:rPr>
                      <w:rFonts w:cs="Arial"/>
                      <w:sz w:val="22"/>
                      <w:szCs w:val="22"/>
                    </w:rPr>
                    <w:t>Writing conclusions</w:t>
                  </w:r>
                </w:p>
              </w:tc>
              <w:tc>
                <w:tcPr>
                  <w:tcW w:w="3264" w:type="dxa"/>
                </w:tcPr>
                <w:p>
                  <w:pPr>
                    <w:rPr>
                      <w:rFonts w:hint="default" w:cs="Arial"/>
                      <w:sz w:val="22"/>
                      <w:szCs w:val="22"/>
                      <w:lang w:val="en-US"/>
                    </w:rPr>
                  </w:pPr>
                  <w:r>
                    <w:rPr>
                      <w:rFonts w:hint="default" w:cs="Arial"/>
                      <w:sz w:val="22"/>
                      <w:szCs w:val="22"/>
                      <w:lang w:val="en-US"/>
                    </w:rPr>
                    <w:t>09/07/2025-15/07/2025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291" w:type="dxa"/>
                </w:tcPr>
                <w:p>
                  <w:pPr>
                    <w:rPr>
                      <w:rFonts w:cs="Arial"/>
                      <w:sz w:val="22"/>
                      <w:szCs w:val="22"/>
                    </w:rPr>
                  </w:pPr>
                </w:p>
              </w:tc>
              <w:tc>
                <w:tcPr>
                  <w:tcW w:w="3264" w:type="dxa"/>
                </w:tcPr>
                <w:p>
                  <w:pPr>
                    <w:rPr>
                      <w:rFonts w:cs="Arial"/>
                      <w:sz w:val="22"/>
                      <w:szCs w:val="22"/>
                    </w:rPr>
                  </w:pPr>
                </w:p>
              </w:tc>
            </w:tr>
          </w:tbl>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b/>
                <w:bCs/>
                <w:sz w:val="22"/>
                <w:szCs w:val="22"/>
              </w:rPr>
              <w:t>Proposed Methodology</w:t>
            </w:r>
            <w:r>
              <w:rPr>
                <w:rFonts w:cs="Arial"/>
                <w:sz w:val="22"/>
                <w:szCs w:val="22"/>
              </w:rPr>
              <w:t xml:space="preserve"> (approx. 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keepNext w:val="0"/>
              <w:keepLines w:val="0"/>
              <w:widowControl w:val="0"/>
              <w:suppressLineNumbers w:val="0"/>
              <w:autoSpaceDE w:val="0"/>
              <w:autoSpaceDN/>
              <w:spacing w:before="0" w:beforeAutospacing="0" w:after="0" w:afterAutospacing="0" w:line="360" w:lineRule="auto"/>
              <w:ind w:left="0" w:right="0" w:firstLine="420" w:firstLineChars="200"/>
              <w:jc w:val="both"/>
              <w:rPr>
                <w:rFonts w:hint="eastAsia" w:ascii="Calibri" w:hAnsi="Calibri" w:eastAsia="宋体" w:cs="Times New Roman"/>
                <w:kern w:val="2"/>
                <w:sz w:val="21"/>
                <w:szCs w:val="21"/>
              </w:rPr>
            </w:pPr>
            <w:r>
              <w:rPr>
                <w:rFonts w:hint="default" w:ascii="Calibri" w:hAnsi="Calibri" w:eastAsia="宋体" w:cs="Calibri"/>
                <w:kern w:val="2"/>
                <w:sz w:val="21"/>
                <w:szCs w:val="21"/>
                <w:lang w:val="en-US" w:eastAsia="zh-CN" w:bidi="ar"/>
              </w:rPr>
              <w:t>The purpose of this study is to explore the growth mindset</w:t>
            </w:r>
            <w:r>
              <w:rPr>
                <w:rFonts w:hint="eastAsia" w:ascii="Calibri" w:hAnsi="Calibri" w:eastAsia="宋体" w:cs="Times New Roman"/>
                <w:kern w:val="2"/>
                <w:sz w:val="21"/>
                <w:szCs w:val="21"/>
                <w:lang w:val="en-US" w:eastAsia="zh-CN" w:bidi="ar"/>
              </w:rPr>
              <w:t xml:space="preserve"> </w:t>
            </w:r>
            <w:r>
              <w:rPr>
                <w:rFonts w:hint="default" w:ascii="Calibri" w:hAnsi="Calibri" w:eastAsia="宋体" w:cs="Calibri"/>
                <w:kern w:val="2"/>
                <w:sz w:val="21"/>
                <w:szCs w:val="21"/>
                <w:lang w:val="en-US" w:eastAsia="zh-CN" w:bidi="ar"/>
              </w:rPr>
              <w:t>of junior middle school students in Jiangxi Province and the relationship between growth mindset</w:t>
            </w:r>
            <w:r>
              <w:rPr>
                <w:rFonts w:hint="eastAsia" w:ascii="Calibri" w:hAnsi="Calibri" w:eastAsia="宋体" w:cs="Times New Roman"/>
                <w:kern w:val="2"/>
                <w:sz w:val="21"/>
                <w:szCs w:val="21"/>
                <w:lang w:val="en-US" w:eastAsia="zh-CN" w:bidi="ar"/>
              </w:rPr>
              <w:t xml:space="preserve"> </w:t>
            </w:r>
            <w:r>
              <w:rPr>
                <w:rFonts w:hint="default" w:ascii="Calibri" w:hAnsi="Calibri" w:eastAsia="宋体" w:cs="Calibri"/>
                <w:kern w:val="2"/>
                <w:sz w:val="21"/>
                <w:szCs w:val="21"/>
                <w:lang w:val="en-US" w:eastAsia="zh-CN" w:bidi="ar"/>
              </w:rPr>
              <w:t>and math anxiety. An in-depth understanding of these two aspects is expected to provide educators with empirical evidence to help them develop more effective educational strategies to promote students' math learning and personal growth.</w:t>
            </w:r>
          </w:p>
          <w:p>
            <w:pPr>
              <w:keepNext w:val="0"/>
              <w:keepLines w:val="0"/>
              <w:widowControl w:val="0"/>
              <w:suppressLineNumbers w:val="0"/>
              <w:autoSpaceDE w:val="0"/>
              <w:autoSpaceDN/>
              <w:spacing w:before="0" w:beforeAutospacing="0" w:after="0" w:afterAutospacing="0" w:line="360" w:lineRule="auto"/>
              <w:ind w:left="0" w:right="0" w:firstLine="420" w:firstLineChars="200"/>
              <w:jc w:val="both"/>
              <w:rPr>
                <w:rFonts w:hint="default" w:ascii="Calibri" w:hAnsi="Calibri" w:eastAsia="宋体" w:cs="Times New Roman"/>
                <w:kern w:val="2"/>
                <w:sz w:val="21"/>
                <w:szCs w:val="21"/>
              </w:rPr>
            </w:pPr>
            <w:r>
              <w:rPr>
                <w:rFonts w:hint="default" w:ascii="Calibri" w:hAnsi="Calibri" w:eastAsia="宋体" w:cs="Calibri"/>
                <w:kern w:val="2"/>
                <w:sz w:val="21"/>
                <w:szCs w:val="21"/>
                <w:lang w:val="en-US" w:eastAsia="zh-CN" w:bidi="ar"/>
              </w:rPr>
              <w:t xml:space="preserve">In the </w:t>
            </w:r>
            <w:r>
              <w:rPr>
                <w:rFonts w:hint="default" w:ascii="Calibri" w:hAnsi="Calibri" w:eastAsia="宋体" w:cs="Times New Roman"/>
                <w:kern w:val="2"/>
                <w:sz w:val="21"/>
                <w:szCs w:val="21"/>
                <w:lang w:val="en-US" w:eastAsia="zh-CN" w:bidi="ar"/>
              </w:rPr>
              <w:t>r</w:t>
            </w:r>
            <w:r>
              <w:rPr>
                <w:rFonts w:hint="default" w:ascii="Calibri" w:hAnsi="Calibri" w:eastAsia="宋体" w:cs="Calibri"/>
                <w:kern w:val="2"/>
                <w:sz w:val="21"/>
                <w:szCs w:val="21"/>
                <w:lang w:val="en-US" w:eastAsia="zh-CN" w:bidi="ar"/>
              </w:rPr>
              <w:t xml:space="preserve">esearch </w:t>
            </w:r>
            <w:r>
              <w:rPr>
                <w:rFonts w:hint="default" w:ascii="Calibri" w:hAnsi="Calibri" w:eastAsia="宋体" w:cs="Times New Roman"/>
                <w:kern w:val="2"/>
                <w:sz w:val="21"/>
                <w:szCs w:val="21"/>
                <w:lang w:val="en-US" w:eastAsia="zh-CN" w:bidi="ar"/>
              </w:rPr>
              <w:t>p</w:t>
            </w:r>
            <w:r>
              <w:rPr>
                <w:rFonts w:hint="default" w:ascii="Calibri" w:hAnsi="Calibri" w:eastAsia="宋体" w:cs="Calibri"/>
                <w:kern w:val="2"/>
                <w:sz w:val="21"/>
                <w:szCs w:val="21"/>
                <w:lang w:val="en-US" w:eastAsia="zh-CN" w:bidi="ar"/>
              </w:rPr>
              <w:t>aradigm, this study follows the positivism paradigm</w:t>
            </w:r>
            <w:r>
              <w:rPr>
                <w:rFonts w:hint="default" w:ascii="Calibri" w:hAnsi="Calibri" w:eastAsia="宋体" w:cs="Times New Roman"/>
                <w:kern w:val="2"/>
                <w:sz w:val="21"/>
                <w:szCs w:val="21"/>
                <w:lang w:val="en-US" w:eastAsia="zh-CN" w:bidi="ar"/>
              </w:rPr>
              <w:t>. Park, Konge and Artino (2020) point out</w:t>
            </w:r>
            <w:r>
              <w:rPr>
                <w:rFonts w:hint="eastAsia" w:ascii="Calibri" w:hAnsi="Calibri" w:eastAsia="宋体" w:cs="Times New Roman"/>
                <w:kern w:val="2"/>
                <w:sz w:val="21"/>
                <w:szCs w:val="21"/>
                <w:lang w:val="en-US" w:eastAsia="zh-CN" w:bidi="ar"/>
              </w:rPr>
              <w:t xml:space="preserve"> </w:t>
            </w:r>
            <w:r>
              <w:rPr>
                <w:rFonts w:hint="default" w:ascii="Calibri" w:hAnsi="Calibri" w:eastAsia="宋体" w:cs="Times New Roman"/>
                <w:kern w:val="2"/>
                <w:sz w:val="21"/>
                <w:szCs w:val="21"/>
                <w:lang w:val="en-US" w:eastAsia="zh-CN" w:bidi="ar"/>
              </w:rPr>
              <w:t>that positivism paradigm</w:t>
            </w:r>
            <w:r>
              <w:rPr>
                <w:rFonts w:hint="eastAsia" w:ascii="Calibri" w:hAnsi="Calibri" w:eastAsia="宋体" w:cs="Times New Roman"/>
                <w:kern w:val="2"/>
                <w:sz w:val="21"/>
                <w:szCs w:val="21"/>
                <w:lang w:val="en-US" w:eastAsia="zh-CN" w:bidi="ar"/>
              </w:rPr>
              <w:t xml:space="preserve"> </w:t>
            </w:r>
            <w:r>
              <w:rPr>
                <w:rFonts w:hint="default" w:ascii="Calibri" w:hAnsi="Calibri" w:eastAsia="宋体" w:cs="Calibri"/>
                <w:kern w:val="2"/>
                <w:sz w:val="21"/>
                <w:szCs w:val="21"/>
                <w:lang w:val="en-US" w:eastAsia="zh-CN" w:bidi="ar"/>
              </w:rPr>
              <w:t xml:space="preserve">is tested through observation, experiment and data analysis, and the causal relationship between variables is revealed. Specifically, growth </w:t>
            </w:r>
            <w:r>
              <w:rPr>
                <w:rFonts w:hint="default" w:ascii="Calibri" w:hAnsi="Calibri" w:eastAsia="宋体" w:cs="Times New Roman"/>
                <w:kern w:val="2"/>
                <w:sz w:val="21"/>
                <w:szCs w:val="21"/>
                <w:lang w:val="en-US" w:eastAsia="zh-CN" w:bidi="ar"/>
              </w:rPr>
              <w:t>mindset</w:t>
            </w:r>
            <w:r>
              <w:rPr>
                <w:rFonts w:hint="eastAsia" w:ascii="Calibri" w:hAnsi="Calibri" w:eastAsia="宋体" w:cs="Times New Roman"/>
                <w:kern w:val="2"/>
                <w:sz w:val="21"/>
                <w:szCs w:val="21"/>
                <w:lang w:val="en-US" w:eastAsia="zh-CN" w:bidi="ar"/>
              </w:rPr>
              <w:t xml:space="preserve"> </w:t>
            </w:r>
            <w:r>
              <w:rPr>
                <w:rFonts w:hint="default" w:ascii="Calibri" w:hAnsi="Calibri" w:eastAsia="宋体" w:cs="Calibri"/>
                <w:kern w:val="2"/>
                <w:sz w:val="21"/>
                <w:szCs w:val="21"/>
                <w:lang w:val="en-US" w:eastAsia="zh-CN" w:bidi="ar"/>
              </w:rPr>
              <w:t xml:space="preserve">is taken as independent variable and math anxiety as dependent variable, and the influence mechanism of independent variable on dependent variable is explored by statistical method. </w:t>
            </w:r>
            <w:r>
              <w:rPr>
                <w:rFonts w:hint="default" w:ascii="Calibri" w:hAnsi="Calibri" w:eastAsia="宋体" w:cs="Times New Roman"/>
                <w:kern w:val="2"/>
                <w:sz w:val="21"/>
                <w:szCs w:val="21"/>
                <w:lang w:val="en-US" w:eastAsia="zh-CN" w:bidi="ar"/>
              </w:rPr>
              <w:t>Dong and Kang (2022) suggest that both the growth mindset and the fixed mindset in mathematics need to take into account the influence of Chinese culture. Therefore</w:t>
            </w:r>
            <w:r>
              <w:rPr>
                <w:rFonts w:hint="default" w:ascii="Calibri" w:hAnsi="Calibri" w:eastAsia="宋体" w:cs="Calibri"/>
                <w:kern w:val="2"/>
                <w:sz w:val="21"/>
                <w:szCs w:val="21"/>
                <w:lang w:val="en-US" w:eastAsia="zh-CN" w:bidi="ar"/>
              </w:rPr>
              <w:t>, considering the potential interference factors such as culture and educational environment, the control variable method will be adopted to reduce external interference as much as possible and ensure the reliability of the research results.</w:t>
            </w:r>
          </w:p>
          <w:p>
            <w:pPr>
              <w:keepNext w:val="0"/>
              <w:keepLines w:val="0"/>
              <w:widowControl w:val="0"/>
              <w:suppressLineNumbers w:val="0"/>
              <w:autoSpaceDE w:val="0"/>
              <w:autoSpaceDN/>
              <w:spacing w:before="0" w:beforeAutospacing="0" w:after="0" w:afterAutospacing="0" w:line="360" w:lineRule="auto"/>
              <w:ind w:left="0" w:right="0" w:firstLine="420" w:firstLineChars="200"/>
              <w:jc w:val="both"/>
              <w:rPr>
                <w:rFonts w:hint="eastAsia" w:ascii="Calibri" w:hAnsi="Calibri" w:eastAsia="宋体" w:cs="Times New Roman"/>
                <w:kern w:val="2"/>
                <w:sz w:val="21"/>
                <w:szCs w:val="21"/>
              </w:rPr>
            </w:pPr>
            <w:r>
              <w:rPr>
                <w:rFonts w:hint="default" w:ascii="Calibri" w:hAnsi="Calibri" w:eastAsia="宋体" w:cs="Calibri"/>
                <w:kern w:val="2"/>
                <w:sz w:val="21"/>
                <w:szCs w:val="21"/>
                <w:lang w:val="en-US" w:eastAsia="zh-CN" w:bidi="ar"/>
              </w:rPr>
              <w:t>In order to investigate the current growth mindset</w:t>
            </w:r>
            <w:r>
              <w:rPr>
                <w:rFonts w:hint="eastAsia" w:ascii="Calibri" w:hAnsi="Calibri" w:eastAsia="宋体" w:cs="Times New Roman"/>
                <w:kern w:val="2"/>
                <w:sz w:val="21"/>
                <w:szCs w:val="21"/>
                <w:lang w:val="en-US" w:eastAsia="zh-CN" w:bidi="ar"/>
              </w:rPr>
              <w:t xml:space="preserve"> </w:t>
            </w:r>
            <w:r>
              <w:rPr>
                <w:rFonts w:hint="default" w:ascii="Calibri" w:hAnsi="Calibri" w:eastAsia="宋体" w:cs="Calibri"/>
                <w:kern w:val="2"/>
                <w:sz w:val="21"/>
                <w:szCs w:val="21"/>
                <w:lang w:val="en-US" w:eastAsia="zh-CN" w:bidi="ar"/>
              </w:rPr>
              <w:t>of junior high school students in Jiangxi Province and ensure the representativeness and depth of the research, it is planned to randomly select 5 junior high schools in Jiangxi Province, and randomly select 10 junior high school students from each school for interview, a total of 50 interview subjects. Powers</w:t>
            </w:r>
            <w:r>
              <w:rPr>
                <w:rFonts w:hint="default" w:ascii="Calibri" w:hAnsi="Calibri" w:eastAsia="宋体" w:cs="Times New Roman"/>
                <w:kern w:val="2"/>
                <w:sz w:val="21"/>
                <w:szCs w:val="21"/>
                <w:lang w:val="en-US" w:eastAsia="zh-CN" w:bidi="ar"/>
              </w:rPr>
              <w:t xml:space="preserve"> and</w:t>
            </w:r>
            <w:r>
              <w:rPr>
                <w:rFonts w:hint="eastAsia" w:ascii="Calibri" w:hAnsi="Calibri" w:eastAsia="宋体" w:cs="Times New Roman"/>
                <w:kern w:val="2"/>
                <w:sz w:val="21"/>
                <w:szCs w:val="21"/>
                <w:lang w:val="en-US" w:eastAsia="zh-CN" w:bidi="ar"/>
              </w:rPr>
              <w:t xml:space="preserve"> </w:t>
            </w:r>
            <w:r>
              <w:rPr>
                <w:rFonts w:hint="default" w:ascii="Calibri" w:hAnsi="Calibri" w:eastAsia="宋体" w:cs="Calibri"/>
                <w:kern w:val="2"/>
                <w:sz w:val="21"/>
                <w:szCs w:val="21"/>
                <w:lang w:val="en-US" w:eastAsia="zh-CN" w:bidi="ar"/>
              </w:rPr>
              <w:t>Rothman</w:t>
            </w:r>
            <w:r>
              <w:rPr>
                <w:rFonts w:hint="eastAsia" w:ascii="Calibri" w:hAnsi="Calibri" w:eastAsia="宋体" w:cs="Times New Roman"/>
                <w:kern w:val="2"/>
                <w:sz w:val="21"/>
                <w:szCs w:val="21"/>
                <w:lang w:val="en-US" w:eastAsia="zh-CN" w:bidi="ar"/>
              </w:rPr>
              <w:t xml:space="preserve"> </w:t>
            </w:r>
            <w:r>
              <w:rPr>
                <w:rFonts w:hint="default" w:ascii="Calibri" w:hAnsi="Calibri" w:eastAsia="宋体" w:cs="Times New Roman"/>
                <w:kern w:val="2"/>
                <w:sz w:val="21"/>
                <w:szCs w:val="21"/>
                <w:lang w:val="en-US" w:eastAsia="zh-CN" w:bidi="ar"/>
              </w:rPr>
              <w:t>(2018) propose that random sampling reduces the subjectivity of the researcher in the selection of the sample, because the sample selection is based on probability rather than on the personal preference or judgment of the researcher. So the sampling method is random sampling.</w:t>
            </w:r>
            <w:r>
              <w:rPr>
                <w:rFonts w:hint="eastAsia" w:ascii="Calibri" w:hAnsi="Calibri" w:eastAsia="宋体" w:cs="Times New Roman"/>
                <w:kern w:val="2"/>
                <w:sz w:val="21"/>
                <w:szCs w:val="21"/>
                <w:lang w:val="en-US" w:eastAsia="zh-CN" w:bidi="ar"/>
              </w:rPr>
              <w:t xml:space="preserve"> </w:t>
            </w:r>
            <w:r>
              <w:rPr>
                <w:rFonts w:hint="default" w:ascii="Calibri" w:hAnsi="Calibri" w:eastAsia="宋体" w:cs="Calibri"/>
                <w:kern w:val="2"/>
                <w:sz w:val="21"/>
                <w:szCs w:val="21"/>
                <w:lang w:val="en-US" w:eastAsia="zh-CN" w:bidi="ar"/>
              </w:rPr>
              <w:t>These interviews will cover students of different grades, genders, and academic achievement levels to ensure a diverse sample. Students will be interviewed from junior high schools in different regions</w:t>
            </w:r>
            <w:r>
              <w:rPr>
                <w:rFonts w:hint="default" w:ascii="Calibri" w:hAnsi="Calibri" w:eastAsia="宋体" w:cs="Times New Roman"/>
                <w:kern w:val="2"/>
                <w:sz w:val="21"/>
                <w:szCs w:val="21"/>
                <w:lang w:val="en-US" w:eastAsia="zh-CN" w:bidi="ar"/>
              </w:rPr>
              <w:t xml:space="preserve">, </w:t>
            </w:r>
            <w:r>
              <w:rPr>
                <w:rFonts w:hint="default" w:ascii="Calibri" w:hAnsi="Calibri" w:eastAsia="宋体" w:cs="Calibri"/>
                <w:kern w:val="2"/>
                <w:sz w:val="21"/>
                <w:szCs w:val="21"/>
                <w:lang w:val="en-US" w:eastAsia="zh-CN" w:bidi="ar"/>
              </w:rPr>
              <w:t>such as urban and rural areas</w:t>
            </w:r>
            <w:r>
              <w:rPr>
                <w:rFonts w:hint="default" w:ascii="Calibri" w:hAnsi="Calibri" w:eastAsia="宋体" w:cs="Times New Roman"/>
                <w:kern w:val="2"/>
                <w:sz w:val="21"/>
                <w:szCs w:val="21"/>
                <w:lang w:val="en-US" w:eastAsia="zh-CN" w:bidi="ar"/>
              </w:rPr>
              <w:t xml:space="preserve"> </w:t>
            </w:r>
            <w:r>
              <w:rPr>
                <w:rFonts w:hint="default" w:ascii="Calibri" w:hAnsi="Calibri" w:eastAsia="宋体" w:cs="Calibri"/>
                <w:kern w:val="2"/>
                <w:sz w:val="21"/>
                <w:szCs w:val="21"/>
                <w:lang w:val="en-US" w:eastAsia="zh-CN" w:bidi="ar"/>
              </w:rPr>
              <w:t>in Jiangxi Province to reflect the overall situation of junior high school students in Jiangxi Province. At the same time, factors such as the school's educational resources and teaching quality will be considered to ensure the breadth and representativeness of the sample. The interviews will focus on students' attitudes, beliefs and coping strategies in the face of challenges in math learning to gain an in-depth understanding of their growth mindset. The interview outline will be designed and adjusted according to the relevant theories on growth mindsets in the PISA 2022 database. In order to obtain the data more conveniently and quickly, the interviews were conducted online, unified contact with the school, and connected by the school.</w:t>
            </w:r>
          </w:p>
          <w:p>
            <w:pPr>
              <w:keepNext w:val="0"/>
              <w:keepLines w:val="0"/>
              <w:widowControl w:val="0"/>
              <w:suppressLineNumbers w:val="0"/>
              <w:autoSpaceDE w:val="0"/>
              <w:autoSpaceDN/>
              <w:spacing w:before="0" w:beforeAutospacing="0" w:after="0" w:afterAutospacing="0" w:line="360" w:lineRule="auto"/>
              <w:ind w:left="0" w:right="0" w:firstLine="420" w:firstLineChars="200"/>
              <w:jc w:val="both"/>
              <w:rPr>
                <w:rFonts w:hint="eastAsia" w:ascii="Calibri" w:hAnsi="Calibri" w:eastAsia="宋体" w:cs="Times New Roman"/>
                <w:kern w:val="2"/>
                <w:sz w:val="21"/>
                <w:szCs w:val="21"/>
              </w:rPr>
            </w:pPr>
            <w:r>
              <w:rPr>
                <w:rFonts w:hint="default" w:ascii="Calibri" w:hAnsi="Calibri" w:eastAsia="宋体" w:cs="Calibri"/>
                <w:kern w:val="2"/>
                <w:sz w:val="21"/>
                <w:szCs w:val="21"/>
                <w:lang w:val="en-US" w:eastAsia="zh-CN" w:bidi="ar"/>
              </w:rPr>
              <w:t>In order to explore the relationship between growth mindset</w:t>
            </w:r>
            <w:r>
              <w:rPr>
                <w:rFonts w:hint="eastAsia" w:ascii="Calibri" w:hAnsi="Calibri" w:eastAsia="宋体" w:cs="Times New Roman"/>
                <w:kern w:val="2"/>
                <w:sz w:val="21"/>
                <w:szCs w:val="21"/>
                <w:lang w:val="en-US" w:eastAsia="zh-CN" w:bidi="ar"/>
              </w:rPr>
              <w:t xml:space="preserve"> </w:t>
            </w:r>
            <w:r>
              <w:rPr>
                <w:rFonts w:hint="default" w:ascii="Calibri" w:hAnsi="Calibri" w:eastAsia="宋体" w:cs="Calibri"/>
                <w:kern w:val="2"/>
                <w:sz w:val="21"/>
                <w:szCs w:val="21"/>
                <w:lang w:val="en-US" w:eastAsia="zh-CN" w:bidi="ar"/>
              </w:rPr>
              <w:t>and math anxiety of junior middle school students in Jiangxi Province, 50 junior middle school students in each school were randomly selected from 10 junior middle schools in Jiangxi Province to conduct a questionnaire survey, with a total of 500 respondents. This sample size will be sufficient to ensure the statistical validity of the study and to reflect the overall situation of junior high school students in Jiangxi Province. İdil, Gülen</w:t>
            </w:r>
            <w:r>
              <w:rPr>
                <w:rFonts w:hint="default" w:ascii="Calibri" w:hAnsi="Calibri" w:eastAsia="宋体" w:cs="Times New Roman"/>
                <w:kern w:val="2"/>
                <w:sz w:val="21"/>
                <w:szCs w:val="21"/>
                <w:lang w:val="en-US" w:eastAsia="zh-CN" w:bidi="ar"/>
              </w:rPr>
              <w:t xml:space="preserve"> and</w:t>
            </w:r>
            <w:r>
              <w:rPr>
                <w:rFonts w:hint="eastAsia" w:ascii="Calibri" w:hAnsi="Calibri" w:eastAsia="宋体" w:cs="Times New Roman"/>
                <w:kern w:val="2"/>
                <w:sz w:val="21"/>
                <w:szCs w:val="21"/>
                <w:lang w:val="en-US" w:eastAsia="zh-CN" w:bidi="ar"/>
              </w:rPr>
              <w:t xml:space="preserve"> </w:t>
            </w:r>
            <w:r>
              <w:rPr>
                <w:rFonts w:hint="default" w:ascii="Calibri" w:hAnsi="Calibri" w:eastAsia="宋体" w:cs="Calibri"/>
                <w:kern w:val="2"/>
                <w:sz w:val="21"/>
                <w:szCs w:val="21"/>
                <w:lang w:val="en-US" w:eastAsia="zh-CN" w:bidi="ar"/>
              </w:rPr>
              <w:t>Dönmez</w:t>
            </w:r>
            <w:r>
              <w:rPr>
                <w:rFonts w:hint="eastAsia" w:ascii="Calibri" w:hAnsi="Calibri" w:eastAsia="宋体" w:cs="Times New Roman"/>
                <w:kern w:val="2"/>
                <w:sz w:val="21"/>
                <w:szCs w:val="21"/>
                <w:lang w:val="en-US" w:eastAsia="zh-CN" w:bidi="ar"/>
              </w:rPr>
              <w:t xml:space="preserve"> </w:t>
            </w:r>
            <w:r>
              <w:rPr>
                <w:rFonts w:hint="default" w:ascii="Calibri" w:hAnsi="Calibri" w:eastAsia="宋体" w:cs="Times New Roman"/>
                <w:kern w:val="2"/>
                <w:sz w:val="21"/>
                <w:szCs w:val="21"/>
                <w:lang w:val="en-US" w:eastAsia="zh-CN" w:bidi="ar"/>
              </w:rPr>
              <w:t>(2024) point out that the assessment process of PISA 2022 is very rigorous, including sample selection, test content design, data collection and analysis.</w:t>
            </w:r>
            <w:r>
              <w:rPr>
                <w:rFonts w:hint="eastAsia" w:ascii="Calibri" w:hAnsi="Calibri" w:eastAsia="宋体" w:cs="Times New Roman"/>
                <w:kern w:val="2"/>
                <w:sz w:val="21"/>
                <w:szCs w:val="21"/>
                <w:lang w:val="en-US" w:eastAsia="zh-CN" w:bidi="ar"/>
              </w:rPr>
              <w:t xml:space="preserve"> </w:t>
            </w:r>
            <w:r>
              <w:rPr>
                <w:rFonts w:hint="default" w:ascii="Calibri" w:hAnsi="Calibri" w:eastAsia="宋体" w:cs="Times New Roman"/>
                <w:kern w:val="2"/>
                <w:sz w:val="21"/>
                <w:szCs w:val="21"/>
                <w:lang w:val="en-US" w:eastAsia="zh-CN" w:bidi="ar"/>
              </w:rPr>
              <w:t>So t</w:t>
            </w:r>
            <w:r>
              <w:rPr>
                <w:rFonts w:hint="default" w:ascii="Calibri" w:hAnsi="Calibri" w:eastAsia="宋体" w:cs="Calibri"/>
                <w:kern w:val="2"/>
                <w:sz w:val="21"/>
                <w:szCs w:val="21"/>
                <w:lang w:val="en-US" w:eastAsia="zh-CN" w:bidi="ar"/>
              </w:rPr>
              <w:t>o ensure the reliability of the research, the questions of the questionnaire will refer to the data on growth mindset and math anxiety from the PISA 2022 database. The questionnaire will be in the form of a Likert scale and will contain questions in multiple dimensions to comprehensively assess students' growth mindset and math anxiety level. Considering that most junior high school students cannot use mobile phones in China, this study will use offline paper questionnaires for data collection. The questionnaire will be printed and distributed to each school, and the class teacher or teacher will help organize students to fill in it.</w:t>
            </w:r>
          </w:p>
          <w:p>
            <w:pPr>
              <w:keepNext w:val="0"/>
              <w:keepLines w:val="0"/>
              <w:widowControl w:val="0"/>
              <w:suppressLineNumbers w:val="0"/>
              <w:autoSpaceDE w:val="0"/>
              <w:autoSpaceDN/>
              <w:spacing w:before="0" w:beforeAutospacing="0" w:after="0" w:afterAutospacing="0" w:line="360" w:lineRule="auto"/>
              <w:ind w:left="0" w:right="0" w:firstLine="420" w:firstLineChars="200"/>
              <w:jc w:val="both"/>
              <w:rPr>
                <w:rFonts w:hint="eastAsia" w:ascii="Calibri" w:hAnsi="Calibri" w:eastAsia="宋体" w:cs="Times New Roman"/>
                <w:kern w:val="2"/>
                <w:sz w:val="21"/>
                <w:szCs w:val="21"/>
              </w:rPr>
            </w:pPr>
            <w:r>
              <w:rPr>
                <w:rFonts w:hint="default" w:ascii="Calibri" w:hAnsi="Calibri" w:eastAsia="宋体" w:cs="Calibri"/>
                <w:kern w:val="2"/>
                <w:sz w:val="21"/>
                <w:szCs w:val="21"/>
                <w:lang w:val="en-US" w:eastAsia="zh-CN" w:bidi="ar"/>
              </w:rPr>
              <w:t>For the analysis of interviews, the interview content is transcribed and encoded to extract key information and themes. The content analysis method is used to summarize and summarize the interview data to form a deep understanding of the current situation of junior middle school students' mathematics growth mindset</w:t>
            </w:r>
            <w:r>
              <w:rPr>
                <w:rFonts w:hint="eastAsia" w:ascii="Calibri" w:hAnsi="Calibri" w:eastAsia="宋体" w:cs="Times New Roman"/>
                <w:kern w:val="2"/>
                <w:sz w:val="21"/>
                <w:szCs w:val="21"/>
                <w:lang w:val="en-US" w:eastAsia="zh-CN" w:bidi="ar"/>
              </w:rPr>
              <w:t xml:space="preserve"> </w:t>
            </w:r>
            <w:r>
              <w:rPr>
                <w:rFonts w:hint="default" w:ascii="Calibri" w:hAnsi="Calibri" w:eastAsia="宋体" w:cs="Calibri"/>
                <w:kern w:val="2"/>
                <w:sz w:val="21"/>
                <w:szCs w:val="21"/>
                <w:lang w:val="en-US" w:eastAsia="zh-CN" w:bidi="ar"/>
              </w:rPr>
              <w:t xml:space="preserve">in Jiangxi Province. At the same time, a comprehensive analysis will be made based on the background information of the interviewees. For the analysis of questionnaire, descriptive statistics, correlation analysis and regression analysis of questionnaire data are carried out by statistical software. Descriptive statistics </w:t>
            </w:r>
            <w:r>
              <w:rPr>
                <w:rFonts w:hint="default" w:ascii="Calibri" w:hAnsi="Calibri" w:eastAsia="宋体" w:cs="Times New Roman"/>
                <w:kern w:val="2"/>
                <w:sz w:val="21"/>
                <w:szCs w:val="21"/>
                <w:lang w:val="en-US" w:eastAsia="zh-CN" w:bidi="ar"/>
              </w:rPr>
              <w:t>are</w:t>
            </w:r>
            <w:r>
              <w:rPr>
                <w:rFonts w:hint="eastAsia" w:ascii="Calibri" w:hAnsi="Calibri" w:eastAsia="宋体" w:cs="Times New Roman"/>
                <w:kern w:val="2"/>
                <w:sz w:val="21"/>
                <w:szCs w:val="21"/>
                <w:lang w:val="en-US" w:eastAsia="zh-CN" w:bidi="ar"/>
              </w:rPr>
              <w:t xml:space="preserve"> </w:t>
            </w:r>
            <w:r>
              <w:rPr>
                <w:rFonts w:hint="default" w:ascii="Calibri" w:hAnsi="Calibri" w:eastAsia="宋体" w:cs="Calibri"/>
                <w:kern w:val="2"/>
                <w:sz w:val="21"/>
                <w:szCs w:val="21"/>
                <w:lang w:val="en-US" w:eastAsia="zh-CN" w:bidi="ar"/>
              </w:rPr>
              <w:t xml:space="preserve">used to understand the basic characteristics and distribution of samples, and correlation analysis </w:t>
            </w:r>
            <w:r>
              <w:rPr>
                <w:rFonts w:hint="default" w:ascii="Calibri" w:hAnsi="Calibri" w:eastAsia="宋体" w:cs="Times New Roman"/>
                <w:kern w:val="2"/>
                <w:sz w:val="21"/>
                <w:szCs w:val="21"/>
                <w:lang w:val="en-US" w:eastAsia="zh-CN" w:bidi="ar"/>
              </w:rPr>
              <w:t>is</w:t>
            </w:r>
            <w:r>
              <w:rPr>
                <w:rFonts w:hint="eastAsia" w:ascii="Calibri" w:hAnsi="Calibri" w:eastAsia="宋体" w:cs="Times New Roman"/>
                <w:kern w:val="2"/>
                <w:sz w:val="21"/>
                <w:szCs w:val="21"/>
                <w:lang w:val="en-US" w:eastAsia="zh-CN" w:bidi="ar"/>
              </w:rPr>
              <w:t xml:space="preserve"> </w:t>
            </w:r>
            <w:r>
              <w:rPr>
                <w:rFonts w:hint="default" w:ascii="Calibri" w:hAnsi="Calibri" w:eastAsia="宋体" w:cs="Calibri"/>
                <w:kern w:val="2"/>
                <w:sz w:val="21"/>
                <w:szCs w:val="21"/>
                <w:lang w:val="en-US" w:eastAsia="zh-CN" w:bidi="ar"/>
              </w:rPr>
              <w:t>used to explore the relationship between growth mindset and math anxiety. At the same time, graphs will be drawn to visually present the research results.</w:t>
            </w:r>
          </w:p>
          <w:p>
            <w:pPr>
              <w:keepNext w:val="0"/>
              <w:keepLines w:val="0"/>
              <w:widowControl w:val="0"/>
              <w:suppressLineNumbers w:val="0"/>
              <w:autoSpaceDE w:val="0"/>
              <w:autoSpaceDN/>
              <w:spacing w:before="0" w:beforeAutospacing="0" w:after="0" w:afterAutospacing="0" w:line="360" w:lineRule="auto"/>
              <w:ind w:left="0" w:right="0" w:firstLine="420" w:firstLineChars="200"/>
              <w:jc w:val="both"/>
              <w:rPr>
                <w:rFonts w:cs="Arial"/>
                <w:sz w:val="22"/>
                <w:szCs w:val="22"/>
              </w:rPr>
            </w:pPr>
            <w:r>
              <w:rPr>
                <w:rFonts w:hint="default" w:ascii="Calibri" w:hAnsi="Calibri" w:eastAsia="宋体" w:cs="Calibri"/>
                <w:kern w:val="2"/>
                <w:sz w:val="21"/>
                <w:szCs w:val="21"/>
                <w:lang w:val="en-US" w:eastAsia="zh-CN" w:bidi="ar"/>
              </w:rPr>
              <w:t xml:space="preserve">Finally, the following are the research development steps. Firstly, the literature related to growth mindset and math anxiety is classified and summarized before the research, and the theoretical framework of this study is constructed. Then, using data about growth mindset and math anxiety from PISA 2022 database as reference, interviews and questionnaires were developed, and reliability and validity tests were conducted. According to the method of random sampling mentioned above, interviews are conducted first and then questionnaires are conducted, so as to avoid interviewing students with a precognition </w:t>
            </w:r>
            <w:r>
              <w:rPr>
                <w:rFonts w:hint="default" w:ascii="Calibri" w:hAnsi="Calibri" w:eastAsia="宋体" w:cs="Times New Roman"/>
                <w:kern w:val="2"/>
                <w:sz w:val="21"/>
                <w:szCs w:val="21"/>
                <w:lang w:val="en-US" w:eastAsia="zh-CN" w:bidi="ar"/>
              </w:rPr>
              <w:t>mindset</w:t>
            </w:r>
            <w:r>
              <w:rPr>
                <w:rFonts w:hint="eastAsia" w:ascii="Calibri" w:hAnsi="Calibri" w:eastAsia="宋体" w:cs="Times New Roman"/>
                <w:kern w:val="2"/>
                <w:sz w:val="21"/>
                <w:szCs w:val="21"/>
                <w:lang w:val="en-US" w:eastAsia="zh-CN" w:bidi="ar"/>
              </w:rPr>
              <w:t xml:space="preserve"> </w:t>
            </w:r>
            <w:r>
              <w:rPr>
                <w:rFonts w:hint="default" w:ascii="Calibri" w:hAnsi="Calibri" w:eastAsia="宋体" w:cs="Calibri"/>
                <w:kern w:val="2"/>
                <w:sz w:val="21"/>
                <w:szCs w:val="21"/>
                <w:lang w:val="en-US" w:eastAsia="zh-CN" w:bidi="ar"/>
              </w:rPr>
              <w:t xml:space="preserve">after knowing the relationship between growth </w:t>
            </w:r>
            <w:r>
              <w:rPr>
                <w:rFonts w:hint="default" w:ascii="Calibri" w:hAnsi="Calibri" w:eastAsia="宋体" w:cs="Times New Roman"/>
                <w:kern w:val="2"/>
                <w:sz w:val="21"/>
                <w:szCs w:val="21"/>
                <w:lang w:val="en-US" w:eastAsia="zh-CN" w:bidi="ar"/>
              </w:rPr>
              <w:t>mindset</w:t>
            </w:r>
            <w:r>
              <w:rPr>
                <w:rFonts w:hint="eastAsia" w:ascii="Calibri" w:hAnsi="Calibri" w:eastAsia="宋体" w:cs="Times New Roman"/>
                <w:kern w:val="2"/>
                <w:sz w:val="21"/>
                <w:szCs w:val="21"/>
                <w:lang w:val="en-US" w:eastAsia="zh-CN" w:bidi="ar"/>
              </w:rPr>
              <w:t xml:space="preserve"> </w:t>
            </w:r>
            <w:r>
              <w:rPr>
                <w:rFonts w:hint="default" w:ascii="Calibri" w:hAnsi="Calibri" w:eastAsia="宋体" w:cs="Calibri"/>
                <w:kern w:val="2"/>
                <w:sz w:val="21"/>
                <w:szCs w:val="21"/>
                <w:lang w:val="en-US" w:eastAsia="zh-CN" w:bidi="ar"/>
              </w:rPr>
              <w:t>and math anxiety, and avoid intentional guidance. Then, the data of interviews and questionnaires were sorted out and analyzed to reach a conclusion. Finally, according to the conclusion, some appropriate suggestions are provided for educators to alleviate students' math anxiety.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b/>
                <w:bCs/>
                <w:sz w:val="22"/>
                <w:szCs w:val="22"/>
              </w:rPr>
            </w:pPr>
            <w:r>
              <w:rPr>
                <w:rFonts w:cs="Arial"/>
                <w:b/>
                <w:bCs/>
                <w:sz w:val="22"/>
                <w:szCs w:val="22"/>
              </w:rPr>
              <w:t>Introductory Bibliography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numPr>
                <w:ilvl w:val="0"/>
                <w:numId w:val="2"/>
              </w:numPr>
              <w:ind w:left="425" w:leftChars="0" w:hanging="425" w:firstLineChars="0"/>
              <w:rPr>
                <w:rFonts w:hint="eastAsia" w:cs="Arial"/>
                <w:sz w:val="22"/>
                <w:szCs w:val="22"/>
              </w:rPr>
            </w:pPr>
            <w:r>
              <w:rPr>
                <w:rFonts w:hint="eastAsia" w:cs="Arial"/>
                <w:sz w:val="22"/>
                <w:szCs w:val="22"/>
              </w:rPr>
              <w:t>Andrews, A., &amp; Brown, J. (2015)</w:t>
            </w:r>
            <w:r>
              <w:rPr>
                <w:rFonts w:hint="default" w:cs="Arial"/>
                <w:sz w:val="22"/>
                <w:szCs w:val="22"/>
                <w:lang w:val="en-US"/>
              </w:rPr>
              <w:t xml:space="preserve"> ‘</w:t>
            </w:r>
            <w:r>
              <w:rPr>
                <w:rFonts w:hint="eastAsia" w:cs="Arial"/>
                <w:sz w:val="22"/>
                <w:szCs w:val="22"/>
              </w:rPr>
              <w:t>The effects of math anxiety</w:t>
            </w:r>
            <w:r>
              <w:rPr>
                <w:rFonts w:hint="default" w:cs="Arial"/>
                <w:sz w:val="22"/>
                <w:szCs w:val="22"/>
                <w:lang w:val="en-US"/>
              </w:rPr>
              <w:t xml:space="preserve">’, </w:t>
            </w:r>
            <w:r>
              <w:rPr>
                <w:rFonts w:hint="default" w:ascii="Arial Italic" w:hAnsi="Arial Italic" w:cs="Arial Italic"/>
                <w:i/>
                <w:iCs/>
                <w:sz w:val="22"/>
                <w:szCs w:val="22"/>
              </w:rPr>
              <w:t>Education</w:t>
            </w:r>
            <w:r>
              <w:rPr>
                <w:rFonts w:hint="eastAsia" w:cs="Arial"/>
                <w:sz w:val="22"/>
                <w:szCs w:val="22"/>
              </w:rPr>
              <w:t>, 135(3), 362-370.</w:t>
            </w:r>
          </w:p>
          <w:p>
            <w:pPr>
              <w:numPr>
                <w:ilvl w:val="0"/>
                <w:numId w:val="2"/>
              </w:numPr>
              <w:ind w:left="425" w:leftChars="0" w:hanging="425" w:firstLineChars="0"/>
              <w:rPr>
                <w:rFonts w:hint="eastAsia" w:cs="Arial"/>
                <w:sz w:val="22"/>
                <w:szCs w:val="22"/>
              </w:rPr>
            </w:pPr>
            <w:r>
              <w:rPr>
                <w:rFonts w:hint="eastAsia" w:cs="Arial"/>
                <w:sz w:val="22"/>
                <w:szCs w:val="22"/>
              </w:rPr>
              <w:t>Baker, J. L. (2017)</w:t>
            </w:r>
            <w:r>
              <w:rPr>
                <w:rFonts w:hint="default" w:cs="Arial"/>
                <w:sz w:val="22"/>
                <w:szCs w:val="22"/>
                <w:lang w:val="en-US"/>
              </w:rPr>
              <w:t xml:space="preserve"> </w:t>
            </w:r>
            <w:r>
              <w:rPr>
                <w:rFonts w:hint="default" w:ascii="Arial Italic" w:hAnsi="Arial Italic" w:cs="Arial Italic"/>
                <w:i/>
                <w:iCs/>
                <w:sz w:val="22"/>
                <w:szCs w:val="22"/>
              </w:rPr>
              <w:t>Growth mindset and its effect on math achievement</w:t>
            </w:r>
            <w:r>
              <w:rPr>
                <w:rFonts w:hint="default" w:cs="Arial"/>
                <w:sz w:val="22"/>
                <w:szCs w:val="22"/>
                <w:lang w:val="en-US"/>
              </w:rPr>
              <w:t>.</w:t>
            </w:r>
          </w:p>
          <w:p>
            <w:pPr>
              <w:numPr>
                <w:ilvl w:val="0"/>
                <w:numId w:val="2"/>
              </w:numPr>
              <w:ind w:left="425" w:leftChars="0" w:hanging="425" w:firstLineChars="0"/>
              <w:rPr>
                <w:rFonts w:hint="eastAsia" w:cs="Arial"/>
                <w:sz w:val="22"/>
                <w:szCs w:val="22"/>
              </w:rPr>
            </w:pPr>
            <w:r>
              <w:rPr>
                <w:rFonts w:hint="eastAsia" w:cs="Arial"/>
                <w:sz w:val="22"/>
                <w:szCs w:val="22"/>
              </w:rPr>
              <w:t>Claro, S., Paunesku, D.</w:t>
            </w:r>
            <w:r>
              <w:rPr>
                <w:rFonts w:hint="default" w:cs="Arial"/>
                <w:sz w:val="22"/>
                <w:szCs w:val="22"/>
                <w:lang w:val="en-US"/>
              </w:rPr>
              <w:t xml:space="preserve"> and</w:t>
            </w:r>
            <w:r>
              <w:rPr>
                <w:rFonts w:hint="eastAsia" w:cs="Arial"/>
                <w:sz w:val="22"/>
                <w:szCs w:val="22"/>
              </w:rPr>
              <w:t xml:space="preserve"> Dweck, C. S. (2016) </w:t>
            </w:r>
            <w:r>
              <w:rPr>
                <w:rFonts w:hint="default" w:cs="Arial"/>
                <w:sz w:val="22"/>
                <w:szCs w:val="22"/>
                <w:lang w:val="en-US"/>
              </w:rPr>
              <w:t>‘</w:t>
            </w:r>
            <w:r>
              <w:rPr>
                <w:rFonts w:hint="eastAsia" w:cs="Arial"/>
                <w:sz w:val="22"/>
                <w:szCs w:val="22"/>
              </w:rPr>
              <w:t>Growth mindset tempers the effects of poverty on academic achievement</w:t>
            </w:r>
            <w:r>
              <w:rPr>
                <w:rFonts w:hint="default" w:cs="Arial"/>
                <w:sz w:val="22"/>
                <w:szCs w:val="22"/>
                <w:lang w:val="en-US"/>
              </w:rPr>
              <w:t xml:space="preserve">’, </w:t>
            </w:r>
            <w:r>
              <w:rPr>
                <w:rFonts w:hint="default" w:ascii="Arial Italic" w:hAnsi="Arial Italic" w:cs="Arial Italic"/>
                <w:i/>
                <w:iCs/>
                <w:sz w:val="22"/>
                <w:szCs w:val="22"/>
              </w:rPr>
              <w:t>Proceedings of the National Academy of Sciences</w:t>
            </w:r>
            <w:r>
              <w:rPr>
                <w:rFonts w:hint="eastAsia" w:cs="Arial"/>
                <w:sz w:val="22"/>
                <w:szCs w:val="22"/>
              </w:rPr>
              <w:t>, 113(31), 8664-8668.</w:t>
            </w:r>
          </w:p>
          <w:p>
            <w:pPr>
              <w:numPr>
                <w:ilvl w:val="0"/>
                <w:numId w:val="2"/>
              </w:numPr>
              <w:ind w:left="425" w:leftChars="0" w:hanging="425" w:firstLineChars="0"/>
              <w:rPr>
                <w:rFonts w:hint="eastAsia" w:cs="Arial"/>
                <w:sz w:val="22"/>
                <w:szCs w:val="22"/>
              </w:rPr>
            </w:pPr>
            <w:r>
              <w:rPr>
                <w:rFonts w:hint="eastAsia" w:cs="Arial"/>
                <w:sz w:val="22"/>
                <w:szCs w:val="22"/>
              </w:rPr>
              <w:t>Dong, L.</w:t>
            </w:r>
            <w:r>
              <w:rPr>
                <w:rFonts w:hint="default" w:cs="Arial"/>
                <w:sz w:val="22"/>
                <w:szCs w:val="22"/>
                <w:lang w:val="en-US"/>
              </w:rPr>
              <w:t xml:space="preserve"> and</w:t>
            </w:r>
            <w:r>
              <w:rPr>
                <w:rFonts w:hint="eastAsia" w:cs="Arial"/>
                <w:sz w:val="22"/>
                <w:szCs w:val="22"/>
              </w:rPr>
              <w:t xml:space="preserve"> Kang, Y. (2022) </w:t>
            </w:r>
            <w:r>
              <w:rPr>
                <w:rFonts w:hint="default" w:cs="Arial"/>
                <w:sz w:val="22"/>
                <w:szCs w:val="22"/>
                <w:lang w:val="en-US"/>
              </w:rPr>
              <w:t>‘</w:t>
            </w:r>
            <w:r>
              <w:rPr>
                <w:rFonts w:hint="eastAsia" w:cs="Arial"/>
                <w:sz w:val="22"/>
                <w:szCs w:val="22"/>
              </w:rPr>
              <w:t>Cultural differences in mindset beliefs regarding mathematics learning</w:t>
            </w:r>
            <w:r>
              <w:rPr>
                <w:rFonts w:hint="default" w:cs="Arial"/>
                <w:sz w:val="22"/>
                <w:szCs w:val="22"/>
                <w:lang w:val="en-US"/>
              </w:rPr>
              <w:t>’,</w:t>
            </w:r>
            <w:r>
              <w:rPr>
                <w:rFonts w:hint="eastAsia" w:cs="Arial"/>
                <w:sz w:val="22"/>
                <w:szCs w:val="22"/>
              </w:rPr>
              <w:t xml:space="preserve"> </w:t>
            </w:r>
            <w:r>
              <w:rPr>
                <w:rFonts w:hint="default" w:ascii="Arial Italic" w:hAnsi="Arial Italic" w:cs="Arial Italic"/>
                <w:i/>
                <w:iCs/>
                <w:sz w:val="22"/>
                <w:szCs w:val="22"/>
              </w:rPr>
              <w:t>Current Opinion in Behavioral Sciences</w:t>
            </w:r>
            <w:r>
              <w:rPr>
                <w:rFonts w:hint="eastAsia" w:cs="Arial"/>
                <w:sz w:val="22"/>
                <w:szCs w:val="22"/>
              </w:rPr>
              <w:t>, 46, 101159.</w:t>
            </w:r>
          </w:p>
          <w:p>
            <w:pPr>
              <w:numPr>
                <w:ilvl w:val="0"/>
                <w:numId w:val="2"/>
              </w:numPr>
              <w:ind w:left="425" w:leftChars="0" w:hanging="425" w:firstLineChars="0"/>
              <w:rPr>
                <w:rFonts w:hint="eastAsia" w:cs="Arial"/>
                <w:sz w:val="22"/>
                <w:szCs w:val="22"/>
              </w:rPr>
            </w:pPr>
            <w:r>
              <w:rPr>
                <w:rFonts w:hint="eastAsia" w:cs="Arial"/>
                <w:sz w:val="22"/>
                <w:szCs w:val="22"/>
              </w:rPr>
              <w:t>Dong, L., Jia, X.</w:t>
            </w:r>
            <w:r>
              <w:rPr>
                <w:rFonts w:hint="default" w:cs="Arial"/>
                <w:sz w:val="22"/>
                <w:szCs w:val="22"/>
                <w:lang w:val="en-US"/>
              </w:rPr>
              <w:t xml:space="preserve"> and</w:t>
            </w:r>
            <w:r>
              <w:rPr>
                <w:rFonts w:hint="eastAsia" w:cs="Arial"/>
                <w:sz w:val="22"/>
                <w:szCs w:val="22"/>
              </w:rPr>
              <w:t xml:space="preserve"> Fei, Y. (2023) </w:t>
            </w:r>
            <w:r>
              <w:rPr>
                <w:rFonts w:hint="default" w:cs="Arial"/>
                <w:sz w:val="22"/>
                <w:szCs w:val="22"/>
                <w:lang w:val="en-US"/>
              </w:rPr>
              <w:t>‘</w:t>
            </w:r>
            <w:r>
              <w:rPr>
                <w:rFonts w:hint="eastAsia" w:cs="Arial"/>
                <w:sz w:val="22"/>
                <w:szCs w:val="22"/>
              </w:rPr>
              <w:t>How growth mindset influences mathematics achievements: A study of Chinese middle school students</w:t>
            </w:r>
            <w:r>
              <w:rPr>
                <w:rFonts w:hint="default" w:cs="Arial"/>
                <w:sz w:val="22"/>
                <w:szCs w:val="22"/>
                <w:lang w:val="en-US"/>
              </w:rPr>
              <w:t>’,</w:t>
            </w:r>
            <w:r>
              <w:rPr>
                <w:rFonts w:hint="eastAsia" w:cs="Arial"/>
                <w:sz w:val="22"/>
                <w:szCs w:val="22"/>
              </w:rPr>
              <w:t xml:space="preserve"> </w:t>
            </w:r>
            <w:r>
              <w:rPr>
                <w:rFonts w:hint="default" w:ascii="Arial Italic" w:hAnsi="Arial Italic" w:cs="Arial Italic"/>
                <w:i/>
                <w:iCs/>
                <w:sz w:val="22"/>
                <w:szCs w:val="22"/>
              </w:rPr>
              <w:t>Frontiers in psychology</w:t>
            </w:r>
            <w:r>
              <w:rPr>
                <w:rFonts w:hint="eastAsia" w:cs="Arial"/>
                <w:sz w:val="22"/>
                <w:szCs w:val="22"/>
              </w:rPr>
              <w:t>, 14, 1148754.</w:t>
            </w:r>
          </w:p>
          <w:p>
            <w:pPr>
              <w:numPr>
                <w:ilvl w:val="0"/>
                <w:numId w:val="2"/>
              </w:numPr>
              <w:ind w:left="425" w:leftChars="0" w:hanging="425" w:firstLineChars="0"/>
              <w:rPr>
                <w:rFonts w:hint="eastAsia" w:cs="Arial"/>
                <w:sz w:val="22"/>
                <w:szCs w:val="22"/>
              </w:rPr>
            </w:pPr>
            <w:r>
              <w:rPr>
                <w:rFonts w:hint="eastAsia" w:cs="Arial"/>
                <w:sz w:val="22"/>
                <w:szCs w:val="22"/>
              </w:rPr>
              <w:t xml:space="preserve">Dweck, C. (2016) </w:t>
            </w:r>
            <w:r>
              <w:rPr>
                <w:rFonts w:hint="default" w:cs="Arial"/>
                <w:sz w:val="22"/>
                <w:szCs w:val="22"/>
                <w:lang w:val="en-US"/>
              </w:rPr>
              <w:t>‘</w:t>
            </w:r>
            <w:r>
              <w:rPr>
                <w:rFonts w:hint="eastAsia" w:cs="Arial"/>
                <w:sz w:val="22"/>
                <w:szCs w:val="22"/>
              </w:rPr>
              <w:t>What having a “growth mindset” actually means</w:t>
            </w:r>
            <w:r>
              <w:rPr>
                <w:rFonts w:hint="default" w:cs="Arial"/>
                <w:sz w:val="22"/>
                <w:szCs w:val="22"/>
                <w:lang w:val="en-US"/>
              </w:rPr>
              <w:t>’,</w:t>
            </w:r>
            <w:r>
              <w:rPr>
                <w:rFonts w:hint="eastAsia" w:cs="Arial"/>
                <w:sz w:val="22"/>
                <w:szCs w:val="22"/>
              </w:rPr>
              <w:t xml:space="preserve"> </w:t>
            </w:r>
            <w:r>
              <w:rPr>
                <w:rFonts w:hint="default" w:ascii="Arial Italic" w:hAnsi="Arial Italic" w:cs="Arial Italic"/>
                <w:i/>
                <w:iCs/>
                <w:sz w:val="22"/>
                <w:szCs w:val="22"/>
              </w:rPr>
              <w:t>Harvard business review</w:t>
            </w:r>
            <w:r>
              <w:rPr>
                <w:rFonts w:hint="eastAsia" w:cs="Arial"/>
                <w:sz w:val="22"/>
                <w:szCs w:val="22"/>
              </w:rPr>
              <w:t>, 13(2), 2-5.</w:t>
            </w:r>
          </w:p>
          <w:p>
            <w:pPr>
              <w:numPr>
                <w:ilvl w:val="0"/>
                <w:numId w:val="2"/>
              </w:numPr>
              <w:ind w:left="425" w:leftChars="0" w:hanging="425" w:firstLineChars="0"/>
              <w:rPr>
                <w:rFonts w:hint="eastAsia" w:cs="Arial"/>
                <w:sz w:val="22"/>
                <w:szCs w:val="22"/>
              </w:rPr>
            </w:pPr>
            <w:r>
              <w:rPr>
                <w:rFonts w:hint="eastAsia" w:cs="Arial"/>
                <w:sz w:val="22"/>
                <w:szCs w:val="22"/>
              </w:rPr>
              <w:t>İdil, Ş., Gülen, S.</w:t>
            </w:r>
            <w:r>
              <w:rPr>
                <w:rFonts w:hint="default" w:cs="Arial"/>
                <w:sz w:val="22"/>
                <w:szCs w:val="22"/>
                <w:lang w:val="en-US"/>
              </w:rPr>
              <w:t xml:space="preserve"> and</w:t>
            </w:r>
            <w:r>
              <w:rPr>
                <w:rFonts w:hint="eastAsia" w:cs="Arial"/>
                <w:sz w:val="22"/>
                <w:szCs w:val="22"/>
              </w:rPr>
              <w:t xml:space="preserve"> Dönmez, İ. (2024)</w:t>
            </w:r>
            <w:r>
              <w:rPr>
                <w:rFonts w:hint="default" w:cs="Arial"/>
                <w:sz w:val="22"/>
                <w:szCs w:val="22"/>
                <w:lang w:val="en-US"/>
              </w:rPr>
              <w:t xml:space="preserve"> ‘</w:t>
            </w:r>
            <w:r>
              <w:rPr>
                <w:rFonts w:hint="eastAsia" w:cs="Arial"/>
                <w:sz w:val="22"/>
                <w:szCs w:val="22"/>
              </w:rPr>
              <w:t>What Should We Understand from PISA 2022 Results?</w:t>
            </w:r>
            <w:r>
              <w:rPr>
                <w:rFonts w:hint="default" w:cs="Arial"/>
                <w:sz w:val="22"/>
                <w:szCs w:val="22"/>
                <w:lang w:val="en-US"/>
              </w:rPr>
              <w:t>’,</w:t>
            </w:r>
            <w:r>
              <w:rPr>
                <w:rFonts w:hint="eastAsia" w:cs="Arial"/>
                <w:sz w:val="22"/>
                <w:szCs w:val="22"/>
              </w:rPr>
              <w:t xml:space="preserve"> </w:t>
            </w:r>
            <w:r>
              <w:rPr>
                <w:rFonts w:hint="default" w:ascii="Arial Italic" w:hAnsi="Arial Italic" w:cs="Arial Italic"/>
                <w:i/>
                <w:iCs/>
                <w:sz w:val="22"/>
                <w:szCs w:val="22"/>
              </w:rPr>
              <w:t>Journal of STEAM Education</w:t>
            </w:r>
            <w:r>
              <w:rPr>
                <w:rFonts w:hint="eastAsia" w:cs="Arial"/>
                <w:sz w:val="22"/>
                <w:szCs w:val="22"/>
              </w:rPr>
              <w:t>, 7(1), 1-9.</w:t>
            </w:r>
          </w:p>
          <w:p>
            <w:pPr>
              <w:numPr>
                <w:ilvl w:val="0"/>
                <w:numId w:val="2"/>
              </w:numPr>
              <w:ind w:left="425" w:leftChars="0" w:hanging="425" w:firstLineChars="0"/>
              <w:rPr>
                <w:rFonts w:hint="eastAsia" w:cs="Arial"/>
                <w:sz w:val="22"/>
                <w:szCs w:val="22"/>
              </w:rPr>
            </w:pPr>
            <w:r>
              <w:rPr>
                <w:rFonts w:hint="eastAsia" w:cs="Arial"/>
                <w:sz w:val="22"/>
                <w:szCs w:val="22"/>
              </w:rPr>
              <w:t>Khasawneh, E., Gosling, C.</w:t>
            </w:r>
            <w:r>
              <w:rPr>
                <w:rFonts w:hint="default" w:cs="Arial"/>
                <w:sz w:val="22"/>
                <w:szCs w:val="22"/>
                <w:lang w:val="en-US"/>
              </w:rPr>
              <w:t xml:space="preserve"> and</w:t>
            </w:r>
            <w:r>
              <w:rPr>
                <w:rFonts w:hint="eastAsia" w:cs="Arial"/>
                <w:sz w:val="22"/>
                <w:szCs w:val="22"/>
              </w:rPr>
              <w:t xml:space="preserve"> Williams, B. (2021) </w:t>
            </w:r>
            <w:r>
              <w:rPr>
                <w:rFonts w:hint="default" w:cs="Arial"/>
                <w:sz w:val="22"/>
                <w:szCs w:val="22"/>
                <w:lang w:val="en-US"/>
              </w:rPr>
              <w:t>‘</w:t>
            </w:r>
            <w:r>
              <w:rPr>
                <w:rFonts w:hint="eastAsia" w:cs="Arial"/>
                <w:sz w:val="22"/>
                <w:szCs w:val="22"/>
              </w:rPr>
              <w:t>What impact does maths anxiety have on university students?</w:t>
            </w:r>
            <w:r>
              <w:rPr>
                <w:rFonts w:hint="default" w:cs="Arial"/>
                <w:sz w:val="22"/>
                <w:szCs w:val="22"/>
                <w:lang w:val="en-US"/>
              </w:rPr>
              <w:t>’,</w:t>
            </w:r>
            <w:r>
              <w:rPr>
                <w:rFonts w:hint="eastAsia" w:cs="Arial"/>
                <w:sz w:val="22"/>
                <w:szCs w:val="22"/>
              </w:rPr>
              <w:t xml:space="preserve"> </w:t>
            </w:r>
            <w:r>
              <w:rPr>
                <w:rFonts w:hint="default" w:ascii="Arial Italic" w:hAnsi="Arial Italic" w:cs="Arial Italic"/>
                <w:i/>
                <w:iCs/>
                <w:sz w:val="22"/>
                <w:szCs w:val="22"/>
              </w:rPr>
              <w:t>BMC psychology</w:t>
            </w:r>
            <w:r>
              <w:rPr>
                <w:rFonts w:hint="eastAsia" w:cs="Arial"/>
                <w:sz w:val="22"/>
                <w:szCs w:val="22"/>
              </w:rPr>
              <w:t>, 9, 1-9.</w:t>
            </w:r>
          </w:p>
          <w:p>
            <w:pPr>
              <w:numPr>
                <w:ilvl w:val="0"/>
                <w:numId w:val="2"/>
              </w:numPr>
              <w:ind w:left="425" w:leftChars="0" w:hanging="425" w:firstLineChars="0"/>
              <w:rPr>
                <w:rFonts w:hint="eastAsia" w:cs="Arial"/>
                <w:sz w:val="22"/>
                <w:szCs w:val="22"/>
              </w:rPr>
            </w:pPr>
            <w:r>
              <w:rPr>
                <w:rFonts w:hint="eastAsia" w:cs="Arial"/>
                <w:sz w:val="22"/>
                <w:szCs w:val="22"/>
              </w:rPr>
              <w:t>Leung, F. (2002)</w:t>
            </w:r>
            <w:r>
              <w:rPr>
                <w:rFonts w:hint="default" w:cs="Arial"/>
                <w:sz w:val="22"/>
                <w:szCs w:val="22"/>
                <w:lang w:val="en-US"/>
              </w:rPr>
              <w:t xml:space="preserve"> ‘</w:t>
            </w:r>
            <w:r>
              <w:rPr>
                <w:rFonts w:hint="eastAsia" w:cs="Arial"/>
                <w:sz w:val="22"/>
                <w:szCs w:val="22"/>
              </w:rPr>
              <w:t>The traditional Chinese views of mathematics and education: Implications for mathematics education in the new millennium</w:t>
            </w:r>
            <w:r>
              <w:rPr>
                <w:rFonts w:hint="default" w:cs="Arial"/>
                <w:sz w:val="22"/>
                <w:szCs w:val="22"/>
                <w:lang w:val="en-US"/>
              </w:rPr>
              <w:t>’,</w:t>
            </w:r>
            <w:r>
              <w:rPr>
                <w:rFonts w:hint="eastAsia" w:cs="Arial"/>
                <w:sz w:val="22"/>
                <w:szCs w:val="22"/>
              </w:rPr>
              <w:t xml:space="preserve"> </w:t>
            </w:r>
            <w:r>
              <w:rPr>
                <w:rFonts w:hint="default" w:ascii="Arial Italic" w:hAnsi="Arial Italic" w:cs="Arial Italic"/>
                <w:i/>
                <w:iCs/>
                <w:sz w:val="22"/>
                <w:szCs w:val="22"/>
              </w:rPr>
              <w:t>In Rethinking the mathematics curriculum</w:t>
            </w:r>
            <w:r>
              <w:rPr>
                <w:rFonts w:hint="eastAsia" w:cs="Arial"/>
                <w:sz w:val="22"/>
                <w:szCs w:val="22"/>
              </w:rPr>
              <w:t xml:space="preserve"> (pp. 240-247). Routledge.</w:t>
            </w:r>
          </w:p>
          <w:p>
            <w:pPr>
              <w:numPr>
                <w:ilvl w:val="0"/>
                <w:numId w:val="2"/>
              </w:numPr>
              <w:ind w:left="425" w:leftChars="0" w:hanging="425" w:firstLineChars="0"/>
              <w:rPr>
                <w:rFonts w:hint="eastAsia" w:cs="Arial"/>
                <w:sz w:val="22"/>
                <w:szCs w:val="22"/>
              </w:rPr>
            </w:pPr>
            <w:r>
              <w:rPr>
                <w:rFonts w:hint="eastAsia" w:cs="Arial"/>
                <w:sz w:val="22"/>
                <w:szCs w:val="22"/>
              </w:rPr>
              <w:t>Luttenberger, S., Wimmer, S.</w:t>
            </w:r>
            <w:r>
              <w:rPr>
                <w:rFonts w:hint="default" w:cs="Arial"/>
                <w:sz w:val="22"/>
                <w:szCs w:val="22"/>
                <w:lang w:val="en-US"/>
              </w:rPr>
              <w:t xml:space="preserve"> and</w:t>
            </w:r>
            <w:r>
              <w:rPr>
                <w:rFonts w:hint="eastAsia" w:cs="Arial"/>
                <w:sz w:val="22"/>
                <w:szCs w:val="22"/>
              </w:rPr>
              <w:t xml:space="preserve"> Paechter, M. (2018)</w:t>
            </w:r>
            <w:r>
              <w:rPr>
                <w:rFonts w:hint="default" w:cs="Arial"/>
                <w:sz w:val="22"/>
                <w:szCs w:val="22"/>
                <w:lang w:val="en-US"/>
              </w:rPr>
              <w:t xml:space="preserve"> ‘</w:t>
            </w:r>
            <w:r>
              <w:rPr>
                <w:rFonts w:hint="eastAsia" w:cs="Arial"/>
                <w:sz w:val="22"/>
                <w:szCs w:val="22"/>
              </w:rPr>
              <w:t>Spotlight on math anxiety</w:t>
            </w:r>
            <w:r>
              <w:rPr>
                <w:rFonts w:hint="default" w:cs="Arial"/>
                <w:sz w:val="22"/>
                <w:szCs w:val="22"/>
                <w:lang w:val="en-US"/>
              </w:rPr>
              <w:t>’,</w:t>
            </w:r>
            <w:r>
              <w:rPr>
                <w:rFonts w:hint="eastAsia" w:cs="Arial"/>
                <w:sz w:val="22"/>
                <w:szCs w:val="22"/>
              </w:rPr>
              <w:t xml:space="preserve"> </w:t>
            </w:r>
            <w:r>
              <w:rPr>
                <w:rFonts w:hint="default" w:ascii="Arial Italic" w:hAnsi="Arial Italic" w:cs="Arial Italic"/>
                <w:i/>
                <w:iCs/>
                <w:sz w:val="22"/>
                <w:szCs w:val="22"/>
              </w:rPr>
              <w:t>Psychology research and behavior management</w:t>
            </w:r>
            <w:r>
              <w:rPr>
                <w:rFonts w:hint="eastAsia" w:cs="Arial"/>
                <w:sz w:val="22"/>
                <w:szCs w:val="22"/>
              </w:rPr>
              <w:t>, 311-322.</w:t>
            </w:r>
          </w:p>
          <w:p>
            <w:pPr>
              <w:numPr>
                <w:ilvl w:val="0"/>
                <w:numId w:val="2"/>
              </w:numPr>
              <w:ind w:left="425" w:leftChars="0" w:hanging="425" w:firstLineChars="0"/>
              <w:rPr>
                <w:rFonts w:hint="eastAsia" w:cs="Arial"/>
                <w:sz w:val="22"/>
                <w:szCs w:val="22"/>
              </w:rPr>
            </w:pPr>
            <w:r>
              <w:rPr>
                <w:rFonts w:hint="eastAsia" w:cs="Arial"/>
                <w:sz w:val="22"/>
                <w:szCs w:val="22"/>
              </w:rPr>
              <w:t>McMullan, M., Jones, R.</w:t>
            </w:r>
            <w:r>
              <w:rPr>
                <w:rFonts w:hint="default" w:cs="Arial"/>
                <w:sz w:val="22"/>
                <w:szCs w:val="22"/>
                <w:lang w:val="en-US"/>
              </w:rPr>
              <w:t xml:space="preserve"> and</w:t>
            </w:r>
            <w:r>
              <w:rPr>
                <w:rFonts w:hint="eastAsia" w:cs="Arial"/>
                <w:sz w:val="22"/>
                <w:szCs w:val="22"/>
              </w:rPr>
              <w:t xml:space="preserve"> Lea, S. (2012)</w:t>
            </w:r>
            <w:r>
              <w:rPr>
                <w:rFonts w:hint="default" w:cs="Arial"/>
                <w:sz w:val="22"/>
                <w:szCs w:val="22"/>
                <w:lang w:val="en-US"/>
              </w:rPr>
              <w:t xml:space="preserve"> ‘</w:t>
            </w:r>
            <w:r>
              <w:rPr>
                <w:rFonts w:hint="eastAsia" w:cs="Arial"/>
                <w:sz w:val="22"/>
                <w:szCs w:val="22"/>
              </w:rPr>
              <w:t>Math anxiety, self‐efficacy, and ability in British undergraduate nursing students</w:t>
            </w:r>
            <w:r>
              <w:rPr>
                <w:rFonts w:hint="default" w:cs="Arial"/>
                <w:sz w:val="22"/>
                <w:szCs w:val="22"/>
                <w:lang w:val="en-US"/>
              </w:rPr>
              <w:t>’,</w:t>
            </w:r>
            <w:r>
              <w:rPr>
                <w:rFonts w:hint="eastAsia" w:cs="Arial"/>
                <w:sz w:val="22"/>
                <w:szCs w:val="22"/>
              </w:rPr>
              <w:t xml:space="preserve"> </w:t>
            </w:r>
            <w:r>
              <w:rPr>
                <w:rFonts w:hint="default" w:ascii="Arial Italic" w:hAnsi="Arial Italic" w:cs="Arial Italic"/>
                <w:i/>
                <w:iCs/>
                <w:sz w:val="22"/>
                <w:szCs w:val="22"/>
              </w:rPr>
              <w:t>Research in nursing &amp; health</w:t>
            </w:r>
            <w:r>
              <w:rPr>
                <w:rFonts w:hint="eastAsia" w:cs="Arial"/>
                <w:sz w:val="22"/>
                <w:szCs w:val="22"/>
              </w:rPr>
              <w:t>, 35(2), 178-186.</w:t>
            </w:r>
          </w:p>
          <w:p>
            <w:pPr>
              <w:numPr>
                <w:ilvl w:val="0"/>
                <w:numId w:val="2"/>
              </w:numPr>
              <w:ind w:left="425" w:leftChars="0" w:hanging="425" w:firstLineChars="0"/>
              <w:rPr>
                <w:rFonts w:hint="eastAsia" w:cs="Arial"/>
                <w:sz w:val="22"/>
                <w:szCs w:val="22"/>
              </w:rPr>
            </w:pPr>
            <w:r>
              <w:rPr>
                <w:rFonts w:hint="eastAsia" w:cs="Arial"/>
                <w:sz w:val="22"/>
                <w:szCs w:val="22"/>
              </w:rPr>
              <w:t>Monroe, A., Amidon, J.</w:t>
            </w:r>
            <w:r>
              <w:rPr>
                <w:rFonts w:hint="default" w:cs="Arial"/>
                <w:sz w:val="22"/>
                <w:szCs w:val="22"/>
                <w:lang w:val="en-US"/>
              </w:rPr>
              <w:t xml:space="preserve"> and</w:t>
            </w:r>
            <w:r>
              <w:rPr>
                <w:rFonts w:hint="eastAsia" w:cs="Arial"/>
                <w:sz w:val="22"/>
                <w:szCs w:val="22"/>
              </w:rPr>
              <w:t xml:space="preserve"> Cook, C. (2024)</w:t>
            </w:r>
            <w:r>
              <w:rPr>
                <w:rFonts w:hint="default" w:cs="Arial"/>
                <w:sz w:val="22"/>
                <w:szCs w:val="22"/>
                <w:lang w:val="en-US"/>
              </w:rPr>
              <w:t xml:space="preserve"> ‘</w:t>
            </w:r>
            <w:r>
              <w:rPr>
                <w:rFonts w:hint="eastAsia" w:cs="Arial"/>
                <w:sz w:val="22"/>
                <w:szCs w:val="22"/>
              </w:rPr>
              <w:t>Equity, Shame, and Anxiety in the Mathematics Classroom</w:t>
            </w:r>
            <w:r>
              <w:rPr>
                <w:rFonts w:hint="default" w:cs="Arial"/>
                <w:sz w:val="22"/>
                <w:szCs w:val="22"/>
                <w:lang w:val="en-US"/>
              </w:rPr>
              <w:t>,’</w:t>
            </w:r>
            <w:r>
              <w:rPr>
                <w:rFonts w:hint="eastAsia" w:cs="Arial"/>
                <w:sz w:val="22"/>
                <w:szCs w:val="22"/>
              </w:rPr>
              <w:t xml:space="preserve"> </w:t>
            </w:r>
            <w:r>
              <w:rPr>
                <w:rFonts w:hint="default" w:ascii="Arial Italic" w:hAnsi="Arial Italic" w:cs="Arial Italic"/>
                <w:i/>
                <w:iCs/>
                <w:sz w:val="22"/>
                <w:szCs w:val="22"/>
              </w:rPr>
              <w:t>In Teaching Secondary Mathematics</w:t>
            </w:r>
            <w:r>
              <w:rPr>
                <w:rFonts w:hint="eastAsia" w:cs="Arial"/>
                <w:sz w:val="22"/>
                <w:szCs w:val="22"/>
              </w:rPr>
              <w:t xml:space="preserve"> (pp. 77-95). Routledge.</w:t>
            </w:r>
          </w:p>
          <w:p>
            <w:pPr>
              <w:numPr>
                <w:ilvl w:val="0"/>
                <w:numId w:val="2"/>
              </w:numPr>
              <w:ind w:left="425" w:leftChars="0" w:hanging="425" w:firstLineChars="0"/>
              <w:rPr>
                <w:rFonts w:hint="eastAsia" w:cs="Arial"/>
                <w:sz w:val="22"/>
                <w:szCs w:val="22"/>
              </w:rPr>
            </w:pPr>
            <w:r>
              <w:rPr>
                <w:rFonts w:hint="eastAsia" w:cs="Arial"/>
                <w:sz w:val="22"/>
                <w:szCs w:val="22"/>
              </w:rPr>
              <w:t>Murphy, R. (2014)</w:t>
            </w:r>
            <w:r>
              <w:rPr>
                <w:rFonts w:hint="default" w:cs="Arial"/>
                <w:sz w:val="22"/>
                <w:szCs w:val="22"/>
                <w:lang w:val="en-US"/>
              </w:rPr>
              <w:t xml:space="preserve"> ‘</w:t>
            </w:r>
            <w:r>
              <w:rPr>
                <w:rFonts w:hint="eastAsia" w:cs="Arial"/>
                <w:sz w:val="22"/>
                <w:szCs w:val="22"/>
              </w:rPr>
              <w:t>Study and school in the lives of children in migrant families: A view from rural Jiangxi, China</w:t>
            </w:r>
            <w:r>
              <w:rPr>
                <w:rFonts w:hint="default" w:cs="Arial"/>
                <w:sz w:val="22"/>
                <w:szCs w:val="22"/>
                <w:lang w:val="en-US"/>
              </w:rPr>
              <w:t xml:space="preserve">’, </w:t>
            </w:r>
            <w:r>
              <w:rPr>
                <w:rFonts w:hint="default" w:ascii="Arial Italic" w:hAnsi="Arial Italic" w:cs="Arial Italic"/>
                <w:i/>
                <w:iCs/>
                <w:sz w:val="22"/>
                <w:szCs w:val="22"/>
              </w:rPr>
              <w:t>Development and Change</w:t>
            </w:r>
            <w:r>
              <w:rPr>
                <w:rFonts w:hint="eastAsia" w:cs="Arial"/>
                <w:sz w:val="22"/>
                <w:szCs w:val="22"/>
              </w:rPr>
              <w:t>, 45(1), 29-51.</w:t>
            </w:r>
          </w:p>
          <w:p>
            <w:pPr>
              <w:numPr>
                <w:ilvl w:val="0"/>
                <w:numId w:val="2"/>
              </w:numPr>
              <w:ind w:left="425" w:leftChars="0" w:hanging="425" w:firstLineChars="0"/>
              <w:rPr>
                <w:rFonts w:hint="eastAsia" w:cs="Arial"/>
                <w:sz w:val="22"/>
                <w:szCs w:val="22"/>
              </w:rPr>
            </w:pPr>
            <w:r>
              <w:rPr>
                <w:rFonts w:hint="eastAsia" w:cs="Arial"/>
                <w:sz w:val="22"/>
                <w:szCs w:val="22"/>
              </w:rPr>
              <w:t>Park, Y. S., Konge, L.</w:t>
            </w:r>
            <w:r>
              <w:rPr>
                <w:rFonts w:hint="default" w:cs="Arial"/>
                <w:sz w:val="22"/>
                <w:szCs w:val="22"/>
                <w:lang w:val="en-US"/>
              </w:rPr>
              <w:t xml:space="preserve"> and</w:t>
            </w:r>
            <w:r>
              <w:rPr>
                <w:rFonts w:hint="eastAsia" w:cs="Arial"/>
                <w:sz w:val="22"/>
                <w:szCs w:val="22"/>
              </w:rPr>
              <w:t xml:space="preserve"> Artino Jr, A. R. (2020) </w:t>
            </w:r>
            <w:r>
              <w:rPr>
                <w:rFonts w:hint="default" w:cs="Arial"/>
                <w:sz w:val="22"/>
                <w:szCs w:val="22"/>
                <w:lang w:val="en-US"/>
              </w:rPr>
              <w:t>‘</w:t>
            </w:r>
            <w:r>
              <w:rPr>
                <w:rFonts w:hint="eastAsia" w:cs="Arial"/>
                <w:sz w:val="22"/>
                <w:szCs w:val="22"/>
              </w:rPr>
              <w:t>The positivism paradigm of research</w:t>
            </w:r>
            <w:r>
              <w:rPr>
                <w:rFonts w:hint="default" w:cs="Arial"/>
                <w:sz w:val="22"/>
                <w:szCs w:val="22"/>
                <w:lang w:val="en-US"/>
              </w:rPr>
              <w:t>’,</w:t>
            </w:r>
            <w:r>
              <w:rPr>
                <w:rFonts w:hint="eastAsia" w:cs="Arial"/>
                <w:sz w:val="22"/>
                <w:szCs w:val="22"/>
              </w:rPr>
              <w:t xml:space="preserve"> </w:t>
            </w:r>
            <w:r>
              <w:rPr>
                <w:rFonts w:hint="default" w:ascii="Arial Italic" w:hAnsi="Arial Italic" w:cs="Arial Italic"/>
                <w:i/>
                <w:iCs/>
                <w:sz w:val="22"/>
                <w:szCs w:val="22"/>
              </w:rPr>
              <w:t>Academic medicine</w:t>
            </w:r>
            <w:r>
              <w:rPr>
                <w:rFonts w:hint="eastAsia" w:cs="Arial"/>
                <w:sz w:val="22"/>
                <w:szCs w:val="22"/>
              </w:rPr>
              <w:t>, 95(5), 690-694.</w:t>
            </w:r>
          </w:p>
          <w:p>
            <w:pPr>
              <w:numPr>
                <w:ilvl w:val="0"/>
                <w:numId w:val="2"/>
              </w:numPr>
              <w:ind w:left="425" w:leftChars="0" w:hanging="425" w:firstLineChars="0"/>
              <w:rPr>
                <w:rFonts w:hint="eastAsia" w:cs="Arial"/>
                <w:sz w:val="22"/>
                <w:szCs w:val="22"/>
              </w:rPr>
            </w:pPr>
            <w:r>
              <w:rPr>
                <w:rFonts w:hint="eastAsia" w:cs="Arial"/>
                <w:sz w:val="22"/>
                <w:szCs w:val="22"/>
              </w:rPr>
              <w:t>Powers, S., Rothman, D. J.</w:t>
            </w:r>
            <w:r>
              <w:rPr>
                <w:rFonts w:hint="default" w:cs="Arial"/>
                <w:sz w:val="22"/>
                <w:szCs w:val="22"/>
                <w:lang w:val="en-US"/>
              </w:rPr>
              <w:t xml:space="preserve"> and </w:t>
            </w:r>
            <w:r>
              <w:rPr>
                <w:rFonts w:hint="eastAsia" w:cs="Arial"/>
                <w:sz w:val="22"/>
                <w:szCs w:val="22"/>
              </w:rPr>
              <w:t>Rothman, S. (2018)</w:t>
            </w:r>
            <w:r>
              <w:rPr>
                <w:rFonts w:hint="default" w:cs="Arial"/>
                <w:sz w:val="22"/>
                <w:szCs w:val="22"/>
                <w:lang w:val="en-US"/>
              </w:rPr>
              <w:t xml:space="preserve"> ‘</w:t>
            </w:r>
            <w:r>
              <w:rPr>
                <w:rFonts w:hint="eastAsia" w:cs="Arial"/>
                <w:sz w:val="22"/>
                <w:szCs w:val="22"/>
              </w:rPr>
              <w:t>The Interview Sample</w:t>
            </w:r>
            <w:r>
              <w:rPr>
                <w:rFonts w:hint="default" w:cs="Arial"/>
                <w:sz w:val="22"/>
                <w:szCs w:val="22"/>
                <w:lang w:val="en-US"/>
              </w:rPr>
              <w:t>’,</w:t>
            </w:r>
            <w:r>
              <w:rPr>
                <w:rFonts w:hint="eastAsia" w:cs="Arial"/>
                <w:sz w:val="22"/>
                <w:szCs w:val="22"/>
              </w:rPr>
              <w:t xml:space="preserve"> </w:t>
            </w:r>
            <w:r>
              <w:rPr>
                <w:rFonts w:hint="default" w:ascii="Arial Italic" w:hAnsi="Arial Italic" w:cs="Arial Italic"/>
                <w:i/>
                <w:iCs/>
                <w:sz w:val="22"/>
                <w:szCs w:val="22"/>
              </w:rPr>
              <w:t>In Hollywood's America</w:t>
            </w:r>
            <w:r>
              <w:rPr>
                <w:rFonts w:hint="eastAsia" w:cs="Arial"/>
                <w:sz w:val="22"/>
                <w:szCs w:val="22"/>
              </w:rPr>
              <w:t xml:space="preserve"> (pp. 251-256). Routledge.</w:t>
            </w:r>
          </w:p>
          <w:p>
            <w:pPr>
              <w:numPr>
                <w:ilvl w:val="0"/>
                <w:numId w:val="2"/>
              </w:numPr>
              <w:ind w:left="425" w:leftChars="0" w:hanging="425" w:firstLineChars="0"/>
              <w:rPr>
                <w:rFonts w:hint="eastAsia" w:cs="Arial"/>
                <w:sz w:val="22"/>
                <w:szCs w:val="22"/>
              </w:rPr>
            </w:pPr>
            <w:r>
              <w:rPr>
                <w:rFonts w:hint="eastAsia" w:cs="Arial"/>
                <w:sz w:val="22"/>
                <w:szCs w:val="22"/>
              </w:rPr>
              <w:t>Samuel, T. S.</w:t>
            </w:r>
            <w:r>
              <w:rPr>
                <w:rFonts w:hint="default" w:cs="Arial"/>
                <w:sz w:val="22"/>
                <w:szCs w:val="22"/>
                <w:lang w:val="en-US"/>
              </w:rPr>
              <w:t xml:space="preserve"> and</w:t>
            </w:r>
            <w:r>
              <w:rPr>
                <w:rFonts w:hint="eastAsia" w:cs="Arial"/>
                <w:sz w:val="22"/>
                <w:szCs w:val="22"/>
              </w:rPr>
              <w:t xml:space="preserve"> Warner, J. (2021)</w:t>
            </w:r>
            <w:r>
              <w:rPr>
                <w:rFonts w:hint="default" w:cs="Arial"/>
                <w:sz w:val="22"/>
                <w:szCs w:val="22"/>
                <w:lang w:val="en-US"/>
              </w:rPr>
              <w:t xml:space="preserve"> ‘</w:t>
            </w:r>
            <w:r>
              <w:rPr>
                <w:rFonts w:hint="eastAsia" w:cs="Arial"/>
                <w:sz w:val="22"/>
                <w:szCs w:val="22"/>
              </w:rPr>
              <w:t>“I can math!”: Reducing math anxiety and increasing math self-efficacy using a mindfulness and growth mindset-based intervention in first-year students</w:t>
            </w:r>
            <w:r>
              <w:rPr>
                <w:rFonts w:hint="default" w:cs="Arial"/>
                <w:sz w:val="22"/>
                <w:szCs w:val="22"/>
                <w:lang w:val="en-US"/>
              </w:rPr>
              <w:t xml:space="preserve">’, </w:t>
            </w:r>
            <w:r>
              <w:rPr>
                <w:rFonts w:hint="default" w:ascii="Arial Italic" w:hAnsi="Arial Italic" w:cs="Arial Italic"/>
                <w:i/>
                <w:iCs/>
                <w:sz w:val="22"/>
                <w:szCs w:val="22"/>
              </w:rPr>
              <w:t>Community College Journal of Research and Practice</w:t>
            </w:r>
            <w:r>
              <w:rPr>
                <w:rFonts w:hint="eastAsia" w:cs="Arial"/>
                <w:sz w:val="22"/>
                <w:szCs w:val="22"/>
              </w:rPr>
              <w:t>, 45(3), 205-222.</w:t>
            </w:r>
          </w:p>
          <w:p>
            <w:pPr>
              <w:numPr>
                <w:ilvl w:val="0"/>
                <w:numId w:val="2"/>
              </w:numPr>
              <w:ind w:left="425" w:leftChars="0" w:hanging="425" w:firstLineChars="0"/>
              <w:rPr>
                <w:rFonts w:hint="eastAsia" w:cs="Arial"/>
                <w:sz w:val="22"/>
                <w:szCs w:val="22"/>
              </w:rPr>
            </w:pPr>
            <w:r>
              <w:rPr>
                <w:rFonts w:hint="eastAsia" w:cs="Arial"/>
                <w:sz w:val="22"/>
                <w:szCs w:val="22"/>
              </w:rPr>
              <w:t>Sherwin, T. (2020)</w:t>
            </w:r>
            <w:r>
              <w:rPr>
                <w:rFonts w:hint="default" w:cs="Arial"/>
                <w:sz w:val="22"/>
                <w:szCs w:val="22"/>
                <w:lang w:val="en-US"/>
              </w:rPr>
              <w:t xml:space="preserve"> </w:t>
            </w:r>
            <w:r>
              <w:rPr>
                <w:rFonts w:hint="default" w:ascii="Arial Italic" w:hAnsi="Arial Italic" w:cs="Arial Italic"/>
                <w:i/>
                <w:iCs/>
                <w:sz w:val="22"/>
                <w:szCs w:val="22"/>
              </w:rPr>
              <w:t>Math anxiety and growth mindset: Building teacher efficacy</w:t>
            </w:r>
            <w:r>
              <w:rPr>
                <w:rFonts w:hint="eastAsia" w:cs="Arial"/>
                <w:sz w:val="22"/>
                <w:szCs w:val="22"/>
              </w:rPr>
              <w:t>.</w:t>
            </w:r>
          </w:p>
          <w:p>
            <w:pPr>
              <w:numPr>
                <w:ilvl w:val="0"/>
                <w:numId w:val="2"/>
              </w:numPr>
              <w:ind w:left="425" w:leftChars="0" w:hanging="425" w:firstLineChars="0"/>
              <w:rPr>
                <w:rFonts w:hint="eastAsia" w:cs="Arial"/>
                <w:sz w:val="22"/>
                <w:szCs w:val="22"/>
              </w:rPr>
            </w:pPr>
            <w:r>
              <w:rPr>
                <w:rFonts w:hint="eastAsia" w:cs="Arial"/>
                <w:sz w:val="22"/>
                <w:szCs w:val="22"/>
              </w:rPr>
              <w:t>Wang, J.</w:t>
            </w:r>
            <w:r>
              <w:rPr>
                <w:rFonts w:hint="default" w:cs="Arial"/>
                <w:sz w:val="22"/>
                <w:szCs w:val="22"/>
                <w:lang w:val="en-US"/>
              </w:rPr>
              <w:t xml:space="preserve"> and</w:t>
            </w:r>
            <w:r>
              <w:rPr>
                <w:rFonts w:hint="eastAsia" w:cs="Arial"/>
                <w:sz w:val="22"/>
                <w:szCs w:val="22"/>
              </w:rPr>
              <w:t xml:space="preserve"> Chen, Y. (2021)</w:t>
            </w:r>
            <w:r>
              <w:rPr>
                <w:rFonts w:hint="default" w:cs="Arial"/>
                <w:sz w:val="22"/>
                <w:szCs w:val="22"/>
                <w:lang w:val="en-US"/>
              </w:rPr>
              <w:t xml:space="preserve"> ‘</w:t>
            </w:r>
            <w:r>
              <w:rPr>
                <w:rFonts w:hint="eastAsia" w:cs="Arial"/>
                <w:sz w:val="22"/>
                <w:szCs w:val="22"/>
              </w:rPr>
              <w:t>The Development Situation, Existing Problems and Countermeasures of Rural Basic Education in Jiangxi Province–Take H County in Nanchang as an Example</w:t>
            </w:r>
            <w:r>
              <w:rPr>
                <w:rFonts w:hint="default" w:cs="Arial"/>
                <w:sz w:val="22"/>
                <w:szCs w:val="22"/>
                <w:lang w:val="en-US"/>
              </w:rPr>
              <w:t>’,</w:t>
            </w:r>
            <w:r>
              <w:rPr>
                <w:rFonts w:hint="eastAsia" w:cs="Arial"/>
                <w:sz w:val="22"/>
                <w:szCs w:val="22"/>
              </w:rPr>
              <w:t xml:space="preserve"> </w:t>
            </w:r>
            <w:r>
              <w:rPr>
                <w:rFonts w:hint="default" w:ascii="Arial Italic" w:hAnsi="Arial Italic" w:cs="Arial Italic"/>
                <w:i/>
                <w:iCs/>
                <w:sz w:val="22"/>
                <w:szCs w:val="22"/>
              </w:rPr>
              <w:t>Forest Chemicals Review</w:t>
            </w:r>
            <w:r>
              <w:rPr>
                <w:rFonts w:hint="eastAsia" w:cs="Arial"/>
                <w:sz w:val="22"/>
                <w:szCs w:val="22"/>
              </w:rPr>
              <w:t>, 129-136.</w:t>
            </w:r>
          </w:p>
          <w:p>
            <w:pPr>
              <w:numPr>
                <w:ilvl w:val="0"/>
                <w:numId w:val="2"/>
              </w:numPr>
              <w:ind w:left="425" w:leftChars="0" w:hanging="425" w:firstLineChars="0"/>
              <w:rPr>
                <w:rFonts w:hint="eastAsia" w:cs="Arial"/>
                <w:sz w:val="22"/>
                <w:szCs w:val="22"/>
              </w:rPr>
            </w:pPr>
            <w:r>
              <w:rPr>
                <w:rFonts w:hint="eastAsia" w:cs="Arial"/>
                <w:sz w:val="22"/>
                <w:szCs w:val="22"/>
              </w:rPr>
              <w:t>Xie, Y., Lan, X.</w:t>
            </w:r>
            <w:r>
              <w:rPr>
                <w:rFonts w:hint="default" w:cs="Arial"/>
                <w:sz w:val="22"/>
                <w:szCs w:val="22"/>
                <w:lang w:val="en-US"/>
              </w:rPr>
              <w:t xml:space="preserve"> and</w:t>
            </w:r>
            <w:r>
              <w:rPr>
                <w:rFonts w:hint="eastAsia" w:cs="Arial"/>
                <w:sz w:val="22"/>
                <w:szCs w:val="22"/>
              </w:rPr>
              <w:t xml:space="preserve"> Tang, L. (2024)</w:t>
            </w:r>
            <w:r>
              <w:rPr>
                <w:rFonts w:hint="default" w:cs="Arial"/>
                <w:sz w:val="22"/>
                <w:szCs w:val="22"/>
                <w:lang w:val="en-US"/>
              </w:rPr>
              <w:t xml:space="preserve"> ‘</w:t>
            </w:r>
            <w:r>
              <w:rPr>
                <w:rFonts w:hint="eastAsia" w:cs="Arial"/>
                <w:sz w:val="22"/>
                <w:szCs w:val="22"/>
              </w:rPr>
              <w:t>Gender differences in mathematics anxiety: A meta-analysis of Chinese children</w:t>
            </w:r>
            <w:r>
              <w:rPr>
                <w:rFonts w:hint="default" w:cs="Arial"/>
                <w:sz w:val="22"/>
                <w:szCs w:val="22"/>
                <w:lang w:val="en-US"/>
              </w:rPr>
              <w:t>’,</w:t>
            </w:r>
            <w:r>
              <w:rPr>
                <w:rFonts w:hint="eastAsia" w:cs="Arial"/>
                <w:sz w:val="22"/>
                <w:szCs w:val="22"/>
              </w:rPr>
              <w:t xml:space="preserve"> </w:t>
            </w:r>
            <w:r>
              <w:rPr>
                <w:rFonts w:hint="default" w:ascii="Arial Italic" w:hAnsi="Arial Italic" w:cs="Arial Italic"/>
                <w:i/>
                <w:iCs/>
                <w:sz w:val="22"/>
                <w:szCs w:val="22"/>
              </w:rPr>
              <w:t>Acta Psychologica</w:t>
            </w:r>
            <w:r>
              <w:rPr>
                <w:rFonts w:hint="eastAsia" w:cs="Arial"/>
                <w:sz w:val="22"/>
                <w:szCs w:val="22"/>
              </w:rPr>
              <w:t>, 248, 104373.</w:t>
            </w:r>
          </w:p>
          <w:p>
            <w:pPr>
              <w:numPr>
                <w:ilvl w:val="0"/>
                <w:numId w:val="2"/>
              </w:numPr>
              <w:ind w:left="425" w:leftChars="0" w:hanging="425" w:firstLineChars="0"/>
              <w:rPr>
                <w:rFonts w:cs="Arial"/>
                <w:sz w:val="22"/>
                <w:szCs w:val="22"/>
              </w:rPr>
            </w:pPr>
            <w:r>
              <w:rPr>
                <w:rFonts w:hint="eastAsia" w:cs="Arial"/>
                <w:sz w:val="22"/>
                <w:szCs w:val="22"/>
              </w:rPr>
              <w:t>Zhang, J., Zhao, N.</w:t>
            </w:r>
            <w:r>
              <w:rPr>
                <w:rFonts w:hint="default" w:cs="Arial"/>
                <w:sz w:val="22"/>
                <w:szCs w:val="22"/>
                <w:lang w:val="en-US"/>
              </w:rPr>
              <w:t xml:space="preserve"> and</w:t>
            </w:r>
            <w:r>
              <w:rPr>
                <w:rFonts w:hint="eastAsia" w:cs="Arial"/>
                <w:sz w:val="22"/>
                <w:szCs w:val="22"/>
              </w:rPr>
              <w:t xml:space="preserve"> Kong, Q. P. (2019)</w:t>
            </w:r>
            <w:r>
              <w:rPr>
                <w:rFonts w:hint="default" w:cs="Arial"/>
                <w:sz w:val="22"/>
                <w:szCs w:val="22"/>
                <w:lang w:val="en-US"/>
              </w:rPr>
              <w:t xml:space="preserve"> ‘</w:t>
            </w:r>
            <w:r>
              <w:rPr>
                <w:rFonts w:hint="eastAsia" w:cs="Arial"/>
                <w:sz w:val="22"/>
                <w:szCs w:val="22"/>
              </w:rPr>
              <w:t>The relationship between math anxiety and math performance: A meta-analytic investigation</w:t>
            </w:r>
            <w:r>
              <w:rPr>
                <w:rFonts w:hint="default" w:cs="Arial"/>
                <w:sz w:val="22"/>
                <w:szCs w:val="22"/>
                <w:lang w:val="en-US"/>
              </w:rPr>
              <w:t xml:space="preserve">’, </w:t>
            </w:r>
            <w:r>
              <w:rPr>
                <w:rFonts w:hint="default" w:ascii="Arial Italic" w:hAnsi="Arial Italic" w:cs="Arial Italic"/>
                <w:i/>
                <w:iCs/>
                <w:sz w:val="22"/>
                <w:szCs w:val="22"/>
              </w:rPr>
              <w:t>Frontiers in psychology</w:t>
            </w:r>
            <w:r>
              <w:rPr>
                <w:rFonts w:hint="eastAsia" w:cs="Arial"/>
                <w:sz w:val="22"/>
                <w:szCs w:val="22"/>
              </w:rPr>
              <w:t>, 10, 1613.</w:t>
            </w:r>
          </w:p>
        </w:tc>
      </w:tr>
    </w:tbl>
    <w:p>
      <w:pPr>
        <w:jc w:val="center"/>
        <w:rPr>
          <w:rFonts w:cs="Arial"/>
          <w:sz w:val="22"/>
          <w:szCs w:val="22"/>
        </w:rPr>
      </w:pPr>
    </w:p>
    <w:p>
      <w:pPr>
        <w:rPr>
          <w:b/>
          <w:bCs/>
          <w:sz w:val="32"/>
          <w:szCs w:val="32"/>
          <w:u w:val="single"/>
        </w:rPr>
      </w:pPr>
      <w:r>
        <w:rPr>
          <w:b/>
          <w:bCs/>
          <w:sz w:val="32"/>
          <w:szCs w:val="32"/>
          <w:u w:val="single"/>
        </w:rPr>
        <w:t>AI Acknowledgement</w:t>
      </w:r>
    </w:p>
    <w:p>
      <w:pPr>
        <w:rPr>
          <w:rFonts w:ascii="Aptos" w:hAnsi="Aptos"/>
          <w:b/>
          <w:bCs/>
          <w:sz w:val="16"/>
          <w:szCs w:val="16"/>
          <w:u w:val="single"/>
        </w:rPr>
      </w:pPr>
    </w:p>
    <w:p>
      <w:pPr>
        <w:rPr>
          <w:rFonts w:ascii="Aptos" w:hAnsi="Aptos"/>
          <w:sz w:val="16"/>
          <w:szCs w:val="16"/>
        </w:rPr>
      </w:pPr>
      <w:r>
        <w:rPr>
          <w:rFonts w:ascii="Aptos" w:hAnsi="Aptos"/>
          <w:sz w:val="16"/>
          <w:szCs w:val="16"/>
        </w:rPr>
        <w:t xml:space="preserve">I acknowledge the use of </w:t>
      </w:r>
      <w:r>
        <w:rPr>
          <w:rFonts w:hint="default" w:ascii="Aptos" w:hAnsi="Aptos"/>
          <w:sz w:val="16"/>
          <w:szCs w:val="16"/>
          <w:lang w:val="en-US"/>
        </w:rPr>
        <w:t>Wenxinyiyan</w:t>
      </w:r>
      <w:r>
        <w:rPr>
          <w:rFonts w:ascii="Aptos" w:hAnsi="Aptos"/>
          <w:sz w:val="16"/>
          <w:szCs w:val="16"/>
        </w:rPr>
        <w:t xml:space="preserve"> (</w:t>
      </w:r>
      <w:r>
        <w:rPr>
          <w:rFonts w:hint="eastAsia" w:ascii="Aptos" w:hAnsi="Aptos"/>
          <w:sz w:val="16"/>
          <w:szCs w:val="16"/>
        </w:rPr>
        <w:t>https://yiyan.baidu.com</w:t>
      </w:r>
      <w:r>
        <w:rPr>
          <w:rFonts w:ascii="Aptos" w:hAnsi="Aptos"/>
          <w:sz w:val="16"/>
          <w:szCs w:val="16"/>
        </w:rPr>
        <w:t xml:space="preserve">) on </w:t>
      </w:r>
      <w:r>
        <w:rPr>
          <w:rFonts w:hint="default" w:ascii="Aptos" w:hAnsi="Aptos"/>
          <w:sz w:val="16"/>
          <w:szCs w:val="16"/>
          <w:lang w:val="en-US"/>
        </w:rPr>
        <w:t>17</w:t>
      </w:r>
      <w:r>
        <w:rPr>
          <w:rFonts w:ascii="Aptos" w:hAnsi="Aptos"/>
          <w:sz w:val="16"/>
          <w:szCs w:val="16"/>
        </w:rPr>
        <w:t xml:space="preserve"> </w:t>
      </w:r>
      <w:r>
        <w:rPr>
          <w:rFonts w:hint="default" w:ascii="Aptos" w:hAnsi="Aptos"/>
          <w:sz w:val="16"/>
          <w:szCs w:val="16"/>
          <w:lang w:val="en-US"/>
        </w:rPr>
        <w:t>Feb</w:t>
      </w:r>
      <w:r>
        <w:rPr>
          <w:rFonts w:ascii="Aptos" w:hAnsi="Aptos"/>
          <w:sz w:val="16"/>
          <w:szCs w:val="16"/>
        </w:rPr>
        <w:t xml:space="preserve"> 202</w:t>
      </w:r>
      <w:r>
        <w:rPr>
          <w:rFonts w:hint="default" w:ascii="Aptos" w:hAnsi="Aptos"/>
          <w:sz w:val="16"/>
          <w:szCs w:val="16"/>
          <w:lang w:val="en-US"/>
        </w:rPr>
        <w:t>5</w:t>
      </w:r>
      <w:r>
        <w:rPr>
          <w:rFonts w:ascii="Aptos" w:hAnsi="Aptos"/>
          <w:sz w:val="16"/>
          <w:szCs w:val="16"/>
        </w:rPr>
        <w:t xml:space="preserve"> to support my research using the prompt(s): </w:t>
      </w:r>
    </w:p>
    <w:p>
      <w:pPr>
        <w:rPr>
          <w:rFonts w:ascii="Aptos" w:hAnsi="Aptos"/>
          <w:sz w:val="16"/>
          <w:szCs w:val="16"/>
        </w:rPr>
      </w:pPr>
      <w:r>
        <w:rPr>
          <w:rFonts w:ascii="Aptos" w:hAnsi="Aptos"/>
          <w:sz w:val="16"/>
          <w:szCs w:val="16"/>
        </w:rPr>
        <w:t xml:space="preserve">1. Please provide me with materials on </w:t>
      </w:r>
      <w:r>
        <w:rPr>
          <w:rFonts w:hint="default" w:ascii="Aptos" w:hAnsi="Aptos"/>
          <w:sz w:val="16"/>
          <w:szCs w:val="16"/>
          <w:lang w:val="en-US"/>
        </w:rPr>
        <w:t>students’ growth mindset in China</w:t>
      </w:r>
      <w:r>
        <w:rPr>
          <w:rFonts w:ascii="Aptos" w:hAnsi="Aptos"/>
          <w:sz w:val="16"/>
          <w:szCs w:val="16"/>
        </w:rPr>
        <w:t xml:space="preserve">. </w:t>
      </w:r>
    </w:p>
    <w:p>
      <w:pPr>
        <w:rPr>
          <w:rFonts w:ascii="Aptos" w:hAnsi="Aptos"/>
          <w:sz w:val="16"/>
          <w:szCs w:val="16"/>
        </w:rPr>
      </w:pPr>
      <w:r>
        <w:rPr>
          <w:rFonts w:ascii="Aptos" w:hAnsi="Aptos"/>
          <w:sz w:val="16"/>
          <w:szCs w:val="16"/>
        </w:rPr>
        <w:t xml:space="preserve">2. Please provide me with materials on </w:t>
      </w:r>
      <w:r>
        <w:rPr>
          <w:rFonts w:hint="default" w:ascii="Aptos" w:hAnsi="Aptos"/>
          <w:sz w:val="16"/>
          <w:szCs w:val="16"/>
          <w:lang w:val="en-US"/>
        </w:rPr>
        <w:t>the relationship between math anxiety and math achievement</w:t>
      </w:r>
      <w:r>
        <w:rPr>
          <w:rFonts w:ascii="Aptos" w:hAnsi="Aptos"/>
          <w:sz w:val="16"/>
          <w:szCs w:val="16"/>
        </w:rPr>
        <w:t xml:space="preserve">. </w:t>
      </w:r>
    </w:p>
    <w:p>
      <w:pPr>
        <w:rPr>
          <w:rFonts w:hint="default" w:ascii="Aptos" w:hAnsi="Aptos"/>
          <w:sz w:val="16"/>
          <w:szCs w:val="16"/>
          <w:lang w:val="en-US"/>
        </w:rPr>
      </w:pPr>
      <w:r>
        <w:rPr>
          <w:rFonts w:hint="default" w:ascii="Aptos" w:hAnsi="Aptos"/>
          <w:sz w:val="16"/>
          <w:szCs w:val="16"/>
          <w:lang w:val="en-US"/>
        </w:rPr>
        <w:t>3. Please provide me with materials on the structure of thesis proposal.</w:t>
      </w:r>
    </w:p>
    <w:p>
      <w:pPr>
        <w:rPr>
          <w:rFonts w:ascii="Aptos" w:hAnsi="Aptos"/>
          <w:sz w:val="16"/>
          <w:szCs w:val="16"/>
        </w:rPr>
      </w:pPr>
      <w:r>
        <w:rPr>
          <w:rFonts w:ascii="Aptos" w:hAnsi="Aptos"/>
          <w:sz w:val="16"/>
          <w:szCs w:val="16"/>
        </w:rPr>
        <w:t xml:space="preserve">I confirm that I have not presented any AI generated text as my own work. I confirm that I have copies of my drafts, notes, and other resources I used before, and after the use of AI tools which I may be asked to provide in evidence. </w:t>
      </w:r>
    </w:p>
    <w:p>
      <w:pPr>
        <w:rPr>
          <w:rFonts w:ascii="Aptos" w:hAnsi="Aptos"/>
          <w:sz w:val="16"/>
          <w:szCs w:val="16"/>
        </w:rPr>
      </w:pPr>
      <w:bookmarkStart w:id="0" w:name="_GoBack"/>
      <w:bookmarkEnd w:id="0"/>
    </w:p>
    <w:sectPr>
      <w:footerReference r:id="rId3" w:type="default"/>
      <w:pgSz w:w="11906" w:h="16838"/>
      <w:pgMar w:top="1701" w:right="1440" w:bottom="1440" w:left="1440" w:header="284" w:footer="709"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Arial">
    <w:panose1 w:val="020B0604020202090204"/>
    <w:charset w:val="00"/>
    <w:family w:val="swiss"/>
    <w:pitch w:val="default"/>
    <w:sig w:usb0="E0000AFF" w:usb1="00007843" w:usb2="00000001" w:usb3="00000000" w:csb0="400001BF" w:csb1="DFF70000"/>
  </w:font>
  <w:font w:name="Tahoma">
    <w:panose1 w:val="020B0804030504040204"/>
    <w:charset w:val="00"/>
    <w:family w:val="swiss"/>
    <w:pitch w:val="default"/>
    <w:sig w:usb0="E1002AFF" w:usb1="C000605B" w:usb2="00000029" w:usb3="00000000" w:csb0="200101FF" w:csb1="20280000"/>
  </w:font>
  <w:font w:name="MS Gothic">
    <w:altName w:val="Hiragino Sans"/>
    <w:panose1 w:val="020B0609070205080204"/>
    <w:charset w:val="80"/>
    <w:family w:val="modern"/>
    <w:pitch w:val="default"/>
    <w:sig w:usb0="00000000" w:usb1="00000000" w:usb2="08000012" w:usb3="00000000" w:csb0="0002009F" w:csb1="00000000"/>
  </w:font>
  <w:font w:name="Courier New">
    <w:panose1 w:val="02070609020205090404"/>
    <w:charset w:val="00"/>
    <w:family w:val="modern"/>
    <w:pitch w:val="default"/>
    <w:sig w:usb0="E0000AFF" w:usb1="40007843" w:usb2="00000001" w:usb3="00000000" w:csb0="400001BF" w:csb1="DFF70000"/>
  </w:font>
  <w:font w:name="Aptos">
    <w:altName w:val="苹方-简"/>
    <w:panose1 w:val="00000000000000000000"/>
    <w:charset w:val="00"/>
    <w:family w:val="swiss"/>
    <w:pitch w:val="default"/>
    <w:sig w:usb0="00000000" w:usb1="00000000" w:usb2="00000000" w:usb3="00000000" w:csb0="0000019F" w:csb1="00000000"/>
  </w:font>
  <w:font w:name="冬青黑体简体中文">
    <w:panose1 w:val="020B0300000000000000"/>
    <w:charset w:val="86"/>
    <w:family w:val="auto"/>
    <w:pitch w:val="default"/>
    <w:sig w:usb0="A00002BF" w:usb1="1ACF7CFA" w:usb2="00000016" w:usb3="00000000" w:csb0="00060007" w:csb1="00000000"/>
  </w:font>
  <w:font w:name="Hiragino Sans">
    <w:panose1 w:val="020B0300000000000000"/>
    <w:charset w:val="80"/>
    <w:family w:val="auto"/>
    <w:pitch w:val="default"/>
    <w:sig w:usb0="E00002FF" w:usb1="7AE7FFFF" w:usb2="00000012" w:usb3="00000000" w:csb0="0002000D" w:csb1="00000000"/>
  </w:font>
  <w:font w:name="Arial Unicode MS">
    <w:panose1 w:val="020B0604020202020204"/>
    <w:charset w:val="86"/>
    <w:family w:val="auto"/>
    <w:pitch w:val="default"/>
    <w:sig w:usb0="FFFFFFFF" w:usb1="E9FFFFFF" w:usb2="0000003F" w:usb3="00000000" w:csb0="603F01FF" w:csb1="FFFF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苹方-简">
    <w:panose1 w:val="020B0400000000000000"/>
    <w:charset w:val="86"/>
    <w:family w:val="auto"/>
    <w:pitch w:val="default"/>
    <w:sig w:usb0="A00002FF" w:usb1="7ACFFDFB" w:usb2="00000017" w:usb3="00000000" w:csb0="00040001" w:csb1="00000000"/>
  </w:font>
  <w:font w:name="宋体-简">
    <w:panose1 w:val="02010800040101010101"/>
    <w:charset w:val="86"/>
    <w:family w:val="auto"/>
    <w:pitch w:val="default"/>
    <w:sig w:usb0="00000001" w:usb1="080F0000" w:usb2="00000000" w:usb3="00000000" w:csb0="0004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Arial Italic">
    <w:panose1 w:val="020B06040202020902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sdt>
      <w:sdtPr>
        <w:id w:val="1691110303"/>
        <w:docPartObj>
          <w:docPartGallery w:val="AutoText"/>
        </w:docPartObj>
      </w:sdtPr>
      <w:sdtContent>
        <w:r>
          <w:t>E</w:t>
        </w:r>
      </w:sdtContent>
    </w:sdt>
    <w:r>
      <w:t>CDE7020 Proposal Form</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5E770F"/>
    <w:multiLevelType w:val="singleLevel"/>
    <w:tmpl w:val="AE5E770F"/>
    <w:lvl w:ilvl="0" w:tentative="0">
      <w:start w:val="1"/>
      <w:numFmt w:val="decimal"/>
      <w:lvlText w:val="%1."/>
      <w:lvlJc w:val="left"/>
      <w:pPr>
        <w:ind w:left="425" w:hanging="425"/>
      </w:pPr>
      <w:rPr>
        <w:rFonts w:hint="default"/>
      </w:rPr>
    </w:lvl>
  </w:abstractNum>
  <w:abstractNum w:abstractNumId="1">
    <w:nsid w:val="60B4189A"/>
    <w:multiLevelType w:val="multilevel"/>
    <w:tmpl w:val="60B4189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6"/>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isplayHorizontalDrawingGridEvery w:val="1"/>
  <w:displayVerticalDrawingGridEvery w:val="1"/>
  <w:doNotUseMarginsForDrawingGridOrigin w:val="1"/>
  <w:drawingGridHorizontalOrigin w:val="1800"/>
  <w:drawingGridVerticalOrigin w:val="1440"/>
  <w:noPunctuationKerning w:val="1"/>
  <w:characterSpacingControl w:val="doNotCompress"/>
  <w:compat>
    <w:balanceSingleByteDoubleByteWidth/>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4D"/>
    <w:rsid w:val="0000503B"/>
    <w:rsid w:val="00005E62"/>
    <w:rsid w:val="00013F62"/>
    <w:rsid w:val="00015367"/>
    <w:rsid w:val="00016D31"/>
    <w:rsid w:val="00027160"/>
    <w:rsid w:val="00030DDF"/>
    <w:rsid w:val="00041A6B"/>
    <w:rsid w:val="00047225"/>
    <w:rsid w:val="00054BFD"/>
    <w:rsid w:val="00055046"/>
    <w:rsid w:val="00056718"/>
    <w:rsid w:val="000677B9"/>
    <w:rsid w:val="0009297F"/>
    <w:rsid w:val="00095F33"/>
    <w:rsid w:val="000B43A7"/>
    <w:rsid w:val="000C1D53"/>
    <w:rsid w:val="000C4198"/>
    <w:rsid w:val="000C6D22"/>
    <w:rsid w:val="000D166A"/>
    <w:rsid w:val="000D3D72"/>
    <w:rsid w:val="000F5B56"/>
    <w:rsid w:val="0010084E"/>
    <w:rsid w:val="001217FD"/>
    <w:rsid w:val="00121AC3"/>
    <w:rsid w:val="001400B5"/>
    <w:rsid w:val="00141DF3"/>
    <w:rsid w:val="0015311B"/>
    <w:rsid w:val="00154D0F"/>
    <w:rsid w:val="00157905"/>
    <w:rsid w:val="00165D23"/>
    <w:rsid w:val="00166B83"/>
    <w:rsid w:val="00172F4C"/>
    <w:rsid w:val="00173CC3"/>
    <w:rsid w:val="00176160"/>
    <w:rsid w:val="00185554"/>
    <w:rsid w:val="001943FA"/>
    <w:rsid w:val="001B1EEF"/>
    <w:rsid w:val="001C367F"/>
    <w:rsid w:val="001C6B27"/>
    <w:rsid w:val="001D074C"/>
    <w:rsid w:val="001F47B0"/>
    <w:rsid w:val="001F5E3E"/>
    <w:rsid w:val="001F72F5"/>
    <w:rsid w:val="002114E6"/>
    <w:rsid w:val="00212BE7"/>
    <w:rsid w:val="002168D5"/>
    <w:rsid w:val="0022098F"/>
    <w:rsid w:val="00221A9E"/>
    <w:rsid w:val="00222D05"/>
    <w:rsid w:val="0022643E"/>
    <w:rsid w:val="00226B86"/>
    <w:rsid w:val="002370BA"/>
    <w:rsid w:val="0024548B"/>
    <w:rsid w:val="00246903"/>
    <w:rsid w:val="00261C5C"/>
    <w:rsid w:val="00280DF9"/>
    <w:rsid w:val="00284E60"/>
    <w:rsid w:val="00287BD7"/>
    <w:rsid w:val="00291900"/>
    <w:rsid w:val="00293B33"/>
    <w:rsid w:val="002A66B9"/>
    <w:rsid w:val="002B16CB"/>
    <w:rsid w:val="002B3A60"/>
    <w:rsid w:val="002B5804"/>
    <w:rsid w:val="002C01D8"/>
    <w:rsid w:val="002E0D27"/>
    <w:rsid w:val="002E240C"/>
    <w:rsid w:val="002F0156"/>
    <w:rsid w:val="002F3407"/>
    <w:rsid w:val="002F62BD"/>
    <w:rsid w:val="002F6DD5"/>
    <w:rsid w:val="003015D0"/>
    <w:rsid w:val="00303F2E"/>
    <w:rsid w:val="003064A7"/>
    <w:rsid w:val="0031458B"/>
    <w:rsid w:val="003155A9"/>
    <w:rsid w:val="00325CBE"/>
    <w:rsid w:val="003275B0"/>
    <w:rsid w:val="003317EE"/>
    <w:rsid w:val="0033293C"/>
    <w:rsid w:val="00332B43"/>
    <w:rsid w:val="00335D74"/>
    <w:rsid w:val="00337123"/>
    <w:rsid w:val="0034191A"/>
    <w:rsid w:val="003519CA"/>
    <w:rsid w:val="00353C75"/>
    <w:rsid w:val="003607CD"/>
    <w:rsid w:val="00363F74"/>
    <w:rsid w:val="00370831"/>
    <w:rsid w:val="00376A02"/>
    <w:rsid w:val="00391D2C"/>
    <w:rsid w:val="003A11E9"/>
    <w:rsid w:val="003A748D"/>
    <w:rsid w:val="003B268C"/>
    <w:rsid w:val="003B4AF0"/>
    <w:rsid w:val="003C062E"/>
    <w:rsid w:val="003C5892"/>
    <w:rsid w:val="003C7969"/>
    <w:rsid w:val="003D62AF"/>
    <w:rsid w:val="003D7CD9"/>
    <w:rsid w:val="003E5663"/>
    <w:rsid w:val="003E7D6B"/>
    <w:rsid w:val="003F068E"/>
    <w:rsid w:val="003F4C86"/>
    <w:rsid w:val="003F7948"/>
    <w:rsid w:val="003F7D77"/>
    <w:rsid w:val="0040023E"/>
    <w:rsid w:val="00404C72"/>
    <w:rsid w:val="00410578"/>
    <w:rsid w:val="004262CD"/>
    <w:rsid w:val="00430E87"/>
    <w:rsid w:val="004310AE"/>
    <w:rsid w:val="004375FD"/>
    <w:rsid w:val="004448A0"/>
    <w:rsid w:val="0045240A"/>
    <w:rsid w:val="00452942"/>
    <w:rsid w:val="00455BEF"/>
    <w:rsid w:val="00474F13"/>
    <w:rsid w:val="00475B50"/>
    <w:rsid w:val="00476944"/>
    <w:rsid w:val="00476E74"/>
    <w:rsid w:val="004971D4"/>
    <w:rsid w:val="004B251B"/>
    <w:rsid w:val="004B2A69"/>
    <w:rsid w:val="004E363A"/>
    <w:rsid w:val="004F22A4"/>
    <w:rsid w:val="004F5A06"/>
    <w:rsid w:val="00512288"/>
    <w:rsid w:val="005140FB"/>
    <w:rsid w:val="00516A38"/>
    <w:rsid w:val="005302A6"/>
    <w:rsid w:val="005363FE"/>
    <w:rsid w:val="005419D3"/>
    <w:rsid w:val="00541CFE"/>
    <w:rsid w:val="00542F6F"/>
    <w:rsid w:val="005513E3"/>
    <w:rsid w:val="0055230D"/>
    <w:rsid w:val="00555319"/>
    <w:rsid w:val="00556BFF"/>
    <w:rsid w:val="00557BD7"/>
    <w:rsid w:val="005608A4"/>
    <w:rsid w:val="00565A36"/>
    <w:rsid w:val="005831C1"/>
    <w:rsid w:val="00595238"/>
    <w:rsid w:val="00595F5B"/>
    <w:rsid w:val="00595FC4"/>
    <w:rsid w:val="005A6F56"/>
    <w:rsid w:val="005B0886"/>
    <w:rsid w:val="005B5352"/>
    <w:rsid w:val="005C0918"/>
    <w:rsid w:val="005C1812"/>
    <w:rsid w:val="005C59F8"/>
    <w:rsid w:val="005D3C0C"/>
    <w:rsid w:val="005E0345"/>
    <w:rsid w:val="005E3CF6"/>
    <w:rsid w:val="005E60A7"/>
    <w:rsid w:val="005E73D5"/>
    <w:rsid w:val="00605A69"/>
    <w:rsid w:val="006151C5"/>
    <w:rsid w:val="00616987"/>
    <w:rsid w:val="00623825"/>
    <w:rsid w:val="006257DE"/>
    <w:rsid w:val="0063119B"/>
    <w:rsid w:val="0063456A"/>
    <w:rsid w:val="00635A88"/>
    <w:rsid w:val="00643766"/>
    <w:rsid w:val="0064556F"/>
    <w:rsid w:val="00654638"/>
    <w:rsid w:val="00654D91"/>
    <w:rsid w:val="006551B2"/>
    <w:rsid w:val="00660727"/>
    <w:rsid w:val="006731F3"/>
    <w:rsid w:val="00677F77"/>
    <w:rsid w:val="00682636"/>
    <w:rsid w:val="0069594C"/>
    <w:rsid w:val="006B0899"/>
    <w:rsid w:val="006B20A7"/>
    <w:rsid w:val="006B582D"/>
    <w:rsid w:val="006C0F0D"/>
    <w:rsid w:val="006C170C"/>
    <w:rsid w:val="006C40EC"/>
    <w:rsid w:val="006C45FB"/>
    <w:rsid w:val="006C7BB7"/>
    <w:rsid w:val="006D04D5"/>
    <w:rsid w:val="006D05CF"/>
    <w:rsid w:val="006D4C27"/>
    <w:rsid w:val="006D503F"/>
    <w:rsid w:val="006D7C2A"/>
    <w:rsid w:val="006F1BDC"/>
    <w:rsid w:val="006F4865"/>
    <w:rsid w:val="00702A7E"/>
    <w:rsid w:val="00703A24"/>
    <w:rsid w:val="00707BDE"/>
    <w:rsid w:val="0071332A"/>
    <w:rsid w:val="00717DFA"/>
    <w:rsid w:val="00733AAC"/>
    <w:rsid w:val="00753EDE"/>
    <w:rsid w:val="00763457"/>
    <w:rsid w:val="00795C79"/>
    <w:rsid w:val="007A0692"/>
    <w:rsid w:val="007A3641"/>
    <w:rsid w:val="007C2004"/>
    <w:rsid w:val="007C2A63"/>
    <w:rsid w:val="007C3B48"/>
    <w:rsid w:val="007C512A"/>
    <w:rsid w:val="007C755A"/>
    <w:rsid w:val="007E1739"/>
    <w:rsid w:val="007E550E"/>
    <w:rsid w:val="007F54A4"/>
    <w:rsid w:val="007F6FC1"/>
    <w:rsid w:val="00802E0D"/>
    <w:rsid w:val="00805BA3"/>
    <w:rsid w:val="00816ED8"/>
    <w:rsid w:val="00820E04"/>
    <w:rsid w:val="00825E70"/>
    <w:rsid w:val="0083144B"/>
    <w:rsid w:val="00831EF8"/>
    <w:rsid w:val="00832FEA"/>
    <w:rsid w:val="00836FA9"/>
    <w:rsid w:val="008422EE"/>
    <w:rsid w:val="00855925"/>
    <w:rsid w:val="008571F8"/>
    <w:rsid w:val="00872EC4"/>
    <w:rsid w:val="00877A6B"/>
    <w:rsid w:val="008812C3"/>
    <w:rsid w:val="008859B3"/>
    <w:rsid w:val="0088683F"/>
    <w:rsid w:val="008876C0"/>
    <w:rsid w:val="008944DE"/>
    <w:rsid w:val="00896244"/>
    <w:rsid w:val="008A397A"/>
    <w:rsid w:val="008B15C8"/>
    <w:rsid w:val="008C0ACE"/>
    <w:rsid w:val="008C1EE6"/>
    <w:rsid w:val="008D129A"/>
    <w:rsid w:val="008D2E5D"/>
    <w:rsid w:val="008D505E"/>
    <w:rsid w:val="008E7086"/>
    <w:rsid w:val="008F0225"/>
    <w:rsid w:val="008F150A"/>
    <w:rsid w:val="008F3C22"/>
    <w:rsid w:val="008F5522"/>
    <w:rsid w:val="0090452C"/>
    <w:rsid w:val="00910A1E"/>
    <w:rsid w:val="00913992"/>
    <w:rsid w:val="0091552C"/>
    <w:rsid w:val="00915EFA"/>
    <w:rsid w:val="009178C4"/>
    <w:rsid w:val="00930CC7"/>
    <w:rsid w:val="0093374F"/>
    <w:rsid w:val="00934621"/>
    <w:rsid w:val="009353AC"/>
    <w:rsid w:val="009363F3"/>
    <w:rsid w:val="009368DD"/>
    <w:rsid w:val="009435B2"/>
    <w:rsid w:val="009472A5"/>
    <w:rsid w:val="00950A56"/>
    <w:rsid w:val="00951EB2"/>
    <w:rsid w:val="00961E02"/>
    <w:rsid w:val="00962D90"/>
    <w:rsid w:val="00963EBE"/>
    <w:rsid w:val="009803A2"/>
    <w:rsid w:val="009905BC"/>
    <w:rsid w:val="00994CF9"/>
    <w:rsid w:val="009A0D4E"/>
    <w:rsid w:val="009A2302"/>
    <w:rsid w:val="009A654D"/>
    <w:rsid w:val="009A7385"/>
    <w:rsid w:val="009A7818"/>
    <w:rsid w:val="009C7898"/>
    <w:rsid w:val="009E1467"/>
    <w:rsid w:val="009F3BE4"/>
    <w:rsid w:val="00A048DE"/>
    <w:rsid w:val="00A13514"/>
    <w:rsid w:val="00A15A7C"/>
    <w:rsid w:val="00A17E0A"/>
    <w:rsid w:val="00A26705"/>
    <w:rsid w:val="00A27F4D"/>
    <w:rsid w:val="00A30EB2"/>
    <w:rsid w:val="00A4205A"/>
    <w:rsid w:val="00A45333"/>
    <w:rsid w:val="00A47731"/>
    <w:rsid w:val="00A62C1D"/>
    <w:rsid w:val="00A67160"/>
    <w:rsid w:val="00A80816"/>
    <w:rsid w:val="00A830D5"/>
    <w:rsid w:val="00AB0FB7"/>
    <w:rsid w:val="00AC147B"/>
    <w:rsid w:val="00AC4DCF"/>
    <w:rsid w:val="00AC6903"/>
    <w:rsid w:val="00AD4651"/>
    <w:rsid w:val="00AD516F"/>
    <w:rsid w:val="00AD5A94"/>
    <w:rsid w:val="00AF2941"/>
    <w:rsid w:val="00AF2AA3"/>
    <w:rsid w:val="00AF7BA9"/>
    <w:rsid w:val="00B079A2"/>
    <w:rsid w:val="00B12AB0"/>
    <w:rsid w:val="00B273A5"/>
    <w:rsid w:val="00B3408B"/>
    <w:rsid w:val="00B40C3F"/>
    <w:rsid w:val="00B5562E"/>
    <w:rsid w:val="00B65D5E"/>
    <w:rsid w:val="00B70B7E"/>
    <w:rsid w:val="00B718D3"/>
    <w:rsid w:val="00B84A54"/>
    <w:rsid w:val="00B8515A"/>
    <w:rsid w:val="00B95514"/>
    <w:rsid w:val="00BA3707"/>
    <w:rsid w:val="00BB0363"/>
    <w:rsid w:val="00BB2F10"/>
    <w:rsid w:val="00BD2727"/>
    <w:rsid w:val="00BD589F"/>
    <w:rsid w:val="00BD7EF3"/>
    <w:rsid w:val="00BE24D4"/>
    <w:rsid w:val="00BF0916"/>
    <w:rsid w:val="00C00764"/>
    <w:rsid w:val="00C00D62"/>
    <w:rsid w:val="00C037ED"/>
    <w:rsid w:val="00C056C2"/>
    <w:rsid w:val="00C14717"/>
    <w:rsid w:val="00C20E5F"/>
    <w:rsid w:val="00C31ED6"/>
    <w:rsid w:val="00C45CE3"/>
    <w:rsid w:val="00C477B6"/>
    <w:rsid w:val="00C525D4"/>
    <w:rsid w:val="00C63D3D"/>
    <w:rsid w:val="00C66E9A"/>
    <w:rsid w:val="00C74109"/>
    <w:rsid w:val="00C756EF"/>
    <w:rsid w:val="00C75F44"/>
    <w:rsid w:val="00C75F7C"/>
    <w:rsid w:val="00C856A1"/>
    <w:rsid w:val="00C943DE"/>
    <w:rsid w:val="00CA1E71"/>
    <w:rsid w:val="00CA4FBE"/>
    <w:rsid w:val="00CA65FC"/>
    <w:rsid w:val="00CA796D"/>
    <w:rsid w:val="00CB3E7A"/>
    <w:rsid w:val="00CB652D"/>
    <w:rsid w:val="00CC4AC2"/>
    <w:rsid w:val="00CC5FEA"/>
    <w:rsid w:val="00CD0196"/>
    <w:rsid w:val="00CD2785"/>
    <w:rsid w:val="00CD5B6B"/>
    <w:rsid w:val="00D01434"/>
    <w:rsid w:val="00D03BB7"/>
    <w:rsid w:val="00D122D0"/>
    <w:rsid w:val="00D215F0"/>
    <w:rsid w:val="00D25A52"/>
    <w:rsid w:val="00D46D22"/>
    <w:rsid w:val="00D56242"/>
    <w:rsid w:val="00D60565"/>
    <w:rsid w:val="00D62737"/>
    <w:rsid w:val="00D63189"/>
    <w:rsid w:val="00D70714"/>
    <w:rsid w:val="00D732FC"/>
    <w:rsid w:val="00D768D1"/>
    <w:rsid w:val="00D81082"/>
    <w:rsid w:val="00D83BB1"/>
    <w:rsid w:val="00DB03EA"/>
    <w:rsid w:val="00DB3960"/>
    <w:rsid w:val="00DC2AE7"/>
    <w:rsid w:val="00DD1E66"/>
    <w:rsid w:val="00DE3885"/>
    <w:rsid w:val="00DE54F9"/>
    <w:rsid w:val="00DF2827"/>
    <w:rsid w:val="00DF3FF2"/>
    <w:rsid w:val="00DF7459"/>
    <w:rsid w:val="00E03A7C"/>
    <w:rsid w:val="00E127C8"/>
    <w:rsid w:val="00E17B09"/>
    <w:rsid w:val="00E26E40"/>
    <w:rsid w:val="00E60894"/>
    <w:rsid w:val="00E76DFC"/>
    <w:rsid w:val="00E800B4"/>
    <w:rsid w:val="00E8752A"/>
    <w:rsid w:val="00E90E39"/>
    <w:rsid w:val="00E90FFB"/>
    <w:rsid w:val="00EA4DDB"/>
    <w:rsid w:val="00EB29E8"/>
    <w:rsid w:val="00EC2239"/>
    <w:rsid w:val="00ED34D1"/>
    <w:rsid w:val="00EE3F65"/>
    <w:rsid w:val="00EE49AE"/>
    <w:rsid w:val="00EE4E91"/>
    <w:rsid w:val="00F02051"/>
    <w:rsid w:val="00F147E2"/>
    <w:rsid w:val="00F15764"/>
    <w:rsid w:val="00F20553"/>
    <w:rsid w:val="00F212AC"/>
    <w:rsid w:val="00F26723"/>
    <w:rsid w:val="00F274DA"/>
    <w:rsid w:val="00F340BA"/>
    <w:rsid w:val="00F343C8"/>
    <w:rsid w:val="00F377CD"/>
    <w:rsid w:val="00F41F11"/>
    <w:rsid w:val="00F50670"/>
    <w:rsid w:val="00F6356A"/>
    <w:rsid w:val="00F65BA4"/>
    <w:rsid w:val="00F65ECA"/>
    <w:rsid w:val="00F678E5"/>
    <w:rsid w:val="00F7569E"/>
    <w:rsid w:val="00F77B80"/>
    <w:rsid w:val="00F8710D"/>
    <w:rsid w:val="00F90183"/>
    <w:rsid w:val="00F901BB"/>
    <w:rsid w:val="00F9606E"/>
    <w:rsid w:val="00FC1870"/>
    <w:rsid w:val="00FD60D8"/>
    <w:rsid w:val="00FD70D5"/>
    <w:rsid w:val="00FE3258"/>
    <w:rsid w:val="00FF5FBE"/>
    <w:rsid w:val="2BCB7A50"/>
    <w:rsid w:val="3FAFC4C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Times New Roman" w:cs="Times New Roman"/>
      <w:lang w:val="en-GB" w:eastAsia="en-GB" w:bidi="ar-SA"/>
    </w:rPr>
  </w:style>
  <w:style w:type="paragraph" w:styleId="2">
    <w:name w:val="heading 1"/>
    <w:basedOn w:val="1"/>
    <w:next w:val="1"/>
    <w:qFormat/>
    <w:uiPriority w:val="0"/>
    <w:pPr>
      <w:keepNext/>
      <w:outlineLvl w:val="0"/>
    </w:pPr>
    <w:rPr>
      <w:b/>
    </w:rPr>
  </w:style>
  <w:style w:type="paragraph" w:styleId="3">
    <w:name w:val="heading 2"/>
    <w:basedOn w:val="1"/>
    <w:next w:val="1"/>
    <w:qFormat/>
    <w:uiPriority w:val="0"/>
    <w:pPr>
      <w:keepNext/>
      <w:spacing w:before="240" w:after="60"/>
      <w:outlineLvl w:val="1"/>
    </w:pPr>
    <w:rPr>
      <w:b/>
      <w:i/>
      <w:sz w:val="24"/>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3"/>
    <w:unhideWhenUsed/>
    <w:qFormat/>
    <w:uiPriority w:val="99"/>
    <w:rPr>
      <w:lang w:val="zh-CN" w:eastAsia="zh-CN"/>
    </w:rPr>
  </w:style>
  <w:style w:type="paragraph" w:styleId="5">
    <w:name w:val="Body Text"/>
    <w:basedOn w:val="1"/>
    <w:qFormat/>
    <w:uiPriority w:val="0"/>
    <w:pPr>
      <w:jc w:val="both"/>
    </w:pPr>
    <w:rPr>
      <w:b/>
    </w:rPr>
  </w:style>
  <w:style w:type="paragraph" w:styleId="6">
    <w:name w:val="Block Text"/>
    <w:basedOn w:val="1"/>
    <w:qFormat/>
    <w:uiPriority w:val="0"/>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7">
    <w:name w:val="Balloon Text"/>
    <w:basedOn w:val="1"/>
    <w:semiHidden/>
    <w:qFormat/>
    <w:uiPriority w:val="0"/>
    <w:rPr>
      <w:rFonts w:ascii="Tahoma" w:hAnsi="Tahoma" w:cs="Tahoma"/>
      <w:sz w:val="16"/>
      <w:szCs w:val="16"/>
    </w:rPr>
  </w:style>
  <w:style w:type="paragraph" w:styleId="8">
    <w:name w:val="footer"/>
    <w:basedOn w:val="1"/>
    <w:link w:val="25"/>
    <w:qFormat/>
    <w:uiPriority w:val="99"/>
    <w:pPr>
      <w:tabs>
        <w:tab w:val="center" w:pos="4320"/>
        <w:tab w:val="right" w:pos="8640"/>
      </w:tabs>
    </w:pPr>
  </w:style>
  <w:style w:type="paragraph" w:styleId="9">
    <w:name w:val="header"/>
    <w:basedOn w:val="1"/>
    <w:qFormat/>
    <w:uiPriority w:val="0"/>
    <w:pPr>
      <w:tabs>
        <w:tab w:val="center" w:pos="4320"/>
        <w:tab w:val="right" w:pos="8640"/>
      </w:tabs>
    </w:pPr>
  </w:style>
  <w:style w:type="paragraph" w:styleId="10">
    <w:name w:val="footnote text"/>
    <w:basedOn w:val="1"/>
    <w:semiHidden/>
    <w:qFormat/>
    <w:uiPriority w:val="0"/>
  </w:style>
  <w:style w:type="paragraph" w:styleId="11">
    <w:name w:val="Normal (Web)"/>
    <w:basedOn w:val="1"/>
    <w:semiHidden/>
    <w:unhideWhenUsed/>
    <w:qFormat/>
    <w:uiPriority w:val="99"/>
    <w:pPr>
      <w:spacing w:before="100" w:beforeAutospacing="1" w:after="100" w:afterAutospacing="1"/>
    </w:pPr>
    <w:rPr>
      <w:rFonts w:ascii="Times New Roman" w:hAnsi="Times New Roman"/>
      <w:sz w:val="24"/>
      <w:szCs w:val="24"/>
    </w:rPr>
  </w:style>
  <w:style w:type="paragraph" w:styleId="12">
    <w:name w:val="annotation subject"/>
    <w:basedOn w:val="4"/>
    <w:next w:val="4"/>
    <w:link w:val="24"/>
    <w:semiHidden/>
    <w:unhideWhenUsed/>
    <w:qFormat/>
    <w:uiPriority w:val="99"/>
    <w:rPr>
      <w:b/>
      <w:bCs/>
    </w:r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qFormat/>
    <w:uiPriority w:val="22"/>
    <w:rPr>
      <w:b/>
      <w:bCs/>
    </w:rPr>
  </w:style>
  <w:style w:type="character" w:styleId="17">
    <w:name w:val="FollowedHyperlink"/>
    <w:qFormat/>
    <w:uiPriority w:val="0"/>
    <w:rPr>
      <w:color w:val="800080"/>
      <w:u w:val="single"/>
    </w:rPr>
  </w:style>
  <w:style w:type="character" w:styleId="18">
    <w:name w:val="Hyperlink"/>
    <w:qFormat/>
    <w:uiPriority w:val="0"/>
    <w:rPr>
      <w:color w:val="0000FF"/>
      <w:u w:val="single"/>
    </w:rPr>
  </w:style>
  <w:style w:type="character" w:styleId="19">
    <w:name w:val="annotation reference"/>
    <w:semiHidden/>
    <w:unhideWhenUsed/>
    <w:qFormat/>
    <w:uiPriority w:val="99"/>
    <w:rPr>
      <w:sz w:val="16"/>
      <w:szCs w:val="16"/>
    </w:rPr>
  </w:style>
  <w:style w:type="character" w:styleId="20">
    <w:name w:val="footnote reference"/>
    <w:semiHidden/>
    <w:qFormat/>
    <w:uiPriority w:val="0"/>
    <w:rPr>
      <w:vertAlign w:val="superscript"/>
    </w:rPr>
  </w:style>
  <w:style w:type="paragraph" w:customStyle="1" w:styleId="21">
    <w:name w:val="Heading Erasmod"/>
    <w:basedOn w:val="3"/>
    <w:qFormat/>
    <w:uiPriority w:val="0"/>
    <w:pPr>
      <w:pBdr>
        <w:top w:val="single" w:color="auto" w:sz="6" w:space="1"/>
        <w:left w:val="single" w:color="auto" w:sz="6" w:space="1"/>
        <w:bottom w:val="single" w:color="auto" w:sz="6" w:space="1"/>
        <w:right w:val="single" w:color="auto" w:sz="6" w:space="1"/>
      </w:pBdr>
      <w:spacing w:before="0" w:after="120"/>
    </w:pPr>
    <w:rPr>
      <w:i w:val="0"/>
      <w:caps/>
      <w:sz w:val="28"/>
    </w:rPr>
  </w:style>
  <w:style w:type="paragraph" w:customStyle="1" w:styleId="22">
    <w:name w:val="Medium List 2 - Accent 21"/>
    <w:hidden/>
    <w:semiHidden/>
    <w:qFormat/>
    <w:uiPriority w:val="99"/>
    <w:rPr>
      <w:rFonts w:ascii="Arial" w:hAnsi="Arial" w:eastAsia="Times New Roman" w:cs="Times New Roman"/>
      <w:lang w:val="en-GB" w:eastAsia="en-GB" w:bidi="ar-SA"/>
    </w:rPr>
  </w:style>
  <w:style w:type="character" w:customStyle="1" w:styleId="23">
    <w:name w:val="Comment Text Char"/>
    <w:link w:val="4"/>
    <w:qFormat/>
    <w:uiPriority w:val="99"/>
    <w:rPr>
      <w:rFonts w:ascii="Arial" w:hAnsi="Arial"/>
    </w:rPr>
  </w:style>
  <w:style w:type="character" w:customStyle="1" w:styleId="24">
    <w:name w:val="Comment Subject Char"/>
    <w:link w:val="12"/>
    <w:semiHidden/>
    <w:qFormat/>
    <w:uiPriority w:val="99"/>
    <w:rPr>
      <w:rFonts w:ascii="Arial" w:hAnsi="Arial"/>
      <w:b/>
      <w:bCs/>
    </w:rPr>
  </w:style>
  <w:style w:type="character" w:customStyle="1" w:styleId="25">
    <w:name w:val="Footer Char"/>
    <w:link w:val="8"/>
    <w:qFormat/>
    <w:uiPriority w:val="99"/>
    <w:rPr>
      <w:rFonts w:ascii="Arial" w:hAnsi="Arial"/>
    </w:rPr>
  </w:style>
  <w:style w:type="paragraph" w:styleId="26">
    <w:name w:val="List Paragraph"/>
    <w:basedOn w:val="1"/>
    <w:qFormat/>
    <w:uiPriority w:val="99"/>
    <w:pPr>
      <w:ind w:left="720"/>
    </w:pPr>
  </w:style>
  <w:style w:type="paragraph" w:customStyle="1" w:styleId="27">
    <w:name w:val="Revision"/>
    <w:hidden/>
    <w:semiHidden/>
    <w:qFormat/>
    <w:uiPriority w:val="99"/>
    <w:rPr>
      <w:rFonts w:ascii="Arial" w:hAnsi="Arial" w:eastAsia="Times New Roman" w:cs="Times New Roman"/>
      <w:lang w:val="en-GB" w:eastAsia="en-GB" w:bidi="ar-SA"/>
    </w:rPr>
  </w:style>
  <w:style w:type="paragraph" w:styleId="28">
    <w:name w:val="No Spacing"/>
    <w:qFormat/>
    <w:uiPriority w:val="99"/>
    <w:pPr>
      <w:overflowPunct w:val="0"/>
      <w:autoSpaceDE w:val="0"/>
      <w:autoSpaceDN w:val="0"/>
      <w:adjustRightInd w:val="0"/>
    </w:pPr>
    <w:rPr>
      <w:rFonts w:ascii="Calibri" w:hAnsi="Calibri" w:eastAsia="Times New Roman" w:cs="Times New Roman"/>
      <w:sz w:val="22"/>
      <w:lang w:val="en-GB" w:eastAsia="en-US" w:bidi="ar-SA"/>
    </w:rPr>
  </w:style>
  <w:style w:type="character" w:customStyle="1" w:styleId="29">
    <w:name w:val="Unresolved Mention1"/>
    <w:basedOn w:val="15"/>
    <w:semiHidden/>
    <w:unhideWhenUsed/>
    <w:qFormat/>
    <w:uiPriority w:val="99"/>
    <w:rPr>
      <w:color w:val="605E5C"/>
      <w:shd w:val="clear" w:color="auto" w:fill="E1DFDD"/>
    </w:rPr>
  </w:style>
  <w:style w:type="character" w:customStyle="1" w:styleId="30">
    <w:name w:val="Unresolved Mention"/>
    <w:basedOn w:val="15"/>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UWTSD</Company>
  <Pages>1</Pages>
  <Words>893</Words>
  <Characters>5095</Characters>
  <Lines>1</Lines>
  <Paragraphs>1</Paragraphs>
  <TotalTime>50</TotalTime>
  <ScaleCrop>false</ScaleCrop>
  <LinksUpToDate>false</LinksUpToDate>
  <CharactersWithSpaces>5977</CharactersWithSpaces>
  <Application>WPS Office_6.5.1.8687_F1E327BC-269C-435d-A152-05C5408002CA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2025-01-07T17:59:00Z</dcterms:created>
  <dc:creator>Academic Office</dc:creator>
  <cp:lastModifiedBy>黄梦莹</cp:lastModifiedBy>
  <cp:lastPrinted>2016-11-02T15:01:00Z</cp:lastPrinted>
  <dcterms:modified xsi:type="dcterms:W3CDTF">2025-02-20T21:36:46Z</dcterms:modified>
  <dc:title>PG1</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MediaServiceImageTags">
    <vt:lpwstr/>
  </property>
  <property fmtid="{D5CDD505-2E9C-101B-9397-08002B2CF9AE}" pid="7" name="KSOProductBuildVer">
    <vt:lpwstr>2052-6.5.1.8687</vt:lpwstr>
  </property>
  <property fmtid="{D5CDD505-2E9C-101B-9397-08002B2CF9AE}" pid="8" name="ICV">
    <vt:lpwstr>D4D3030C74088EFEED80B76742F7E16C_42</vt:lpwstr>
  </property>
</Properties>
</file>