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9B71A9" w:rsidRPr="00966EF2" w:rsidRDefault="009B71A9" w:rsidP="009B71A9">
      <w:pPr>
        <w:pStyle w:val="Titolo"/>
        <w:spacing w:line="429" w:lineRule="auto"/>
        <w:ind w:left="0" w:hanging="12"/>
        <w:jc w:val="center"/>
        <w:rPr>
          <w:spacing w:val="-1"/>
          <w:sz w:val="24"/>
          <w:szCs w:val="24"/>
        </w:rPr>
      </w:pPr>
    </w:p>
    <w:p w:rsidR="00B97B22" w:rsidRPr="00FA697B" w:rsidRDefault="00B97B22" w:rsidP="00B97B22">
      <w:pPr>
        <w:rPr>
          <w:color w:val="202124"/>
          <w:sz w:val="36"/>
          <w:szCs w:val="36"/>
        </w:rPr>
      </w:pPr>
      <w:r w:rsidRPr="00ED0B55">
        <w:rPr>
          <w:sz w:val="36"/>
          <w:szCs w:val="36"/>
          <w:shd w:val="clear" w:color="auto" w:fill="FFFFFF"/>
        </w:rPr>
        <w:t xml:space="preserve">University of Wales Trinity Saint David </w:t>
      </w:r>
      <w:r w:rsidRPr="00ED0B55">
        <w:rPr>
          <w:color w:val="202124"/>
          <w:sz w:val="36"/>
          <w:szCs w:val="36"/>
        </w:rPr>
        <w:fldChar w:fldCharType="begin"/>
      </w:r>
      <w:r w:rsidRPr="00ED0B55">
        <w:rPr>
          <w:color w:val="202124"/>
          <w:sz w:val="36"/>
          <w:szCs w:val="36"/>
        </w:rPr>
        <w:instrText xml:space="preserve"> INCLUDEPICTURE "https://lh3.googleusercontent.com/-dCYe2Y2UVCQ/AAAAAAAAAAI/AAAAAAAAAAA/qchC0b4B9-s/s44-p-k-no-ns-nd/photo.jpg" \* MERGEFORMATINET </w:instrText>
      </w:r>
      <w:r w:rsidRPr="00ED0B55">
        <w:rPr>
          <w:color w:val="202124"/>
          <w:sz w:val="36"/>
          <w:szCs w:val="36"/>
        </w:rPr>
        <w:fldChar w:fldCharType="separate"/>
      </w:r>
      <w:r w:rsidRPr="00ED0B55">
        <w:rPr>
          <w:noProof/>
          <w:color w:val="202124"/>
          <w:sz w:val="36"/>
          <w:szCs w:val="36"/>
        </w:rPr>
        <w:drawing>
          <wp:inline distT="0" distB="0" distL="0" distR="0" wp14:anchorId="39C1B0F0" wp14:editId="56ADB26A">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ED0B55">
        <w:rPr>
          <w:color w:val="202124"/>
          <w:sz w:val="36"/>
          <w:szCs w:val="36"/>
        </w:rPr>
        <w:fldChar w:fldCharType="end"/>
      </w:r>
    </w:p>
    <w:p w:rsidR="00B97B22" w:rsidRPr="00ED0B55" w:rsidRDefault="00B97B22" w:rsidP="00B97B22">
      <w:pPr>
        <w:rPr>
          <w:bCs/>
          <w:sz w:val="36"/>
          <w:szCs w:val="36"/>
        </w:rPr>
      </w:pPr>
      <w:r w:rsidRPr="00ED0B55">
        <w:rPr>
          <w:bCs/>
          <w:sz w:val="36"/>
          <w:szCs w:val="36"/>
        </w:rPr>
        <w:t>Name of the Student: Alessandro Tassi</w:t>
      </w:r>
    </w:p>
    <w:p w:rsidR="00B97B22" w:rsidRPr="00ED0B55" w:rsidRDefault="00B97B22" w:rsidP="00B97B22">
      <w:pPr>
        <w:rPr>
          <w:bCs/>
          <w:sz w:val="36"/>
          <w:szCs w:val="36"/>
        </w:rPr>
      </w:pPr>
      <w:r w:rsidRPr="00ED0B55">
        <w:rPr>
          <w:bCs/>
          <w:sz w:val="36"/>
          <w:szCs w:val="36"/>
        </w:rPr>
        <w:t>Student Number:</w:t>
      </w:r>
      <w:r w:rsidRPr="00ED0B55">
        <w:rPr>
          <w:sz w:val="36"/>
          <w:szCs w:val="36"/>
        </w:rPr>
        <w:t xml:space="preserve"> </w:t>
      </w:r>
      <w:r w:rsidRPr="00ED0B55">
        <w:rPr>
          <w:bCs/>
          <w:sz w:val="36"/>
          <w:szCs w:val="36"/>
        </w:rPr>
        <w:t>1917573</w:t>
      </w:r>
    </w:p>
    <w:p w:rsidR="00B97B22" w:rsidRPr="00ED0B55" w:rsidRDefault="00B97B22" w:rsidP="00B97B22">
      <w:pPr>
        <w:rPr>
          <w:sz w:val="36"/>
          <w:szCs w:val="36"/>
        </w:rPr>
      </w:pPr>
      <w:r w:rsidRPr="00ED0B55">
        <w:rPr>
          <w:bCs/>
          <w:sz w:val="36"/>
          <w:szCs w:val="36"/>
        </w:rPr>
        <w:t xml:space="preserve">Module Title: </w:t>
      </w:r>
      <w:r>
        <w:rPr>
          <w:sz w:val="36"/>
          <w:szCs w:val="36"/>
        </w:rPr>
        <w:t xml:space="preserve">Management Accounting </w:t>
      </w:r>
    </w:p>
    <w:p w:rsidR="00B97B22" w:rsidRPr="00FA697B" w:rsidRDefault="00B97B22" w:rsidP="00B97B22">
      <w:pPr>
        <w:rPr>
          <w:sz w:val="24"/>
          <w:szCs w:val="24"/>
          <w:lang w:val="en-GB" w:eastAsia="it-IT"/>
        </w:rPr>
      </w:pPr>
      <w:r w:rsidRPr="00ED0B55">
        <w:rPr>
          <w:bCs/>
          <w:sz w:val="36"/>
          <w:szCs w:val="36"/>
        </w:rPr>
        <w:t xml:space="preserve">Assignment Title: </w:t>
      </w:r>
      <w:r w:rsidRPr="00FA697B">
        <w:rPr>
          <w:bCs/>
          <w:sz w:val="36"/>
          <w:szCs w:val="36"/>
        </w:rPr>
        <w:t>Assignment 2 Report</w:t>
      </w:r>
      <w:r w:rsidRPr="00FA697B">
        <w:rPr>
          <w:sz w:val="24"/>
          <w:szCs w:val="24"/>
          <w:lang w:val="en-GB" w:eastAsia="it-IT"/>
        </w:rPr>
        <w:t xml:space="preserve"> </w:t>
      </w:r>
    </w:p>
    <w:p w:rsidR="00B97B22" w:rsidRPr="00ED0B55" w:rsidRDefault="00B97B22" w:rsidP="00B97B22">
      <w:pPr>
        <w:rPr>
          <w:bCs/>
          <w:sz w:val="36"/>
          <w:szCs w:val="36"/>
        </w:rPr>
      </w:pPr>
      <w:r w:rsidRPr="00ED0B55">
        <w:rPr>
          <w:bCs/>
          <w:sz w:val="36"/>
          <w:szCs w:val="36"/>
        </w:rPr>
        <w:t>Word count:</w:t>
      </w:r>
      <w:r>
        <w:rPr>
          <w:bCs/>
          <w:sz w:val="36"/>
          <w:szCs w:val="36"/>
        </w:rPr>
        <w:t xml:space="preserve"> 2500</w:t>
      </w:r>
      <w:r w:rsidRPr="00ED0B55">
        <w:rPr>
          <w:bCs/>
          <w:sz w:val="36"/>
          <w:szCs w:val="36"/>
        </w:rPr>
        <w:t xml:space="preserve"> words</w:t>
      </w:r>
    </w:p>
    <w:p w:rsidR="00B97B22" w:rsidRPr="00FA697B" w:rsidRDefault="00B97B22" w:rsidP="00B97B22">
      <w:pPr>
        <w:rPr>
          <w:sz w:val="24"/>
          <w:szCs w:val="24"/>
          <w:lang w:val="en-GB" w:eastAsia="it-IT"/>
        </w:rPr>
      </w:pPr>
      <w:r w:rsidRPr="00ED0B55">
        <w:rPr>
          <w:bCs/>
          <w:sz w:val="36"/>
          <w:szCs w:val="36"/>
        </w:rPr>
        <w:t xml:space="preserve">Module code: </w:t>
      </w:r>
      <w:r w:rsidRPr="00FA697B">
        <w:rPr>
          <w:bCs/>
          <w:sz w:val="36"/>
          <w:szCs w:val="36"/>
        </w:rPr>
        <w:t xml:space="preserve">LCBB5002 </w:t>
      </w:r>
    </w:p>
    <w:p w:rsidR="009B71A9" w:rsidRPr="00966EF2" w:rsidRDefault="009B71A9">
      <w:pPr>
        <w:pStyle w:val="Titolo"/>
        <w:spacing w:line="429" w:lineRule="auto"/>
        <w:rPr>
          <w:sz w:val="24"/>
          <w:szCs w:val="24"/>
        </w:rPr>
      </w:pPr>
      <w:bookmarkStart w:id="0" w:name="_GoBack"/>
      <w:bookmarkEnd w:id="0"/>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pPr>
        <w:pStyle w:val="Titolo3"/>
        <w:spacing w:before="60"/>
        <w:jc w:val="both"/>
      </w:pPr>
    </w:p>
    <w:p w:rsidR="009B71A9" w:rsidRPr="00966EF2" w:rsidRDefault="009B71A9" w:rsidP="009B71A9">
      <w:pPr>
        <w:pStyle w:val="Titolo3"/>
        <w:spacing w:before="60"/>
        <w:ind w:left="0"/>
        <w:jc w:val="both"/>
      </w:pPr>
    </w:p>
    <w:p w:rsidR="00054FD0" w:rsidRPr="00966EF2" w:rsidRDefault="009C3352" w:rsidP="002B6DC0">
      <w:pPr>
        <w:pStyle w:val="Titolo3"/>
        <w:spacing w:before="60" w:line="480" w:lineRule="auto"/>
        <w:jc w:val="both"/>
      </w:pPr>
      <w:r w:rsidRPr="00966EF2">
        <w:t>Executive</w:t>
      </w:r>
      <w:r w:rsidRPr="00966EF2">
        <w:rPr>
          <w:spacing w:val="-4"/>
        </w:rPr>
        <w:t xml:space="preserve"> </w:t>
      </w:r>
      <w:r w:rsidRPr="00966EF2">
        <w:t>Summary</w:t>
      </w:r>
    </w:p>
    <w:p w:rsidR="00966EF2" w:rsidRPr="00966EF2" w:rsidRDefault="00966EF2" w:rsidP="00966EF2">
      <w:pPr>
        <w:pStyle w:val="Corpotesto"/>
        <w:spacing w:line="480" w:lineRule="auto"/>
        <w:ind w:right="121" w:firstLine="499"/>
        <w:jc w:val="both"/>
      </w:pPr>
      <w:r w:rsidRPr="00966EF2">
        <w:t xml:space="preserve">Management accounting is a type of accounting in which leaders assess their present condition in terms of their budget and actual costs to view the whole picture of their business before making any managerial decision (Dlamini and Schutte, 2021). It is also the method and discipline of monitoring and reporting concerning company operations through recognizing, evaluating, investigating, interpreting, and interacting financial information to </w:t>
      </w:r>
      <w:r w:rsidR="004469BF">
        <w:t xml:space="preserve">the </w:t>
      </w:r>
      <w:r w:rsidRPr="00966EF2">
        <w:t>managers and shareholders to make short- and long-term decisions critical to company development. It specializes in quantitative and non-quantitative data, with the primary goal of providing managers with important information for approach and strategy creation.</w:t>
      </w:r>
    </w:p>
    <w:p w:rsidR="00054FD0" w:rsidRPr="00966EF2" w:rsidRDefault="00966EF2" w:rsidP="00966EF2">
      <w:pPr>
        <w:pStyle w:val="Corpotesto"/>
        <w:spacing w:line="480" w:lineRule="auto"/>
        <w:ind w:right="121" w:firstLine="499"/>
        <w:jc w:val="both"/>
      </w:pPr>
      <w:r w:rsidRPr="00966EF2">
        <w:t xml:space="preserve">In this paper, we examine Mr. Amana's tourism business, including the initial budget, flexible budget, actual costs, and their deviations. An analysis will be undertaken in the first portion of the paper. A complete report derived from the study will be created later, including some possible recommendations for Mr. Amana. Throughout the second half of the study, a full analysis of Mr. Amana's choice to engage in internet business will be provided, </w:t>
      </w:r>
      <w:proofErr w:type="gramStart"/>
      <w:r w:rsidRPr="00966EF2">
        <w:t>taking into account</w:t>
      </w:r>
      <w:proofErr w:type="gramEnd"/>
      <w:r w:rsidRPr="00966EF2">
        <w:t xml:space="preserve"> the relevant costs of doing so</w:t>
      </w:r>
      <w:r w:rsidR="009C3352" w:rsidRPr="00966EF2">
        <w:t>.</w:t>
      </w:r>
    </w:p>
    <w:p w:rsidR="00054FD0" w:rsidRPr="00966EF2" w:rsidRDefault="009C3352" w:rsidP="002B6DC0">
      <w:pPr>
        <w:pStyle w:val="Titolo1"/>
        <w:spacing w:line="480" w:lineRule="auto"/>
        <w:rPr>
          <w:sz w:val="24"/>
          <w:szCs w:val="24"/>
        </w:rPr>
      </w:pPr>
      <w:bookmarkStart w:id="1" w:name="Introduction"/>
      <w:bookmarkStart w:id="2" w:name="_bookmark0"/>
      <w:bookmarkEnd w:id="1"/>
      <w:bookmarkEnd w:id="2"/>
      <w:r w:rsidRPr="00966EF2">
        <w:rPr>
          <w:sz w:val="24"/>
          <w:szCs w:val="24"/>
        </w:rPr>
        <w:t>Introduction</w:t>
      </w:r>
    </w:p>
    <w:p w:rsidR="00054FD0" w:rsidRPr="00966EF2" w:rsidRDefault="00966EF2" w:rsidP="00232C60">
      <w:pPr>
        <w:pStyle w:val="Corpotesto"/>
        <w:spacing w:before="183" w:line="480" w:lineRule="auto"/>
        <w:ind w:left="90" w:right="123" w:firstLine="499"/>
        <w:sectPr w:rsidR="00054FD0" w:rsidRPr="00966EF2">
          <w:headerReference w:type="default" r:id="rId8"/>
          <w:footerReference w:type="default" r:id="rId9"/>
          <w:pgSz w:w="12240" w:h="15840"/>
          <w:pgMar w:top="1500" w:right="1320" w:bottom="280" w:left="1220" w:header="720" w:footer="720" w:gutter="0"/>
          <w:cols w:space="720"/>
        </w:sectPr>
      </w:pPr>
      <w:r w:rsidRPr="00966EF2">
        <w:t xml:space="preserve">Mr. Amana is an English tourist businessman who has had several challenges in managing his business due to the COVID crisis (Bartik et al., 2020). They do business thru the physical store and use their website as a means of communication. Companies have supplied a budget </w:t>
      </w:r>
      <w:r w:rsidRPr="00966EF2">
        <w:lastRenderedPageBreak/>
        <w:t>breakdown of their costs. Let's look at his company's variance analysis, considering the initial "budget, the flexible budget, and the actual cost</w:t>
      </w:r>
      <w:r w:rsidR="00216FAF" w:rsidRPr="00966EF2">
        <w:t>"</w:t>
      </w:r>
      <w:r w:rsidR="009C3352" w:rsidRPr="00966EF2">
        <w:t>.</w:t>
      </w:r>
    </w:p>
    <w:p w:rsidR="00273AA6" w:rsidRPr="00966EF2" w:rsidRDefault="00273AA6" w:rsidP="00273AA6">
      <w:pPr>
        <w:pStyle w:val="Titolo1"/>
        <w:spacing w:before="241"/>
        <w:ind w:left="0"/>
        <w:rPr>
          <w:sz w:val="24"/>
          <w:szCs w:val="24"/>
        </w:rPr>
      </w:pPr>
      <w:bookmarkStart w:id="3" w:name="Part_A"/>
      <w:bookmarkStart w:id="4" w:name="_bookmark1"/>
      <w:bookmarkEnd w:id="3"/>
      <w:bookmarkEnd w:id="4"/>
    </w:p>
    <w:p w:rsidR="00054FD0" w:rsidRPr="00966EF2" w:rsidRDefault="009C3352" w:rsidP="00273AA6">
      <w:pPr>
        <w:pStyle w:val="Titolo1"/>
        <w:spacing w:before="241"/>
        <w:jc w:val="center"/>
        <w:rPr>
          <w:sz w:val="24"/>
          <w:szCs w:val="24"/>
        </w:rPr>
      </w:pPr>
      <w:r w:rsidRPr="00966EF2">
        <w:rPr>
          <w:sz w:val="24"/>
          <w:szCs w:val="24"/>
        </w:rPr>
        <w:t>Part</w:t>
      </w:r>
      <w:r w:rsidRPr="00966EF2">
        <w:rPr>
          <w:spacing w:val="-19"/>
          <w:sz w:val="24"/>
          <w:szCs w:val="24"/>
        </w:rPr>
        <w:t xml:space="preserve"> </w:t>
      </w:r>
      <w:r w:rsidRPr="00966EF2">
        <w:rPr>
          <w:sz w:val="24"/>
          <w:szCs w:val="24"/>
        </w:rPr>
        <w:t>A</w:t>
      </w:r>
    </w:p>
    <w:p w:rsidR="0043459D" w:rsidRPr="00966EF2" w:rsidRDefault="009C3352" w:rsidP="0043459D">
      <w:pPr>
        <w:pStyle w:val="Titolo2"/>
        <w:spacing w:before="224"/>
        <w:jc w:val="center"/>
        <w:rPr>
          <w:sz w:val="24"/>
          <w:szCs w:val="24"/>
        </w:rPr>
      </w:pPr>
      <w:bookmarkStart w:id="5" w:name="Requirement_1"/>
      <w:bookmarkStart w:id="6" w:name="_bookmark2"/>
      <w:bookmarkEnd w:id="5"/>
      <w:bookmarkEnd w:id="6"/>
      <w:r w:rsidRPr="00966EF2">
        <w:rPr>
          <w:sz w:val="24"/>
          <w:szCs w:val="24"/>
        </w:rPr>
        <w:t>Requirement</w:t>
      </w:r>
      <w:r w:rsidRPr="00966EF2">
        <w:rPr>
          <w:spacing w:val="-5"/>
          <w:sz w:val="24"/>
          <w:szCs w:val="24"/>
        </w:rPr>
        <w:t xml:space="preserve"> </w:t>
      </w:r>
      <w:r w:rsidR="000A3646" w:rsidRPr="00966EF2">
        <w:rPr>
          <w:sz w:val="24"/>
          <w:szCs w:val="24"/>
        </w:rPr>
        <w:t>I</w:t>
      </w:r>
    </w:p>
    <w:p w:rsidR="00273AA6" w:rsidRPr="00966EF2" w:rsidRDefault="000A3646" w:rsidP="0043459D">
      <w:pPr>
        <w:pStyle w:val="Titolo2"/>
        <w:spacing w:before="224"/>
        <w:jc w:val="center"/>
        <w:rPr>
          <w:sz w:val="24"/>
          <w:szCs w:val="24"/>
        </w:rPr>
      </w:pPr>
      <w:r w:rsidRPr="00966EF2">
        <w:rPr>
          <w:noProof/>
        </w:rPr>
        <w:drawing>
          <wp:anchor distT="0" distB="0" distL="114300" distR="114300" simplePos="0" relativeHeight="251658240" behindDoc="0" locked="0" layoutInCell="1" allowOverlap="1" wp14:anchorId="5A51B7F6" wp14:editId="0C0B2C37">
            <wp:simplePos x="0" y="0"/>
            <wp:positionH relativeFrom="column">
              <wp:posOffset>-52070</wp:posOffset>
            </wp:positionH>
            <wp:positionV relativeFrom="paragraph">
              <wp:posOffset>307340</wp:posOffset>
            </wp:positionV>
            <wp:extent cx="6159500" cy="39528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9500" cy="3952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A3646" w:rsidRPr="00966EF2" w:rsidRDefault="000A3646" w:rsidP="000A3646">
      <w:pPr>
        <w:pStyle w:val="Titolo2"/>
        <w:spacing w:before="224"/>
        <w:jc w:val="center"/>
        <w:rPr>
          <w:sz w:val="24"/>
          <w:szCs w:val="24"/>
        </w:rPr>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273AA6" w:rsidRPr="00966EF2" w:rsidRDefault="00273AA6">
      <w:pPr>
        <w:pStyle w:val="Corpotesto"/>
        <w:spacing w:line="274" w:lineRule="exact"/>
      </w:pPr>
    </w:p>
    <w:p w:rsidR="00054FD0" w:rsidRPr="00966EF2" w:rsidRDefault="000A3646" w:rsidP="002B6DC0">
      <w:pPr>
        <w:pStyle w:val="Corpotesto"/>
        <w:spacing w:line="480" w:lineRule="auto"/>
      </w:pPr>
      <w:r w:rsidRPr="00966EF2">
        <w:t>F indicates</w:t>
      </w:r>
      <w:r w:rsidR="009C3352" w:rsidRPr="00966EF2">
        <w:rPr>
          <w:spacing w:val="-1"/>
        </w:rPr>
        <w:t xml:space="preserve"> </w:t>
      </w:r>
      <w:r w:rsidR="009C3352" w:rsidRPr="00966EF2">
        <w:t>Favorable</w:t>
      </w:r>
      <w:r w:rsidRPr="00966EF2">
        <w:t xml:space="preserve"> and U is </w:t>
      </w:r>
      <w:r w:rsidR="009C3352" w:rsidRPr="00966EF2">
        <w:t>Unfavorable</w:t>
      </w:r>
      <w:r w:rsidRPr="00966EF2">
        <w:t>.</w:t>
      </w:r>
    </w:p>
    <w:p w:rsidR="00054FD0" w:rsidRPr="00966EF2" w:rsidRDefault="000A3646" w:rsidP="002B6DC0">
      <w:pPr>
        <w:pStyle w:val="Titolo3"/>
        <w:spacing w:line="480" w:lineRule="auto"/>
      </w:pPr>
      <w:r w:rsidRPr="00966EF2">
        <w:t>Working</w:t>
      </w:r>
      <w:r w:rsidR="009C3352" w:rsidRPr="00966EF2">
        <w:rPr>
          <w:spacing w:val="-2"/>
        </w:rPr>
        <w:t xml:space="preserve"> </w:t>
      </w:r>
      <w:r w:rsidR="009C3352" w:rsidRPr="00966EF2">
        <w:t>1:</w:t>
      </w:r>
      <w:r w:rsidR="009C3352" w:rsidRPr="00966EF2">
        <w:rPr>
          <w:spacing w:val="-1"/>
        </w:rPr>
        <w:t xml:space="preserve"> </w:t>
      </w:r>
    </w:p>
    <w:p w:rsidR="009B71A9" w:rsidRPr="00966EF2" w:rsidRDefault="009C3352" w:rsidP="002B6DC0">
      <w:pPr>
        <w:pStyle w:val="Corpotesto"/>
        <w:spacing w:line="480" w:lineRule="auto"/>
      </w:pPr>
      <w:r w:rsidRPr="00966EF2">
        <w:t>Original</w:t>
      </w:r>
      <w:r w:rsidRPr="00966EF2">
        <w:rPr>
          <w:spacing w:val="-2"/>
        </w:rPr>
        <w:t xml:space="preserve"> </w:t>
      </w:r>
      <w:r w:rsidRPr="00966EF2">
        <w:t>budget</w:t>
      </w:r>
      <w:r w:rsidRPr="00966EF2">
        <w:rPr>
          <w:spacing w:val="1"/>
        </w:rPr>
        <w:t xml:space="preserve"> </w:t>
      </w:r>
      <w:r w:rsidRPr="00966EF2">
        <w:t>=</w:t>
      </w:r>
      <w:r w:rsidRPr="00966EF2">
        <w:rPr>
          <w:spacing w:val="-2"/>
        </w:rPr>
        <w:t xml:space="preserve"> </w:t>
      </w:r>
      <w:r w:rsidR="000A3646" w:rsidRPr="00966EF2">
        <w:t>(</w:t>
      </w:r>
      <w:r w:rsidRPr="00966EF2">
        <w:t>2.50</w:t>
      </w:r>
      <w:r w:rsidR="000A3646" w:rsidRPr="00966EF2">
        <w:t xml:space="preserve"> x 100000</w:t>
      </w:r>
      <w:r w:rsidRPr="00966EF2">
        <w:t>)</w:t>
      </w:r>
      <w:r w:rsidRPr="00966EF2">
        <w:rPr>
          <w:spacing w:val="-1"/>
        </w:rPr>
        <w:t xml:space="preserve"> </w:t>
      </w:r>
      <w:r w:rsidRPr="00966EF2">
        <w:t>= 250,000.</w:t>
      </w:r>
    </w:p>
    <w:p w:rsidR="00054FD0" w:rsidRPr="00966EF2" w:rsidRDefault="009C3352" w:rsidP="002B6DC0">
      <w:pPr>
        <w:pStyle w:val="Corpotesto"/>
        <w:spacing w:before="60" w:line="480" w:lineRule="auto"/>
      </w:pPr>
      <w:r w:rsidRPr="00966EF2">
        <w:t>Flexible budget</w:t>
      </w:r>
      <w:r w:rsidRPr="00966EF2">
        <w:rPr>
          <w:spacing w:val="-2"/>
        </w:rPr>
        <w:t xml:space="preserve"> </w:t>
      </w:r>
      <w:r w:rsidR="000A3646" w:rsidRPr="00966EF2">
        <w:t>= (</w:t>
      </w:r>
      <w:r w:rsidRPr="00966EF2">
        <w:t>2.50</w:t>
      </w:r>
      <w:r w:rsidR="000A3646" w:rsidRPr="00966EF2">
        <w:t xml:space="preserve"> x 80000</w:t>
      </w:r>
      <w:r w:rsidRPr="00966EF2">
        <w:t>)</w:t>
      </w:r>
      <w:r w:rsidRPr="00966EF2">
        <w:rPr>
          <w:spacing w:val="-1"/>
        </w:rPr>
        <w:t xml:space="preserve"> </w:t>
      </w:r>
      <w:r w:rsidRPr="00966EF2">
        <w:t>=</w:t>
      </w:r>
      <w:r w:rsidRPr="00966EF2">
        <w:rPr>
          <w:spacing w:val="-3"/>
        </w:rPr>
        <w:t xml:space="preserve"> </w:t>
      </w:r>
      <w:r w:rsidRPr="00966EF2">
        <w:t>200,000.</w:t>
      </w:r>
    </w:p>
    <w:p w:rsidR="00054FD0" w:rsidRPr="00966EF2" w:rsidRDefault="000A3646" w:rsidP="002B6DC0">
      <w:pPr>
        <w:pStyle w:val="Titolo3"/>
        <w:spacing w:line="480" w:lineRule="auto"/>
      </w:pPr>
      <w:r w:rsidRPr="00966EF2">
        <w:t>Working</w:t>
      </w:r>
      <w:r w:rsidR="009C3352" w:rsidRPr="00966EF2">
        <w:rPr>
          <w:spacing w:val="-2"/>
        </w:rPr>
        <w:t xml:space="preserve"> </w:t>
      </w:r>
      <w:r w:rsidR="009C3352" w:rsidRPr="00966EF2">
        <w:t>2:</w:t>
      </w:r>
      <w:r w:rsidR="009C3352" w:rsidRPr="00966EF2">
        <w:rPr>
          <w:spacing w:val="-1"/>
        </w:rPr>
        <w:t xml:space="preserve"> </w:t>
      </w:r>
    </w:p>
    <w:p w:rsidR="000A3646" w:rsidRPr="00966EF2" w:rsidRDefault="009C3352" w:rsidP="002B6DC0">
      <w:pPr>
        <w:pStyle w:val="Corpotesto"/>
        <w:spacing w:line="480" w:lineRule="auto"/>
        <w:ind w:right="70"/>
        <w:rPr>
          <w:spacing w:val="-57"/>
        </w:rPr>
      </w:pPr>
      <w:r w:rsidRPr="00966EF2">
        <w:t>Original budget = (4</w:t>
      </w:r>
      <w:r w:rsidR="000A3646" w:rsidRPr="00966EF2">
        <w:t xml:space="preserve"> x 100000) = </w:t>
      </w:r>
      <w:r w:rsidRPr="00966EF2">
        <w:t>400,000.</w:t>
      </w:r>
    </w:p>
    <w:p w:rsidR="000A3646" w:rsidRPr="00966EF2" w:rsidRDefault="009C3352" w:rsidP="002B6DC0">
      <w:pPr>
        <w:pStyle w:val="Corpotesto"/>
        <w:spacing w:line="480" w:lineRule="auto"/>
        <w:ind w:right="70"/>
      </w:pPr>
      <w:r w:rsidRPr="00966EF2">
        <w:t>Flexible budget = (4</w:t>
      </w:r>
      <w:r w:rsidR="000A3646" w:rsidRPr="00966EF2">
        <w:t xml:space="preserve"> x 80000) = 320,000</w:t>
      </w:r>
    </w:p>
    <w:p w:rsidR="00054FD0" w:rsidRPr="00966EF2" w:rsidRDefault="009C3352" w:rsidP="002B6DC0">
      <w:pPr>
        <w:pStyle w:val="Corpotesto"/>
        <w:spacing w:line="480" w:lineRule="auto"/>
        <w:ind w:right="70"/>
        <w:rPr>
          <w:b/>
        </w:rPr>
      </w:pPr>
      <w:r w:rsidRPr="00966EF2">
        <w:rPr>
          <w:spacing w:val="1"/>
        </w:rPr>
        <w:t xml:space="preserve"> </w:t>
      </w:r>
      <w:r w:rsidR="000A3646" w:rsidRPr="00966EF2">
        <w:rPr>
          <w:b/>
        </w:rPr>
        <w:t>Working</w:t>
      </w:r>
      <w:r w:rsidRPr="00966EF2">
        <w:rPr>
          <w:b/>
          <w:spacing w:val="-2"/>
        </w:rPr>
        <w:t xml:space="preserve"> </w:t>
      </w:r>
      <w:r w:rsidRPr="00966EF2">
        <w:rPr>
          <w:b/>
        </w:rPr>
        <w:t xml:space="preserve">3: </w:t>
      </w:r>
    </w:p>
    <w:p w:rsidR="000A3646" w:rsidRPr="00966EF2" w:rsidRDefault="009C3352" w:rsidP="002B6DC0">
      <w:pPr>
        <w:pStyle w:val="Corpotesto"/>
        <w:spacing w:line="480" w:lineRule="auto"/>
        <w:ind w:right="-20"/>
      </w:pPr>
      <w:r w:rsidRPr="00966EF2">
        <w:lastRenderedPageBreak/>
        <w:t>Original budget = (1.50</w:t>
      </w:r>
      <w:r w:rsidR="000A3646" w:rsidRPr="00966EF2">
        <w:t xml:space="preserve"> x 100000) =150,000</w:t>
      </w:r>
    </w:p>
    <w:p w:rsidR="00054FD0" w:rsidRPr="00966EF2" w:rsidRDefault="009C3352" w:rsidP="000A3646">
      <w:pPr>
        <w:pStyle w:val="Corpotesto"/>
        <w:spacing w:line="499" w:lineRule="auto"/>
        <w:ind w:right="-20"/>
      </w:pPr>
      <w:r w:rsidRPr="00966EF2">
        <w:rPr>
          <w:spacing w:val="-57"/>
        </w:rPr>
        <w:t xml:space="preserve"> </w:t>
      </w:r>
      <w:r w:rsidRPr="00966EF2">
        <w:t>Flexible budget</w:t>
      </w:r>
      <w:r w:rsidRPr="00966EF2">
        <w:rPr>
          <w:spacing w:val="-2"/>
        </w:rPr>
        <w:t xml:space="preserve"> </w:t>
      </w:r>
      <w:r w:rsidRPr="00966EF2">
        <w:t>= (1.50</w:t>
      </w:r>
      <w:r w:rsidR="000A3646" w:rsidRPr="00966EF2">
        <w:t xml:space="preserve"> x 80000</w:t>
      </w:r>
      <w:r w:rsidRPr="00966EF2">
        <w:t>)</w:t>
      </w:r>
      <w:r w:rsidRPr="00966EF2">
        <w:rPr>
          <w:spacing w:val="-1"/>
        </w:rPr>
        <w:t xml:space="preserve"> </w:t>
      </w:r>
      <w:r w:rsidRPr="00966EF2">
        <w:t>=</w:t>
      </w:r>
      <w:r w:rsidRPr="00966EF2">
        <w:rPr>
          <w:spacing w:val="-2"/>
        </w:rPr>
        <w:t xml:space="preserve"> </w:t>
      </w:r>
      <w:r w:rsidR="000A3646" w:rsidRPr="00966EF2">
        <w:t>120,000</w:t>
      </w:r>
    </w:p>
    <w:p w:rsidR="00054FD0" w:rsidRPr="00966EF2" w:rsidRDefault="009C3352" w:rsidP="002B6DC0">
      <w:pPr>
        <w:pStyle w:val="Titolo2"/>
        <w:spacing w:before="0" w:line="480" w:lineRule="auto"/>
        <w:ind w:left="0"/>
        <w:jc w:val="center"/>
        <w:rPr>
          <w:sz w:val="24"/>
          <w:szCs w:val="24"/>
        </w:rPr>
      </w:pPr>
      <w:bookmarkStart w:id="7" w:name="Requirement_2"/>
      <w:bookmarkStart w:id="8" w:name="_bookmark3"/>
      <w:bookmarkEnd w:id="7"/>
      <w:bookmarkEnd w:id="8"/>
      <w:r w:rsidRPr="00966EF2">
        <w:rPr>
          <w:sz w:val="24"/>
          <w:szCs w:val="24"/>
        </w:rPr>
        <w:t>Requirement</w:t>
      </w:r>
      <w:r w:rsidRPr="00966EF2">
        <w:rPr>
          <w:spacing w:val="-5"/>
          <w:sz w:val="24"/>
          <w:szCs w:val="24"/>
        </w:rPr>
        <w:t xml:space="preserve"> </w:t>
      </w:r>
      <w:r w:rsidR="000A3646" w:rsidRPr="00966EF2">
        <w:rPr>
          <w:sz w:val="24"/>
          <w:szCs w:val="24"/>
        </w:rPr>
        <w:t>II</w:t>
      </w:r>
    </w:p>
    <w:p w:rsidR="00054FD0" w:rsidRPr="00966EF2" w:rsidRDefault="009C3352" w:rsidP="000C3106">
      <w:pPr>
        <w:pStyle w:val="Titolo3"/>
        <w:spacing w:before="162" w:line="480" w:lineRule="auto"/>
        <w:ind w:left="0"/>
        <w:jc w:val="center"/>
      </w:pPr>
      <w:r w:rsidRPr="00966EF2">
        <w:t>Variance</w:t>
      </w:r>
      <w:r w:rsidRPr="00966EF2">
        <w:rPr>
          <w:spacing w:val="-7"/>
        </w:rPr>
        <w:t xml:space="preserve"> </w:t>
      </w:r>
      <w:r w:rsidRPr="00966EF2">
        <w:t>analysis</w:t>
      </w:r>
    </w:p>
    <w:p w:rsidR="00966EF2" w:rsidRPr="00966EF2" w:rsidRDefault="00966EF2" w:rsidP="00966EF2">
      <w:pPr>
        <w:pStyle w:val="Corpotesto"/>
        <w:spacing w:before="160" w:line="480" w:lineRule="auto"/>
        <w:ind w:right="122" w:firstLine="499"/>
        <w:jc w:val="both"/>
      </w:pPr>
      <w:r w:rsidRPr="00966EF2">
        <w:t>A variety of criteria develop a variance analysis detailed reports for the tourist industry. According to Dopuch, Birnberg, and Demski (1967), cost variance analysis is critical in the tourist sector. It gives information for management cost control methods after providing data for costing. Anyone in a managerial position in the tourist industry or organization should set and stick to budgets that necessitate cost analysis to evaluate whether budget variants are worth investing time, money, and other assets in researching. These variance reports are useful for regularly assessing your sector's funding needs and determining if your sector is profitable or downsized in the next budget cycle (Wellever, 1982). Both are important to know when managing a department.</w:t>
      </w:r>
    </w:p>
    <w:p w:rsidR="00966EF2" w:rsidRPr="00966EF2" w:rsidRDefault="00966EF2" w:rsidP="00966EF2">
      <w:pPr>
        <w:pStyle w:val="Corpotesto"/>
        <w:spacing w:before="160" w:line="480" w:lineRule="auto"/>
        <w:ind w:right="122" w:firstLine="499"/>
        <w:jc w:val="both"/>
      </w:pPr>
      <w:r w:rsidRPr="00966EF2">
        <w:t xml:space="preserve"> Suppose you need to generate a variance report. In that case, you need to consider all the factors that can affect your current budget, such as Salary changes for new employees still in training, other long-term employees, equipment and inventory changes that can lead to cost discrepancies, efficiency changes due to process and norm changes, overtime due to pandemics and staff absenteeism, etc. (Tariq and Scherbak, 2021). Whenever examining budgets and variance analyses, any variances that fall outside of permissible bounds must be detected and probed as soon as possible to get back on track with the budget (Dempster, 2001). There will be less time for the administration to alter its procedures to go return on budget and decrease the influence of variables when several variables influence the budget building up monthly and variations are only examined quarterly.</w:t>
      </w:r>
    </w:p>
    <w:p w:rsidR="00966EF2" w:rsidRPr="00966EF2" w:rsidRDefault="00966EF2" w:rsidP="00966EF2">
      <w:pPr>
        <w:pStyle w:val="Corpotesto"/>
        <w:spacing w:before="160" w:line="480" w:lineRule="auto"/>
        <w:ind w:right="122" w:firstLine="499"/>
        <w:jc w:val="both"/>
      </w:pPr>
      <w:r w:rsidRPr="00966EF2">
        <w:lastRenderedPageBreak/>
        <w:t>We produced a monthly control analysis to assess the present state of this business that includes a static budget, a flexible budget, actual costs, and deviations in both activity and cost control. We analyze activity and expense control deviations to make suitable decisions, ensuring that no frivolous decisions are made. We could observe that activity and cost control variance are beneficial for Mr. Amana's business.</w:t>
      </w:r>
    </w:p>
    <w:p w:rsidR="00966EF2" w:rsidRPr="00966EF2" w:rsidRDefault="00966EF2" w:rsidP="00966EF2">
      <w:pPr>
        <w:pStyle w:val="Corpotesto"/>
        <w:spacing w:before="160" w:line="480" w:lineRule="auto"/>
        <w:ind w:right="122" w:firstLine="499"/>
        <w:jc w:val="both"/>
      </w:pPr>
      <w:r w:rsidRPr="00966EF2">
        <w:t>Variance analysis was done on both static and flexible budgets. The distinction between a static and a flexible budget denotes activity volatility (Finkler, 1985). Since the unit price is the sole variation between the two budgets (100,000 and 80,000), we modified the unit amount to examine the activity variation. We can infer that the variable expenditures have been lowered in every example of variable expense lower unit price. Even though overall fixed costs do not vary with adjustments in a unit (activity), fixed costs have risen due to a 20,000-unit fall in units sold in real activity (Nickolas, n.d.). As a result, fixed expenses per unit have risen.</w:t>
      </w:r>
    </w:p>
    <w:p w:rsidR="00966EF2" w:rsidRPr="00966EF2" w:rsidRDefault="00966EF2" w:rsidP="00966EF2">
      <w:pPr>
        <w:pStyle w:val="Corpotesto"/>
        <w:spacing w:before="160" w:line="480" w:lineRule="auto"/>
        <w:ind w:right="122" w:firstLine="499"/>
        <w:jc w:val="both"/>
      </w:pPr>
      <w:r w:rsidRPr="00966EF2">
        <w:t>In the bimonthly control report, we also ran a cost-control variance evaluation. Since it is irrational to compare actual costs to static budgets since the static budget employed a completely different unit quantity (100,000), but in fact, the unit was reduced (80,000) owing to the COVID circumstance (Yi et al., 2020). When we compared the actual cost to the static budget, we saw all the positive variations in the control report (Horngren et al., 2019).</w:t>
      </w:r>
    </w:p>
    <w:p w:rsidR="009B71A9" w:rsidRPr="00966EF2" w:rsidRDefault="00966EF2" w:rsidP="00966EF2">
      <w:pPr>
        <w:pStyle w:val="Corpotesto"/>
        <w:spacing w:before="160" w:line="480" w:lineRule="auto"/>
        <w:ind w:right="122" w:firstLine="499"/>
        <w:jc w:val="both"/>
      </w:pPr>
      <w:r w:rsidRPr="00966EF2">
        <w:t xml:space="preserve">As a result, we conducted a variance analysis for the flexible budget and the actual cost to resolve the cost variation. There is an adverse variation in materials, with 80,000 increases in real cost. Also, with the actual quantity sold, labor costs have climbed by 120,000. However, the building cost has been cut by 200,000 dollars. Throughout the case of fixed costs, we may also see a healthy budget. Although we understand that fixed costs did not alter as the units did. However, this firm has cut its fixed expenses by 45,000 dollars thanks to the shutdown. Rent was </w:t>
      </w:r>
      <w:r w:rsidRPr="00966EF2">
        <w:lastRenderedPageBreak/>
        <w:t>cut by 30,000 dollars, while 15,000 dollars cut the supervisor's compensation. Both occurred due to the lockdown; there were no more visitors. Therefore, there was no need to pay additional rent for the warehouses; in comparison, 15,000 dollars reduced the supervisor's compensation due to a loss in revenue. Because of the epidemic, material and labor costs have soared. We understand that practically all companies will remain closed in the year 2020. As a result, as they opened or operated their firm, they raised material and labor prices to compensate for their losses during COVID (OECD, 2020). The variable expenditures have grown as a result of this predicament, even though their unit sold remained less than the static budget</w:t>
      </w:r>
      <w:r w:rsidR="009C3352" w:rsidRPr="00966EF2">
        <w:t>.</w:t>
      </w:r>
    </w:p>
    <w:p w:rsidR="00054FD0" w:rsidRPr="00966EF2" w:rsidRDefault="009C3352" w:rsidP="002B6DC0">
      <w:pPr>
        <w:pStyle w:val="Titolo2"/>
        <w:jc w:val="center"/>
        <w:rPr>
          <w:sz w:val="24"/>
          <w:szCs w:val="24"/>
        </w:rPr>
      </w:pPr>
      <w:bookmarkStart w:id="9" w:name="Requirement_3"/>
      <w:bookmarkStart w:id="10" w:name="_bookmark4"/>
      <w:bookmarkEnd w:id="9"/>
      <w:bookmarkEnd w:id="10"/>
      <w:r w:rsidRPr="00966EF2">
        <w:rPr>
          <w:sz w:val="24"/>
          <w:szCs w:val="24"/>
        </w:rPr>
        <w:t>Requirement</w:t>
      </w:r>
      <w:r w:rsidRPr="00966EF2">
        <w:rPr>
          <w:spacing w:val="-5"/>
          <w:sz w:val="24"/>
          <w:szCs w:val="24"/>
        </w:rPr>
        <w:t xml:space="preserve"> </w:t>
      </w:r>
      <w:r w:rsidR="007F2C96" w:rsidRPr="00966EF2">
        <w:rPr>
          <w:sz w:val="24"/>
          <w:szCs w:val="24"/>
        </w:rPr>
        <w:t>III</w:t>
      </w:r>
    </w:p>
    <w:p w:rsidR="00054FD0" w:rsidRPr="00966EF2" w:rsidRDefault="009C3352" w:rsidP="002B6DC0">
      <w:pPr>
        <w:pStyle w:val="Titolo3"/>
        <w:spacing w:before="161"/>
        <w:jc w:val="center"/>
      </w:pPr>
      <w:r w:rsidRPr="00966EF2">
        <w:t>Recommendation</w:t>
      </w:r>
      <w:r w:rsidRPr="00966EF2">
        <w:rPr>
          <w:spacing w:val="-4"/>
        </w:rPr>
        <w:t xml:space="preserve"> </w:t>
      </w:r>
    </w:p>
    <w:p w:rsidR="00054FD0" w:rsidRPr="00966EF2" w:rsidRDefault="00054FD0">
      <w:pPr>
        <w:pStyle w:val="Corpotesto"/>
        <w:spacing w:before="11"/>
        <w:ind w:left="0"/>
        <w:rPr>
          <w:b/>
        </w:rPr>
      </w:pPr>
    </w:p>
    <w:p w:rsidR="009B71A9" w:rsidRPr="00966EF2" w:rsidRDefault="009B71A9">
      <w:pPr>
        <w:pStyle w:val="Titolo1"/>
        <w:spacing w:before="0"/>
        <w:rPr>
          <w:sz w:val="24"/>
          <w:szCs w:val="24"/>
        </w:rPr>
      </w:pPr>
    </w:p>
    <w:p w:rsidR="009B71A9" w:rsidRPr="00966EF2" w:rsidRDefault="009B71A9">
      <w:pPr>
        <w:pStyle w:val="Titolo1"/>
        <w:spacing w:before="0"/>
        <w:rPr>
          <w:sz w:val="24"/>
          <w:szCs w:val="24"/>
        </w:rPr>
      </w:pPr>
    </w:p>
    <w:p w:rsidR="00392426" w:rsidRDefault="00392426" w:rsidP="002B6DC0">
      <w:pPr>
        <w:pStyle w:val="Titolo1"/>
        <w:spacing w:before="0" w:line="480" w:lineRule="auto"/>
        <w:rPr>
          <w:b w:val="0"/>
          <w:sz w:val="24"/>
          <w:szCs w:val="24"/>
        </w:rPr>
      </w:pPr>
      <w:r w:rsidRPr="00392426">
        <w:rPr>
          <w:b w:val="0"/>
          <w:sz w:val="24"/>
          <w:szCs w:val="24"/>
        </w:rPr>
        <w:t>To boost Amanda's tourist sector's efficiency, regulatory reforms would be required to reduce uncertainty and minimize the cost of operations. These performance factors would be critical for business restructuring and destination revival. The division of opportunities to monitor among various departments, institutions, and federal agencies makes it difficult to build a coherent reform plan. The state's 2018 "Blueprint for Legislative Improvements to Boost business Landscape," for instance, could not go far enough in defining tourism-specific reforms. Furthermore, while the continuous public-private conversation is important, it fails to adequately incorporate all players in developing a shared vision for the industry.</w:t>
      </w:r>
    </w:p>
    <w:p w:rsidR="00392426" w:rsidRPr="00392426" w:rsidRDefault="00392426" w:rsidP="00392426">
      <w:pPr>
        <w:pStyle w:val="Titolo1"/>
        <w:spacing w:line="480" w:lineRule="auto"/>
        <w:rPr>
          <w:b w:val="0"/>
          <w:sz w:val="24"/>
          <w:szCs w:val="24"/>
        </w:rPr>
      </w:pPr>
      <w:r w:rsidRPr="00392426">
        <w:rPr>
          <w:b w:val="0"/>
          <w:sz w:val="24"/>
          <w:szCs w:val="24"/>
        </w:rPr>
        <w:t xml:space="preserve">Coronavirus is an unusual issue, and companies would need to respond in an unusual way to avert widespread layoffs. It also isn't optimal; numerous establishments will aggressively cut expenses at this period by adjusting senior executive pay, cutting working days, and rejecting unnecessary travel and expenditure. While this may not always be popular with employees, these adjustments </w:t>
      </w:r>
      <w:r w:rsidRPr="00392426">
        <w:rPr>
          <w:b w:val="0"/>
          <w:sz w:val="24"/>
          <w:szCs w:val="24"/>
        </w:rPr>
        <w:lastRenderedPageBreak/>
        <w:t>are eventually intended to safeguard them. Many companies also may feel compelled to postpone monthly payouts due in the coming months</w:t>
      </w:r>
      <w:r>
        <w:rPr>
          <w:b w:val="0"/>
          <w:sz w:val="24"/>
          <w:szCs w:val="24"/>
        </w:rPr>
        <w:t>.</w:t>
      </w:r>
    </w:p>
    <w:p w:rsidR="00392426" w:rsidRDefault="00392426" w:rsidP="002B6DC0">
      <w:pPr>
        <w:pStyle w:val="Titolo1"/>
        <w:spacing w:before="0" w:line="480" w:lineRule="auto"/>
        <w:rPr>
          <w:sz w:val="24"/>
          <w:szCs w:val="24"/>
        </w:rPr>
      </w:pPr>
    </w:p>
    <w:p w:rsidR="00054FD0" w:rsidRDefault="009C3352" w:rsidP="002B6DC0">
      <w:pPr>
        <w:pStyle w:val="Titolo1"/>
        <w:spacing w:before="0" w:line="480" w:lineRule="auto"/>
        <w:rPr>
          <w:sz w:val="24"/>
          <w:szCs w:val="24"/>
        </w:rPr>
      </w:pPr>
      <w:r w:rsidRPr="00966EF2">
        <w:rPr>
          <w:sz w:val="24"/>
          <w:szCs w:val="24"/>
        </w:rPr>
        <w:t>Conclusion</w:t>
      </w:r>
    </w:p>
    <w:p w:rsidR="00392426" w:rsidRPr="00392426" w:rsidRDefault="00392426" w:rsidP="002B6DC0">
      <w:pPr>
        <w:pStyle w:val="Titolo1"/>
        <w:spacing w:before="0" w:line="480" w:lineRule="auto"/>
        <w:rPr>
          <w:b w:val="0"/>
          <w:sz w:val="24"/>
          <w:szCs w:val="24"/>
        </w:rPr>
      </w:pPr>
      <w:r w:rsidRPr="00392426">
        <w:rPr>
          <w:b w:val="0"/>
          <w:sz w:val="24"/>
          <w:szCs w:val="24"/>
        </w:rPr>
        <w:t xml:space="preserve">Maintaining hourly compensation while shortening the workday or converting certain staff toward part-time employment could be a more appealing option. Although it's critical to safeguard your employees and keep them happy, it's equally critical to maximize labor allocation and estimate staffing demands depending on day-to-day fluctuations in company activity. Perhaps a one-day lowering in the labour week can save the 10%, and several employees will indeed commit to working part-time hour shifts if they realized could save </w:t>
      </w:r>
      <w:proofErr w:type="gramStart"/>
      <w:r w:rsidRPr="00392426">
        <w:rPr>
          <w:b w:val="0"/>
          <w:sz w:val="24"/>
          <w:szCs w:val="24"/>
        </w:rPr>
        <w:t>one‘</w:t>
      </w:r>
      <w:proofErr w:type="gramEnd"/>
      <w:r w:rsidRPr="00392426">
        <w:rPr>
          <w:b w:val="0"/>
          <w:sz w:val="24"/>
          <w:szCs w:val="24"/>
        </w:rPr>
        <w:t>s job (and then also give them time to search for additional work or family responsibilities). It may also be a great time to cross-train workers so that they can help out in other government agencies or responsibilities as required.</w:t>
      </w:r>
    </w:p>
    <w:p w:rsidR="00054FD0" w:rsidRPr="00966EF2" w:rsidRDefault="009C3352" w:rsidP="002B6DC0">
      <w:pPr>
        <w:pStyle w:val="Titolo1"/>
        <w:spacing w:line="480" w:lineRule="auto"/>
        <w:jc w:val="both"/>
        <w:rPr>
          <w:sz w:val="24"/>
          <w:szCs w:val="24"/>
        </w:rPr>
      </w:pPr>
      <w:bookmarkStart w:id="11" w:name="Part_B"/>
      <w:bookmarkStart w:id="12" w:name="_bookmark6"/>
      <w:bookmarkEnd w:id="11"/>
      <w:bookmarkEnd w:id="12"/>
      <w:r w:rsidRPr="00966EF2">
        <w:rPr>
          <w:sz w:val="24"/>
          <w:szCs w:val="24"/>
        </w:rPr>
        <w:t>Part</w:t>
      </w:r>
      <w:r w:rsidRPr="00966EF2">
        <w:rPr>
          <w:spacing w:val="-1"/>
          <w:sz w:val="24"/>
          <w:szCs w:val="24"/>
        </w:rPr>
        <w:t xml:space="preserve"> </w:t>
      </w:r>
      <w:r w:rsidRPr="00966EF2">
        <w:rPr>
          <w:sz w:val="24"/>
          <w:szCs w:val="24"/>
        </w:rPr>
        <w:t>B</w:t>
      </w:r>
    </w:p>
    <w:p w:rsidR="00054FD0" w:rsidRPr="00966EF2" w:rsidRDefault="00966EF2" w:rsidP="002B6DC0">
      <w:pPr>
        <w:pStyle w:val="Corpotesto"/>
        <w:spacing w:before="183" w:line="480" w:lineRule="auto"/>
        <w:ind w:right="121" w:firstLine="499"/>
        <w:jc w:val="both"/>
      </w:pPr>
      <w:r w:rsidRPr="00966EF2">
        <w:t>Following the epidemic, the tourist sector, like other industries, has considered alternative modes of operation. Competitors of this company have also shifted to using the internet to do business, either selling or marketing, to attract clients' attention. This company could also go online because it has two options. This group has a website; however, it is just used to contact people and not for anything else. As a result, the company may sell and market its items online through its e-commerce website or Amazon. Before actually deciding on one of the two possibilities, consider the costs and benefits of each</w:t>
      </w:r>
      <w:r w:rsidR="009C3352" w:rsidRPr="00966EF2">
        <w:t>.</w:t>
      </w:r>
    </w:p>
    <w:p w:rsidR="00054FD0" w:rsidRPr="00966EF2" w:rsidRDefault="009C3352" w:rsidP="002B6DC0">
      <w:pPr>
        <w:pStyle w:val="Titolo2"/>
        <w:spacing w:line="480" w:lineRule="auto"/>
        <w:jc w:val="both"/>
        <w:rPr>
          <w:sz w:val="24"/>
          <w:szCs w:val="24"/>
        </w:rPr>
      </w:pPr>
      <w:bookmarkStart w:id="13" w:name="Option_1"/>
      <w:bookmarkStart w:id="14" w:name="_bookmark7"/>
      <w:bookmarkEnd w:id="13"/>
      <w:bookmarkEnd w:id="14"/>
      <w:r w:rsidRPr="00966EF2">
        <w:rPr>
          <w:sz w:val="24"/>
          <w:szCs w:val="24"/>
        </w:rPr>
        <w:t>Option</w:t>
      </w:r>
      <w:r w:rsidRPr="00966EF2">
        <w:rPr>
          <w:spacing w:val="-1"/>
          <w:sz w:val="24"/>
          <w:szCs w:val="24"/>
        </w:rPr>
        <w:t xml:space="preserve"> </w:t>
      </w:r>
      <w:r w:rsidRPr="00966EF2">
        <w:rPr>
          <w:sz w:val="24"/>
          <w:szCs w:val="24"/>
        </w:rPr>
        <w:t>1</w:t>
      </w:r>
    </w:p>
    <w:p w:rsidR="000C3106" w:rsidRPr="00966EF2" w:rsidRDefault="00D41ED9" w:rsidP="00D41ED9">
      <w:pPr>
        <w:pStyle w:val="Corpotesto"/>
        <w:spacing w:before="161" w:line="480" w:lineRule="auto"/>
        <w:ind w:right="126" w:firstLine="499"/>
        <w:jc w:val="both"/>
      </w:pPr>
      <w:r w:rsidRPr="00966EF2">
        <w:t xml:space="preserve">If somehow the company intends to sell items through its own website, it will have to pay for delivery, network upgrades, as well as an IT programmer's salary in case of increase listed </w:t>
      </w:r>
      <w:r w:rsidRPr="00966EF2">
        <w:lastRenderedPageBreak/>
        <w:t>variable and fixed expenses</w:t>
      </w:r>
      <w:r w:rsidR="009C3352" w:rsidRPr="00966EF2">
        <w:t>.</w:t>
      </w:r>
    </w:p>
    <w:tbl>
      <w:tblPr>
        <w:tblW w:w="7140" w:type="dxa"/>
        <w:tblLook w:val="04A0" w:firstRow="1" w:lastRow="0" w:firstColumn="1" w:lastColumn="0" w:noHBand="0" w:noVBand="1"/>
      </w:tblPr>
      <w:tblGrid>
        <w:gridCol w:w="3420"/>
        <w:gridCol w:w="3720"/>
      </w:tblGrid>
      <w:tr w:rsidR="00966EF2" w:rsidRPr="00966EF2" w:rsidTr="00E64058">
        <w:trPr>
          <w:trHeight w:val="315"/>
        </w:trPr>
        <w:tc>
          <w:tcPr>
            <w:tcW w:w="3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b/>
                <w:bCs/>
                <w:sz w:val="24"/>
                <w:szCs w:val="24"/>
              </w:rPr>
            </w:pPr>
            <w:r w:rsidRPr="000C3106">
              <w:rPr>
                <w:b/>
                <w:bCs/>
                <w:sz w:val="24"/>
                <w:szCs w:val="24"/>
              </w:rPr>
              <w:t>Fixed costs</w:t>
            </w:r>
          </w:p>
        </w:tc>
        <w:tc>
          <w:tcPr>
            <w:tcW w:w="3720" w:type="dxa"/>
            <w:tcBorders>
              <w:top w:val="single" w:sz="4" w:space="0" w:color="auto"/>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b/>
                <w:bCs/>
                <w:sz w:val="24"/>
                <w:szCs w:val="24"/>
              </w:rPr>
            </w:pPr>
            <w:r w:rsidRPr="000C3106">
              <w:rPr>
                <w:b/>
                <w:bCs/>
                <w:sz w:val="24"/>
                <w:szCs w:val="24"/>
              </w:rPr>
              <w:t>Amount ($)</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Rent</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170000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Insurance</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100000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Salary for supervisor</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35000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salary for IT programmer</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35000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Cost to set up delivery network</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150000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Cost for upgrading the website</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50000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Total fixed cost</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jc w:val="center"/>
              <w:rPr>
                <w:sz w:val="24"/>
                <w:szCs w:val="24"/>
              </w:rPr>
            </w:pPr>
            <w:r w:rsidRPr="000C3106">
              <w:rPr>
                <w:sz w:val="24"/>
                <w:szCs w:val="24"/>
              </w:rPr>
              <w:t>540000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966EF2">
              <w:rPr>
                <w:sz w:val="24"/>
                <w:szCs w:val="24"/>
              </w:rPr>
              <w:t>Total</w:t>
            </w:r>
            <w:r w:rsidRPr="000C3106">
              <w:rPr>
                <w:sz w:val="24"/>
                <w:szCs w:val="24"/>
              </w:rPr>
              <w:t xml:space="preserve"> cost</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(100000 x 10.5) + 540000 = 1590000</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Total revenue</w:t>
            </w:r>
          </w:p>
        </w:tc>
        <w:tc>
          <w:tcPr>
            <w:tcW w:w="3720" w:type="dxa"/>
            <w:tcBorders>
              <w:top w:val="nil"/>
              <w:left w:val="nil"/>
              <w:bottom w:val="single" w:sz="4" w:space="0" w:color="auto"/>
              <w:right w:val="single" w:sz="4" w:space="0" w:color="auto"/>
            </w:tcBorders>
            <w:shd w:val="clear" w:color="auto" w:fill="auto"/>
            <w:noWrap/>
            <w:vAlign w:val="bottom"/>
            <w:hideMark/>
          </w:tcPr>
          <w:p w:rsidR="000C3106" w:rsidRPr="000C3106" w:rsidRDefault="000C3106" w:rsidP="000C3106">
            <w:pPr>
              <w:widowControl/>
              <w:autoSpaceDE/>
              <w:autoSpaceDN/>
              <w:rPr>
                <w:sz w:val="24"/>
                <w:szCs w:val="24"/>
              </w:rPr>
            </w:pPr>
            <w:r w:rsidRPr="000C3106">
              <w:rPr>
                <w:sz w:val="24"/>
                <w:szCs w:val="24"/>
              </w:rPr>
              <w:t>100000 x 20 = 2000000</w:t>
            </w:r>
          </w:p>
        </w:tc>
      </w:tr>
    </w:tbl>
    <w:p w:rsidR="000C3106" w:rsidRPr="00966EF2" w:rsidRDefault="000C3106" w:rsidP="00AA4100">
      <w:pPr>
        <w:pStyle w:val="Corpotesto"/>
        <w:spacing w:before="161" w:line="480" w:lineRule="auto"/>
        <w:ind w:left="0" w:right="126"/>
        <w:jc w:val="both"/>
      </w:pPr>
    </w:p>
    <w:p w:rsidR="00E64058" w:rsidRPr="00966EF2" w:rsidRDefault="009C3352" w:rsidP="0043459D">
      <w:pPr>
        <w:pStyle w:val="Corpotesto"/>
        <w:spacing w:before="160" w:line="480" w:lineRule="auto"/>
        <w:jc w:val="both"/>
        <w:rPr>
          <w:u w:val="single"/>
        </w:rPr>
      </w:pPr>
      <w:r w:rsidRPr="00966EF2">
        <w:rPr>
          <w:u w:val="single"/>
        </w:rPr>
        <w:t>Cost-benefit</w:t>
      </w:r>
      <w:r w:rsidRPr="00966EF2">
        <w:rPr>
          <w:spacing w:val="-4"/>
          <w:u w:val="single"/>
        </w:rPr>
        <w:t xml:space="preserve"> </w:t>
      </w:r>
      <w:r w:rsidRPr="00966EF2">
        <w:rPr>
          <w:u w:val="single"/>
        </w:rPr>
        <w:t>analysis</w:t>
      </w:r>
    </w:p>
    <w:tbl>
      <w:tblPr>
        <w:tblW w:w="6640" w:type="dxa"/>
        <w:tblInd w:w="93" w:type="dxa"/>
        <w:tblLook w:val="04A0" w:firstRow="1" w:lastRow="0" w:firstColumn="1" w:lastColumn="0" w:noHBand="0" w:noVBand="1"/>
      </w:tblPr>
      <w:tblGrid>
        <w:gridCol w:w="3420"/>
        <w:gridCol w:w="1960"/>
        <w:gridCol w:w="1260"/>
      </w:tblGrid>
      <w:tr w:rsidR="00966EF2" w:rsidRPr="00966EF2" w:rsidTr="00E64058">
        <w:trPr>
          <w:trHeight w:val="315"/>
        </w:trPr>
        <w:tc>
          <w:tcPr>
            <w:tcW w:w="3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b/>
                <w:bCs/>
                <w:sz w:val="24"/>
                <w:szCs w:val="24"/>
              </w:rPr>
            </w:pPr>
            <w:r w:rsidRPr="00E64058">
              <w:rPr>
                <w:b/>
                <w:bCs/>
                <w:sz w:val="24"/>
                <w:szCs w:val="24"/>
              </w:rPr>
              <w:t>Total variable costs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b/>
                <w:bCs/>
                <w:sz w:val="24"/>
                <w:szCs w:val="24"/>
              </w:rPr>
            </w:pPr>
            <w:r w:rsidRPr="00E64058">
              <w:rPr>
                <w:b/>
                <w:bCs/>
                <w:sz w:val="24"/>
                <w:szCs w:val="24"/>
              </w:rPr>
              <w:t>Calculation</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b/>
                <w:bCs/>
                <w:sz w:val="24"/>
                <w:szCs w:val="24"/>
              </w:rPr>
            </w:pPr>
            <w:r w:rsidRPr="00E64058">
              <w:rPr>
                <w:b/>
                <w:bCs/>
                <w:sz w:val="24"/>
                <w:szCs w:val="24"/>
              </w:rPr>
              <w:t>Amount ($)</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Materials</w:t>
            </w:r>
          </w:p>
        </w:tc>
        <w:tc>
          <w:tcPr>
            <w:tcW w:w="19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280 000 / 80 000</w:t>
            </w:r>
          </w:p>
        </w:tc>
        <w:tc>
          <w:tcPr>
            <w:tcW w:w="12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sz w:val="24"/>
                <w:szCs w:val="24"/>
              </w:rPr>
            </w:pPr>
            <w:r w:rsidRPr="00E64058">
              <w:rPr>
                <w:sz w:val="24"/>
                <w:szCs w:val="24"/>
              </w:rPr>
              <w:t>3.5</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sz w:val="24"/>
                <w:szCs w:val="24"/>
              </w:rPr>
            </w:pPr>
            <w:r w:rsidRPr="00E64058">
              <w:rPr>
                <w:sz w:val="24"/>
                <w:szCs w:val="24"/>
              </w:rPr>
              <w:t>Labour</w:t>
            </w:r>
          </w:p>
        </w:tc>
        <w:tc>
          <w:tcPr>
            <w:tcW w:w="19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440 000 / 80 000</w:t>
            </w:r>
          </w:p>
        </w:tc>
        <w:tc>
          <w:tcPr>
            <w:tcW w:w="12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sz w:val="24"/>
                <w:szCs w:val="24"/>
              </w:rPr>
            </w:pPr>
            <w:r w:rsidRPr="00E64058">
              <w:rPr>
                <w:sz w:val="24"/>
                <w:szCs w:val="24"/>
              </w:rPr>
              <w:t>5.5</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Overhead</w:t>
            </w:r>
          </w:p>
        </w:tc>
        <w:tc>
          <w:tcPr>
            <w:tcW w:w="19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120 000 / 80 000</w:t>
            </w:r>
          </w:p>
        </w:tc>
        <w:tc>
          <w:tcPr>
            <w:tcW w:w="12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sz w:val="24"/>
                <w:szCs w:val="24"/>
              </w:rPr>
            </w:pPr>
            <w:r w:rsidRPr="00E64058">
              <w:rPr>
                <w:sz w:val="24"/>
                <w:szCs w:val="24"/>
              </w:rPr>
              <w:t>1.5</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 </w:t>
            </w:r>
          </w:p>
        </w:tc>
        <w:tc>
          <w:tcPr>
            <w:tcW w:w="19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jc w:val="center"/>
              <w:rPr>
                <w:sz w:val="24"/>
                <w:szCs w:val="24"/>
              </w:rPr>
            </w:pPr>
            <w:r w:rsidRPr="00E64058">
              <w:rPr>
                <w:sz w:val="24"/>
                <w:szCs w:val="24"/>
              </w:rPr>
              <w:t> </w:t>
            </w:r>
          </w:p>
        </w:tc>
      </w:tr>
      <w:tr w:rsidR="00966EF2" w:rsidRPr="00966EF2" w:rsidTr="00E64058">
        <w:trPr>
          <w:trHeight w:val="315"/>
        </w:trPr>
        <w:tc>
          <w:tcPr>
            <w:tcW w:w="3420" w:type="dxa"/>
            <w:tcBorders>
              <w:top w:val="nil"/>
              <w:left w:val="single" w:sz="4" w:space="0" w:color="auto"/>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Total variable costs</w:t>
            </w:r>
          </w:p>
        </w:tc>
        <w:tc>
          <w:tcPr>
            <w:tcW w:w="1960" w:type="dxa"/>
            <w:tcBorders>
              <w:top w:val="nil"/>
              <w:left w:val="nil"/>
              <w:bottom w:val="single" w:sz="4" w:space="0" w:color="auto"/>
              <w:right w:val="single" w:sz="4" w:space="0" w:color="auto"/>
            </w:tcBorders>
            <w:shd w:val="clear" w:color="auto" w:fill="auto"/>
            <w:noWrap/>
            <w:vAlign w:val="bottom"/>
            <w:hideMark/>
          </w:tcPr>
          <w:p w:rsidR="00E64058" w:rsidRPr="00E64058" w:rsidRDefault="00E64058" w:rsidP="00E64058">
            <w:pPr>
              <w:widowControl/>
              <w:autoSpaceDE/>
              <w:autoSpaceDN/>
              <w:rPr>
                <w:sz w:val="24"/>
                <w:szCs w:val="24"/>
              </w:rPr>
            </w:pPr>
            <w:r w:rsidRPr="00E64058">
              <w:rPr>
                <w:sz w:val="24"/>
                <w:szCs w:val="24"/>
              </w:rPr>
              <w:t> </w:t>
            </w:r>
          </w:p>
        </w:tc>
        <w:tc>
          <w:tcPr>
            <w:tcW w:w="1260" w:type="dxa"/>
            <w:tcBorders>
              <w:top w:val="nil"/>
              <w:left w:val="nil"/>
              <w:bottom w:val="single" w:sz="4" w:space="0" w:color="auto"/>
              <w:right w:val="single" w:sz="4" w:space="0" w:color="auto"/>
            </w:tcBorders>
            <w:shd w:val="clear" w:color="000000" w:fill="FFFF00"/>
            <w:noWrap/>
            <w:vAlign w:val="bottom"/>
            <w:hideMark/>
          </w:tcPr>
          <w:p w:rsidR="00E64058" w:rsidRPr="00E64058" w:rsidRDefault="00E64058" w:rsidP="00E64058">
            <w:pPr>
              <w:widowControl/>
              <w:autoSpaceDE/>
              <w:autoSpaceDN/>
              <w:jc w:val="center"/>
              <w:rPr>
                <w:b/>
                <w:bCs/>
                <w:sz w:val="24"/>
                <w:szCs w:val="24"/>
              </w:rPr>
            </w:pPr>
            <w:r w:rsidRPr="00E64058">
              <w:rPr>
                <w:b/>
                <w:bCs/>
                <w:sz w:val="24"/>
                <w:szCs w:val="24"/>
              </w:rPr>
              <w:t>10.5</w:t>
            </w:r>
          </w:p>
        </w:tc>
      </w:tr>
    </w:tbl>
    <w:p w:rsidR="00E64058" w:rsidRPr="00966EF2" w:rsidRDefault="00E64058">
      <w:pPr>
        <w:pStyle w:val="Corpotesto"/>
        <w:spacing w:before="10"/>
        <w:ind w:left="0"/>
        <w:rPr>
          <w:b/>
        </w:rPr>
      </w:pPr>
    </w:p>
    <w:p w:rsidR="00054FD0" w:rsidRPr="00966EF2" w:rsidRDefault="00966EF2" w:rsidP="00AA4100">
      <w:pPr>
        <w:pStyle w:val="Corpotesto"/>
        <w:spacing w:before="160" w:line="360" w:lineRule="auto"/>
        <w:ind w:right="117" w:firstLine="499"/>
        <w:jc w:val="both"/>
      </w:pPr>
      <w:r w:rsidRPr="00966EF2">
        <w:t>Therefore, the cost is rather substantial when we examine the past fixed costs incorporated in the new internet firm. So, let's suppose that the rent and supervisor salaries are tied to the branches that would be closed. The fixed cost therefore becomes (1,590,000-170,000-35,000) = 1385,000. Hence, when all fixed costs are included, the overall benefit from this choice will be 410,000 (2000, 000-1590,000), and if wage and warehouse rent are included in, the benefit would be 615,000 (2000,000-1385,000</w:t>
      </w:r>
      <w:r w:rsidR="009C3352" w:rsidRPr="00966EF2">
        <w:t>).</w:t>
      </w:r>
    </w:p>
    <w:p w:rsidR="00054FD0" w:rsidRPr="00966EF2" w:rsidRDefault="009C3352">
      <w:pPr>
        <w:pStyle w:val="Corpotesto"/>
        <w:spacing w:before="160"/>
        <w:jc w:val="both"/>
      </w:pPr>
      <w:r w:rsidRPr="00966EF2">
        <w:rPr>
          <w:spacing w:val="-1"/>
          <w:u w:val="single"/>
        </w:rPr>
        <w:t>Cost-Volume-Profit</w:t>
      </w:r>
      <w:r w:rsidRPr="00966EF2">
        <w:rPr>
          <w:spacing w:val="-10"/>
          <w:u w:val="single"/>
        </w:rPr>
        <w:t xml:space="preserve"> </w:t>
      </w:r>
      <w:r w:rsidRPr="00966EF2">
        <w:rPr>
          <w:u w:val="single"/>
        </w:rPr>
        <w:t>analysis</w:t>
      </w:r>
    </w:p>
    <w:p w:rsidR="00054FD0" w:rsidRPr="00966EF2" w:rsidRDefault="00054FD0">
      <w:pPr>
        <w:pStyle w:val="Corpotesto"/>
        <w:spacing w:before="2"/>
        <w:ind w:left="0"/>
      </w:pPr>
    </w:p>
    <w:p w:rsidR="00054FD0" w:rsidRPr="00966EF2" w:rsidRDefault="00480B79" w:rsidP="00E64058">
      <w:pPr>
        <w:pStyle w:val="Corpotesto"/>
        <w:spacing w:before="90" w:line="360" w:lineRule="auto"/>
        <w:ind w:firstLine="499"/>
      </w:pPr>
      <w:r w:rsidRPr="00966EF2">
        <w:t>Now let us assume that rent and wage are connected to the cities of Brighton, Birmingham, and Manchester throughout this study. As a result, such expenditures will be removed from our CVP analysis</w:t>
      </w:r>
      <w:r w:rsidR="009C3352" w:rsidRPr="00966EF2">
        <w:t>.</w:t>
      </w:r>
    </w:p>
    <w:p w:rsidR="00480B79" w:rsidRPr="00966EF2" w:rsidRDefault="00480B79" w:rsidP="00E64058">
      <w:pPr>
        <w:pStyle w:val="Corpotesto"/>
        <w:spacing w:before="90" w:line="360" w:lineRule="auto"/>
        <w:ind w:firstLine="499"/>
      </w:pPr>
    </w:p>
    <w:p w:rsidR="00E64058" w:rsidRPr="00966EF2" w:rsidRDefault="00E64058" w:rsidP="0043459D">
      <w:pPr>
        <w:pStyle w:val="Corpotesto"/>
        <w:spacing w:before="90" w:line="360" w:lineRule="auto"/>
        <w:ind w:firstLine="499"/>
      </w:pPr>
    </w:p>
    <w:tbl>
      <w:tblPr>
        <w:tblStyle w:val="Grigliatabella"/>
        <w:tblW w:w="0" w:type="auto"/>
        <w:tblInd w:w="221" w:type="dxa"/>
        <w:tblLook w:val="04A0" w:firstRow="1" w:lastRow="0" w:firstColumn="1" w:lastColumn="0" w:noHBand="0" w:noVBand="1"/>
      </w:tblPr>
      <w:tblGrid>
        <w:gridCol w:w="4850"/>
        <w:gridCol w:w="4845"/>
      </w:tblGrid>
      <w:tr w:rsidR="00966EF2" w:rsidRPr="00966EF2" w:rsidTr="00E64058">
        <w:trPr>
          <w:trHeight w:val="318"/>
        </w:trPr>
        <w:tc>
          <w:tcPr>
            <w:tcW w:w="4958" w:type="dxa"/>
            <w:tcBorders>
              <w:bottom w:val="single" w:sz="4" w:space="0" w:color="000009"/>
            </w:tcBorders>
          </w:tcPr>
          <w:p w:rsidR="00E64058" w:rsidRPr="00966EF2" w:rsidRDefault="00E64058" w:rsidP="00E64058">
            <w:pPr>
              <w:pStyle w:val="Corpotesto"/>
              <w:spacing w:before="90" w:line="360" w:lineRule="auto"/>
              <w:ind w:left="0"/>
            </w:pPr>
            <w:r w:rsidRPr="00966EF2">
              <w:t>Total variable</w:t>
            </w:r>
          </w:p>
        </w:tc>
        <w:tc>
          <w:tcPr>
            <w:tcW w:w="4958" w:type="dxa"/>
            <w:tcBorders>
              <w:bottom w:val="single" w:sz="4" w:space="0" w:color="000009"/>
            </w:tcBorders>
          </w:tcPr>
          <w:p w:rsidR="00E64058" w:rsidRPr="00966EF2" w:rsidRDefault="00E64058" w:rsidP="00E64058">
            <w:pPr>
              <w:pStyle w:val="Corpotesto"/>
              <w:spacing w:before="90" w:line="360" w:lineRule="auto"/>
              <w:ind w:left="0"/>
            </w:pPr>
            <w:r w:rsidRPr="00966EF2">
              <w:t>10.5</w:t>
            </w:r>
          </w:p>
        </w:tc>
      </w:tr>
      <w:tr w:rsidR="00966EF2" w:rsidRPr="00966EF2" w:rsidTr="00E64058">
        <w:trPr>
          <w:trHeight w:val="236"/>
        </w:trPr>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Total fixed cost</w:t>
            </w:r>
          </w:p>
        </w:tc>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335000</w:t>
            </w:r>
          </w:p>
        </w:tc>
      </w:tr>
      <w:tr w:rsidR="00966EF2" w:rsidRPr="00966EF2" w:rsidTr="00E64058">
        <w:trPr>
          <w:trHeight w:val="251"/>
        </w:trPr>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 xml:space="preserve">Total selling price/unit </w:t>
            </w:r>
          </w:p>
        </w:tc>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20</w:t>
            </w:r>
          </w:p>
        </w:tc>
      </w:tr>
      <w:tr w:rsidR="00966EF2" w:rsidRPr="00966EF2" w:rsidTr="00E64058">
        <w:trPr>
          <w:trHeight w:val="219"/>
        </w:trPr>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 xml:space="preserve">BEP </w:t>
            </w:r>
          </w:p>
        </w:tc>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 xml:space="preserve">335000 / (20 – 10.5) = </w:t>
            </w:r>
            <w:r w:rsidRPr="00966EF2">
              <w:rPr>
                <w:b/>
              </w:rPr>
              <w:t>35 263 units</w:t>
            </w:r>
          </w:p>
        </w:tc>
      </w:tr>
      <w:tr w:rsidR="00966EF2" w:rsidRPr="00966EF2" w:rsidTr="00E64058">
        <w:trPr>
          <w:trHeight w:val="318"/>
        </w:trPr>
        <w:tc>
          <w:tcPr>
            <w:tcW w:w="4958" w:type="dxa"/>
            <w:tcBorders>
              <w:top w:val="single" w:sz="4" w:space="0" w:color="000009"/>
            </w:tcBorders>
          </w:tcPr>
          <w:p w:rsidR="00E64058" w:rsidRPr="00966EF2" w:rsidRDefault="00E64058" w:rsidP="00E64058">
            <w:pPr>
              <w:pStyle w:val="Corpotesto"/>
              <w:spacing w:before="90" w:line="360" w:lineRule="auto"/>
              <w:ind w:left="0"/>
            </w:pPr>
          </w:p>
        </w:tc>
        <w:tc>
          <w:tcPr>
            <w:tcW w:w="4958" w:type="dxa"/>
            <w:tcBorders>
              <w:top w:val="single" w:sz="4" w:space="0" w:color="000009"/>
            </w:tcBorders>
          </w:tcPr>
          <w:p w:rsidR="00E64058" w:rsidRPr="00966EF2" w:rsidRDefault="00E64058" w:rsidP="00E64058">
            <w:pPr>
              <w:pStyle w:val="Corpotesto"/>
              <w:spacing w:before="90" w:line="360" w:lineRule="auto"/>
              <w:ind w:left="0"/>
            </w:pPr>
          </w:p>
        </w:tc>
      </w:tr>
    </w:tbl>
    <w:p w:rsidR="00E64058" w:rsidRPr="00966EF2" w:rsidRDefault="00E64058" w:rsidP="00E64058">
      <w:pPr>
        <w:pStyle w:val="Corpotesto"/>
        <w:spacing w:before="90" w:line="360" w:lineRule="auto"/>
        <w:ind w:left="0"/>
      </w:pPr>
    </w:p>
    <w:p w:rsidR="00054FD0" w:rsidRPr="00966EF2" w:rsidRDefault="00054FD0">
      <w:pPr>
        <w:pStyle w:val="Corpotesto"/>
        <w:spacing w:before="11"/>
        <w:ind w:left="0"/>
      </w:pPr>
    </w:p>
    <w:p w:rsidR="00ED32EE" w:rsidRPr="00966EF2" w:rsidRDefault="00ED32EE" w:rsidP="0028144C">
      <w:pPr>
        <w:pStyle w:val="Corpotesto"/>
        <w:spacing w:line="360" w:lineRule="auto"/>
        <w:ind w:right="122"/>
        <w:jc w:val="both"/>
      </w:pPr>
      <w:r w:rsidRPr="00966EF2">
        <w:t xml:space="preserve">Hence, when Amana souvenir wants to cover its whole cost, it would have sold 35,263 copies, and we understand that when it goes online following conducting market research, it can sell 100,000 units every year. As a result, there is about 64 737 as the computation outcomes </w:t>
      </w:r>
      <w:r w:rsidR="00832BA4" w:rsidRPr="00966EF2">
        <w:t>of is</w:t>
      </w:r>
      <w:r w:rsidRPr="00966EF2">
        <w:t xml:space="preserve"> 64,737 (100,000-35,263) for the contribution margin unit, and the value is 615,000 (64,737*9.5). Option 1 highlights the following points</w:t>
      </w:r>
      <w:r w:rsidR="009C3352" w:rsidRPr="00966EF2">
        <w:t>:</w:t>
      </w:r>
    </w:p>
    <w:p w:rsidR="0028144C" w:rsidRPr="00966EF2" w:rsidRDefault="0028144C" w:rsidP="0028144C">
      <w:pPr>
        <w:pStyle w:val="Corpotesto"/>
        <w:numPr>
          <w:ilvl w:val="1"/>
          <w:numId w:val="3"/>
        </w:numPr>
        <w:tabs>
          <w:tab w:val="left" w:pos="720"/>
        </w:tabs>
        <w:spacing w:before="75" w:line="480" w:lineRule="auto"/>
        <w:ind w:left="990"/>
      </w:pPr>
      <w:r w:rsidRPr="00966EF2">
        <w:t>Based on the current market position, Amana Souvenirs can sell 100,000 pieces online whether it uses its own site.</w:t>
      </w:r>
    </w:p>
    <w:p w:rsidR="0028144C" w:rsidRPr="00966EF2" w:rsidRDefault="0028144C" w:rsidP="0028144C">
      <w:pPr>
        <w:pStyle w:val="Corpotesto"/>
        <w:numPr>
          <w:ilvl w:val="1"/>
          <w:numId w:val="3"/>
        </w:numPr>
        <w:tabs>
          <w:tab w:val="left" w:pos="720"/>
        </w:tabs>
        <w:spacing w:before="75" w:line="480" w:lineRule="auto"/>
        <w:ind w:left="990"/>
      </w:pPr>
      <w:r w:rsidRPr="00966EF2">
        <w:t>We didn't include payroll and rent charges in our cost-benefit analysis since Amana would close three of its locations if it launches its business on the internet, and we thought that such costs are tied to those three branches.</w:t>
      </w:r>
    </w:p>
    <w:p w:rsidR="00054FD0" w:rsidRPr="00966EF2" w:rsidRDefault="0028144C" w:rsidP="0028144C">
      <w:pPr>
        <w:pStyle w:val="Corpotesto"/>
        <w:numPr>
          <w:ilvl w:val="1"/>
          <w:numId w:val="3"/>
        </w:numPr>
        <w:tabs>
          <w:tab w:val="left" w:pos="720"/>
        </w:tabs>
        <w:spacing w:before="75" w:line="480" w:lineRule="auto"/>
        <w:ind w:left="990"/>
      </w:pPr>
      <w:r w:rsidRPr="00966EF2">
        <w:t>It could be observed that Amana could gain from this choice after addressing all of its expenditures by simply assuming the applicable charges</w:t>
      </w:r>
      <w:r w:rsidR="009C3352" w:rsidRPr="00966EF2">
        <w:t>.</w:t>
      </w:r>
    </w:p>
    <w:p w:rsidR="00054FD0" w:rsidRPr="00966EF2" w:rsidRDefault="00054FD0">
      <w:pPr>
        <w:pStyle w:val="Corpotesto"/>
        <w:spacing w:before="5"/>
        <w:ind w:left="0"/>
      </w:pPr>
    </w:p>
    <w:p w:rsidR="00E64058" w:rsidRPr="00966EF2" w:rsidRDefault="00E64058" w:rsidP="0028144C">
      <w:pPr>
        <w:pStyle w:val="Titolo2"/>
        <w:spacing w:before="0"/>
        <w:ind w:left="0"/>
        <w:jc w:val="both"/>
        <w:rPr>
          <w:sz w:val="24"/>
          <w:szCs w:val="24"/>
        </w:rPr>
      </w:pPr>
      <w:bookmarkStart w:id="15" w:name="Option_2"/>
      <w:bookmarkStart w:id="16" w:name="_bookmark8"/>
      <w:bookmarkEnd w:id="15"/>
      <w:bookmarkEnd w:id="16"/>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3E6150" w:rsidRPr="00966EF2" w:rsidRDefault="003E6150">
      <w:pPr>
        <w:pStyle w:val="Titolo2"/>
        <w:spacing w:before="0"/>
        <w:jc w:val="both"/>
        <w:rPr>
          <w:sz w:val="24"/>
          <w:szCs w:val="24"/>
        </w:rPr>
      </w:pPr>
    </w:p>
    <w:p w:rsidR="00556C39" w:rsidRPr="00966EF2" w:rsidRDefault="009C3352" w:rsidP="00556C39">
      <w:pPr>
        <w:pStyle w:val="Titolo2"/>
        <w:spacing w:before="0"/>
        <w:jc w:val="both"/>
        <w:rPr>
          <w:sz w:val="24"/>
          <w:szCs w:val="24"/>
        </w:rPr>
      </w:pPr>
      <w:r w:rsidRPr="00966EF2">
        <w:rPr>
          <w:sz w:val="24"/>
          <w:szCs w:val="24"/>
        </w:rPr>
        <w:t>Option</w:t>
      </w:r>
      <w:r w:rsidRPr="00966EF2">
        <w:rPr>
          <w:spacing w:val="-1"/>
          <w:sz w:val="24"/>
          <w:szCs w:val="24"/>
        </w:rPr>
        <w:t xml:space="preserve"> </w:t>
      </w:r>
      <w:r w:rsidRPr="00966EF2">
        <w:rPr>
          <w:sz w:val="24"/>
          <w:szCs w:val="24"/>
        </w:rPr>
        <w:t>2</w:t>
      </w:r>
    </w:p>
    <w:p w:rsidR="00054FD0" w:rsidRPr="00966EF2" w:rsidRDefault="009C3352">
      <w:pPr>
        <w:pStyle w:val="Corpotesto"/>
        <w:spacing w:before="160"/>
        <w:jc w:val="both"/>
      </w:pPr>
      <w:r w:rsidRPr="00966EF2">
        <w:rPr>
          <w:u w:val="single"/>
        </w:rPr>
        <w:t>Cost-benefit</w:t>
      </w:r>
      <w:r w:rsidRPr="00966EF2">
        <w:rPr>
          <w:spacing w:val="-4"/>
          <w:u w:val="single"/>
        </w:rPr>
        <w:t xml:space="preserve"> </w:t>
      </w:r>
      <w:r w:rsidRPr="00966EF2">
        <w:rPr>
          <w:u w:val="single"/>
        </w:rPr>
        <w:t>analysis</w:t>
      </w:r>
    </w:p>
    <w:p w:rsidR="00054FD0" w:rsidRPr="00966EF2" w:rsidRDefault="00054FD0">
      <w:pPr>
        <w:pStyle w:val="Corpotesto"/>
        <w:spacing w:before="1"/>
        <w:ind w:left="0"/>
      </w:pPr>
    </w:p>
    <w:p w:rsidR="00E64058" w:rsidRPr="00966EF2" w:rsidRDefault="009C3352">
      <w:pPr>
        <w:pStyle w:val="Corpotesto"/>
        <w:spacing w:before="90" w:line="499" w:lineRule="auto"/>
        <w:ind w:right="7005"/>
        <w:rPr>
          <w:b/>
          <w:spacing w:val="1"/>
        </w:rPr>
      </w:pPr>
      <w:r w:rsidRPr="00966EF2">
        <w:rPr>
          <w:spacing w:val="-1"/>
        </w:rPr>
        <w:t>Total</w:t>
      </w:r>
      <w:r w:rsidRPr="00966EF2">
        <w:rPr>
          <w:spacing w:val="-14"/>
        </w:rPr>
        <w:t xml:space="preserve"> </w:t>
      </w:r>
      <w:r w:rsidRPr="00966EF2">
        <w:rPr>
          <w:spacing w:val="-1"/>
        </w:rPr>
        <w:t>Variable</w:t>
      </w:r>
      <w:r w:rsidRPr="00966EF2">
        <w:rPr>
          <w:spacing w:val="-9"/>
        </w:rPr>
        <w:t xml:space="preserve"> </w:t>
      </w:r>
      <w:r w:rsidRPr="00966EF2">
        <w:rPr>
          <w:spacing w:val="-1"/>
        </w:rPr>
        <w:t>cost</w:t>
      </w:r>
      <w:r w:rsidRPr="00966EF2">
        <w:rPr>
          <w:spacing w:val="-11"/>
        </w:rPr>
        <w:t xml:space="preserve"> </w:t>
      </w:r>
      <w:r w:rsidRPr="00966EF2">
        <w:t>=</w:t>
      </w:r>
      <w:r w:rsidRPr="00966EF2">
        <w:rPr>
          <w:spacing w:val="-10"/>
        </w:rPr>
        <w:t xml:space="preserve"> </w:t>
      </w:r>
      <w:r w:rsidRPr="00966EF2">
        <w:t>10.5</w:t>
      </w:r>
      <w:r w:rsidRPr="00966EF2">
        <w:rPr>
          <w:spacing w:val="-57"/>
        </w:rPr>
        <w:t xml:space="preserve"> </w:t>
      </w:r>
      <w:r w:rsidRPr="00966EF2">
        <w:rPr>
          <w:b/>
        </w:rPr>
        <w:t>Total Fixed cost</w:t>
      </w:r>
      <w:r w:rsidRPr="00966EF2">
        <w:rPr>
          <w:b/>
          <w:spacing w:val="1"/>
        </w:rPr>
        <w:t xml:space="preserve"> </w:t>
      </w:r>
    </w:p>
    <w:tbl>
      <w:tblPr>
        <w:tblStyle w:val="Grigliatabella"/>
        <w:tblW w:w="0" w:type="auto"/>
        <w:tblInd w:w="221" w:type="dxa"/>
        <w:tblLook w:val="04A0" w:firstRow="1" w:lastRow="0" w:firstColumn="1" w:lastColumn="0" w:noHBand="0" w:noVBand="1"/>
      </w:tblPr>
      <w:tblGrid>
        <w:gridCol w:w="4851"/>
        <w:gridCol w:w="4844"/>
      </w:tblGrid>
      <w:tr w:rsidR="00966EF2" w:rsidRPr="00966EF2" w:rsidTr="0051620D">
        <w:trPr>
          <w:trHeight w:val="318"/>
        </w:trPr>
        <w:tc>
          <w:tcPr>
            <w:tcW w:w="4958" w:type="dxa"/>
            <w:tcBorders>
              <w:bottom w:val="single" w:sz="4" w:space="0" w:color="000009"/>
            </w:tcBorders>
          </w:tcPr>
          <w:p w:rsidR="00E64058" w:rsidRPr="00966EF2" w:rsidRDefault="00E64058" w:rsidP="0051620D">
            <w:pPr>
              <w:pStyle w:val="Corpotesto"/>
              <w:spacing w:before="90" w:line="360" w:lineRule="auto"/>
              <w:ind w:left="0"/>
            </w:pPr>
            <w:r w:rsidRPr="00966EF2">
              <w:t>Fulfillment fees</w:t>
            </w:r>
          </w:p>
        </w:tc>
        <w:tc>
          <w:tcPr>
            <w:tcW w:w="4958" w:type="dxa"/>
            <w:tcBorders>
              <w:bottom w:val="single" w:sz="4" w:space="0" w:color="000009"/>
            </w:tcBorders>
          </w:tcPr>
          <w:p w:rsidR="00E64058" w:rsidRPr="00966EF2" w:rsidRDefault="00E64058" w:rsidP="0051620D">
            <w:pPr>
              <w:pStyle w:val="Corpotesto"/>
              <w:spacing w:before="90" w:line="360" w:lineRule="auto"/>
              <w:ind w:left="0"/>
            </w:pPr>
            <w:r w:rsidRPr="00966EF2">
              <w:t>50000</w:t>
            </w:r>
          </w:p>
        </w:tc>
      </w:tr>
      <w:tr w:rsidR="00966EF2" w:rsidRPr="00966EF2" w:rsidTr="0051620D">
        <w:trPr>
          <w:trHeight w:val="236"/>
        </w:trPr>
        <w:tc>
          <w:tcPr>
            <w:tcW w:w="4958" w:type="dxa"/>
            <w:tcBorders>
              <w:top w:val="single" w:sz="4" w:space="0" w:color="000009"/>
              <w:bottom w:val="single" w:sz="4" w:space="0" w:color="000009"/>
            </w:tcBorders>
          </w:tcPr>
          <w:p w:rsidR="00E64058" w:rsidRPr="00966EF2" w:rsidRDefault="00E64058" w:rsidP="0051620D">
            <w:pPr>
              <w:pStyle w:val="Corpotesto"/>
              <w:spacing w:before="90" w:line="360" w:lineRule="auto"/>
              <w:ind w:left="0"/>
            </w:pPr>
            <w:r w:rsidRPr="00966EF2">
              <w:t>Insurance</w:t>
            </w:r>
          </w:p>
        </w:tc>
        <w:tc>
          <w:tcPr>
            <w:tcW w:w="4958" w:type="dxa"/>
            <w:tcBorders>
              <w:top w:val="single" w:sz="4" w:space="0" w:color="000009"/>
              <w:bottom w:val="single" w:sz="4" w:space="0" w:color="000009"/>
            </w:tcBorders>
          </w:tcPr>
          <w:p w:rsidR="00E64058" w:rsidRPr="00966EF2" w:rsidRDefault="00E64058" w:rsidP="0051620D">
            <w:pPr>
              <w:pStyle w:val="Corpotesto"/>
              <w:spacing w:before="90" w:line="360" w:lineRule="auto"/>
              <w:ind w:left="0"/>
            </w:pPr>
            <w:r w:rsidRPr="00966EF2">
              <w:t>100000</w:t>
            </w:r>
          </w:p>
        </w:tc>
      </w:tr>
      <w:tr w:rsidR="00966EF2" w:rsidRPr="00966EF2" w:rsidTr="0051620D">
        <w:trPr>
          <w:trHeight w:val="251"/>
        </w:trPr>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pPr>
            <w:r w:rsidRPr="00966EF2">
              <w:t>Total fixed cost</w:t>
            </w:r>
          </w:p>
        </w:tc>
        <w:tc>
          <w:tcPr>
            <w:tcW w:w="4958" w:type="dxa"/>
            <w:tcBorders>
              <w:top w:val="single" w:sz="4" w:space="0" w:color="000009"/>
              <w:bottom w:val="single" w:sz="4" w:space="0" w:color="000009"/>
            </w:tcBorders>
          </w:tcPr>
          <w:p w:rsidR="00E64058" w:rsidRPr="00966EF2" w:rsidRDefault="00E64058" w:rsidP="0051620D">
            <w:pPr>
              <w:pStyle w:val="Corpotesto"/>
              <w:spacing w:before="90" w:line="360" w:lineRule="auto"/>
              <w:ind w:left="0"/>
            </w:pPr>
            <w:r w:rsidRPr="00966EF2">
              <w:t>150000</w:t>
            </w:r>
          </w:p>
        </w:tc>
      </w:tr>
      <w:tr w:rsidR="00966EF2" w:rsidRPr="00966EF2" w:rsidTr="0051620D">
        <w:trPr>
          <w:trHeight w:val="219"/>
        </w:trPr>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rPr>
                <w:highlight w:val="yellow"/>
              </w:rPr>
            </w:pPr>
            <w:r w:rsidRPr="00966EF2">
              <w:rPr>
                <w:highlight w:val="yellow"/>
              </w:rPr>
              <w:t xml:space="preserve">Total revenue </w:t>
            </w:r>
          </w:p>
        </w:tc>
        <w:tc>
          <w:tcPr>
            <w:tcW w:w="4958" w:type="dxa"/>
            <w:tcBorders>
              <w:top w:val="single" w:sz="4" w:space="0" w:color="000009"/>
              <w:bottom w:val="single" w:sz="4" w:space="0" w:color="000009"/>
            </w:tcBorders>
          </w:tcPr>
          <w:p w:rsidR="00E64058" w:rsidRPr="00966EF2" w:rsidRDefault="00E64058" w:rsidP="00E64058">
            <w:pPr>
              <w:pStyle w:val="Corpotesto"/>
              <w:spacing w:before="90" w:line="360" w:lineRule="auto"/>
              <w:ind w:left="0"/>
              <w:rPr>
                <w:highlight w:val="yellow"/>
              </w:rPr>
            </w:pPr>
            <w:r w:rsidRPr="00966EF2">
              <w:rPr>
                <w:highlight w:val="yellow"/>
              </w:rPr>
              <w:t xml:space="preserve">65000 x 20 = </w:t>
            </w:r>
            <w:r w:rsidRPr="00966EF2">
              <w:rPr>
                <w:b/>
                <w:highlight w:val="yellow"/>
              </w:rPr>
              <w:t>1300000</w:t>
            </w:r>
          </w:p>
        </w:tc>
      </w:tr>
      <w:tr w:rsidR="00966EF2" w:rsidRPr="00966EF2" w:rsidTr="0051620D">
        <w:trPr>
          <w:trHeight w:val="318"/>
        </w:trPr>
        <w:tc>
          <w:tcPr>
            <w:tcW w:w="4958" w:type="dxa"/>
            <w:tcBorders>
              <w:top w:val="single" w:sz="4" w:space="0" w:color="000009"/>
            </w:tcBorders>
          </w:tcPr>
          <w:p w:rsidR="00E64058" w:rsidRPr="00966EF2" w:rsidRDefault="00E64058" w:rsidP="0051620D">
            <w:pPr>
              <w:pStyle w:val="Corpotesto"/>
              <w:spacing w:before="90" w:line="360" w:lineRule="auto"/>
              <w:ind w:left="0"/>
              <w:rPr>
                <w:highlight w:val="yellow"/>
              </w:rPr>
            </w:pPr>
            <w:r w:rsidRPr="00966EF2">
              <w:rPr>
                <w:highlight w:val="yellow"/>
              </w:rPr>
              <w:t>Total benefit</w:t>
            </w:r>
          </w:p>
        </w:tc>
        <w:tc>
          <w:tcPr>
            <w:tcW w:w="4958" w:type="dxa"/>
            <w:tcBorders>
              <w:top w:val="single" w:sz="4" w:space="0" w:color="000009"/>
            </w:tcBorders>
          </w:tcPr>
          <w:p w:rsidR="00E64058" w:rsidRPr="00966EF2" w:rsidRDefault="00E64058" w:rsidP="0051620D">
            <w:pPr>
              <w:pStyle w:val="Corpotesto"/>
              <w:spacing w:before="90" w:line="360" w:lineRule="auto"/>
              <w:ind w:left="0"/>
              <w:rPr>
                <w:highlight w:val="yellow"/>
              </w:rPr>
            </w:pPr>
            <w:r w:rsidRPr="00966EF2">
              <w:rPr>
                <w:highlight w:val="yellow"/>
              </w:rPr>
              <w:t xml:space="preserve">1300000 – 150000 = </w:t>
            </w:r>
            <w:r w:rsidRPr="00966EF2">
              <w:rPr>
                <w:b/>
                <w:highlight w:val="yellow"/>
              </w:rPr>
              <w:t>1150000</w:t>
            </w:r>
          </w:p>
        </w:tc>
      </w:tr>
    </w:tbl>
    <w:p w:rsidR="00054FD0" w:rsidRPr="00966EF2" w:rsidRDefault="00054FD0">
      <w:pPr>
        <w:pStyle w:val="Corpotesto"/>
        <w:spacing w:before="10"/>
        <w:ind w:left="0"/>
        <w:rPr>
          <w:b/>
        </w:rPr>
      </w:pPr>
    </w:p>
    <w:p w:rsidR="009B71A9" w:rsidRPr="00966EF2" w:rsidRDefault="00966EF2" w:rsidP="00966EF2">
      <w:pPr>
        <w:pStyle w:val="Corpotesto"/>
        <w:spacing w:line="360" w:lineRule="auto"/>
        <w:ind w:right="121"/>
      </w:pPr>
      <w:r w:rsidRPr="00966EF2">
        <w:t xml:space="preserve">Amana Souvenir also offers an online shopping option thru Amazon. We would analyze, as, within option 1, both pay and rent are considered relevant costs and the same as without them as relevant costs. From the above table cost-benefit analysis, we could see that if just two fixed costs are included, the profit would be 1150,000. Whether those two charges are </w:t>
      </w:r>
      <w:proofErr w:type="gramStart"/>
      <w:r w:rsidRPr="00966EF2">
        <w:t>taken into account</w:t>
      </w:r>
      <w:proofErr w:type="gramEnd"/>
      <w:r w:rsidRPr="00966EF2">
        <w:t>, the benefit would be (1300, 000-150,000-170,000-35,000) = 945,000. Therefore, when we evaluate the necessary expenditures (compensation and rent), a profit of 945,000 would be generated</w:t>
      </w:r>
      <w:r w:rsidR="009C3352" w:rsidRPr="00966EF2">
        <w:t>.</w:t>
      </w:r>
    </w:p>
    <w:p w:rsidR="009B71A9" w:rsidRPr="00966EF2" w:rsidRDefault="009B71A9">
      <w:pPr>
        <w:pStyle w:val="Corpotesto"/>
        <w:spacing w:before="10"/>
        <w:ind w:left="0"/>
      </w:pPr>
    </w:p>
    <w:p w:rsidR="00054FD0" w:rsidRPr="00966EF2" w:rsidRDefault="009C3352">
      <w:pPr>
        <w:pStyle w:val="Corpotesto"/>
      </w:pPr>
      <w:r w:rsidRPr="00966EF2">
        <w:rPr>
          <w:u w:val="single"/>
        </w:rPr>
        <w:t>CVP</w:t>
      </w:r>
      <w:r w:rsidRPr="00966EF2">
        <w:rPr>
          <w:spacing w:val="-12"/>
          <w:u w:val="single"/>
        </w:rPr>
        <w:t xml:space="preserve"> </w:t>
      </w:r>
      <w:r w:rsidRPr="00966EF2">
        <w:rPr>
          <w:u w:val="single"/>
        </w:rPr>
        <w:t>analysis</w:t>
      </w:r>
    </w:p>
    <w:p w:rsidR="00054FD0" w:rsidRPr="00966EF2" w:rsidRDefault="00054FD0">
      <w:pPr>
        <w:pStyle w:val="Corpotesto"/>
        <w:spacing w:before="1"/>
        <w:ind w:left="0"/>
      </w:pPr>
    </w:p>
    <w:p w:rsidR="0043459D" w:rsidRPr="00966EF2" w:rsidRDefault="0078328A" w:rsidP="00232C60">
      <w:pPr>
        <w:pStyle w:val="Corpotesto"/>
        <w:spacing w:before="90"/>
        <w:ind w:left="0"/>
      </w:pPr>
      <w:r>
        <w:rPr>
          <w:noProof/>
        </w:rPr>
        <w:drawing>
          <wp:inline distT="0" distB="0" distL="0" distR="0" wp14:anchorId="4C431B4E" wp14:editId="26C5B448">
            <wp:extent cx="5572125" cy="1209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72125" cy="1209675"/>
                    </a:xfrm>
                    <a:prstGeom prst="rect">
                      <a:avLst/>
                    </a:prstGeom>
                  </pic:spPr>
                </pic:pic>
              </a:graphicData>
            </a:graphic>
          </wp:inline>
        </w:drawing>
      </w:r>
    </w:p>
    <w:p w:rsidR="00054FD0" w:rsidRPr="00966EF2" w:rsidRDefault="00054FD0">
      <w:pPr>
        <w:pStyle w:val="Corpotesto"/>
        <w:spacing w:before="10"/>
        <w:ind w:left="0"/>
      </w:pPr>
    </w:p>
    <w:p w:rsidR="00966EF2" w:rsidRPr="00966EF2" w:rsidRDefault="00EC7CBB" w:rsidP="00966EF2">
      <w:pPr>
        <w:pStyle w:val="Corpotesto"/>
        <w:spacing w:before="161" w:line="360" w:lineRule="auto"/>
        <w:ind w:right="125" w:firstLine="499"/>
        <w:jc w:val="both"/>
      </w:pPr>
      <w:r>
        <w:t>W</w:t>
      </w:r>
      <w:r w:rsidRPr="00EC7CBB">
        <w:t xml:space="preserve">hether the two expenses are </w:t>
      </w:r>
      <w:proofErr w:type="gramStart"/>
      <w:r w:rsidRPr="00EC7CBB">
        <w:t>taken into account</w:t>
      </w:r>
      <w:proofErr w:type="gramEnd"/>
      <w:r w:rsidRPr="00EC7CBB">
        <w:t xml:space="preserve"> or not, if Amana adopts this option, the </w:t>
      </w:r>
      <w:r w:rsidRPr="00EC7CBB">
        <w:lastRenderedPageBreak/>
        <w:t>contribution margin unit would be (65,000-15789) = 49,211</w:t>
      </w:r>
      <w:r w:rsidR="00966EF2" w:rsidRPr="00966EF2">
        <w:t xml:space="preserve">. </w:t>
      </w:r>
      <w:r w:rsidRPr="00EC7CBB">
        <w:t>The result of (355,000/9.5) equals 37,368 BEP units, resulting in 27,632 contribution margin units. There may be a few things to bear in mind with this option: Amana will have to fight against other Amazon competitors and produce multiple goods. We're all aware that Amazon is an online platform where people may browse, choose, and discard things. As a consequence, Amana will be unable to engage if it does not produce special features. In reaction to market demand, sales will increase. As a result, they may need to spend money on advertisements to generate market demand. And, in order to stand out, its personnel costs may be high. Since Amazon will handle the price structure, Amana had little effect</w:t>
      </w:r>
      <w:r w:rsidR="00966EF2" w:rsidRPr="00966EF2">
        <w:t>.</w:t>
      </w:r>
    </w:p>
    <w:p w:rsidR="00966EF2" w:rsidRPr="00966EF2" w:rsidRDefault="00966EF2" w:rsidP="00966EF2">
      <w:pPr>
        <w:pStyle w:val="Corpotesto"/>
        <w:spacing w:before="161" w:line="360" w:lineRule="auto"/>
        <w:ind w:right="125"/>
        <w:jc w:val="both"/>
        <w:rPr>
          <w:b/>
        </w:rPr>
      </w:pPr>
      <w:r w:rsidRPr="00966EF2">
        <w:rPr>
          <w:b/>
        </w:rPr>
        <w:t>Recommendation</w:t>
      </w:r>
    </w:p>
    <w:p w:rsidR="00966EF2" w:rsidRPr="00966EF2" w:rsidRDefault="00EC7CBB" w:rsidP="00966EF2">
      <w:pPr>
        <w:pStyle w:val="Corpotesto"/>
        <w:spacing w:before="161" w:line="360" w:lineRule="auto"/>
        <w:ind w:right="125" w:firstLine="499"/>
        <w:jc w:val="both"/>
      </w:pPr>
      <w:r w:rsidRPr="00EC7CBB">
        <w:t>We did research groups for each option to assure gain earning, and use of CVP; we can predict what the cheapest sale is for each option if all fixed and variable expenses are considered. Option 1 has a higher fixed cost since Amana, as a physical business, needs to start its own internet firm and has no online resources to begin with. As a result, hiring an IT expert to help with the upgrading would cost money. Yet, if it uses Amazon as an internet website, it will save money and have fewer sales whereas if it had its own website, but the gain will outweigh the disadvantage</w:t>
      </w:r>
      <w:r w:rsidR="00966EF2" w:rsidRPr="00966EF2">
        <w:t>.</w:t>
      </w:r>
    </w:p>
    <w:p w:rsidR="00054FD0" w:rsidRPr="00966EF2" w:rsidRDefault="00966EF2" w:rsidP="00966EF2">
      <w:pPr>
        <w:pStyle w:val="Corpotesto"/>
        <w:spacing w:before="161" w:line="360" w:lineRule="auto"/>
        <w:ind w:right="125" w:firstLine="499"/>
        <w:jc w:val="both"/>
      </w:pPr>
      <w:r w:rsidRPr="00966EF2">
        <w:t>The major downside of option 2 is that the company will lose control over its pricing structure and would be unable to establish a return policy. They should face tough competition from Amazon. Choice 1, in comparison, may have a greater cost, but it will result in a bigger volume of sales, and several of the costs, such as upgrading and shipping costs, may fall later. However, such an option will benefit the company in the long run. They may continue to use this option after the COVID issue has passed, and they can serve consumers both online and offline. Furthermore, they will also have complete control over all operations, and the new website will draw customers to the items. Therefore, I would advise Amana Souvenir to select Choice 1 since this option has a bright future and may benefit this firm in the long run by improving its operational abilities and expanding their market share</w:t>
      </w:r>
      <w:r w:rsidR="009C3352" w:rsidRPr="00966EF2">
        <w:t>.</w:t>
      </w:r>
    </w:p>
    <w:p w:rsidR="009B71A9" w:rsidRPr="00966EF2" w:rsidRDefault="009B71A9">
      <w:pPr>
        <w:pStyle w:val="Titolo1"/>
        <w:rPr>
          <w:sz w:val="24"/>
          <w:szCs w:val="24"/>
        </w:rPr>
      </w:pPr>
      <w:bookmarkStart w:id="17" w:name="Reference"/>
      <w:bookmarkStart w:id="18" w:name="_bookmark10"/>
      <w:bookmarkEnd w:id="17"/>
      <w:bookmarkEnd w:id="18"/>
    </w:p>
    <w:p w:rsidR="009B71A9" w:rsidRPr="00966EF2" w:rsidRDefault="009B71A9">
      <w:pPr>
        <w:pStyle w:val="Titolo1"/>
        <w:rPr>
          <w:sz w:val="24"/>
          <w:szCs w:val="24"/>
        </w:rPr>
      </w:pPr>
    </w:p>
    <w:p w:rsidR="00864862" w:rsidRPr="00966EF2" w:rsidRDefault="00864862" w:rsidP="00966EF2">
      <w:pPr>
        <w:pStyle w:val="Titolo1"/>
        <w:ind w:left="0"/>
        <w:rPr>
          <w:sz w:val="24"/>
          <w:szCs w:val="24"/>
        </w:rPr>
      </w:pPr>
    </w:p>
    <w:p w:rsidR="00054FD0" w:rsidRPr="00966EF2" w:rsidRDefault="009C3352" w:rsidP="00966EF2">
      <w:pPr>
        <w:pStyle w:val="Titolo1"/>
        <w:spacing w:line="480" w:lineRule="auto"/>
        <w:jc w:val="center"/>
        <w:rPr>
          <w:sz w:val="24"/>
          <w:szCs w:val="24"/>
        </w:rPr>
      </w:pPr>
      <w:r w:rsidRPr="00966EF2">
        <w:rPr>
          <w:sz w:val="24"/>
          <w:szCs w:val="24"/>
        </w:rPr>
        <w:lastRenderedPageBreak/>
        <w:t>Reference</w:t>
      </w:r>
      <w:r w:rsidR="000571EB" w:rsidRPr="00966EF2">
        <w:rPr>
          <w:sz w:val="24"/>
          <w:szCs w:val="24"/>
        </w:rPr>
        <w:t>s</w:t>
      </w:r>
    </w:p>
    <w:p w:rsidR="00966EF2" w:rsidRPr="00966EF2" w:rsidRDefault="00966EF2" w:rsidP="00966EF2">
      <w:pPr>
        <w:spacing w:line="480" w:lineRule="auto"/>
        <w:ind w:left="720" w:hanging="720"/>
        <w:rPr>
          <w:sz w:val="24"/>
        </w:rPr>
      </w:pPr>
      <w:r w:rsidRPr="00966EF2">
        <w:rPr>
          <w:sz w:val="24"/>
        </w:rPr>
        <w:t>Bartik, A.W., Bertrand, M., Cullen, Z., Glaeser, E.L., Luca, M. and Stanton, C. (2020). The Impact of COVID-19 on Small Business Outcomes and Expectations. </w:t>
      </w:r>
      <w:r w:rsidRPr="00966EF2">
        <w:rPr>
          <w:i/>
          <w:iCs/>
          <w:sz w:val="24"/>
        </w:rPr>
        <w:t>Proceedings of the National Academy of Sciences</w:t>
      </w:r>
      <w:r w:rsidRPr="00966EF2">
        <w:rPr>
          <w:sz w:val="24"/>
        </w:rPr>
        <w:t xml:space="preserve">, [online] 117(30). Available at: </w:t>
      </w:r>
      <w:hyperlink r:id="rId12" w:history="1">
        <w:r w:rsidRPr="00966EF2">
          <w:rPr>
            <w:rStyle w:val="Collegamentoipertestuale"/>
            <w:color w:val="auto"/>
            <w:sz w:val="24"/>
          </w:rPr>
          <w:t>https://www.pnas.org/doi/10.1073/pnas.2006991117</w:t>
        </w:r>
      </w:hyperlink>
      <w:r w:rsidRPr="00966EF2">
        <w:rPr>
          <w:sz w:val="24"/>
        </w:rPr>
        <w:t>.</w:t>
      </w:r>
    </w:p>
    <w:p w:rsidR="00966EF2" w:rsidRPr="00966EF2" w:rsidRDefault="00966EF2" w:rsidP="00966EF2">
      <w:pPr>
        <w:spacing w:line="480" w:lineRule="auto"/>
        <w:ind w:left="720" w:hanging="720"/>
        <w:rPr>
          <w:sz w:val="24"/>
        </w:rPr>
      </w:pPr>
      <w:r w:rsidRPr="00966EF2">
        <w:rPr>
          <w:sz w:val="24"/>
        </w:rPr>
        <w:t>Dlamini, B. and Schutte, D. (2021). The Development of a Management Accounting Framework for Small and Medium Enterprises Operating in Emerging Economies. </w:t>
      </w:r>
      <w:r w:rsidRPr="00966EF2">
        <w:rPr>
          <w:i/>
          <w:iCs/>
          <w:sz w:val="24"/>
        </w:rPr>
        <w:t>journal of accounting finance and auditing studies (JAFAS)</w:t>
      </w:r>
      <w:r w:rsidRPr="00966EF2">
        <w:rPr>
          <w:sz w:val="24"/>
        </w:rPr>
        <w:t>, [online] 7(3), pp.136–157. Available at: https://jafas.org/articles/2021-7-3/7_FULL_TEXT.pdf [Accessed 2 Feb. 2022].</w:t>
      </w:r>
    </w:p>
    <w:p w:rsidR="00966EF2" w:rsidRPr="00966EF2" w:rsidRDefault="00966EF2" w:rsidP="00966EF2">
      <w:pPr>
        <w:spacing w:line="480" w:lineRule="auto"/>
        <w:ind w:left="720" w:hanging="720"/>
        <w:rPr>
          <w:sz w:val="24"/>
        </w:rPr>
      </w:pPr>
      <w:r w:rsidRPr="00966EF2">
        <w:rPr>
          <w:sz w:val="24"/>
        </w:rPr>
        <w:t>Dopuch, N., Birnberg, J.G. and Demski, J. (1967). An Extension of Standard Cost Variance Analysis. </w:t>
      </w:r>
      <w:r w:rsidRPr="00966EF2">
        <w:rPr>
          <w:i/>
          <w:iCs/>
          <w:sz w:val="24"/>
        </w:rPr>
        <w:t>The Accounting Review</w:t>
      </w:r>
      <w:r w:rsidRPr="00966EF2">
        <w:rPr>
          <w:sz w:val="24"/>
        </w:rPr>
        <w:t>, [online] 42(3), pp.526–536. Available at: https://www.jstor.org/stable/243717 [Accessed 28 Apr. 2022].</w:t>
      </w:r>
    </w:p>
    <w:p w:rsidR="00966EF2" w:rsidRPr="00966EF2" w:rsidRDefault="00966EF2" w:rsidP="00966EF2">
      <w:pPr>
        <w:spacing w:line="480" w:lineRule="auto"/>
        <w:ind w:left="720" w:hanging="720"/>
        <w:rPr>
          <w:sz w:val="24"/>
        </w:rPr>
      </w:pPr>
      <w:r w:rsidRPr="00966EF2">
        <w:rPr>
          <w:sz w:val="24"/>
        </w:rPr>
        <w:t>Dempster, J. (2001). </w:t>
      </w:r>
      <w:r w:rsidRPr="00966EF2">
        <w:rPr>
          <w:i/>
          <w:iCs/>
          <w:sz w:val="24"/>
        </w:rPr>
        <w:t>CHAPTER SEVEN - Recording and Analysis of Intracellular Electrophysiological Signals</w:t>
      </w:r>
      <w:r w:rsidRPr="00966EF2">
        <w:rPr>
          <w:sz w:val="24"/>
        </w:rPr>
        <w:t>. [online] ScienceDirect. Available at: https://www.sciencedirect.com/science/article/pii/B9780122095511500404?via%3Dihub [Accessed 28 Apr. 2022].</w:t>
      </w:r>
    </w:p>
    <w:p w:rsidR="00966EF2" w:rsidRPr="00966EF2" w:rsidRDefault="00966EF2" w:rsidP="00966EF2">
      <w:pPr>
        <w:spacing w:line="480" w:lineRule="auto"/>
        <w:ind w:left="720" w:hanging="720"/>
        <w:rPr>
          <w:sz w:val="24"/>
        </w:rPr>
      </w:pPr>
      <w:r w:rsidRPr="00966EF2">
        <w:rPr>
          <w:sz w:val="24"/>
        </w:rPr>
        <w:t>Finkler, S.A. (1985). Flexible budget variance analysis extended to patient acuity and DRGs. </w:t>
      </w:r>
      <w:r w:rsidRPr="00966EF2">
        <w:rPr>
          <w:i/>
          <w:iCs/>
          <w:sz w:val="24"/>
        </w:rPr>
        <w:t>Health Care Management Review</w:t>
      </w:r>
      <w:r w:rsidRPr="00966EF2">
        <w:rPr>
          <w:sz w:val="24"/>
        </w:rPr>
        <w:t>, [online] 10(4), pp.21–34. Available at: https://www.jstor.org/stable/44949484 [Accessed 28 Apr. 2022].</w:t>
      </w:r>
    </w:p>
    <w:p w:rsidR="00966EF2" w:rsidRPr="00966EF2" w:rsidRDefault="00966EF2" w:rsidP="00966EF2">
      <w:pPr>
        <w:spacing w:line="480" w:lineRule="auto"/>
        <w:ind w:left="720" w:hanging="720"/>
        <w:rPr>
          <w:sz w:val="24"/>
        </w:rPr>
      </w:pPr>
      <w:r w:rsidRPr="00966EF2">
        <w:rPr>
          <w:sz w:val="24"/>
        </w:rPr>
        <w:t>Murphy, C.B. (2020). </w:t>
      </w:r>
      <w:r w:rsidRPr="00966EF2">
        <w:rPr>
          <w:i/>
          <w:iCs/>
          <w:sz w:val="24"/>
        </w:rPr>
        <w:t>Operating Expenses vs. SG&amp;A</w:t>
      </w:r>
      <w:r w:rsidRPr="00966EF2">
        <w:rPr>
          <w:sz w:val="24"/>
        </w:rPr>
        <w:t xml:space="preserve">. [online] Investopedia. Available at: </w:t>
      </w:r>
      <w:hyperlink r:id="rId13" w:history="1">
        <w:r w:rsidRPr="00966EF2">
          <w:rPr>
            <w:rStyle w:val="Collegamentoipertestuale"/>
            <w:color w:val="auto"/>
            <w:sz w:val="24"/>
          </w:rPr>
          <w:t>https://www.investopedia.com/ask/answers/101314/what-are-differences-between-operating-expenses-and-sga.asp</w:t>
        </w:r>
      </w:hyperlink>
      <w:r w:rsidRPr="00966EF2">
        <w:rPr>
          <w:sz w:val="24"/>
        </w:rPr>
        <w:t>.</w:t>
      </w:r>
    </w:p>
    <w:p w:rsidR="00966EF2" w:rsidRPr="00966EF2" w:rsidRDefault="00966EF2" w:rsidP="00966EF2">
      <w:pPr>
        <w:spacing w:line="480" w:lineRule="auto"/>
        <w:ind w:left="720" w:hanging="720"/>
        <w:rPr>
          <w:sz w:val="24"/>
        </w:rPr>
      </w:pPr>
      <w:r w:rsidRPr="00966EF2">
        <w:rPr>
          <w:sz w:val="24"/>
        </w:rPr>
        <w:t>Nickolas, S. (n.d.). </w:t>
      </w:r>
      <w:r w:rsidRPr="00966EF2">
        <w:rPr>
          <w:i/>
          <w:iCs/>
          <w:sz w:val="24"/>
        </w:rPr>
        <w:t>How are fixed and variable overhead different?</w:t>
      </w:r>
      <w:r w:rsidRPr="00966EF2">
        <w:rPr>
          <w:sz w:val="24"/>
        </w:rPr>
        <w:t xml:space="preserve"> [online] Investopedia. Available at: </w:t>
      </w:r>
      <w:hyperlink r:id="rId14" w:history="1">
        <w:r w:rsidRPr="00966EF2">
          <w:rPr>
            <w:rStyle w:val="Collegamentoipertestuale"/>
            <w:color w:val="auto"/>
            <w:sz w:val="24"/>
          </w:rPr>
          <w:t>https://www.investopedia.com/ask/answers/033015/how-does-fixed-overhead-differ-</w:t>
        </w:r>
        <w:r w:rsidRPr="00966EF2">
          <w:rPr>
            <w:rStyle w:val="Collegamentoipertestuale"/>
            <w:color w:val="auto"/>
            <w:sz w:val="24"/>
          </w:rPr>
          <w:lastRenderedPageBreak/>
          <w:t>varied-overhead.asp</w:t>
        </w:r>
      </w:hyperlink>
      <w:r w:rsidRPr="00966EF2">
        <w:rPr>
          <w:sz w:val="24"/>
        </w:rPr>
        <w:t>.</w:t>
      </w:r>
    </w:p>
    <w:p w:rsidR="00966EF2" w:rsidRPr="00966EF2" w:rsidRDefault="00966EF2" w:rsidP="00966EF2">
      <w:pPr>
        <w:spacing w:line="480" w:lineRule="auto"/>
        <w:ind w:left="720" w:hanging="720"/>
        <w:rPr>
          <w:sz w:val="24"/>
        </w:rPr>
      </w:pPr>
      <w:r w:rsidRPr="00B409D5">
        <w:rPr>
          <w:sz w:val="24"/>
          <w:lang w:val="it-IT"/>
        </w:rPr>
        <w:t xml:space="preserve">Yi, Y., Lagniton, P.N.P., Ye, S., Li, E. and Xu, R.-H. (2020). </w:t>
      </w:r>
      <w:r w:rsidRPr="00966EF2">
        <w:rPr>
          <w:sz w:val="24"/>
        </w:rPr>
        <w:t>COVID-19: what has been learned and to be learned about the novel coronavirus disease. </w:t>
      </w:r>
      <w:r w:rsidRPr="00966EF2">
        <w:rPr>
          <w:i/>
          <w:iCs/>
          <w:sz w:val="24"/>
        </w:rPr>
        <w:t>International Journal of Biological Sciences</w:t>
      </w:r>
      <w:r w:rsidRPr="00966EF2">
        <w:rPr>
          <w:sz w:val="24"/>
        </w:rPr>
        <w:t xml:space="preserve">, [online] 16(10), pp.1753–1766. Available at: </w:t>
      </w:r>
      <w:hyperlink r:id="rId15" w:history="1">
        <w:r w:rsidRPr="00966EF2">
          <w:rPr>
            <w:rStyle w:val="Collegamentoipertestuale"/>
            <w:color w:val="auto"/>
            <w:sz w:val="24"/>
          </w:rPr>
          <w:t>https://www.ncbi.nlm.nih.gov/pmc/articles/PMC7098028/</w:t>
        </w:r>
      </w:hyperlink>
      <w:r w:rsidRPr="00966EF2">
        <w:rPr>
          <w:sz w:val="24"/>
        </w:rPr>
        <w:t>.</w:t>
      </w:r>
    </w:p>
    <w:p w:rsidR="00966EF2" w:rsidRPr="00966EF2" w:rsidRDefault="00966EF2" w:rsidP="00966EF2">
      <w:pPr>
        <w:spacing w:line="480" w:lineRule="auto"/>
        <w:ind w:left="720" w:hanging="720"/>
        <w:rPr>
          <w:sz w:val="24"/>
        </w:rPr>
      </w:pPr>
      <w:r w:rsidRPr="00966EF2">
        <w:rPr>
          <w:sz w:val="24"/>
        </w:rPr>
        <w:t>OECD (2020). </w:t>
      </w:r>
      <w:r w:rsidRPr="00966EF2">
        <w:rPr>
          <w:i/>
          <w:iCs/>
          <w:sz w:val="24"/>
        </w:rPr>
        <w:t>The Territorial Impact of COVID-19: Managing the Crisis across Levels of Government</w:t>
      </w:r>
      <w:r w:rsidRPr="00966EF2">
        <w:rPr>
          <w:sz w:val="24"/>
        </w:rPr>
        <w:t xml:space="preserve">. [online] OECD. Available at: </w:t>
      </w:r>
      <w:hyperlink r:id="rId16" w:history="1">
        <w:r w:rsidRPr="00966EF2">
          <w:rPr>
            <w:rStyle w:val="Collegamentoipertestuale"/>
            <w:color w:val="auto"/>
            <w:sz w:val="24"/>
          </w:rPr>
          <w:t>https://www.oecd.org/coronavirus/policy-responses/the-territorial-impact-of-covid-19-managing-the-crisis-across-levels-of-government-d3e314e1/</w:t>
        </w:r>
      </w:hyperlink>
      <w:r w:rsidRPr="00966EF2">
        <w:rPr>
          <w:sz w:val="24"/>
        </w:rPr>
        <w:t>.</w:t>
      </w:r>
    </w:p>
    <w:p w:rsidR="00966EF2" w:rsidRPr="00966EF2" w:rsidRDefault="00966EF2" w:rsidP="00966EF2">
      <w:pPr>
        <w:spacing w:line="480" w:lineRule="auto"/>
        <w:ind w:left="720" w:hanging="720"/>
        <w:rPr>
          <w:sz w:val="24"/>
        </w:rPr>
      </w:pPr>
      <w:r w:rsidRPr="00966EF2">
        <w:rPr>
          <w:sz w:val="24"/>
        </w:rPr>
        <w:t>Tariq, R.A. and Scherbak, Y. (2021). </w:t>
      </w:r>
      <w:r w:rsidRPr="00966EF2">
        <w:rPr>
          <w:i/>
          <w:iCs/>
          <w:sz w:val="24"/>
        </w:rPr>
        <w:t>Medication dispensing errors and prevention</w:t>
      </w:r>
      <w:r w:rsidRPr="00966EF2">
        <w:rPr>
          <w:sz w:val="24"/>
        </w:rPr>
        <w:t xml:space="preserve">. [online] Nih.gov. Available at: </w:t>
      </w:r>
      <w:hyperlink r:id="rId17" w:history="1">
        <w:r w:rsidRPr="00966EF2">
          <w:rPr>
            <w:rStyle w:val="Collegamentoipertestuale"/>
            <w:color w:val="auto"/>
            <w:sz w:val="24"/>
          </w:rPr>
          <w:t>https://www.ncbi.nlm.nih.gov/books/NBK519065/</w:t>
        </w:r>
      </w:hyperlink>
      <w:r w:rsidRPr="00966EF2">
        <w:rPr>
          <w:sz w:val="24"/>
        </w:rPr>
        <w:t>.</w:t>
      </w:r>
    </w:p>
    <w:p w:rsidR="00966EF2" w:rsidRPr="00966EF2" w:rsidRDefault="00966EF2" w:rsidP="00966EF2">
      <w:pPr>
        <w:spacing w:line="480" w:lineRule="auto"/>
        <w:ind w:left="720" w:hanging="720"/>
        <w:rPr>
          <w:sz w:val="24"/>
        </w:rPr>
      </w:pPr>
      <w:r w:rsidRPr="00966EF2">
        <w:rPr>
          <w:sz w:val="24"/>
        </w:rPr>
        <w:t>Wellever, A. (1982). Variance Analysis: A Tool for Cost Control. </w:t>
      </w:r>
      <w:r w:rsidRPr="00966EF2">
        <w:rPr>
          <w:i/>
          <w:iCs/>
          <w:sz w:val="24"/>
        </w:rPr>
        <w:t>The Journal of Nursing Administration</w:t>
      </w:r>
      <w:r w:rsidRPr="00966EF2">
        <w:rPr>
          <w:sz w:val="24"/>
        </w:rPr>
        <w:t>, [online] 12(7/8), pp.23–26. Available at: https://www.jstor.org/stable/26807746 [Accessed 28 Apr. 2022].</w:t>
      </w:r>
    </w:p>
    <w:p w:rsidR="00054FD0" w:rsidRPr="00966EF2" w:rsidRDefault="00054FD0" w:rsidP="00966EF2">
      <w:pPr>
        <w:spacing w:before="160" w:line="499" w:lineRule="auto"/>
        <w:ind w:left="720" w:right="782" w:hanging="720"/>
        <w:rPr>
          <w:sz w:val="24"/>
          <w:szCs w:val="24"/>
        </w:rPr>
      </w:pPr>
    </w:p>
    <w:sectPr w:rsidR="00054FD0" w:rsidRPr="00966EF2">
      <w:pgSz w:w="12240" w:h="15840"/>
      <w:pgMar w:top="1500" w:right="1320" w:bottom="280" w:left="12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0A51" w:rsidRDefault="00740A51" w:rsidP="00133BF5">
      <w:r>
        <w:separator/>
      </w:r>
    </w:p>
  </w:endnote>
  <w:endnote w:type="continuationSeparator" w:id="0">
    <w:p w:rsidR="00740A51" w:rsidRDefault="00740A51" w:rsidP="00133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Lucida Sans Unicode">
    <w:altName w:val="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3BF5" w:rsidRDefault="00133BF5">
    <w:pPr>
      <w:pStyle w:val="Pidipagina"/>
    </w:pPr>
  </w:p>
  <w:p w:rsidR="00133BF5" w:rsidRDefault="00133BF5">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0A51" w:rsidRDefault="00740A51" w:rsidP="00133BF5">
      <w:r>
        <w:separator/>
      </w:r>
    </w:p>
  </w:footnote>
  <w:footnote w:type="continuationSeparator" w:id="0">
    <w:p w:rsidR="00740A51" w:rsidRDefault="00740A51" w:rsidP="00133B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071319"/>
      <w:docPartObj>
        <w:docPartGallery w:val="Page Numbers (Top of Page)"/>
        <w:docPartUnique/>
      </w:docPartObj>
    </w:sdtPr>
    <w:sdtEndPr>
      <w:rPr>
        <w:noProof/>
      </w:rPr>
    </w:sdtEndPr>
    <w:sdtContent>
      <w:p w:rsidR="00133BF5" w:rsidRDefault="00133BF5">
        <w:pPr>
          <w:pStyle w:val="Intestazione"/>
        </w:pPr>
      </w:p>
      <w:p w:rsidR="00133BF5" w:rsidRDefault="00133BF5">
        <w:pPr>
          <w:pStyle w:val="Intestazione"/>
        </w:pPr>
        <w:r>
          <w:tab/>
        </w:r>
        <w:r>
          <w:tab/>
        </w:r>
        <w:r>
          <w:fldChar w:fldCharType="begin"/>
        </w:r>
        <w:r>
          <w:instrText xml:space="preserve"> PAGE   \* MERGEFORMAT </w:instrText>
        </w:r>
        <w:r>
          <w:fldChar w:fldCharType="separate"/>
        </w:r>
        <w:r w:rsidR="00EC7CBB">
          <w:rPr>
            <w:noProof/>
          </w:rPr>
          <w:t>12</w:t>
        </w:r>
        <w:r>
          <w:rPr>
            <w:noProof/>
          </w:rPr>
          <w:fldChar w:fldCharType="end"/>
        </w:r>
      </w:p>
    </w:sdtContent>
  </w:sdt>
  <w:p w:rsidR="00133BF5" w:rsidRDefault="00133BF5">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F685C"/>
    <w:multiLevelType w:val="hybridMultilevel"/>
    <w:tmpl w:val="AB508E8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E942F6"/>
    <w:multiLevelType w:val="hybridMultilevel"/>
    <w:tmpl w:val="57968A54"/>
    <w:lvl w:ilvl="0" w:tplc="210C37EC">
      <w:numFmt w:val="bullet"/>
      <w:lvlText w:val="•"/>
      <w:lvlJc w:val="left"/>
      <w:pPr>
        <w:ind w:left="942" w:hanging="360"/>
      </w:pPr>
      <w:rPr>
        <w:rFonts w:ascii="Lucida Sans Unicode" w:eastAsia="Lucida Sans Unicode" w:hAnsi="Lucida Sans Unicode" w:cs="Lucida Sans Unicode" w:hint="default"/>
        <w:w w:val="65"/>
        <w:sz w:val="24"/>
        <w:szCs w:val="24"/>
        <w:lang w:val="en-US" w:eastAsia="en-US" w:bidi="ar-SA"/>
      </w:rPr>
    </w:lvl>
    <w:lvl w:ilvl="1" w:tplc="C212D144">
      <w:numFmt w:val="bullet"/>
      <w:lvlText w:val="•"/>
      <w:lvlJc w:val="left"/>
      <w:pPr>
        <w:ind w:left="1816" w:hanging="360"/>
      </w:pPr>
      <w:rPr>
        <w:rFonts w:hint="default"/>
        <w:lang w:val="en-US" w:eastAsia="en-US" w:bidi="ar-SA"/>
      </w:rPr>
    </w:lvl>
    <w:lvl w:ilvl="2" w:tplc="C0E24C4A">
      <w:numFmt w:val="bullet"/>
      <w:lvlText w:val="•"/>
      <w:lvlJc w:val="left"/>
      <w:pPr>
        <w:ind w:left="2692" w:hanging="360"/>
      </w:pPr>
      <w:rPr>
        <w:rFonts w:hint="default"/>
        <w:lang w:val="en-US" w:eastAsia="en-US" w:bidi="ar-SA"/>
      </w:rPr>
    </w:lvl>
    <w:lvl w:ilvl="3" w:tplc="1DE8A1F0">
      <w:numFmt w:val="bullet"/>
      <w:lvlText w:val="•"/>
      <w:lvlJc w:val="left"/>
      <w:pPr>
        <w:ind w:left="3568" w:hanging="360"/>
      </w:pPr>
      <w:rPr>
        <w:rFonts w:hint="default"/>
        <w:lang w:val="en-US" w:eastAsia="en-US" w:bidi="ar-SA"/>
      </w:rPr>
    </w:lvl>
    <w:lvl w:ilvl="4" w:tplc="EFF41A78">
      <w:numFmt w:val="bullet"/>
      <w:lvlText w:val="•"/>
      <w:lvlJc w:val="left"/>
      <w:pPr>
        <w:ind w:left="4444" w:hanging="360"/>
      </w:pPr>
      <w:rPr>
        <w:rFonts w:hint="default"/>
        <w:lang w:val="en-US" w:eastAsia="en-US" w:bidi="ar-SA"/>
      </w:rPr>
    </w:lvl>
    <w:lvl w:ilvl="5" w:tplc="D4EE33A2">
      <w:numFmt w:val="bullet"/>
      <w:lvlText w:val="•"/>
      <w:lvlJc w:val="left"/>
      <w:pPr>
        <w:ind w:left="5320" w:hanging="360"/>
      </w:pPr>
      <w:rPr>
        <w:rFonts w:hint="default"/>
        <w:lang w:val="en-US" w:eastAsia="en-US" w:bidi="ar-SA"/>
      </w:rPr>
    </w:lvl>
    <w:lvl w:ilvl="6" w:tplc="460CCCB2">
      <w:numFmt w:val="bullet"/>
      <w:lvlText w:val="•"/>
      <w:lvlJc w:val="left"/>
      <w:pPr>
        <w:ind w:left="6196" w:hanging="360"/>
      </w:pPr>
      <w:rPr>
        <w:rFonts w:hint="default"/>
        <w:lang w:val="en-US" w:eastAsia="en-US" w:bidi="ar-SA"/>
      </w:rPr>
    </w:lvl>
    <w:lvl w:ilvl="7" w:tplc="7ADA9A88">
      <w:numFmt w:val="bullet"/>
      <w:lvlText w:val="•"/>
      <w:lvlJc w:val="left"/>
      <w:pPr>
        <w:ind w:left="7072" w:hanging="360"/>
      </w:pPr>
      <w:rPr>
        <w:rFonts w:hint="default"/>
        <w:lang w:val="en-US" w:eastAsia="en-US" w:bidi="ar-SA"/>
      </w:rPr>
    </w:lvl>
    <w:lvl w:ilvl="8" w:tplc="DA9624B6">
      <w:numFmt w:val="bullet"/>
      <w:lvlText w:val="•"/>
      <w:lvlJc w:val="left"/>
      <w:pPr>
        <w:ind w:left="7948" w:hanging="360"/>
      </w:pPr>
      <w:rPr>
        <w:rFonts w:hint="default"/>
        <w:lang w:val="en-US" w:eastAsia="en-US" w:bidi="ar-SA"/>
      </w:rPr>
    </w:lvl>
  </w:abstractNum>
  <w:abstractNum w:abstractNumId="2" w15:restartNumberingAfterBreak="0">
    <w:nsid w:val="50A91CF8"/>
    <w:multiLevelType w:val="hybridMultilevel"/>
    <w:tmpl w:val="F5320C3E"/>
    <w:lvl w:ilvl="0" w:tplc="04090001">
      <w:start w:val="1"/>
      <w:numFmt w:val="bullet"/>
      <w:lvlText w:val=""/>
      <w:lvlJc w:val="left"/>
      <w:pPr>
        <w:ind w:left="1661" w:hanging="360"/>
      </w:pPr>
      <w:rPr>
        <w:rFonts w:ascii="Symbol" w:hAnsi="Symbol" w:hint="default"/>
      </w:rPr>
    </w:lvl>
    <w:lvl w:ilvl="1" w:tplc="04090003" w:tentative="1">
      <w:start w:val="1"/>
      <w:numFmt w:val="bullet"/>
      <w:lvlText w:val="o"/>
      <w:lvlJc w:val="left"/>
      <w:pPr>
        <w:ind w:left="2381" w:hanging="360"/>
      </w:pPr>
      <w:rPr>
        <w:rFonts w:ascii="Courier New" w:hAnsi="Courier New" w:cs="Courier New" w:hint="default"/>
      </w:rPr>
    </w:lvl>
    <w:lvl w:ilvl="2" w:tplc="04090005" w:tentative="1">
      <w:start w:val="1"/>
      <w:numFmt w:val="bullet"/>
      <w:lvlText w:val=""/>
      <w:lvlJc w:val="left"/>
      <w:pPr>
        <w:ind w:left="3101" w:hanging="360"/>
      </w:pPr>
      <w:rPr>
        <w:rFonts w:ascii="Wingdings" w:hAnsi="Wingdings" w:hint="default"/>
      </w:rPr>
    </w:lvl>
    <w:lvl w:ilvl="3" w:tplc="04090001" w:tentative="1">
      <w:start w:val="1"/>
      <w:numFmt w:val="bullet"/>
      <w:lvlText w:val=""/>
      <w:lvlJc w:val="left"/>
      <w:pPr>
        <w:ind w:left="3821" w:hanging="360"/>
      </w:pPr>
      <w:rPr>
        <w:rFonts w:ascii="Symbol" w:hAnsi="Symbol" w:hint="default"/>
      </w:rPr>
    </w:lvl>
    <w:lvl w:ilvl="4" w:tplc="04090003" w:tentative="1">
      <w:start w:val="1"/>
      <w:numFmt w:val="bullet"/>
      <w:lvlText w:val="o"/>
      <w:lvlJc w:val="left"/>
      <w:pPr>
        <w:ind w:left="4541" w:hanging="360"/>
      </w:pPr>
      <w:rPr>
        <w:rFonts w:ascii="Courier New" w:hAnsi="Courier New" w:cs="Courier New" w:hint="default"/>
      </w:rPr>
    </w:lvl>
    <w:lvl w:ilvl="5" w:tplc="04090005" w:tentative="1">
      <w:start w:val="1"/>
      <w:numFmt w:val="bullet"/>
      <w:lvlText w:val=""/>
      <w:lvlJc w:val="left"/>
      <w:pPr>
        <w:ind w:left="5261" w:hanging="360"/>
      </w:pPr>
      <w:rPr>
        <w:rFonts w:ascii="Wingdings" w:hAnsi="Wingdings" w:hint="default"/>
      </w:rPr>
    </w:lvl>
    <w:lvl w:ilvl="6" w:tplc="04090001" w:tentative="1">
      <w:start w:val="1"/>
      <w:numFmt w:val="bullet"/>
      <w:lvlText w:val=""/>
      <w:lvlJc w:val="left"/>
      <w:pPr>
        <w:ind w:left="5981" w:hanging="360"/>
      </w:pPr>
      <w:rPr>
        <w:rFonts w:ascii="Symbol" w:hAnsi="Symbol" w:hint="default"/>
      </w:rPr>
    </w:lvl>
    <w:lvl w:ilvl="7" w:tplc="04090003" w:tentative="1">
      <w:start w:val="1"/>
      <w:numFmt w:val="bullet"/>
      <w:lvlText w:val="o"/>
      <w:lvlJc w:val="left"/>
      <w:pPr>
        <w:ind w:left="6701" w:hanging="360"/>
      </w:pPr>
      <w:rPr>
        <w:rFonts w:ascii="Courier New" w:hAnsi="Courier New" w:cs="Courier New" w:hint="default"/>
      </w:rPr>
    </w:lvl>
    <w:lvl w:ilvl="8" w:tplc="04090005" w:tentative="1">
      <w:start w:val="1"/>
      <w:numFmt w:val="bullet"/>
      <w:lvlText w:val=""/>
      <w:lvlJc w:val="left"/>
      <w:pPr>
        <w:ind w:left="7421" w:hanging="360"/>
      </w:pPr>
      <w:rPr>
        <w:rFonts w:ascii="Wingdings" w:hAnsi="Wingdings" w:hint="default"/>
      </w:rPr>
    </w:lvl>
  </w:abstractNum>
  <w:abstractNum w:abstractNumId="3" w15:restartNumberingAfterBreak="0">
    <w:nsid w:val="518C3188"/>
    <w:multiLevelType w:val="hybridMultilevel"/>
    <w:tmpl w:val="BA144250"/>
    <w:lvl w:ilvl="0" w:tplc="87E268C0">
      <w:numFmt w:val="bullet"/>
      <w:lvlText w:val="•"/>
      <w:lvlJc w:val="left"/>
      <w:pPr>
        <w:ind w:left="942" w:hanging="360"/>
      </w:pPr>
      <w:rPr>
        <w:rFonts w:ascii="Arial" w:eastAsia="Arial" w:hAnsi="Arial" w:cs="Arial" w:hint="default"/>
        <w:b/>
        <w:bCs/>
        <w:w w:val="117"/>
        <w:sz w:val="24"/>
        <w:szCs w:val="24"/>
        <w:lang w:val="en-US" w:eastAsia="en-US" w:bidi="ar-SA"/>
      </w:rPr>
    </w:lvl>
    <w:lvl w:ilvl="1" w:tplc="1FF8AE5E">
      <w:numFmt w:val="bullet"/>
      <w:lvlText w:val="•"/>
      <w:lvlJc w:val="left"/>
      <w:pPr>
        <w:ind w:left="1816" w:hanging="360"/>
      </w:pPr>
      <w:rPr>
        <w:rFonts w:hint="default"/>
        <w:lang w:val="en-US" w:eastAsia="en-US" w:bidi="ar-SA"/>
      </w:rPr>
    </w:lvl>
    <w:lvl w:ilvl="2" w:tplc="EDB28D54">
      <w:numFmt w:val="bullet"/>
      <w:lvlText w:val="•"/>
      <w:lvlJc w:val="left"/>
      <w:pPr>
        <w:ind w:left="2692" w:hanging="360"/>
      </w:pPr>
      <w:rPr>
        <w:rFonts w:hint="default"/>
        <w:lang w:val="en-US" w:eastAsia="en-US" w:bidi="ar-SA"/>
      </w:rPr>
    </w:lvl>
    <w:lvl w:ilvl="3" w:tplc="3D38D612">
      <w:numFmt w:val="bullet"/>
      <w:lvlText w:val="•"/>
      <w:lvlJc w:val="left"/>
      <w:pPr>
        <w:ind w:left="3568" w:hanging="360"/>
      </w:pPr>
      <w:rPr>
        <w:rFonts w:hint="default"/>
        <w:lang w:val="en-US" w:eastAsia="en-US" w:bidi="ar-SA"/>
      </w:rPr>
    </w:lvl>
    <w:lvl w:ilvl="4" w:tplc="2F960770">
      <w:numFmt w:val="bullet"/>
      <w:lvlText w:val="•"/>
      <w:lvlJc w:val="left"/>
      <w:pPr>
        <w:ind w:left="4444" w:hanging="360"/>
      </w:pPr>
      <w:rPr>
        <w:rFonts w:hint="default"/>
        <w:lang w:val="en-US" w:eastAsia="en-US" w:bidi="ar-SA"/>
      </w:rPr>
    </w:lvl>
    <w:lvl w:ilvl="5" w:tplc="A5CAC7BE">
      <w:numFmt w:val="bullet"/>
      <w:lvlText w:val="•"/>
      <w:lvlJc w:val="left"/>
      <w:pPr>
        <w:ind w:left="5320" w:hanging="360"/>
      </w:pPr>
      <w:rPr>
        <w:rFonts w:hint="default"/>
        <w:lang w:val="en-US" w:eastAsia="en-US" w:bidi="ar-SA"/>
      </w:rPr>
    </w:lvl>
    <w:lvl w:ilvl="6" w:tplc="445C0744">
      <w:numFmt w:val="bullet"/>
      <w:lvlText w:val="•"/>
      <w:lvlJc w:val="left"/>
      <w:pPr>
        <w:ind w:left="6196" w:hanging="360"/>
      </w:pPr>
      <w:rPr>
        <w:rFonts w:hint="default"/>
        <w:lang w:val="en-US" w:eastAsia="en-US" w:bidi="ar-SA"/>
      </w:rPr>
    </w:lvl>
    <w:lvl w:ilvl="7" w:tplc="1410EB4A">
      <w:numFmt w:val="bullet"/>
      <w:lvlText w:val="•"/>
      <w:lvlJc w:val="left"/>
      <w:pPr>
        <w:ind w:left="7072" w:hanging="360"/>
      </w:pPr>
      <w:rPr>
        <w:rFonts w:hint="default"/>
        <w:lang w:val="en-US" w:eastAsia="en-US" w:bidi="ar-SA"/>
      </w:rPr>
    </w:lvl>
    <w:lvl w:ilvl="8" w:tplc="31A85AD6">
      <w:numFmt w:val="bullet"/>
      <w:lvlText w:val="•"/>
      <w:lvlJc w:val="left"/>
      <w:pPr>
        <w:ind w:left="7948" w:hanging="360"/>
      </w:pPr>
      <w:rPr>
        <w:rFonts w:hint="default"/>
        <w:lang w:val="en-US" w:eastAsia="en-US" w:bidi="ar-SA"/>
      </w:rPr>
    </w:lvl>
  </w:abstractNum>
  <w:abstractNum w:abstractNumId="4" w15:restartNumberingAfterBreak="0">
    <w:nsid w:val="609A3567"/>
    <w:multiLevelType w:val="hybridMultilevel"/>
    <w:tmpl w:val="8FA2B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E53C4F"/>
    <w:multiLevelType w:val="hybridMultilevel"/>
    <w:tmpl w:val="E28CC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grammar="clean"/>
  <w:defaultTabStop w:val="720"/>
  <w:hyphenationZone w:val="283"/>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FD0"/>
    <w:rsid w:val="00054FD0"/>
    <w:rsid w:val="000571EB"/>
    <w:rsid w:val="000876B3"/>
    <w:rsid w:val="000A3646"/>
    <w:rsid w:val="000C3106"/>
    <w:rsid w:val="0012534D"/>
    <w:rsid w:val="00133BF5"/>
    <w:rsid w:val="00213FCA"/>
    <w:rsid w:val="00216FAF"/>
    <w:rsid w:val="00232C60"/>
    <w:rsid w:val="00262D1F"/>
    <w:rsid w:val="00271E02"/>
    <w:rsid w:val="00273AA6"/>
    <w:rsid w:val="0028144C"/>
    <w:rsid w:val="002B6DC0"/>
    <w:rsid w:val="002E093A"/>
    <w:rsid w:val="003465F8"/>
    <w:rsid w:val="00392426"/>
    <w:rsid w:val="003E6150"/>
    <w:rsid w:val="004250D9"/>
    <w:rsid w:val="0043459D"/>
    <w:rsid w:val="004469BF"/>
    <w:rsid w:val="00480B79"/>
    <w:rsid w:val="004A768F"/>
    <w:rsid w:val="00556C39"/>
    <w:rsid w:val="005903CF"/>
    <w:rsid w:val="005E7578"/>
    <w:rsid w:val="0060287E"/>
    <w:rsid w:val="00616EE1"/>
    <w:rsid w:val="00653449"/>
    <w:rsid w:val="00740A51"/>
    <w:rsid w:val="0078328A"/>
    <w:rsid w:val="007F2C96"/>
    <w:rsid w:val="00832BA4"/>
    <w:rsid w:val="00864862"/>
    <w:rsid w:val="00966EF2"/>
    <w:rsid w:val="009B71A9"/>
    <w:rsid w:val="009C3352"/>
    <w:rsid w:val="00A14C74"/>
    <w:rsid w:val="00A3111B"/>
    <w:rsid w:val="00A90521"/>
    <w:rsid w:val="00AA4100"/>
    <w:rsid w:val="00AE05D7"/>
    <w:rsid w:val="00B20480"/>
    <w:rsid w:val="00B409D5"/>
    <w:rsid w:val="00B96582"/>
    <w:rsid w:val="00B97B22"/>
    <w:rsid w:val="00C15E13"/>
    <w:rsid w:val="00C92D67"/>
    <w:rsid w:val="00CE343E"/>
    <w:rsid w:val="00D41ED9"/>
    <w:rsid w:val="00D55B89"/>
    <w:rsid w:val="00E64058"/>
    <w:rsid w:val="00EC7CBB"/>
    <w:rsid w:val="00ED32EE"/>
    <w:rsid w:val="00F861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2746F"/>
  <w15:docId w15:val="{0DBD7A4C-DEC3-A043-985B-95D1B5FBE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uiPriority w:val="1"/>
    <w:qFormat/>
    <w:rPr>
      <w:rFonts w:ascii="Times New Roman" w:eastAsia="Times New Roman" w:hAnsi="Times New Roman" w:cs="Times New Roman"/>
    </w:rPr>
  </w:style>
  <w:style w:type="paragraph" w:styleId="Titolo1">
    <w:name w:val="heading 1"/>
    <w:basedOn w:val="Normale"/>
    <w:uiPriority w:val="1"/>
    <w:qFormat/>
    <w:pPr>
      <w:spacing w:before="181"/>
      <w:ind w:left="221"/>
      <w:outlineLvl w:val="0"/>
    </w:pPr>
    <w:rPr>
      <w:b/>
      <w:bCs/>
      <w:sz w:val="32"/>
      <w:szCs w:val="32"/>
    </w:rPr>
  </w:style>
  <w:style w:type="paragraph" w:styleId="Titolo2">
    <w:name w:val="heading 2"/>
    <w:basedOn w:val="Normale"/>
    <w:uiPriority w:val="1"/>
    <w:qFormat/>
    <w:pPr>
      <w:spacing w:before="161"/>
      <w:ind w:left="221"/>
      <w:outlineLvl w:val="1"/>
    </w:pPr>
    <w:rPr>
      <w:sz w:val="28"/>
      <w:szCs w:val="28"/>
    </w:rPr>
  </w:style>
  <w:style w:type="paragraph" w:styleId="Titolo3">
    <w:name w:val="heading 3"/>
    <w:basedOn w:val="Normale"/>
    <w:uiPriority w:val="1"/>
    <w:qFormat/>
    <w:pPr>
      <w:ind w:left="221"/>
      <w:outlineLvl w:val="2"/>
    </w:pPr>
    <w:rPr>
      <w:b/>
      <w:bCs/>
      <w:sz w:val="24"/>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mmario1">
    <w:name w:val="toc 1"/>
    <w:basedOn w:val="Normale"/>
    <w:uiPriority w:val="1"/>
    <w:qFormat/>
    <w:pPr>
      <w:spacing w:before="238"/>
      <w:ind w:left="221"/>
    </w:pPr>
    <w:rPr>
      <w:sz w:val="24"/>
      <w:szCs w:val="24"/>
    </w:rPr>
  </w:style>
  <w:style w:type="paragraph" w:styleId="Sommario2">
    <w:name w:val="toc 2"/>
    <w:basedOn w:val="Normale"/>
    <w:uiPriority w:val="1"/>
    <w:qFormat/>
    <w:pPr>
      <w:spacing w:before="238"/>
      <w:ind w:left="461"/>
    </w:pPr>
    <w:rPr>
      <w:sz w:val="24"/>
      <w:szCs w:val="24"/>
    </w:rPr>
  </w:style>
  <w:style w:type="paragraph" w:styleId="Corpotesto">
    <w:name w:val="Body Text"/>
    <w:basedOn w:val="Normale"/>
    <w:uiPriority w:val="1"/>
    <w:qFormat/>
    <w:pPr>
      <w:ind w:left="221"/>
    </w:pPr>
    <w:rPr>
      <w:sz w:val="24"/>
      <w:szCs w:val="24"/>
    </w:rPr>
  </w:style>
  <w:style w:type="paragraph" w:styleId="Titolo">
    <w:name w:val="Title"/>
    <w:basedOn w:val="Normale"/>
    <w:uiPriority w:val="1"/>
    <w:qFormat/>
    <w:pPr>
      <w:spacing w:before="60"/>
      <w:ind w:left="3522" w:hanging="1186"/>
    </w:pPr>
    <w:rPr>
      <w:b/>
      <w:bCs/>
      <w:sz w:val="48"/>
      <w:szCs w:val="48"/>
    </w:rPr>
  </w:style>
  <w:style w:type="paragraph" w:styleId="Paragrafoelenco">
    <w:name w:val="List Paragraph"/>
    <w:basedOn w:val="Normale"/>
    <w:uiPriority w:val="1"/>
    <w:qFormat/>
    <w:pPr>
      <w:ind w:left="941" w:hanging="360"/>
    </w:pPr>
  </w:style>
  <w:style w:type="paragraph" w:customStyle="1" w:styleId="TableParagraph">
    <w:name w:val="Table Paragraph"/>
    <w:basedOn w:val="Normale"/>
    <w:uiPriority w:val="1"/>
    <w:qFormat/>
    <w:pPr>
      <w:spacing w:line="272" w:lineRule="exact"/>
      <w:ind w:left="112"/>
    </w:pPr>
  </w:style>
  <w:style w:type="paragraph" w:styleId="Testofumetto">
    <w:name w:val="Balloon Text"/>
    <w:basedOn w:val="Normale"/>
    <w:link w:val="TestofumettoCarattere"/>
    <w:uiPriority w:val="99"/>
    <w:semiHidden/>
    <w:unhideWhenUsed/>
    <w:rsid w:val="009B71A9"/>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B71A9"/>
    <w:rPr>
      <w:rFonts w:ascii="Tahoma" w:eastAsia="Times New Roman" w:hAnsi="Tahoma" w:cs="Tahoma"/>
      <w:sz w:val="16"/>
      <w:szCs w:val="16"/>
    </w:rPr>
  </w:style>
  <w:style w:type="table" w:styleId="Grigliatabella">
    <w:name w:val="Table Grid"/>
    <w:basedOn w:val="Tabellanormale"/>
    <w:uiPriority w:val="59"/>
    <w:rsid w:val="001253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essunaspaziatura">
    <w:name w:val="No Spacing"/>
    <w:uiPriority w:val="1"/>
    <w:qFormat/>
    <w:rsid w:val="0012534D"/>
    <w:rPr>
      <w:rFonts w:ascii="Times New Roman" w:eastAsia="Times New Roman" w:hAnsi="Times New Roman" w:cs="Times New Roman"/>
    </w:rPr>
  </w:style>
  <w:style w:type="character" w:styleId="Collegamentoipertestuale">
    <w:name w:val="Hyperlink"/>
    <w:basedOn w:val="Carpredefinitoparagrafo"/>
    <w:uiPriority w:val="99"/>
    <w:unhideWhenUsed/>
    <w:rsid w:val="00966EF2"/>
    <w:rPr>
      <w:color w:val="0000FF" w:themeColor="hyperlink"/>
      <w:u w:val="single"/>
    </w:rPr>
  </w:style>
  <w:style w:type="paragraph" w:styleId="Intestazione">
    <w:name w:val="header"/>
    <w:basedOn w:val="Normale"/>
    <w:link w:val="IntestazioneCarattere"/>
    <w:uiPriority w:val="99"/>
    <w:unhideWhenUsed/>
    <w:rsid w:val="00133BF5"/>
    <w:pPr>
      <w:tabs>
        <w:tab w:val="center" w:pos="4680"/>
        <w:tab w:val="right" w:pos="9360"/>
      </w:tabs>
    </w:pPr>
  </w:style>
  <w:style w:type="character" w:customStyle="1" w:styleId="IntestazioneCarattere">
    <w:name w:val="Intestazione Carattere"/>
    <w:basedOn w:val="Carpredefinitoparagrafo"/>
    <w:link w:val="Intestazione"/>
    <w:uiPriority w:val="99"/>
    <w:rsid w:val="00133BF5"/>
    <w:rPr>
      <w:rFonts w:ascii="Times New Roman" w:eastAsia="Times New Roman" w:hAnsi="Times New Roman" w:cs="Times New Roman"/>
    </w:rPr>
  </w:style>
  <w:style w:type="paragraph" w:styleId="Pidipagina">
    <w:name w:val="footer"/>
    <w:basedOn w:val="Normale"/>
    <w:link w:val="PidipaginaCarattere"/>
    <w:uiPriority w:val="99"/>
    <w:unhideWhenUsed/>
    <w:rsid w:val="00133BF5"/>
    <w:pPr>
      <w:tabs>
        <w:tab w:val="center" w:pos="4680"/>
        <w:tab w:val="right" w:pos="9360"/>
      </w:tabs>
    </w:pPr>
  </w:style>
  <w:style w:type="character" w:customStyle="1" w:styleId="PidipaginaCarattere">
    <w:name w:val="Piè di pagina Carattere"/>
    <w:basedOn w:val="Carpredefinitoparagrafo"/>
    <w:link w:val="Pidipagina"/>
    <w:uiPriority w:val="99"/>
    <w:rsid w:val="00133BF5"/>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790100">
      <w:bodyDiv w:val="1"/>
      <w:marLeft w:val="0"/>
      <w:marRight w:val="0"/>
      <w:marTop w:val="0"/>
      <w:marBottom w:val="0"/>
      <w:divBdr>
        <w:top w:val="none" w:sz="0" w:space="0" w:color="auto"/>
        <w:left w:val="none" w:sz="0" w:space="0" w:color="auto"/>
        <w:bottom w:val="none" w:sz="0" w:space="0" w:color="auto"/>
        <w:right w:val="none" w:sz="0" w:space="0" w:color="auto"/>
      </w:divBdr>
      <w:divsChild>
        <w:div w:id="911886978">
          <w:marLeft w:val="0"/>
          <w:marRight w:val="0"/>
          <w:marTop w:val="0"/>
          <w:marBottom w:val="0"/>
          <w:divBdr>
            <w:top w:val="none" w:sz="0" w:space="0" w:color="auto"/>
            <w:left w:val="none" w:sz="0" w:space="0" w:color="auto"/>
            <w:bottom w:val="none" w:sz="0" w:space="0" w:color="auto"/>
            <w:right w:val="none" w:sz="0" w:space="0" w:color="auto"/>
          </w:divBdr>
        </w:div>
        <w:div w:id="1994479502">
          <w:marLeft w:val="0"/>
          <w:marRight w:val="0"/>
          <w:marTop w:val="0"/>
          <w:marBottom w:val="0"/>
          <w:divBdr>
            <w:top w:val="none" w:sz="0" w:space="0" w:color="auto"/>
            <w:left w:val="none" w:sz="0" w:space="0" w:color="auto"/>
            <w:bottom w:val="none" w:sz="0" w:space="0" w:color="auto"/>
            <w:right w:val="none" w:sz="0" w:space="0" w:color="auto"/>
          </w:divBdr>
        </w:div>
      </w:divsChild>
    </w:div>
    <w:div w:id="966348700">
      <w:bodyDiv w:val="1"/>
      <w:marLeft w:val="0"/>
      <w:marRight w:val="0"/>
      <w:marTop w:val="0"/>
      <w:marBottom w:val="0"/>
      <w:divBdr>
        <w:top w:val="none" w:sz="0" w:space="0" w:color="auto"/>
        <w:left w:val="none" w:sz="0" w:space="0" w:color="auto"/>
        <w:bottom w:val="none" w:sz="0" w:space="0" w:color="auto"/>
        <w:right w:val="none" w:sz="0" w:space="0" w:color="auto"/>
      </w:divBdr>
    </w:div>
    <w:div w:id="1225917953">
      <w:bodyDiv w:val="1"/>
      <w:marLeft w:val="0"/>
      <w:marRight w:val="0"/>
      <w:marTop w:val="0"/>
      <w:marBottom w:val="0"/>
      <w:divBdr>
        <w:top w:val="none" w:sz="0" w:space="0" w:color="auto"/>
        <w:left w:val="none" w:sz="0" w:space="0" w:color="auto"/>
        <w:bottom w:val="none" w:sz="0" w:space="0" w:color="auto"/>
        <w:right w:val="none" w:sz="0" w:space="0" w:color="auto"/>
      </w:divBdr>
    </w:div>
    <w:div w:id="1696535167">
      <w:bodyDiv w:val="1"/>
      <w:marLeft w:val="0"/>
      <w:marRight w:val="0"/>
      <w:marTop w:val="0"/>
      <w:marBottom w:val="0"/>
      <w:divBdr>
        <w:top w:val="none" w:sz="0" w:space="0" w:color="auto"/>
        <w:left w:val="none" w:sz="0" w:space="0" w:color="auto"/>
        <w:bottom w:val="none" w:sz="0" w:space="0" w:color="auto"/>
        <w:right w:val="none" w:sz="0" w:space="0" w:color="auto"/>
      </w:divBdr>
    </w:div>
    <w:div w:id="18046169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investopedia.com/ask/answers/101314/what-are-differences-between-operating-expenses-and-sga.as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pnas.org/doi/10.1073/pnas.2006991117" TargetMode="External"/><Relationship Id="rId17" Type="http://schemas.openxmlformats.org/officeDocument/2006/relationships/hyperlink" Target="https://www.ncbi.nlm.nih.gov/books/NBK519065/" TargetMode="External"/><Relationship Id="rId2" Type="http://schemas.openxmlformats.org/officeDocument/2006/relationships/styles" Target="styles.xml"/><Relationship Id="rId16" Type="http://schemas.openxmlformats.org/officeDocument/2006/relationships/hyperlink" Target="https://www.oecd.org/coronavirus/policy-responses/the-territorial-impact-of-covid-19-managing-the-crisis-across-levels-of-government-d3e314e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ncbi.nlm.nih.gov/pmc/articles/PMC7098028/" TargetMode="External"/><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investopedia.com/ask/answers/033015/how-does-fixed-overhead-differ-varied-overhead.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2780</Words>
  <Characters>15847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rose</dc:creator>
  <cp:lastModifiedBy>Microsoft Office User</cp:lastModifiedBy>
  <cp:revision>2</cp:revision>
  <dcterms:created xsi:type="dcterms:W3CDTF">2022-05-03T14:25:00Z</dcterms:created>
  <dcterms:modified xsi:type="dcterms:W3CDTF">2022-05-03T14:25:00Z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2022-03-24T00:00:00Z</vt:filetime>
  </property>
  <property fmtid="{D5CDD505-2E9C-101B-9397-08002B2CF9AE}" pid="3" name="Creator">
    <vt:lpwstr>Writer</vt:lpwstr>
  </property>
  <property fmtid="{D5CDD505-2E9C-101B-9397-08002B2CF9AE}" pid="4" name="LastSaved">
    <vt:filetime>2022-03-24T00:00:00Z</vt:filetime>
  </property>
</Properties>
</file>