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E4C67" w14:textId="5EAC1F3B" w:rsidR="000B743B" w:rsidRDefault="00E81E9B" w:rsidP="00E81E9B">
      <w:pPr>
        <w:pStyle w:val="NoSpacing"/>
        <w:jc w:val="center"/>
        <w:rPr>
          <w:b/>
          <w:bCs/>
          <w:sz w:val="32"/>
          <w:szCs w:val="32"/>
          <w:lang w:val="en-GB"/>
        </w:rPr>
      </w:pPr>
      <w:r>
        <w:rPr>
          <w:b/>
          <w:bCs/>
          <w:sz w:val="32"/>
          <w:szCs w:val="32"/>
          <w:lang w:val="en-GB"/>
        </w:rPr>
        <w:t>Student Name: Aatiqa Rehmani</w:t>
      </w:r>
    </w:p>
    <w:p w14:paraId="46E8704A" w14:textId="3B9B188B" w:rsidR="00E81E9B" w:rsidRDefault="00E81E9B" w:rsidP="00E81E9B">
      <w:pPr>
        <w:pStyle w:val="NoSpacing"/>
        <w:jc w:val="center"/>
        <w:rPr>
          <w:b/>
          <w:bCs/>
          <w:sz w:val="32"/>
          <w:szCs w:val="32"/>
          <w:lang w:val="en-GB"/>
        </w:rPr>
      </w:pPr>
      <w:r>
        <w:rPr>
          <w:b/>
          <w:bCs/>
          <w:sz w:val="32"/>
          <w:szCs w:val="32"/>
          <w:lang w:val="en-GB"/>
        </w:rPr>
        <w:t>Student Number: 2522836</w:t>
      </w:r>
    </w:p>
    <w:p w14:paraId="116567C8" w14:textId="6F50E582" w:rsidR="00E81E9B" w:rsidRPr="00E81E9B" w:rsidRDefault="00E81E9B" w:rsidP="00E81E9B">
      <w:pPr>
        <w:pStyle w:val="NoSpacing"/>
        <w:jc w:val="center"/>
        <w:rPr>
          <w:b/>
          <w:bCs/>
          <w:sz w:val="32"/>
          <w:szCs w:val="32"/>
          <w:lang w:val="en-GB"/>
        </w:rPr>
      </w:pPr>
      <w:r>
        <w:rPr>
          <w:b/>
          <w:bCs/>
          <w:sz w:val="32"/>
          <w:szCs w:val="32"/>
          <w:lang w:val="en-GB"/>
        </w:rPr>
        <w:t xml:space="preserve">Lecturer Name: Hajra </w:t>
      </w:r>
      <w:proofErr w:type="spellStart"/>
      <w:r>
        <w:rPr>
          <w:b/>
          <w:bCs/>
          <w:sz w:val="32"/>
          <w:szCs w:val="32"/>
          <w:lang w:val="en-GB"/>
        </w:rPr>
        <w:t>Mustasim</w:t>
      </w:r>
      <w:proofErr w:type="spellEnd"/>
    </w:p>
    <w:p w14:paraId="718661FE" w14:textId="69681694" w:rsidR="00347614" w:rsidRPr="009566FB" w:rsidRDefault="0029756B" w:rsidP="009566FB">
      <w:pPr>
        <w:jc w:val="center"/>
        <w:rPr>
          <w:rFonts w:ascii="Arial" w:hAnsi="Arial" w:cs="Arial"/>
          <w:b/>
          <w:bCs/>
          <w:sz w:val="32"/>
          <w:szCs w:val="32"/>
          <w:lang w:val="en-GB"/>
        </w:rPr>
      </w:pPr>
      <w:r w:rsidRPr="009566FB">
        <w:rPr>
          <w:rFonts w:ascii="Arial" w:hAnsi="Arial" w:cs="Arial"/>
          <w:b/>
          <w:bCs/>
          <w:sz w:val="32"/>
          <w:szCs w:val="32"/>
          <w:lang w:val="en-GB"/>
        </w:rPr>
        <w:t>LCHS4007 Component 2</w:t>
      </w:r>
    </w:p>
    <w:p w14:paraId="1B927AEF" w14:textId="3965ED7E" w:rsidR="00752E69" w:rsidRDefault="00752E69" w:rsidP="009566FB">
      <w:pPr>
        <w:jc w:val="center"/>
        <w:rPr>
          <w:rStyle w:val="Strong"/>
          <w:rFonts w:ascii="Arial" w:hAnsi="Arial" w:cs="Arial"/>
          <w:sz w:val="32"/>
          <w:szCs w:val="32"/>
        </w:rPr>
      </w:pPr>
      <w:r w:rsidRPr="009566FB">
        <w:rPr>
          <w:rStyle w:val="Strong"/>
          <w:rFonts w:ascii="Arial" w:hAnsi="Arial" w:cs="Arial"/>
          <w:sz w:val="32"/>
          <w:szCs w:val="32"/>
        </w:rPr>
        <w:t>Workforce Shortages in UK Health and Social Care: A Research Report</w:t>
      </w:r>
    </w:p>
    <w:p w14:paraId="23A2662B" w14:textId="77777777" w:rsidR="0071189B" w:rsidRDefault="0071189B" w:rsidP="009566FB">
      <w:pPr>
        <w:jc w:val="center"/>
        <w:rPr>
          <w:rStyle w:val="Strong"/>
          <w:rFonts w:ascii="Arial" w:hAnsi="Arial" w:cs="Arial"/>
          <w:sz w:val="32"/>
          <w:szCs w:val="32"/>
        </w:rPr>
      </w:pPr>
    </w:p>
    <w:p w14:paraId="426A16B8" w14:textId="77777777" w:rsidR="0071189B" w:rsidRDefault="0071189B" w:rsidP="009566FB">
      <w:pPr>
        <w:jc w:val="center"/>
        <w:rPr>
          <w:rStyle w:val="Strong"/>
          <w:rFonts w:ascii="Arial" w:hAnsi="Arial" w:cs="Arial"/>
          <w:sz w:val="32"/>
          <w:szCs w:val="32"/>
        </w:rPr>
      </w:pPr>
    </w:p>
    <w:p w14:paraId="5B2544B6" w14:textId="77777777" w:rsidR="0071189B" w:rsidRDefault="0071189B" w:rsidP="009566FB">
      <w:pPr>
        <w:jc w:val="center"/>
        <w:rPr>
          <w:rStyle w:val="Strong"/>
          <w:rFonts w:ascii="Arial" w:hAnsi="Arial" w:cs="Arial"/>
          <w:sz w:val="32"/>
          <w:szCs w:val="32"/>
        </w:rPr>
      </w:pPr>
    </w:p>
    <w:p w14:paraId="3C3FB667" w14:textId="77777777" w:rsidR="0071189B" w:rsidRDefault="0071189B" w:rsidP="009566FB">
      <w:pPr>
        <w:jc w:val="center"/>
        <w:rPr>
          <w:rStyle w:val="Strong"/>
          <w:rFonts w:ascii="Arial" w:hAnsi="Arial" w:cs="Arial"/>
          <w:sz w:val="32"/>
          <w:szCs w:val="32"/>
        </w:rPr>
      </w:pPr>
    </w:p>
    <w:p w14:paraId="46247CD7" w14:textId="77777777" w:rsidR="0071189B" w:rsidRDefault="0071189B" w:rsidP="009566FB">
      <w:pPr>
        <w:jc w:val="center"/>
        <w:rPr>
          <w:rStyle w:val="Strong"/>
          <w:rFonts w:ascii="Arial" w:hAnsi="Arial" w:cs="Arial"/>
          <w:sz w:val="32"/>
          <w:szCs w:val="32"/>
        </w:rPr>
      </w:pPr>
    </w:p>
    <w:p w14:paraId="339D83B0" w14:textId="77777777" w:rsidR="0071189B" w:rsidRDefault="0071189B" w:rsidP="009566FB">
      <w:pPr>
        <w:jc w:val="center"/>
        <w:rPr>
          <w:rStyle w:val="Strong"/>
          <w:rFonts w:ascii="Arial" w:hAnsi="Arial" w:cs="Arial"/>
          <w:sz w:val="32"/>
          <w:szCs w:val="32"/>
        </w:rPr>
      </w:pPr>
    </w:p>
    <w:p w14:paraId="56381701" w14:textId="77777777" w:rsidR="0071189B" w:rsidRDefault="0071189B" w:rsidP="009566FB">
      <w:pPr>
        <w:jc w:val="center"/>
        <w:rPr>
          <w:rStyle w:val="Strong"/>
          <w:rFonts w:ascii="Arial" w:hAnsi="Arial" w:cs="Arial"/>
          <w:sz w:val="32"/>
          <w:szCs w:val="32"/>
        </w:rPr>
      </w:pPr>
    </w:p>
    <w:p w14:paraId="205FB0BD" w14:textId="77777777" w:rsidR="0071189B" w:rsidRDefault="0071189B" w:rsidP="009566FB">
      <w:pPr>
        <w:jc w:val="center"/>
        <w:rPr>
          <w:rStyle w:val="Strong"/>
          <w:rFonts w:ascii="Arial" w:hAnsi="Arial" w:cs="Arial"/>
          <w:sz w:val="32"/>
          <w:szCs w:val="32"/>
        </w:rPr>
      </w:pPr>
    </w:p>
    <w:p w14:paraId="71921B81" w14:textId="77777777" w:rsidR="0071189B" w:rsidRDefault="0071189B" w:rsidP="009566FB">
      <w:pPr>
        <w:jc w:val="center"/>
        <w:rPr>
          <w:rStyle w:val="Strong"/>
          <w:rFonts w:ascii="Arial" w:hAnsi="Arial" w:cs="Arial"/>
          <w:sz w:val="32"/>
          <w:szCs w:val="32"/>
        </w:rPr>
      </w:pPr>
    </w:p>
    <w:p w14:paraId="6D131FF6" w14:textId="77777777" w:rsidR="0071189B" w:rsidRDefault="0071189B" w:rsidP="009566FB">
      <w:pPr>
        <w:jc w:val="center"/>
        <w:rPr>
          <w:rStyle w:val="Strong"/>
          <w:rFonts w:ascii="Arial" w:hAnsi="Arial" w:cs="Arial"/>
          <w:sz w:val="32"/>
          <w:szCs w:val="32"/>
        </w:rPr>
      </w:pPr>
    </w:p>
    <w:p w14:paraId="429319A3" w14:textId="77777777" w:rsidR="0071189B" w:rsidRDefault="0071189B" w:rsidP="009566FB">
      <w:pPr>
        <w:jc w:val="center"/>
        <w:rPr>
          <w:rStyle w:val="Strong"/>
          <w:rFonts w:ascii="Arial" w:hAnsi="Arial" w:cs="Arial"/>
          <w:sz w:val="32"/>
          <w:szCs w:val="32"/>
        </w:rPr>
      </w:pPr>
    </w:p>
    <w:p w14:paraId="07F1A16C" w14:textId="77777777" w:rsidR="0071189B" w:rsidRDefault="0071189B" w:rsidP="009566FB">
      <w:pPr>
        <w:jc w:val="center"/>
        <w:rPr>
          <w:rStyle w:val="Strong"/>
          <w:rFonts w:ascii="Arial" w:hAnsi="Arial" w:cs="Arial"/>
          <w:sz w:val="32"/>
          <w:szCs w:val="32"/>
        </w:rPr>
      </w:pPr>
    </w:p>
    <w:p w14:paraId="7F4AA954" w14:textId="77777777" w:rsidR="0071189B" w:rsidRDefault="0071189B" w:rsidP="009566FB">
      <w:pPr>
        <w:jc w:val="center"/>
        <w:rPr>
          <w:rStyle w:val="Strong"/>
          <w:rFonts w:ascii="Arial" w:hAnsi="Arial" w:cs="Arial"/>
          <w:sz w:val="32"/>
          <w:szCs w:val="32"/>
        </w:rPr>
      </w:pPr>
    </w:p>
    <w:p w14:paraId="64279587" w14:textId="77777777" w:rsidR="0071189B" w:rsidRDefault="0071189B" w:rsidP="009566FB">
      <w:pPr>
        <w:jc w:val="center"/>
        <w:rPr>
          <w:rStyle w:val="Strong"/>
          <w:rFonts w:ascii="Arial" w:hAnsi="Arial" w:cs="Arial"/>
          <w:sz w:val="32"/>
          <w:szCs w:val="32"/>
        </w:rPr>
      </w:pPr>
    </w:p>
    <w:p w14:paraId="67A460BC" w14:textId="77777777" w:rsidR="0071189B" w:rsidRDefault="0071189B" w:rsidP="009566FB">
      <w:pPr>
        <w:jc w:val="center"/>
        <w:rPr>
          <w:rStyle w:val="Strong"/>
          <w:rFonts w:ascii="Arial" w:hAnsi="Arial" w:cs="Arial"/>
          <w:sz w:val="32"/>
          <w:szCs w:val="32"/>
        </w:rPr>
      </w:pPr>
    </w:p>
    <w:p w14:paraId="6EA3B228" w14:textId="77777777" w:rsidR="0071189B" w:rsidRDefault="0071189B" w:rsidP="009566FB">
      <w:pPr>
        <w:jc w:val="center"/>
        <w:rPr>
          <w:rStyle w:val="Strong"/>
          <w:rFonts w:ascii="Arial" w:hAnsi="Arial" w:cs="Arial"/>
          <w:sz w:val="32"/>
          <w:szCs w:val="32"/>
        </w:rPr>
      </w:pPr>
    </w:p>
    <w:sdt>
      <w:sdtPr>
        <w:rPr>
          <w:rFonts w:asciiTheme="minorBidi" w:eastAsiaTheme="minorHAnsi" w:hAnsiTheme="minorBidi" w:cstheme="minorBidi"/>
          <w:color w:val="auto"/>
          <w:kern w:val="2"/>
          <w:sz w:val="22"/>
          <w:szCs w:val="22"/>
          <w:lang/>
          <w14:ligatures w14:val="standardContextual"/>
        </w:rPr>
        <w:id w:val="1697585304"/>
        <w:docPartObj>
          <w:docPartGallery w:val="Table of Contents"/>
          <w:docPartUnique/>
        </w:docPartObj>
      </w:sdtPr>
      <w:sdtEndPr>
        <w:rPr>
          <w:noProof/>
        </w:rPr>
      </w:sdtEndPr>
      <w:sdtContent>
        <w:p w14:paraId="74D8A206" w14:textId="0D2DD6D9" w:rsidR="0071189B" w:rsidRPr="00EB3B02" w:rsidRDefault="0071189B">
          <w:pPr>
            <w:pStyle w:val="TOCHeading"/>
            <w:rPr>
              <w:rFonts w:asciiTheme="minorBidi" w:hAnsiTheme="minorBidi" w:cstheme="minorBidi"/>
            </w:rPr>
          </w:pPr>
          <w:r w:rsidRPr="00EB3B02">
            <w:rPr>
              <w:rFonts w:asciiTheme="minorBidi" w:hAnsiTheme="minorBidi" w:cstheme="minorBidi"/>
            </w:rPr>
            <w:t>Table of Contents</w:t>
          </w:r>
        </w:p>
        <w:p w14:paraId="719CBFF3" w14:textId="5DBEEEDD" w:rsidR="0071189B" w:rsidRPr="00EB3B02" w:rsidRDefault="0071189B">
          <w:pPr>
            <w:pStyle w:val="TOC1"/>
            <w:tabs>
              <w:tab w:val="right" w:leader="dot" w:pos="9016"/>
            </w:tabs>
            <w:rPr>
              <w:rFonts w:asciiTheme="minorBidi" w:hAnsiTheme="minorBidi" w:cstheme="minorBidi"/>
              <w:noProof/>
              <w:sz w:val="22"/>
              <w:szCs w:val="22"/>
            </w:rPr>
          </w:pPr>
          <w:r w:rsidRPr="00EB3B02">
            <w:rPr>
              <w:rFonts w:asciiTheme="minorBidi" w:hAnsiTheme="minorBidi" w:cstheme="minorBidi"/>
              <w:b w:val="0"/>
              <w:bCs w:val="0"/>
              <w:sz w:val="22"/>
              <w:szCs w:val="22"/>
            </w:rPr>
            <w:fldChar w:fldCharType="begin"/>
          </w:r>
          <w:r w:rsidRPr="00EB3B02">
            <w:rPr>
              <w:rFonts w:asciiTheme="minorBidi" w:hAnsiTheme="minorBidi" w:cstheme="minorBidi"/>
              <w:sz w:val="22"/>
              <w:szCs w:val="22"/>
            </w:rPr>
            <w:instrText xml:space="preserve"> TOC \o "1-3" \h \z \u </w:instrText>
          </w:r>
          <w:r w:rsidRPr="00EB3B02">
            <w:rPr>
              <w:rFonts w:asciiTheme="minorBidi" w:hAnsiTheme="minorBidi" w:cstheme="minorBidi"/>
              <w:b w:val="0"/>
              <w:bCs w:val="0"/>
              <w:sz w:val="22"/>
              <w:szCs w:val="22"/>
            </w:rPr>
            <w:fldChar w:fldCharType="separate"/>
          </w:r>
          <w:hyperlink w:anchor="_Toc224930696" w:history="1">
            <w:r w:rsidRPr="00EB3B02">
              <w:rPr>
                <w:rStyle w:val="Hyperlink"/>
                <w:rFonts w:asciiTheme="minorBidi" w:hAnsiTheme="minorBidi" w:cstheme="minorBidi"/>
                <w:noProof/>
                <w:sz w:val="22"/>
                <w:szCs w:val="22"/>
              </w:rPr>
              <w:t>Introduction</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_Toc224930696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3</w:t>
            </w:r>
            <w:r w:rsidRPr="00EB3B02">
              <w:rPr>
                <w:rFonts w:asciiTheme="minorBidi" w:hAnsiTheme="minorBidi" w:cstheme="minorBidi"/>
                <w:noProof/>
                <w:webHidden/>
                <w:sz w:val="22"/>
                <w:szCs w:val="22"/>
              </w:rPr>
              <w:fldChar w:fldCharType="end"/>
            </w:r>
          </w:hyperlink>
        </w:p>
        <w:p w14:paraId="257CD43A" w14:textId="74F65C76" w:rsidR="0071189B" w:rsidRPr="00EB3B02" w:rsidRDefault="0071189B">
          <w:pPr>
            <w:pStyle w:val="TOC1"/>
            <w:tabs>
              <w:tab w:val="right" w:leader="dot" w:pos="9016"/>
            </w:tabs>
            <w:rPr>
              <w:rFonts w:asciiTheme="minorBidi" w:hAnsiTheme="minorBidi" w:cstheme="minorBidi"/>
              <w:noProof/>
              <w:sz w:val="22"/>
              <w:szCs w:val="22"/>
            </w:rPr>
          </w:pPr>
          <w:hyperlink w:anchor="_Toc224930697" w:history="1">
            <w:r w:rsidRPr="00EB3B02">
              <w:rPr>
                <w:rStyle w:val="Hyperlink"/>
                <w:rFonts w:asciiTheme="minorBidi" w:hAnsiTheme="minorBidi" w:cstheme="minorBidi"/>
                <w:noProof/>
                <w:sz w:val="22"/>
                <w:szCs w:val="22"/>
              </w:rPr>
              <w:t>Task 1 – Selection of a Research Topic</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_Toc224930697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3</w:t>
            </w:r>
            <w:r w:rsidRPr="00EB3B02">
              <w:rPr>
                <w:rFonts w:asciiTheme="minorBidi" w:hAnsiTheme="minorBidi" w:cstheme="minorBidi"/>
                <w:noProof/>
                <w:webHidden/>
                <w:sz w:val="22"/>
                <w:szCs w:val="22"/>
              </w:rPr>
              <w:fldChar w:fldCharType="end"/>
            </w:r>
          </w:hyperlink>
        </w:p>
        <w:p w14:paraId="40E66DCB" w14:textId="5B5343A9" w:rsidR="0071189B" w:rsidRPr="00EB3B02" w:rsidRDefault="0071189B">
          <w:pPr>
            <w:pStyle w:val="TOC2"/>
            <w:tabs>
              <w:tab w:val="right" w:leader="dot" w:pos="9016"/>
            </w:tabs>
            <w:rPr>
              <w:rFonts w:asciiTheme="minorBidi" w:hAnsiTheme="minorBidi" w:cstheme="minorBidi"/>
              <w:noProof/>
              <w:sz w:val="22"/>
              <w:szCs w:val="22"/>
            </w:rPr>
          </w:pPr>
          <w:hyperlink w:anchor="_Toc224930698" w:history="1">
            <w:r w:rsidRPr="00EB3B02">
              <w:rPr>
                <w:rStyle w:val="Hyperlink"/>
                <w:rFonts w:asciiTheme="minorBidi" w:hAnsiTheme="minorBidi" w:cstheme="minorBidi"/>
                <w:noProof/>
                <w:sz w:val="22"/>
                <w:szCs w:val="22"/>
              </w:rPr>
              <w:t>Identification of the Problem</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_Toc224930698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3</w:t>
            </w:r>
            <w:r w:rsidRPr="00EB3B02">
              <w:rPr>
                <w:rFonts w:asciiTheme="minorBidi" w:hAnsiTheme="minorBidi" w:cstheme="minorBidi"/>
                <w:noProof/>
                <w:webHidden/>
                <w:sz w:val="22"/>
                <w:szCs w:val="22"/>
              </w:rPr>
              <w:fldChar w:fldCharType="end"/>
            </w:r>
          </w:hyperlink>
        </w:p>
        <w:p w14:paraId="630ECB7A" w14:textId="4F5B823B" w:rsidR="0071189B" w:rsidRPr="00EB3B02" w:rsidRDefault="0071189B">
          <w:pPr>
            <w:pStyle w:val="TOC2"/>
            <w:tabs>
              <w:tab w:val="right" w:leader="dot" w:pos="9016"/>
            </w:tabs>
            <w:rPr>
              <w:rFonts w:asciiTheme="minorBidi" w:hAnsiTheme="minorBidi" w:cstheme="minorBidi"/>
              <w:noProof/>
              <w:sz w:val="22"/>
              <w:szCs w:val="22"/>
            </w:rPr>
          </w:pPr>
          <w:hyperlink w:anchor="_Toc224930699" w:history="1">
            <w:r w:rsidRPr="00EB3B02">
              <w:rPr>
                <w:rStyle w:val="Hyperlink"/>
                <w:rFonts w:asciiTheme="minorBidi" w:hAnsiTheme="minorBidi" w:cstheme="minorBidi"/>
                <w:noProof/>
                <w:sz w:val="22"/>
                <w:szCs w:val="22"/>
              </w:rPr>
              <w:t>Who Is Affected and Why It Matters</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_Toc224930699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3</w:t>
            </w:r>
            <w:r w:rsidRPr="00EB3B02">
              <w:rPr>
                <w:rFonts w:asciiTheme="minorBidi" w:hAnsiTheme="minorBidi" w:cstheme="minorBidi"/>
                <w:noProof/>
                <w:webHidden/>
                <w:sz w:val="22"/>
                <w:szCs w:val="22"/>
              </w:rPr>
              <w:fldChar w:fldCharType="end"/>
            </w:r>
          </w:hyperlink>
        </w:p>
        <w:p w14:paraId="49A0F324" w14:textId="084234E3" w:rsidR="0071189B" w:rsidRPr="00EB3B02" w:rsidRDefault="0071189B">
          <w:pPr>
            <w:pStyle w:val="TOC2"/>
            <w:tabs>
              <w:tab w:val="right" w:leader="dot" w:pos="9016"/>
            </w:tabs>
            <w:rPr>
              <w:rFonts w:asciiTheme="minorBidi" w:hAnsiTheme="minorBidi" w:cstheme="minorBidi"/>
              <w:noProof/>
              <w:sz w:val="22"/>
              <w:szCs w:val="22"/>
            </w:rPr>
          </w:pPr>
          <w:hyperlink w:anchor="_Toc224930700" w:history="1">
            <w:r w:rsidRPr="00EB3B02">
              <w:rPr>
                <w:rStyle w:val="Hyperlink"/>
                <w:rFonts w:asciiTheme="minorBidi" w:hAnsiTheme="minorBidi" w:cstheme="minorBidi"/>
                <w:noProof/>
                <w:sz w:val="22"/>
                <w:szCs w:val="22"/>
              </w:rPr>
              <w:t>Reflection on Topic Choice</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_Toc224930700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4</w:t>
            </w:r>
            <w:r w:rsidRPr="00EB3B02">
              <w:rPr>
                <w:rFonts w:asciiTheme="minorBidi" w:hAnsiTheme="minorBidi" w:cstheme="minorBidi"/>
                <w:noProof/>
                <w:webHidden/>
                <w:sz w:val="22"/>
                <w:szCs w:val="22"/>
              </w:rPr>
              <w:fldChar w:fldCharType="end"/>
            </w:r>
          </w:hyperlink>
        </w:p>
        <w:p w14:paraId="3E9C9487" w14:textId="12EE9B83" w:rsidR="0071189B" w:rsidRPr="00EB3B02" w:rsidRDefault="0071189B">
          <w:pPr>
            <w:pStyle w:val="TOC1"/>
            <w:tabs>
              <w:tab w:val="right" w:leader="dot" w:pos="9016"/>
            </w:tabs>
            <w:rPr>
              <w:rFonts w:asciiTheme="minorBidi" w:hAnsiTheme="minorBidi" w:cstheme="minorBidi"/>
              <w:noProof/>
              <w:sz w:val="22"/>
              <w:szCs w:val="22"/>
            </w:rPr>
          </w:pPr>
          <w:hyperlink w:anchor="_Toc224930701" w:history="1">
            <w:r w:rsidRPr="00EB3B02">
              <w:rPr>
                <w:rStyle w:val="Hyperlink"/>
                <w:rFonts w:asciiTheme="minorBidi" w:hAnsiTheme="minorBidi" w:cstheme="minorBidi"/>
                <w:noProof/>
                <w:sz w:val="22"/>
                <w:szCs w:val="22"/>
              </w:rPr>
              <w:t>Task 2 – Evaluating Information Sources</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_Toc224930701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4</w:t>
            </w:r>
            <w:r w:rsidRPr="00EB3B02">
              <w:rPr>
                <w:rFonts w:asciiTheme="minorBidi" w:hAnsiTheme="minorBidi" w:cstheme="minorBidi"/>
                <w:noProof/>
                <w:webHidden/>
                <w:sz w:val="22"/>
                <w:szCs w:val="22"/>
              </w:rPr>
              <w:fldChar w:fldCharType="end"/>
            </w:r>
          </w:hyperlink>
        </w:p>
        <w:p w14:paraId="17FAE0D4" w14:textId="6BAC036F" w:rsidR="0071189B" w:rsidRPr="00EB3B02" w:rsidRDefault="0071189B">
          <w:pPr>
            <w:pStyle w:val="TOC1"/>
            <w:tabs>
              <w:tab w:val="right" w:leader="dot" w:pos="9016"/>
            </w:tabs>
            <w:rPr>
              <w:rFonts w:asciiTheme="minorBidi" w:hAnsiTheme="minorBidi" w:cstheme="minorBidi"/>
              <w:noProof/>
              <w:sz w:val="22"/>
              <w:szCs w:val="22"/>
            </w:rPr>
          </w:pPr>
          <w:hyperlink w:anchor="_Toc224930702" w:history="1">
            <w:r w:rsidRPr="00EB3B02">
              <w:rPr>
                <w:rStyle w:val="Hyperlink"/>
                <w:rFonts w:asciiTheme="minorBidi" w:hAnsiTheme="minorBidi" w:cstheme="minorBidi"/>
                <w:noProof/>
                <w:sz w:val="22"/>
                <w:szCs w:val="22"/>
              </w:rPr>
              <w:t>Task 3 – Research Methodologies</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_Toc224930702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5</w:t>
            </w:r>
            <w:r w:rsidRPr="00EB3B02">
              <w:rPr>
                <w:rFonts w:asciiTheme="minorBidi" w:hAnsiTheme="minorBidi" w:cstheme="minorBidi"/>
                <w:noProof/>
                <w:webHidden/>
                <w:sz w:val="22"/>
                <w:szCs w:val="22"/>
              </w:rPr>
              <w:fldChar w:fldCharType="end"/>
            </w:r>
          </w:hyperlink>
        </w:p>
        <w:p w14:paraId="0E8FDA11" w14:textId="1DE61C6F" w:rsidR="0071189B" w:rsidRPr="00EB3B02" w:rsidRDefault="0071189B">
          <w:pPr>
            <w:pStyle w:val="TOC2"/>
            <w:tabs>
              <w:tab w:val="right" w:leader="dot" w:pos="9016"/>
            </w:tabs>
            <w:rPr>
              <w:rFonts w:asciiTheme="minorBidi" w:hAnsiTheme="minorBidi" w:cstheme="minorBidi"/>
              <w:noProof/>
              <w:sz w:val="22"/>
              <w:szCs w:val="22"/>
            </w:rPr>
          </w:pPr>
          <w:hyperlink w:anchor="_Toc224930703" w:history="1">
            <w:r w:rsidRPr="00EB3B02">
              <w:rPr>
                <w:rStyle w:val="Hyperlink"/>
                <w:rFonts w:asciiTheme="minorBidi" w:hAnsiTheme="minorBidi" w:cstheme="minorBidi"/>
                <w:noProof/>
                <w:sz w:val="22"/>
                <w:szCs w:val="22"/>
              </w:rPr>
              <w:t>Definitions</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_Toc224930703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5</w:t>
            </w:r>
            <w:r w:rsidRPr="00EB3B02">
              <w:rPr>
                <w:rFonts w:asciiTheme="minorBidi" w:hAnsiTheme="minorBidi" w:cstheme="minorBidi"/>
                <w:noProof/>
                <w:webHidden/>
                <w:sz w:val="22"/>
                <w:szCs w:val="22"/>
              </w:rPr>
              <w:fldChar w:fldCharType="end"/>
            </w:r>
          </w:hyperlink>
        </w:p>
        <w:p w14:paraId="3FAD88BB" w14:textId="1181335C" w:rsidR="0071189B" w:rsidRPr="00EB3B02" w:rsidRDefault="0071189B">
          <w:pPr>
            <w:pStyle w:val="TOC2"/>
            <w:tabs>
              <w:tab w:val="right" w:leader="dot" w:pos="9016"/>
            </w:tabs>
            <w:rPr>
              <w:rFonts w:asciiTheme="minorBidi" w:hAnsiTheme="minorBidi" w:cstheme="minorBidi"/>
              <w:noProof/>
              <w:sz w:val="22"/>
              <w:szCs w:val="22"/>
            </w:rPr>
          </w:pPr>
          <w:hyperlink w:anchor="_Toc224930704" w:history="1">
            <w:r w:rsidRPr="00EB3B02">
              <w:rPr>
                <w:rStyle w:val="Hyperlink"/>
                <w:rFonts w:asciiTheme="minorBidi" w:hAnsiTheme="minorBidi" w:cstheme="minorBidi"/>
                <w:noProof/>
                <w:sz w:val="22"/>
                <w:szCs w:val="22"/>
              </w:rPr>
              <w:t>Chosen Methodology</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_Toc224930704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6</w:t>
            </w:r>
            <w:r w:rsidRPr="00EB3B02">
              <w:rPr>
                <w:rFonts w:asciiTheme="minorBidi" w:hAnsiTheme="minorBidi" w:cstheme="minorBidi"/>
                <w:noProof/>
                <w:webHidden/>
                <w:sz w:val="22"/>
                <w:szCs w:val="22"/>
              </w:rPr>
              <w:fldChar w:fldCharType="end"/>
            </w:r>
          </w:hyperlink>
        </w:p>
        <w:p w14:paraId="7F633D81" w14:textId="137BDBA1" w:rsidR="0071189B" w:rsidRPr="00EB3B02" w:rsidRDefault="0071189B">
          <w:pPr>
            <w:pStyle w:val="TOC1"/>
            <w:tabs>
              <w:tab w:val="right" w:leader="dot" w:pos="9016"/>
            </w:tabs>
            <w:rPr>
              <w:rFonts w:asciiTheme="minorBidi" w:hAnsiTheme="minorBidi" w:cstheme="minorBidi"/>
              <w:noProof/>
              <w:sz w:val="22"/>
              <w:szCs w:val="22"/>
            </w:rPr>
          </w:pPr>
          <w:hyperlink w:anchor="_Toc224930705" w:history="1">
            <w:r w:rsidRPr="00EB3B02">
              <w:rPr>
                <w:rStyle w:val="Hyperlink"/>
                <w:rFonts w:asciiTheme="minorBidi" w:hAnsiTheme="minorBidi" w:cstheme="minorBidi"/>
                <w:noProof/>
                <w:sz w:val="22"/>
                <w:szCs w:val="22"/>
              </w:rPr>
              <w:t>Task 4 – Data Collection</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_Toc224930705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6</w:t>
            </w:r>
            <w:r w:rsidRPr="00EB3B02">
              <w:rPr>
                <w:rFonts w:asciiTheme="minorBidi" w:hAnsiTheme="minorBidi" w:cstheme="minorBidi"/>
                <w:noProof/>
                <w:webHidden/>
                <w:sz w:val="22"/>
                <w:szCs w:val="22"/>
              </w:rPr>
              <w:fldChar w:fldCharType="end"/>
            </w:r>
          </w:hyperlink>
        </w:p>
        <w:p w14:paraId="1D3B7A52" w14:textId="1433A87A" w:rsidR="0071189B" w:rsidRPr="00EB3B02" w:rsidRDefault="0071189B">
          <w:pPr>
            <w:pStyle w:val="TOC2"/>
            <w:tabs>
              <w:tab w:val="right" w:leader="dot" w:pos="9016"/>
            </w:tabs>
            <w:rPr>
              <w:rFonts w:asciiTheme="minorBidi" w:hAnsiTheme="minorBidi" w:cstheme="minorBidi"/>
              <w:noProof/>
              <w:sz w:val="22"/>
              <w:szCs w:val="22"/>
            </w:rPr>
          </w:pPr>
          <w:hyperlink w:anchor="_Toc224930706" w:history="1">
            <w:r w:rsidRPr="00EB3B02">
              <w:rPr>
                <w:rStyle w:val="Hyperlink"/>
                <w:rFonts w:asciiTheme="minorBidi" w:hAnsiTheme="minorBidi" w:cstheme="minorBidi"/>
                <w:noProof/>
                <w:sz w:val="22"/>
                <w:szCs w:val="22"/>
              </w:rPr>
              <w:t>Primary vs Secondary Data</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_Toc224930706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6</w:t>
            </w:r>
            <w:r w:rsidRPr="00EB3B02">
              <w:rPr>
                <w:rFonts w:asciiTheme="minorBidi" w:hAnsiTheme="minorBidi" w:cstheme="minorBidi"/>
                <w:noProof/>
                <w:webHidden/>
                <w:sz w:val="22"/>
                <w:szCs w:val="22"/>
              </w:rPr>
              <w:fldChar w:fldCharType="end"/>
            </w:r>
          </w:hyperlink>
        </w:p>
        <w:p w14:paraId="0DD06A64" w14:textId="6A086F74" w:rsidR="0071189B" w:rsidRPr="00EB3B02" w:rsidRDefault="0071189B">
          <w:pPr>
            <w:pStyle w:val="TOC2"/>
            <w:tabs>
              <w:tab w:val="right" w:leader="dot" w:pos="9016"/>
            </w:tabs>
            <w:rPr>
              <w:rFonts w:asciiTheme="minorBidi" w:hAnsiTheme="minorBidi" w:cstheme="minorBidi"/>
              <w:noProof/>
              <w:sz w:val="22"/>
              <w:szCs w:val="22"/>
            </w:rPr>
          </w:pPr>
          <w:hyperlink w:anchor="_Toc224930707" w:history="1">
            <w:r w:rsidRPr="00EB3B02">
              <w:rPr>
                <w:rStyle w:val="Hyperlink"/>
                <w:rFonts w:asciiTheme="minorBidi" w:hAnsiTheme="minorBidi" w:cstheme="minorBidi"/>
                <w:noProof/>
                <w:sz w:val="22"/>
                <w:szCs w:val="22"/>
              </w:rPr>
              <w:t>Chosen Data Type and Justification</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_Toc224930707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6</w:t>
            </w:r>
            <w:r w:rsidRPr="00EB3B02">
              <w:rPr>
                <w:rFonts w:asciiTheme="minorBidi" w:hAnsiTheme="minorBidi" w:cstheme="minorBidi"/>
                <w:noProof/>
                <w:webHidden/>
                <w:sz w:val="22"/>
                <w:szCs w:val="22"/>
              </w:rPr>
              <w:fldChar w:fldCharType="end"/>
            </w:r>
          </w:hyperlink>
        </w:p>
        <w:p w14:paraId="0F8E4690" w14:textId="4344A283" w:rsidR="0071189B" w:rsidRPr="00EB3B02" w:rsidRDefault="0071189B">
          <w:pPr>
            <w:pStyle w:val="TOC2"/>
            <w:tabs>
              <w:tab w:val="right" w:leader="dot" w:pos="9016"/>
            </w:tabs>
            <w:rPr>
              <w:rFonts w:asciiTheme="minorBidi" w:hAnsiTheme="minorBidi" w:cstheme="minorBidi"/>
              <w:noProof/>
              <w:sz w:val="22"/>
              <w:szCs w:val="22"/>
            </w:rPr>
          </w:pPr>
          <w:hyperlink w:anchor="_Toc224930708" w:history="1">
            <w:r w:rsidRPr="00EB3B02">
              <w:rPr>
                <w:rStyle w:val="Hyperlink"/>
                <w:rFonts w:asciiTheme="minorBidi" w:hAnsiTheme="minorBidi" w:cstheme="minorBidi"/>
                <w:noProof/>
                <w:sz w:val="22"/>
                <w:szCs w:val="22"/>
              </w:rPr>
              <w:t>Advantages and Challenges</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_Toc224930708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7</w:t>
            </w:r>
            <w:r w:rsidRPr="00EB3B02">
              <w:rPr>
                <w:rFonts w:asciiTheme="minorBidi" w:hAnsiTheme="minorBidi" w:cstheme="minorBidi"/>
                <w:noProof/>
                <w:webHidden/>
                <w:sz w:val="22"/>
                <w:szCs w:val="22"/>
              </w:rPr>
              <w:fldChar w:fldCharType="end"/>
            </w:r>
          </w:hyperlink>
        </w:p>
        <w:p w14:paraId="6035B9AF" w14:textId="21F9D686" w:rsidR="0071189B" w:rsidRPr="00EB3B02" w:rsidRDefault="0071189B">
          <w:pPr>
            <w:pStyle w:val="TOC1"/>
            <w:tabs>
              <w:tab w:val="right" w:leader="dot" w:pos="9016"/>
            </w:tabs>
            <w:rPr>
              <w:rFonts w:asciiTheme="minorBidi" w:hAnsiTheme="minorBidi" w:cstheme="minorBidi"/>
              <w:noProof/>
              <w:sz w:val="22"/>
              <w:szCs w:val="22"/>
            </w:rPr>
          </w:pPr>
          <w:hyperlink w:anchor="_Toc224930709" w:history="1">
            <w:r w:rsidRPr="00EB3B02">
              <w:rPr>
                <w:rStyle w:val="Hyperlink"/>
                <w:rFonts w:asciiTheme="minorBidi" w:hAnsiTheme="minorBidi" w:cstheme="minorBidi"/>
                <w:noProof/>
                <w:sz w:val="22"/>
                <w:szCs w:val="22"/>
              </w:rPr>
              <w:t>Conclusion</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_Toc224930709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7</w:t>
            </w:r>
            <w:r w:rsidRPr="00EB3B02">
              <w:rPr>
                <w:rFonts w:asciiTheme="minorBidi" w:hAnsiTheme="minorBidi" w:cstheme="minorBidi"/>
                <w:noProof/>
                <w:webHidden/>
                <w:sz w:val="22"/>
                <w:szCs w:val="22"/>
              </w:rPr>
              <w:fldChar w:fldCharType="end"/>
            </w:r>
          </w:hyperlink>
        </w:p>
        <w:p w14:paraId="08215155" w14:textId="20EEBA62" w:rsidR="0071189B" w:rsidRPr="00EB3B02" w:rsidRDefault="0071189B">
          <w:pPr>
            <w:pStyle w:val="TOC1"/>
            <w:tabs>
              <w:tab w:val="right" w:leader="dot" w:pos="9016"/>
            </w:tabs>
            <w:rPr>
              <w:rFonts w:asciiTheme="minorBidi" w:hAnsiTheme="minorBidi" w:cstheme="minorBidi"/>
              <w:noProof/>
              <w:sz w:val="22"/>
              <w:szCs w:val="22"/>
            </w:rPr>
          </w:pPr>
          <w:hyperlink w:anchor="_Toc224930710" w:history="1">
            <w:r w:rsidRPr="00EB3B02">
              <w:rPr>
                <w:rStyle w:val="Hyperlink"/>
                <w:rFonts w:asciiTheme="minorBidi" w:hAnsiTheme="minorBidi" w:cstheme="minorBidi"/>
                <w:noProof/>
                <w:sz w:val="22"/>
                <w:szCs w:val="22"/>
                <w:lang w:val="en-GB"/>
              </w:rPr>
              <w:t>References</w:t>
            </w:r>
            <w:r w:rsidRPr="00EB3B02">
              <w:rPr>
                <w:rFonts w:asciiTheme="minorBidi" w:hAnsiTheme="minorBidi" w:cstheme="minorBidi"/>
                <w:noProof/>
                <w:webHidden/>
                <w:sz w:val="22"/>
                <w:szCs w:val="22"/>
              </w:rPr>
              <w:tab/>
            </w:r>
            <w:r w:rsidRPr="00EB3B02">
              <w:rPr>
                <w:rFonts w:asciiTheme="minorBidi" w:hAnsiTheme="minorBidi" w:cstheme="minorBidi"/>
                <w:noProof/>
                <w:webHidden/>
                <w:sz w:val="22"/>
                <w:szCs w:val="22"/>
              </w:rPr>
              <w:fldChar w:fldCharType="begin"/>
            </w:r>
            <w:r w:rsidRPr="00EB3B02">
              <w:rPr>
                <w:rFonts w:asciiTheme="minorBidi" w:hAnsiTheme="minorBidi" w:cstheme="minorBidi"/>
                <w:noProof/>
                <w:webHidden/>
                <w:sz w:val="22"/>
                <w:szCs w:val="22"/>
              </w:rPr>
              <w:instrText xml:space="preserve"> PAGEREF _Toc224930710 \h </w:instrText>
            </w:r>
            <w:r w:rsidRPr="00EB3B02">
              <w:rPr>
                <w:rFonts w:asciiTheme="minorBidi" w:hAnsiTheme="minorBidi" w:cstheme="minorBidi"/>
                <w:noProof/>
                <w:webHidden/>
                <w:sz w:val="22"/>
                <w:szCs w:val="22"/>
              </w:rPr>
            </w:r>
            <w:r w:rsidRPr="00EB3B02">
              <w:rPr>
                <w:rFonts w:asciiTheme="minorBidi" w:hAnsiTheme="minorBidi" w:cstheme="minorBidi"/>
                <w:noProof/>
                <w:webHidden/>
                <w:sz w:val="22"/>
                <w:szCs w:val="22"/>
              </w:rPr>
              <w:fldChar w:fldCharType="separate"/>
            </w:r>
            <w:r w:rsidR="00D13C7B">
              <w:rPr>
                <w:rFonts w:asciiTheme="minorBidi" w:hAnsiTheme="minorBidi" w:cstheme="minorBidi"/>
                <w:noProof/>
                <w:webHidden/>
                <w:sz w:val="22"/>
                <w:szCs w:val="22"/>
              </w:rPr>
              <w:t>8</w:t>
            </w:r>
            <w:r w:rsidRPr="00EB3B02">
              <w:rPr>
                <w:rFonts w:asciiTheme="minorBidi" w:hAnsiTheme="minorBidi" w:cstheme="minorBidi"/>
                <w:noProof/>
                <w:webHidden/>
                <w:sz w:val="22"/>
                <w:szCs w:val="22"/>
              </w:rPr>
              <w:fldChar w:fldCharType="end"/>
            </w:r>
          </w:hyperlink>
        </w:p>
        <w:p w14:paraId="35CCBE5C" w14:textId="7F58CFEE" w:rsidR="0071189B" w:rsidRDefault="0071189B">
          <w:r w:rsidRPr="00EB3B02">
            <w:rPr>
              <w:b/>
              <w:bCs/>
              <w:noProof/>
              <w:szCs w:val="22"/>
            </w:rPr>
            <w:fldChar w:fldCharType="end"/>
          </w:r>
        </w:p>
      </w:sdtContent>
    </w:sdt>
    <w:p w14:paraId="456437B4" w14:textId="77777777" w:rsidR="0071189B" w:rsidRDefault="0071189B" w:rsidP="009566FB">
      <w:pPr>
        <w:jc w:val="center"/>
        <w:rPr>
          <w:rStyle w:val="Strong"/>
          <w:rFonts w:ascii="Arial" w:hAnsi="Arial" w:cs="Arial"/>
          <w:sz w:val="32"/>
          <w:szCs w:val="32"/>
        </w:rPr>
      </w:pPr>
    </w:p>
    <w:p w14:paraId="76091DE8" w14:textId="77777777" w:rsidR="0071189B" w:rsidRDefault="0071189B" w:rsidP="009566FB">
      <w:pPr>
        <w:jc w:val="center"/>
        <w:rPr>
          <w:rStyle w:val="Strong"/>
          <w:rFonts w:ascii="Arial" w:hAnsi="Arial" w:cs="Arial"/>
          <w:sz w:val="32"/>
          <w:szCs w:val="32"/>
        </w:rPr>
      </w:pPr>
    </w:p>
    <w:p w14:paraId="1A597FDE" w14:textId="77777777" w:rsidR="0071189B" w:rsidRDefault="0071189B" w:rsidP="009566FB">
      <w:pPr>
        <w:jc w:val="center"/>
        <w:rPr>
          <w:rStyle w:val="Strong"/>
          <w:rFonts w:ascii="Arial" w:hAnsi="Arial" w:cs="Arial"/>
          <w:sz w:val="32"/>
          <w:szCs w:val="32"/>
        </w:rPr>
      </w:pPr>
    </w:p>
    <w:p w14:paraId="6593834C" w14:textId="77777777" w:rsidR="0071189B" w:rsidRDefault="0071189B" w:rsidP="009566FB">
      <w:pPr>
        <w:jc w:val="center"/>
        <w:rPr>
          <w:rFonts w:ascii="Arial" w:hAnsi="Arial" w:cs="Arial"/>
          <w:b/>
          <w:bCs/>
          <w:sz w:val="32"/>
          <w:szCs w:val="32"/>
        </w:rPr>
      </w:pPr>
    </w:p>
    <w:p w14:paraId="7AEA02FE" w14:textId="77777777" w:rsidR="00D13C7B" w:rsidRPr="009566FB" w:rsidRDefault="00D13C7B" w:rsidP="009566FB">
      <w:pPr>
        <w:jc w:val="center"/>
        <w:rPr>
          <w:rFonts w:ascii="Arial" w:hAnsi="Arial" w:cs="Arial"/>
          <w:b/>
          <w:bCs/>
          <w:sz w:val="32"/>
          <w:szCs w:val="32"/>
        </w:rPr>
      </w:pPr>
    </w:p>
    <w:p w14:paraId="5D82E2A9" w14:textId="7ACEE35E" w:rsidR="00752E69" w:rsidRPr="00481EEA" w:rsidRDefault="00752E69" w:rsidP="002A249F">
      <w:pPr>
        <w:pStyle w:val="Heading1"/>
        <w:jc w:val="both"/>
      </w:pPr>
      <w:bookmarkStart w:id="0" w:name="_Toc224930696"/>
      <w:r w:rsidRPr="00481EEA">
        <w:rPr>
          <w:rStyle w:val="Strong"/>
          <w:rFonts w:ascii="Arial" w:hAnsi="Arial" w:cs="Arial"/>
          <w:b/>
          <w:bCs w:val="0"/>
          <w:sz w:val="22"/>
          <w:szCs w:val="22"/>
        </w:rPr>
        <w:lastRenderedPageBreak/>
        <w:t>Introduction</w:t>
      </w:r>
      <w:bookmarkEnd w:id="0"/>
      <w:r w:rsidRPr="00481EEA">
        <w:rPr>
          <w:rStyle w:val="Strong"/>
          <w:rFonts w:ascii="Arial" w:hAnsi="Arial" w:cs="Arial"/>
          <w:b/>
          <w:bCs w:val="0"/>
          <w:sz w:val="22"/>
          <w:szCs w:val="22"/>
        </w:rPr>
        <w:t xml:space="preserve"> </w:t>
      </w:r>
    </w:p>
    <w:p w14:paraId="26125DD0" w14:textId="77777777" w:rsidR="0030474E" w:rsidRDefault="0030474E" w:rsidP="002A249F">
      <w:pPr>
        <w:pStyle w:val="NormalWeb"/>
        <w:spacing w:line="360" w:lineRule="auto"/>
        <w:jc w:val="both"/>
        <w:rPr>
          <w:rFonts w:ascii="Arial" w:hAnsi="Arial" w:cs="Arial"/>
          <w:szCs w:val="22"/>
        </w:rPr>
      </w:pPr>
      <w:r w:rsidRPr="0030474E">
        <w:rPr>
          <w:rFonts w:ascii="Arial" w:hAnsi="Arial" w:cs="Arial"/>
          <w:szCs w:val="22"/>
        </w:rPr>
        <w:t xml:space="preserve">One of the most burning challenges to the health and social care system in the UK has been workforce shortages. The adult social care sector and National Health Service (NHS) are grappling with staffing shortages in a variety of professions, including nurses, care workers, and other allied health professionals (Shemtob et al., 2023). </w:t>
      </w:r>
    </w:p>
    <w:p w14:paraId="519AE84A" w14:textId="2CC1E8F2" w:rsidR="00752E69" w:rsidRPr="00481EEA" w:rsidRDefault="00752E69" w:rsidP="002A249F">
      <w:pPr>
        <w:pStyle w:val="NormalWeb"/>
        <w:spacing w:line="360" w:lineRule="auto"/>
        <w:jc w:val="both"/>
        <w:rPr>
          <w:rFonts w:ascii="Arial" w:hAnsi="Arial" w:cs="Arial"/>
          <w:szCs w:val="22"/>
        </w:rPr>
      </w:pPr>
      <w:r w:rsidRPr="00481EEA">
        <w:rPr>
          <w:rFonts w:ascii="Arial" w:hAnsi="Arial" w:cs="Arial"/>
          <w:szCs w:val="22"/>
        </w:rPr>
        <w:t>This report explores the issue of workforce shortages, its impact on service delivery and patient outcomes, and why it matters to organisations, staff, and service users. A brief research plan outlines potential methodologies and data collection methods to investigate the problem further. The report concludes with reflections on the topic’s relevance to professional development in health and social care.</w:t>
      </w:r>
    </w:p>
    <w:p w14:paraId="3ECE4490" w14:textId="599DFB91" w:rsidR="00752E69" w:rsidRPr="00481EEA" w:rsidRDefault="00752E69" w:rsidP="002A249F">
      <w:pPr>
        <w:pStyle w:val="Heading1"/>
        <w:jc w:val="both"/>
      </w:pPr>
      <w:bookmarkStart w:id="1" w:name="_Toc224930697"/>
      <w:r w:rsidRPr="00481EEA">
        <w:rPr>
          <w:rStyle w:val="Strong"/>
          <w:rFonts w:ascii="Arial" w:hAnsi="Arial" w:cs="Arial"/>
          <w:b/>
          <w:bCs w:val="0"/>
          <w:sz w:val="22"/>
          <w:szCs w:val="22"/>
        </w:rPr>
        <w:t>Task 1 – Selection of a Research Topic</w:t>
      </w:r>
      <w:bookmarkEnd w:id="1"/>
      <w:r w:rsidRPr="00481EEA">
        <w:rPr>
          <w:rStyle w:val="Strong"/>
          <w:rFonts w:ascii="Arial" w:hAnsi="Arial" w:cs="Arial"/>
          <w:b/>
          <w:bCs w:val="0"/>
          <w:sz w:val="22"/>
          <w:szCs w:val="22"/>
        </w:rPr>
        <w:t xml:space="preserve"> </w:t>
      </w:r>
    </w:p>
    <w:p w14:paraId="0A2919EA" w14:textId="77777777" w:rsidR="00752E69" w:rsidRPr="00481EEA" w:rsidRDefault="00752E69" w:rsidP="002A249F">
      <w:pPr>
        <w:pStyle w:val="Heading2"/>
        <w:jc w:val="both"/>
      </w:pPr>
      <w:bookmarkStart w:id="2" w:name="_Toc224930698"/>
      <w:r w:rsidRPr="00481EEA">
        <w:rPr>
          <w:rStyle w:val="Strong"/>
          <w:rFonts w:ascii="Arial" w:hAnsi="Arial" w:cs="Arial"/>
          <w:b/>
          <w:bCs w:val="0"/>
          <w:szCs w:val="22"/>
        </w:rPr>
        <w:t>Identification of the Problem</w:t>
      </w:r>
      <w:bookmarkEnd w:id="2"/>
    </w:p>
    <w:p w14:paraId="0A2EA887" w14:textId="78373BFE" w:rsidR="00752E69" w:rsidRPr="00481EEA" w:rsidRDefault="00886CE7" w:rsidP="002A249F">
      <w:pPr>
        <w:pStyle w:val="NormalWeb"/>
        <w:spacing w:line="360" w:lineRule="auto"/>
        <w:jc w:val="both"/>
        <w:rPr>
          <w:rFonts w:ascii="Arial" w:hAnsi="Arial" w:cs="Arial"/>
          <w:szCs w:val="22"/>
        </w:rPr>
      </w:pPr>
      <w:r w:rsidRPr="00886CE7">
        <w:rPr>
          <w:rFonts w:ascii="Arial" w:hAnsi="Arial" w:cs="Arial"/>
          <w:szCs w:val="22"/>
        </w:rPr>
        <w:t>Workforce shortages in the UK health and social care sector are defined as lack of adequate qualified personnel to cater to service requirements. Recent reports have made this issue visible stating that by 2023 there will be almost 50,000 full time equivalent nursing vacancies in NHS England alone and that the adult social care sector has more than 165,000 vacancies at any given time (NHS England, 2024). There are staffing shortages in nursing, medical, allied health, and support worker positions, although these shortages are particularly severe in nursing and social caregiver positions. The issues are compounded by a set of factors such as an ageing population with complex health needs, growing demand of care services, Brexit related changes in labour force participation, high level of staff turnover, and recruitment and retention issues. The immigration reforms after Brexit have decreased the movement of EU nurses into the UK. The pressure in the workforce has been exacerbated by the COVID 19 pandemic that increased stress, burnout, and early retirement among health professionals</w:t>
      </w:r>
      <w:r>
        <w:rPr>
          <w:rFonts w:ascii="Arial" w:hAnsi="Arial" w:cs="Arial"/>
          <w:szCs w:val="22"/>
        </w:rPr>
        <w:t xml:space="preserve"> </w:t>
      </w:r>
      <w:r w:rsidR="00941C75" w:rsidRPr="00481EEA">
        <w:rPr>
          <w:rFonts w:ascii="Arial" w:hAnsi="Arial" w:cs="Arial"/>
          <w:szCs w:val="22"/>
        </w:rPr>
        <w:t>(Milner, Nielsen and Verdery, 2021)</w:t>
      </w:r>
      <w:r w:rsidR="00752E69" w:rsidRPr="00481EEA">
        <w:rPr>
          <w:rFonts w:ascii="Arial" w:hAnsi="Arial" w:cs="Arial"/>
          <w:szCs w:val="22"/>
        </w:rPr>
        <w:t>.</w:t>
      </w:r>
    </w:p>
    <w:p w14:paraId="3B03E80F" w14:textId="77777777" w:rsidR="00752E69" w:rsidRPr="00481EEA" w:rsidRDefault="00752E69" w:rsidP="002A249F">
      <w:pPr>
        <w:pStyle w:val="Heading2"/>
        <w:jc w:val="both"/>
      </w:pPr>
      <w:bookmarkStart w:id="3" w:name="_Toc224930699"/>
      <w:r w:rsidRPr="00481EEA">
        <w:rPr>
          <w:rStyle w:val="Strong"/>
          <w:rFonts w:ascii="Arial" w:hAnsi="Arial" w:cs="Arial"/>
          <w:b/>
          <w:bCs w:val="0"/>
          <w:szCs w:val="22"/>
        </w:rPr>
        <w:t>Who Is Affected and Why It Matters</w:t>
      </w:r>
      <w:bookmarkEnd w:id="3"/>
    </w:p>
    <w:p w14:paraId="1FEA56F3" w14:textId="77777777" w:rsidR="00752E69" w:rsidRPr="00481EEA" w:rsidRDefault="00752E69" w:rsidP="002A249F">
      <w:pPr>
        <w:pStyle w:val="NormalWeb"/>
        <w:spacing w:line="360" w:lineRule="auto"/>
        <w:jc w:val="both"/>
        <w:rPr>
          <w:rFonts w:ascii="Arial" w:hAnsi="Arial" w:cs="Arial"/>
          <w:szCs w:val="22"/>
        </w:rPr>
      </w:pPr>
      <w:r w:rsidRPr="00481EEA">
        <w:rPr>
          <w:rFonts w:ascii="Arial" w:hAnsi="Arial" w:cs="Arial"/>
          <w:szCs w:val="22"/>
        </w:rPr>
        <w:t>Workforce shortages affect multiple stakeholders:</w:t>
      </w:r>
    </w:p>
    <w:p w14:paraId="7C167766" w14:textId="77777777" w:rsidR="00752E69" w:rsidRPr="00481EEA" w:rsidRDefault="00752E69" w:rsidP="002A249F">
      <w:pPr>
        <w:pStyle w:val="NormalWeb"/>
        <w:numPr>
          <w:ilvl w:val="0"/>
          <w:numId w:val="4"/>
        </w:numPr>
        <w:spacing w:line="360" w:lineRule="auto"/>
        <w:jc w:val="both"/>
        <w:rPr>
          <w:rFonts w:ascii="Arial" w:hAnsi="Arial" w:cs="Arial"/>
          <w:szCs w:val="22"/>
        </w:rPr>
      </w:pPr>
      <w:r w:rsidRPr="00481EEA">
        <w:rPr>
          <w:rStyle w:val="Strong"/>
          <w:rFonts w:ascii="Arial" w:eastAsiaTheme="majorEastAsia" w:hAnsi="Arial" w:cs="Arial"/>
          <w:szCs w:val="22"/>
        </w:rPr>
        <w:t>Service Users (patients and clients):</w:t>
      </w:r>
      <w:r w:rsidRPr="00481EEA">
        <w:rPr>
          <w:rFonts w:ascii="Arial" w:hAnsi="Arial" w:cs="Arial"/>
          <w:szCs w:val="22"/>
        </w:rPr>
        <w:t xml:space="preserve"> Longer waiting times, reduced access to care, rushed appointments, and lower continuity of care. Workforce gaps can contribute to poorer health outcomes and increased risk of adverse events.</w:t>
      </w:r>
    </w:p>
    <w:p w14:paraId="04EF7D11" w14:textId="77777777" w:rsidR="00752E69" w:rsidRPr="00481EEA" w:rsidRDefault="00752E69" w:rsidP="002A249F">
      <w:pPr>
        <w:pStyle w:val="NormalWeb"/>
        <w:numPr>
          <w:ilvl w:val="0"/>
          <w:numId w:val="4"/>
        </w:numPr>
        <w:spacing w:line="360" w:lineRule="auto"/>
        <w:jc w:val="both"/>
        <w:rPr>
          <w:rFonts w:ascii="Arial" w:hAnsi="Arial" w:cs="Arial"/>
          <w:szCs w:val="22"/>
        </w:rPr>
      </w:pPr>
      <w:r w:rsidRPr="00481EEA">
        <w:rPr>
          <w:rStyle w:val="Strong"/>
          <w:rFonts w:ascii="Arial" w:eastAsiaTheme="majorEastAsia" w:hAnsi="Arial" w:cs="Arial"/>
          <w:szCs w:val="22"/>
        </w:rPr>
        <w:lastRenderedPageBreak/>
        <w:t>Staff:</w:t>
      </w:r>
      <w:r w:rsidRPr="00481EEA">
        <w:rPr>
          <w:rFonts w:ascii="Arial" w:hAnsi="Arial" w:cs="Arial"/>
          <w:szCs w:val="22"/>
        </w:rPr>
        <w:t xml:space="preserve"> Increased workload, stress, burnout, and job dissatisfaction. When teams are understaffed, existing workers often must cover additional shifts, leading to fatigue and higher turnover.</w:t>
      </w:r>
    </w:p>
    <w:p w14:paraId="729DB623" w14:textId="5ACE0338" w:rsidR="00752E69" w:rsidRPr="00481EEA" w:rsidRDefault="00752E69" w:rsidP="002A249F">
      <w:pPr>
        <w:pStyle w:val="NormalWeb"/>
        <w:numPr>
          <w:ilvl w:val="0"/>
          <w:numId w:val="4"/>
        </w:numPr>
        <w:spacing w:line="360" w:lineRule="auto"/>
        <w:jc w:val="both"/>
        <w:rPr>
          <w:rFonts w:ascii="Arial" w:hAnsi="Arial" w:cs="Arial"/>
          <w:szCs w:val="22"/>
        </w:rPr>
      </w:pPr>
      <w:r w:rsidRPr="00481EEA">
        <w:rPr>
          <w:rStyle w:val="Strong"/>
          <w:rFonts w:ascii="Arial" w:eastAsiaTheme="majorEastAsia" w:hAnsi="Arial" w:cs="Arial"/>
          <w:szCs w:val="22"/>
        </w:rPr>
        <w:t>Organisations:</w:t>
      </w:r>
      <w:r w:rsidRPr="00481EEA">
        <w:rPr>
          <w:rFonts w:ascii="Arial" w:hAnsi="Arial" w:cs="Arial"/>
          <w:szCs w:val="22"/>
        </w:rPr>
        <w:t xml:space="preserve"> Reduced efficiency, higher agency staff costs, lower morale, and difficulty meeting performance targets</w:t>
      </w:r>
      <w:r w:rsidR="000521E5" w:rsidRPr="00481EEA">
        <w:rPr>
          <w:rFonts w:ascii="Arial" w:hAnsi="Arial" w:cs="Arial"/>
          <w:szCs w:val="22"/>
        </w:rPr>
        <w:t xml:space="preserve"> (Shemtob </w:t>
      </w:r>
      <w:r w:rsidR="000521E5" w:rsidRPr="00481EEA">
        <w:rPr>
          <w:rFonts w:ascii="Arial" w:hAnsi="Arial" w:cs="Arial"/>
          <w:i/>
          <w:iCs/>
          <w:szCs w:val="22"/>
        </w:rPr>
        <w:t>et al.</w:t>
      </w:r>
      <w:r w:rsidR="000521E5" w:rsidRPr="00481EEA">
        <w:rPr>
          <w:rFonts w:ascii="Arial" w:hAnsi="Arial" w:cs="Arial"/>
          <w:szCs w:val="22"/>
        </w:rPr>
        <w:t>, 2023)</w:t>
      </w:r>
      <w:r w:rsidRPr="00481EEA">
        <w:rPr>
          <w:rFonts w:ascii="Arial" w:hAnsi="Arial" w:cs="Arial"/>
          <w:szCs w:val="22"/>
        </w:rPr>
        <w:t>.</w:t>
      </w:r>
    </w:p>
    <w:p w14:paraId="5A3CB750" w14:textId="77777777" w:rsidR="00752E69" w:rsidRPr="00481EEA" w:rsidRDefault="00752E69" w:rsidP="002A249F">
      <w:pPr>
        <w:pStyle w:val="Heading2"/>
        <w:jc w:val="both"/>
      </w:pPr>
      <w:bookmarkStart w:id="4" w:name="_Toc224930700"/>
      <w:r w:rsidRPr="00481EEA">
        <w:rPr>
          <w:rStyle w:val="Strong"/>
          <w:rFonts w:ascii="Arial" w:hAnsi="Arial" w:cs="Arial"/>
          <w:b/>
          <w:bCs w:val="0"/>
          <w:szCs w:val="22"/>
        </w:rPr>
        <w:t>Reflection on Topic Choice</w:t>
      </w:r>
      <w:bookmarkEnd w:id="4"/>
    </w:p>
    <w:p w14:paraId="5B5D9E75" w14:textId="6305C5BD" w:rsidR="00752E69" w:rsidRPr="00481EEA" w:rsidRDefault="0085224D" w:rsidP="002A249F">
      <w:pPr>
        <w:pStyle w:val="NormalWeb"/>
        <w:spacing w:line="360" w:lineRule="auto"/>
        <w:jc w:val="both"/>
        <w:rPr>
          <w:rFonts w:ascii="Arial" w:hAnsi="Arial" w:cs="Arial"/>
          <w:szCs w:val="22"/>
        </w:rPr>
      </w:pPr>
      <w:r w:rsidRPr="0085224D">
        <w:rPr>
          <w:rFonts w:ascii="Arial" w:hAnsi="Arial" w:cs="Arial"/>
          <w:szCs w:val="22"/>
        </w:rPr>
        <w:t>This is a subject of personal and professional concern. The workforce issues that impact the quality of care interest me, since I want to work in health service management upon graduation. The workforce factors will affect nearly all areas of health and social care provision, including patient safety and staff wellbeing. The topic is related to my research in health policy and workforce planning as well as real world challenges that organisations will keep experiencing. The knowledge of workforce shortages assists me to develop by improving my capacity to analyse the pressures of the service and reflect on evidence based solutions in future leadership roles</w:t>
      </w:r>
      <w:r w:rsidR="00752E69" w:rsidRPr="00481EEA">
        <w:rPr>
          <w:rFonts w:ascii="Arial" w:hAnsi="Arial" w:cs="Arial"/>
          <w:szCs w:val="22"/>
        </w:rPr>
        <w:t>.</w:t>
      </w:r>
    </w:p>
    <w:p w14:paraId="3194C6C5" w14:textId="0F933505" w:rsidR="00752E69" w:rsidRPr="00481EEA" w:rsidRDefault="00752E69" w:rsidP="002A249F">
      <w:pPr>
        <w:pStyle w:val="Heading1"/>
        <w:jc w:val="both"/>
      </w:pPr>
      <w:bookmarkStart w:id="5" w:name="_Toc224930701"/>
      <w:r w:rsidRPr="00481EEA">
        <w:rPr>
          <w:rStyle w:val="Strong"/>
          <w:rFonts w:ascii="Arial" w:hAnsi="Arial" w:cs="Arial"/>
          <w:b/>
          <w:bCs w:val="0"/>
          <w:sz w:val="22"/>
          <w:szCs w:val="22"/>
        </w:rPr>
        <w:t>Task 2 – Evaluating Information Sources</w:t>
      </w:r>
      <w:bookmarkEnd w:id="5"/>
      <w:r w:rsidRPr="00481EEA">
        <w:rPr>
          <w:rStyle w:val="Strong"/>
          <w:rFonts w:ascii="Arial" w:hAnsi="Arial" w:cs="Arial"/>
          <w:b/>
          <w:bCs w:val="0"/>
          <w:sz w:val="22"/>
          <w:szCs w:val="22"/>
        </w:rPr>
        <w:t xml:space="preserve"> </w:t>
      </w:r>
    </w:p>
    <w:p w14:paraId="339A4C5C" w14:textId="76B9FB74" w:rsidR="00752E69" w:rsidRPr="00FA1518" w:rsidRDefault="00752E69" w:rsidP="002A249F">
      <w:pPr>
        <w:jc w:val="both"/>
      </w:pPr>
      <w:r w:rsidRPr="00FA1518">
        <w:rPr>
          <w:rStyle w:val="Strong"/>
          <w:rFonts w:ascii="Arial" w:hAnsi="Arial" w:cs="Arial"/>
          <w:szCs w:val="22"/>
        </w:rPr>
        <w:t>Source 1: NHS Workforce Report (e.g., NHS England Data)</w:t>
      </w:r>
      <w:r w:rsidR="00833300" w:rsidRPr="00FA1518">
        <w:rPr>
          <w:rStyle w:val="Strong"/>
          <w:rFonts w:ascii="Arial" w:hAnsi="Arial" w:cs="Arial"/>
          <w:szCs w:val="22"/>
        </w:rPr>
        <w:t xml:space="preserve"> </w:t>
      </w:r>
      <w:r w:rsidR="00833300" w:rsidRPr="00FA1518">
        <w:t>(NHS Digital, 2024)</w:t>
      </w:r>
    </w:p>
    <w:p w14:paraId="1D671EF3" w14:textId="77777777" w:rsidR="00F9086A" w:rsidRPr="00F9086A" w:rsidRDefault="00F9086A" w:rsidP="002A249F">
      <w:pPr>
        <w:pStyle w:val="NormalWeb"/>
        <w:spacing w:line="360" w:lineRule="auto"/>
        <w:jc w:val="both"/>
        <w:rPr>
          <w:rFonts w:ascii="Arial" w:hAnsi="Arial" w:cs="Arial"/>
          <w:szCs w:val="22"/>
        </w:rPr>
      </w:pPr>
      <w:r w:rsidRPr="00F9086A">
        <w:rPr>
          <w:rFonts w:ascii="Arial" w:hAnsi="Arial" w:cs="Arial"/>
          <w:szCs w:val="22"/>
        </w:rPr>
        <w:t>This source offers specific statistics on staffing levels among NHS trusts, vacancies in the main professional categories, and the dynamics in the long term. It describes the development of shortages, Brexit, and COVID 19 effects.</w:t>
      </w:r>
    </w:p>
    <w:p w14:paraId="1AA69171" w14:textId="5FCD9063" w:rsidR="00752E69" w:rsidRPr="00481EEA" w:rsidRDefault="00F9086A" w:rsidP="002A249F">
      <w:pPr>
        <w:pStyle w:val="NormalWeb"/>
        <w:spacing w:line="360" w:lineRule="auto"/>
        <w:jc w:val="both"/>
        <w:rPr>
          <w:rFonts w:ascii="Arial" w:hAnsi="Arial" w:cs="Arial"/>
          <w:szCs w:val="22"/>
        </w:rPr>
      </w:pPr>
      <w:r w:rsidRPr="00F9086A">
        <w:rPr>
          <w:rFonts w:ascii="Arial" w:hAnsi="Arial" w:cs="Arial"/>
          <w:szCs w:val="22"/>
        </w:rPr>
        <w:t>NHS Workforce Report is useful as it provides current, official information directly provided by a national health organization, which allows one to form a factual picture of the extent to which workforce shortages occur. It helps validate the identification of gaps in staffing by the report because of evidence in terms of numbers and trends. Official data improves the plausibility of research and aids in putting the issue into the context of national health policy. Although it emphasizes vacancy figures, it might not capture the lived experiences of employees or why some decide to leave the industry as qualitative data might provide clarity</w:t>
      </w:r>
      <w:r w:rsidR="00752E69" w:rsidRPr="00481EEA">
        <w:rPr>
          <w:rFonts w:ascii="Arial" w:hAnsi="Arial" w:cs="Arial"/>
          <w:szCs w:val="22"/>
        </w:rPr>
        <w:t>.</w:t>
      </w:r>
    </w:p>
    <w:p w14:paraId="0326559A" w14:textId="41DF24F4" w:rsidR="00752E69" w:rsidRPr="00FA1518" w:rsidRDefault="00752E69" w:rsidP="002A249F">
      <w:pPr>
        <w:jc w:val="both"/>
      </w:pPr>
      <w:r w:rsidRPr="00FA1518">
        <w:rPr>
          <w:rStyle w:val="Strong"/>
          <w:rFonts w:ascii="Arial" w:hAnsi="Arial" w:cs="Arial"/>
          <w:szCs w:val="22"/>
        </w:rPr>
        <w:t>Source 2: Skills for Care Adult Social Care Workforce Data UK</w:t>
      </w:r>
      <w:r w:rsidR="00CC60FF" w:rsidRPr="00FA1518">
        <w:rPr>
          <w:rStyle w:val="Strong"/>
          <w:rFonts w:ascii="Arial" w:hAnsi="Arial" w:cs="Arial"/>
          <w:szCs w:val="22"/>
        </w:rPr>
        <w:t xml:space="preserve"> </w:t>
      </w:r>
      <w:r w:rsidR="00CC60FF" w:rsidRPr="00FA1518">
        <w:t>(Skills for Care, 2025)</w:t>
      </w:r>
    </w:p>
    <w:p w14:paraId="21CF09C8" w14:textId="77777777" w:rsidR="00D42577" w:rsidRPr="00D42577" w:rsidRDefault="00D42577" w:rsidP="002A249F">
      <w:pPr>
        <w:pStyle w:val="NormalWeb"/>
        <w:spacing w:line="360" w:lineRule="auto"/>
        <w:jc w:val="both"/>
        <w:rPr>
          <w:rFonts w:ascii="Arial" w:hAnsi="Arial" w:cs="Arial"/>
          <w:szCs w:val="22"/>
        </w:rPr>
      </w:pPr>
      <w:r w:rsidRPr="00D42577">
        <w:rPr>
          <w:rFonts w:ascii="Arial" w:hAnsi="Arial" w:cs="Arial"/>
          <w:szCs w:val="22"/>
        </w:rPr>
        <w:t>Skills for Care issues workforce forecasts in the adult social care sector, vacancy rates, turnover statistics and forecasts. It demonstrates that social care workforce has issues with recruitment, particularly with care workers and senior care professionals.</w:t>
      </w:r>
    </w:p>
    <w:p w14:paraId="154E4A4E" w14:textId="6DA63BFE" w:rsidR="00752E69" w:rsidRPr="00481EEA" w:rsidRDefault="00D42577" w:rsidP="002A249F">
      <w:pPr>
        <w:pStyle w:val="NormalWeb"/>
        <w:spacing w:line="360" w:lineRule="auto"/>
        <w:jc w:val="both"/>
        <w:rPr>
          <w:rFonts w:ascii="Arial" w:hAnsi="Arial" w:cs="Arial"/>
          <w:szCs w:val="22"/>
        </w:rPr>
      </w:pPr>
      <w:r w:rsidRPr="00D42577">
        <w:rPr>
          <w:rFonts w:ascii="Arial" w:hAnsi="Arial" w:cs="Arial"/>
          <w:szCs w:val="22"/>
        </w:rPr>
        <w:lastRenderedPageBreak/>
        <w:t>Being a well-known organisation that conducts social care workforce intelligence, the source provides sector-specific data that can help to supplement NHS statistics. It underscores that the problem of workforce shortage is not unique to the NHS, social care environments have an equal or greater number of gaps. This underlines the health and social care aspect of the problem in this report. Nevertheless, data reports can be deficient in theoretical or explanatory detail as to why shortages do not end at the top-level statistics. They may not break down the impact of policy decision-making or workplace experiences</w:t>
      </w:r>
      <w:r w:rsidR="00752E69" w:rsidRPr="00481EEA">
        <w:rPr>
          <w:rFonts w:ascii="Arial" w:hAnsi="Arial" w:cs="Arial"/>
          <w:szCs w:val="22"/>
        </w:rPr>
        <w:t>.</w:t>
      </w:r>
    </w:p>
    <w:p w14:paraId="441E602A" w14:textId="3F8EFC1A" w:rsidR="00752E69" w:rsidRPr="00FA1518" w:rsidRDefault="00752E69" w:rsidP="002A249F">
      <w:pPr>
        <w:jc w:val="both"/>
      </w:pPr>
      <w:r w:rsidRPr="00FA1518">
        <w:rPr>
          <w:rStyle w:val="Strong"/>
          <w:rFonts w:ascii="Arial" w:hAnsi="Arial" w:cs="Arial"/>
          <w:szCs w:val="22"/>
        </w:rPr>
        <w:t xml:space="preserve">Source 3: </w:t>
      </w:r>
      <w:r w:rsidR="00C45B62" w:rsidRPr="00FA1518">
        <w:rPr>
          <w:rStyle w:val="Strong"/>
          <w:rFonts w:ascii="Arial" w:hAnsi="Arial" w:cs="Arial"/>
          <w:szCs w:val="22"/>
        </w:rPr>
        <w:t xml:space="preserve">Academic Research Article </w:t>
      </w:r>
      <w:r w:rsidR="00C45B62" w:rsidRPr="00FA1518">
        <w:t xml:space="preserve">(Anderson </w:t>
      </w:r>
      <w:r w:rsidR="00C45B62" w:rsidRPr="00FA1518">
        <w:rPr>
          <w:i/>
          <w:iCs/>
        </w:rPr>
        <w:t>et al.</w:t>
      </w:r>
      <w:r w:rsidR="00C45B62" w:rsidRPr="00FA1518">
        <w:t>, 2021)</w:t>
      </w:r>
    </w:p>
    <w:p w14:paraId="38341D86" w14:textId="77777777" w:rsidR="005367AD" w:rsidRDefault="005367AD" w:rsidP="002A249F">
      <w:pPr>
        <w:pStyle w:val="NormalWeb"/>
        <w:spacing w:line="360" w:lineRule="auto"/>
        <w:jc w:val="both"/>
        <w:rPr>
          <w:rFonts w:ascii="Arial" w:hAnsi="Arial" w:cs="Arial"/>
          <w:szCs w:val="22"/>
        </w:rPr>
      </w:pPr>
      <w:r w:rsidRPr="005367AD">
        <w:rPr>
          <w:rFonts w:ascii="Arial" w:hAnsi="Arial" w:cs="Arial"/>
          <w:szCs w:val="22"/>
        </w:rPr>
        <w:t>The article points out that the UK workforce in health and care reaches 13 percent although workforce planning is spread across individual professions without an integrated needs approach. Nursing, primary care, mental health, and social care are characterized by persistent vacancies, low morale, and poor retention. Reactions are dependency on expatriate workers and skill-set modifications. The article is helpful because it gives a detailed discussion of the structural workforce issues and policy suggestions, such as career advancement, welfare, and compensation reforms. Nonetheless, the empirical information on staff experiences has gaps, particularly how effective the suggested integrated workforce strategies are and whether post-COVID trauma support can be effective in retention.</w:t>
      </w:r>
    </w:p>
    <w:p w14:paraId="497C0022" w14:textId="2A5DA465" w:rsidR="00752E69" w:rsidRPr="00481EEA" w:rsidRDefault="00752E69" w:rsidP="002A249F">
      <w:pPr>
        <w:pStyle w:val="Heading1"/>
      </w:pPr>
      <w:bookmarkStart w:id="6" w:name="_Toc224930702"/>
      <w:r w:rsidRPr="00481EEA">
        <w:rPr>
          <w:rStyle w:val="Strong"/>
          <w:rFonts w:ascii="Arial" w:hAnsi="Arial" w:cs="Arial"/>
          <w:b/>
          <w:bCs w:val="0"/>
          <w:sz w:val="22"/>
          <w:szCs w:val="22"/>
        </w:rPr>
        <w:t>Task 3 – Research Methodologies</w:t>
      </w:r>
      <w:bookmarkEnd w:id="6"/>
      <w:r w:rsidRPr="00481EEA">
        <w:rPr>
          <w:rStyle w:val="Strong"/>
          <w:rFonts w:ascii="Arial" w:hAnsi="Arial" w:cs="Arial"/>
          <w:b/>
          <w:bCs w:val="0"/>
          <w:sz w:val="22"/>
          <w:szCs w:val="22"/>
        </w:rPr>
        <w:t xml:space="preserve"> </w:t>
      </w:r>
    </w:p>
    <w:p w14:paraId="351E0513" w14:textId="77777777" w:rsidR="00752E69" w:rsidRPr="002A249F" w:rsidRDefault="00752E69" w:rsidP="002A249F">
      <w:pPr>
        <w:pStyle w:val="Heading2"/>
      </w:pPr>
      <w:bookmarkStart w:id="7" w:name="_Toc224930703"/>
      <w:r w:rsidRPr="002A249F">
        <w:rPr>
          <w:rStyle w:val="Strong"/>
          <w:b/>
          <w:bCs w:val="0"/>
        </w:rPr>
        <w:t>Definitions</w:t>
      </w:r>
      <w:bookmarkEnd w:id="7"/>
    </w:p>
    <w:p w14:paraId="482E037D" w14:textId="161464B9" w:rsidR="00647CD0" w:rsidRPr="002A249F" w:rsidRDefault="00647CD0" w:rsidP="00076DB4">
      <w:pPr>
        <w:jc w:val="both"/>
        <w:rPr>
          <w:rStyle w:val="Strong"/>
          <w:rFonts w:ascii="Arial" w:hAnsi="Arial" w:cs="Arial"/>
          <w:b w:val="0"/>
          <w:bCs w:val="0"/>
          <w:kern w:val="0"/>
          <w:szCs w:val="22"/>
          <w:lang w:eastAsia="en-GB"/>
          <w14:ligatures w14:val="none"/>
        </w:rPr>
      </w:pPr>
      <w:bookmarkStart w:id="8" w:name="_Toc224930704"/>
      <w:r w:rsidRPr="002A249F">
        <w:rPr>
          <w:rStyle w:val="Strong"/>
          <w:rFonts w:ascii="Arial" w:hAnsi="Arial" w:cs="Arial"/>
          <w:b w:val="0"/>
          <w:bCs w:val="0"/>
          <w:kern w:val="0"/>
          <w:szCs w:val="22"/>
          <w:lang w:eastAsia="en-GB"/>
          <w14:ligatures w14:val="none"/>
        </w:rPr>
        <w:t>Quantitative Research</w:t>
      </w:r>
      <w:r w:rsidR="002A249F">
        <w:rPr>
          <w:rStyle w:val="Strong"/>
          <w:rFonts w:ascii="Arial" w:hAnsi="Arial" w:cs="Arial"/>
          <w:b w:val="0"/>
          <w:bCs w:val="0"/>
          <w:kern w:val="0"/>
          <w:szCs w:val="22"/>
          <w:lang w:eastAsia="en-GB"/>
          <w14:ligatures w14:val="none"/>
        </w:rPr>
        <w:t xml:space="preserve"> involves the use of</w:t>
      </w:r>
      <w:r w:rsidRPr="002A249F">
        <w:rPr>
          <w:rStyle w:val="Strong"/>
          <w:rFonts w:ascii="Arial" w:hAnsi="Arial" w:cs="Arial"/>
          <w:b w:val="0"/>
          <w:bCs w:val="0"/>
          <w:kern w:val="0"/>
          <w:szCs w:val="22"/>
          <w:lang w:eastAsia="en-GB"/>
          <w14:ligatures w14:val="none"/>
        </w:rPr>
        <w:t xml:space="preserve"> numerical data and statistical analysis in determining patterns or testing hypotheses. These can be surveys on turnover rates, workforce demographics or vacancy trends by region.</w:t>
      </w:r>
    </w:p>
    <w:p w14:paraId="2848A1B0" w14:textId="2CD93817" w:rsidR="00647CD0" w:rsidRPr="002A249F" w:rsidRDefault="002A249F" w:rsidP="00076DB4">
      <w:pPr>
        <w:jc w:val="both"/>
        <w:rPr>
          <w:rStyle w:val="Strong"/>
          <w:rFonts w:ascii="Arial" w:hAnsi="Arial" w:cs="Arial"/>
          <w:b w:val="0"/>
          <w:bCs w:val="0"/>
          <w:kern w:val="0"/>
          <w:szCs w:val="22"/>
          <w:lang w:eastAsia="en-GB"/>
          <w14:ligatures w14:val="none"/>
        </w:rPr>
      </w:pPr>
      <w:r>
        <w:rPr>
          <w:rStyle w:val="Strong"/>
          <w:rFonts w:ascii="Arial" w:hAnsi="Arial" w:cs="Arial"/>
          <w:b w:val="0"/>
          <w:bCs w:val="0"/>
          <w:kern w:val="0"/>
          <w:szCs w:val="22"/>
          <w:lang w:eastAsia="en-GB"/>
          <w14:ligatures w14:val="none"/>
        </w:rPr>
        <w:t>Q</w:t>
      </w:r>
      <w:r w:rsidR="00647CD0" w:rsidRPr="002A249F">
        <w:rPr>
          <w:rStyle w:val="Strong"/>
          <w:rFonts w:ascii="Arial" w:hAnsi="Arial" w:cs="Arial"/>
          <w:b w:val="0"/>
          <w:bCs w:val="0"/>
          <w:kern w:val="0"/>
          <w:szCs w:val="22"/>
          <w:lang w:eastAsia="en-GB"/>
          <w14:ligatures w14:val="none"/>
        </w:rPr>
        <w:t>ualitative Research</w:t>
      </w:r>
      <w:r>
        <w:rPr>
          <w:rStyle w:val="Strong"/>
          <w:rFonts w:ascii="Arial" w:hAnsi="Arial" w:cs="Arial"/>
          <w:b w:val="0"/>
          <w:bCs w:val="0"/>
          <w:kern w:val="0"/>
          <w:szCs w:val="22"/>
          <w:lang w:eastAsia="en-GB"/>
          <w14:ligatures w14:val="none"/>
        </w:rPr>
        <w:t xml:space="preserve"> involves</w:t>
      </w:r>
      <w:r w:rsidR="00647CD0" w:rsidRPr="002A249F">
        <w:rPr>
          <w:rStyle w:val="Strong"/>
          <w:rFonts w:ascii="Arial" w:hAnsi="Arial" w:cs="Arial"/>
          <w:b w:val="0"/>
          <w:bCs w:val="0"/>
          <w:kern w:val="0"/>
          <w:szCs w:val="22"/>
          <w:lang w:eastAsia="en-GB"/>
          <w14:ligatures w14:val="none"/>
        </w:rPr>
        <w:t xml:space="preserve"> non numerical data, or in other words interviews or focus groups, to gain insights on the experience, motivation, and perceptions of people. </w:t>
      </w:r>
      <w:r>
        <w:rPr>
          <w:rStyle w:val="Strong"/>
          <w:rFonts w:ascii="Arial" w:hAnsi="Arial" w:cs="Arial"/>
          <w:b w:val="0"/>
          <w:bCs w:val="0"/>
          <w:kern w:val="0"/>
          <w:szCs w:val="22"/>
          <w:lang w:eastAsia="en-GB"/>
          <w14:ligatures w14:val="none"/>
        </w:rPr>
        <w:t>I</w:t>
      </w:r>
      <w:r w:rsidR="00647CD0" w:rsidRPr="002A249F">
        <w:rPr>
          <w:rStyle w:val="Strong"/>
          <w:rFonts w:ascii="Arial" w:hAnsi="Arial" w:cs="Arial"/>
          <w:b w:val="0"/>
          <w:bCs w:val="0"/>
          <w:kern w:val="0"/>
          <w:szCs w:val="22"/>
          <w:lang w:eastAsia="en-GB"/>
          <w14:ligatures w14:val="none"/>
        </w:rPr>
        <w:t>t could interview nurses on why they are leaving the profession.</w:t>
      </w:r>
    </w:p>
    <w:p w14:paraId="33EBD627" w14:textId="5FCAE55E" w:rsidR="00647CD0" w:rsidRPr="002A249F" w:rsidRDefault="00647CD0" w:rsidP="00076DB4">
      <w:pPr>
        <w:jc w:val="both"/>
        <w:rPr>
          <w:rStyle w:val="Strong"/>
          <w:rFonts w:ascii="Arial" w:hAnsi="Arial" w:cs="Arial"/>
          <w:b w:val="0"/>
          <w:bCs w:val="0"/>
          <w:kern w:val="0"/>
          <w:szCs w:val="22"/>
          <w:lang w:eastAsia="en-GB"/>
          <w14:ligatures w14:val="none"/>
        </w:rPr>
      </w:pPr>
      <w:r w:rsidRPr="002A249F">
        <w:rPr>
          <w:rStyle w:val="Strong"/>
          <w:rFonts w:ascii="Arial" w:hAnsi="Arial" w:cs="Arial"/>
          <w:b w:val="0"/>
          <w:bCs w:val="0"/>
          <w:kern w:val="0"/>
          <w:szCs w:val="22"/>
          <w:lang w:eastAsia="en-GB"/>
          <w14:ligatures w14:val="none"/>
        </w:rPr>
        <w:t>Mixed Methods Research: This is a combination of quantitative and qualitative methods of research to provide a holistic insight into a research question. As an example, surveys to determine trends and interviews to explain why specific trends have been or will continue to be so (Sardana et al., 2023; Saunders, Lewis and Thornhill, 2019).</w:t>
      </w:r>
    </w:p>
    <w:p w14:paraId="072CC0B1" w14:textId="1765B560" w:rsidR="00752E69" w:rsidRPr="00481EEA" w:rsidRDefault="00752E69" w:rsidP="002A249F">
      <w:pPr>
        <w:pStyle w:val="Heading2"/>
        <w:jc w:val="both"/>
      </w:pPr>
      <w:r w:rsidRPr="00481EEA">
        <w:rPr>
          <w:rStyle w:val="Strong"/>
          <w:rFonts w:ascii="Arial" w:hAnsi="Arial" w:cs="Arial"/>
          <w:b/>
          <w:bCs w:val="0"/>
          <w:szCs w:val="22"/>
        </w:rPr>
        <w:t>Chosen Methodology</w:t>
      </w:r>
      <w:bookmarkEnd w:id="8"/>
    </w:p>
    <w:p w14:paraId="6B133328" w14:textId="77777777" w:rsidR="006F040D" w:rsidRPr="006F040D" w:rsidRDefault="006F040D" w:rsidP="002A249F">
      <w:pPr>
        <w:pStyle w:val="NormalWeb"/>
        <w:spacing w:line="360" w:lineRule="auto"/>
        <w:jc w:val="both"/>
        <w:rPr>
          <w:rFonts w:ascii="Arial" w:hAnsi="Arial" w:cs="Arial"/>
          <w:szCs w:val="22"/>
        </w:rPr>
      </w:pPr>
      <w:r w:rsidRPr="006F040D">
        <w:rPr>
          <w:rFonts w:ascii="Arial" w:hAnsi="Arial" w:cs="Arial"/>
          <w:szCs w:val="22"/>
        </w:rPr>
        <w:t xml:space="preserve">To conduct the future study, I would select a mixed methodology. The methodology is appropriate to the topic, as the workforce shortages are multidimensional. The extent and </w:t>
      </w:r>
      <w:r w:rsidRPr="006F040D">
        <w:rPr>
          <w:rFonts w:ascii="Arial" w:hAnsi="Arial" w:cs="Arial"/>
          <w:szCs w:val="22"/>
        </w:rPr>
        <w:lastRenderedPageBreak/>
        <w:t>distribution of shortages can be measured with quantitative data, whereas qualitative data can investigate the reasons behind staff attrition or retention, the effects of shortages on wellbeing, and organisational responses (Sardana et al., 2023; Saunders, Lewis and Thornhill, 2019).</w:t>
      </w:r>
    </w:p>
    <w:p w14:paraId="3656CCF0" w14:textId="2B9BBF40" w:rsidR="00752E69" w:rsidRPr="00481EEA" w:rsidRDefault="006F040D" w:rsidP="002A249F">
      <w:pPr>
        <w:pStyle w:val="NormalWeb"/>
        <w:spacing w:line="360" w:lineRule="auto"/>
        <w:jc w:val="both"/>
        <w:rPr>
          <w:rFonts w:ascii="Arial" w:hAnsi="Arial" w:cs="Arial"/>
          <w:szCs w:val="22"/>
        </w:rPr>
      </w:pPr>
      <w:r w:rsidRPr="006F040D">
        <w:rPr>
          <w:rFonts w:ascii="Arial" w:hAnsi="Arial" w:cs="Arial"/>
          <w:szCs w:val="22"/>
        </w:rPr>
        <w:t>Quantitative data alone may fail to represent the experiences of staff and organisational culture, whereas qualitative data alone may fail to represent the entire range of workforce trends in the UK. Mixed methods enable the leverage of both methods to reinforce one another, providing deeper knowledge which can be used to inform policy and operational change. As an illustration, surveys may measure job satisfaction among NHS nurses, whereas focus groups might uncover contextual causes of dissatisfaction</w:t>
      </w:r>
      <w:r>
        <w:rPr>
          <w:rFonts w:ascii="Arial" w:hAnsi="Arial" w:cs="Arial"/>
          <w:szCs w:val="22"/>
        </w:rPr>
        <w:t xml:space="preserve"> </w:t>
      </w:r>
      <w:r w:rsidR="007B7361" w:rsidRPr="00481EEA">
        <w:rPr>
          <w:rFonts w:ascii="Arial" w:hAnsi="Arial" w:cs="Arial"/>
          <w:szCs w:val="22"/>
        </w:rPr>
        <w:t>(Saunders, Lewis and Thornhill, 2019)</w:t>
      </w:r>
      <w:r w:rsidR="00752E69" w:rsidRPr="00481EEA">
        <w:rPr>
          <w:rFonts w:ascii="Arial" w:hAnsi="Arial" w:cs="Arial"/>
          <w:szCs w:val="22"/>
        </w:rPr>
        <w:t>.</w:t>
      </w:r>
    </w:p>
    <w:p w14:paraId="3B00F27F" w14:textId="0033E8E7" w:rsidR="00752E69" w:rsidRPr="00481EEA" w:rsidRDefault="00752E69" w:rsidP="002A249F">
      <w:pPr>
        <w:pStyle w:val="Heading1"/>
        <w:jc w:val="both"/>
      </w:pPr>
      <w:bookmarkStart w:id="9" w:name="_Toc224930705"/>
      <w:r w:rsidRPr="00481EEA">
        <w:rPr>
          <w:rStyle w:val="Strong"/>
          <w:rFonts w:ascii="Arial" w:hAnsi="Arial" w:cs="Arial"/>
          <w:b/>
          <w:bCs w:val="0"/>
          <w:sz w:val="22"/>
          <w:szCs w:val="22"/>
        </w:rPr>
        <w:t>Task 4 – Data Collection</w:t>
      </w:r>
      <w:bookmarkEnd w:id="9"/>
      <w:r w:rsidRPr="00481EEA">
        <w:rPr>
          <w:rStyle w:val="Strong"/>
          <w:rFonts w:ascii="Arial" w:hAnsi="Arial" w:cs="Arial"/>
          <w:b/>
          <w:bCs w:val="0"/>
          <w:sz w:val="22"/>
          <w:szCs w:val="22"/>
        </w:rPr>
        <w:t xml:space="preserve"> </w:t>
      </w:r>
    </w:p>
    <w:p w14:paraId="2E63CDC7" w14:textId="77777777" w:rsidR="00752E69" w:rsidRPr="00481EEA" w:rsidRDefault="00752E69" w:rsidP="002A249F">
      <w:pPr>
        <w:pStyle w:val="Heading2"/>
        <w:jc w:val="both"/>
      </w:pPr>
      <w:bookmarkStart w:id="10" w:name="_Toc224930706"/>
      <w:r w:rsidRPr="00481EEA">
        <w:rPr>
          <w:rStyle w:val="Strong"/>
          <w:rFonts w:ascii="Arial" w:hAnsi="Arial" w:cs="Arial"/>
          <w:b/>
          <w:bCs w:val="0"/>
          <w:szCs w:val="22"/>
        </w:rPr>
        <w:t>Primary vs Secondary Data</w:t>
      </w:r>
      <w:bookmarkEnd w:id="10"/>
    </w:p>
    <w:p w14:paraId="45DA0463" w14:textId="7B9C452E" w:rsidR="00752E69" w:rsidRPr="00481EEA" w:rsidRDefault="00752E69" w:rsidP="002A249F">
      <w:pPr>
        <w:pStyle w:val="NormalWeb"/>
        <w:numPr>
          <w:ilvl w:val="0"/>
          <w:numId w:val="6"/>
        </w:numPr>
        <w:spacing w:line="360" w:lineRule="auto"/>
        <w:jc w:val="both"/>
        <w:rPr>
          <w:rFonts w:ascii="Arial" w:hAnsi="Arial" w:cs="Arial"/>
          <w:szCs w:val="22"/>
        </w:rPr>
      </w:pPr>
      <w:r w:rsidRPr="00481EEA">
        <w:rPr>
          <w:rStyle w:val="Strong"/>
          <w:rFonts w:ascii="Arial" w:eastAsiaTheme="majorEastAsia" w:hAnsi="Arial" w:cs="Arial"/>
          <w:szCs w:val="22"/>
        </w:rPr>
        <w:t>Primary Data:</w:t>
      </w:r>
      <w:r w:rsidRPr="00481EEA">
        <w:rPr>
          <w:rFonts w:ascii="Arial" w:hAnsi="Arial" w:cs="Arial"/>
          <w:szCs w:val="22"/>
        </w:rPr>
        <w:t xml:space="preserve"> Data collected firsthand by the researcher for a specific purpose. Examples include interviews, surveys, focus groups, or direct observations. Primary data are tailored to the research question but can be expensive and time</w:t>
      </w:r>
      <w:r w:rsidRPr="00481EEA">
        <w:rPr>
          <w:rFonts w:ascii="Arial" w:hAnsi="Arial" w:cs="Arial"/>
          <w:szCs w:val="22"/>
        </w:rPr>
        <w:noBreakHyphen/>
        <w:t>consuming to collect</w:t>
      </w:r>
      <w:r w:rsidR="00E21C30" w:rsidRPr="00481EEA">
        <w:rPr>
          <w:rFonts w:ascii="Arial" w:hAnsi="Arial" w:cs="Arial"/>
          <w:szCs w:val="22"/>
        </w:rPr>
        <w:t xml:space="preserve"> (Taherdoost, 2021)</w:t>
      </w:r>
      <w:r w:rsidRPr="00481EEA">
        <w:rPr>
          <w:rFonts w:ascii="Arial" w:hAnsi="Arial" w:cs="Arial"/>
          <w:szCs w:val="22"/>
        </w:rPr>
        <w:t>.</w:t>
      </w:r>
    </w:p>
    <w:p w14:paraId="57E7338A" w14:textId="3ADE7BD1" w:rsidR="00752E69" w:rsidRPr="00481EEA" w:rsidRDefault="00752E69" w:rsidP="002A249F">
      <w:pPr>
        <w:pStyle w:val="NormalWeb"/>
        <w:numPr>
          <w:ilvl w:val="0"/>
          <w:numId w:val="6"/>
        </w:numPr>
        <w:spacing w:line="360" w:lineRule="auto"/>
        <w:jc w:val="both"/>
        <w:rPr>
          <w:rFonts w:ascii="Arial" w:hAnsi="Arial" w:cs="Arial"/>
          <w:szCs w:val="22"/>
        </w:rPr>
      </w:pPr>
      <w:r w:rsidRPr="00481EEA">
        <w:rPr>
          <w:rStyle w:val="Strong"/>
          <w:rFonts w:ascii="Arial" w:eastAsiaTheme="majorEastAsia" w:hAnsi="Arial" w:cs="Arial"/>
          <w:szCs w:val="22"/>
        </w:rPr>
        <w:t>Secondary Data:</w:t>
      </w:r>
      <w:r w:rsidRPr="00481EEA">
        <w:rPr>
          <w:rFonts w:ascii="Arial" w:hAnsi="Arial" w:cs="Arial"/>
          <w:szCs w:val="22"/>
        </w:rPr>
        <w:t xml:space="preserve"> Data already collected by others, such as NHS workforce statistics, Skills for Care reports, or previously published studies. Secondary data save time and resources but may not align perfectly with the specific research questions</w:t>
      </w:r>
      <w:r w:rsidR="00E21C30" w:rsidRPr="00481EEA">
        <w:rPr>
          <w:rFonts w:ascii="Arial" w:hAnsi="Arial" w:cs="Arial"/>
          <w:szCs w:val="22"/>
        </w:rPr>
        <w:t xml:space="preserve"> (Saunders, Lewis and Thornhill, 2019)</w:t>
      </w:r>
      <w:r w:rsidRPr="00481EEA">
        <w:rPr>
          <w:rFonts w:ascii="Arial" w:hAnsi="Arial" w:cs="Arial"/>
          <w:szCs w:val="22"/>
        </w:rPr>
        <w:t>.</w:t>
      </w:r>
    </w:p>
    <w:p w14:paraId="5BB10C59" w14:textId="77777777" w:rsidR="00752E69" w:rsidRPr="00481EEA" w:rsidRDefault="00752E69" w:rsidP="002A249F">
      <w:pPr>
        <w:pStyle w:val="Heading2"/>
        <w:jc w:val="both"/>
      </w:pPr>
      <w:bookmarkStart w:id="11" w:name="_Toc224930707"/>
      <w:r w:rsidRPr="00481EEA">
        <w:rPr>
          <w:rStyle w:val="Strong"/>
          <w:rFonts w:ascii="Arial" w:hAnsi="Arial" w:cs="Arial"/>
          <w:b/>
          <w:bCs w:val="0"/>
          <w:szCs w:val="22"/>
        </w:rPr>
        <w:t>Chosen Data Type and Justification</w:t>
      </w:r>
      <w:bookmarkEnd w:id="11"/>
    </w:p>
    <w:p w14:paraId="32339CA8" w14:textId="77777777" w:rsidR="00752E69" w:rsidRDefault="00752E69" w:rsidP="002A249F">
      <w:pPr>
        <w:pStyle w:val="NormalWeb"/>
        <w:spacing w:line="360" w:lineRule="auto"/>
        <w:jc w:val="both"/>
        <w:rPr>
          <w:rFonts w:ascii="Arial" w:hAnsi="Arial" w:cs="Arial"/>
          <w:szCs w:val="22"/>
        </w:rPr>
      </w:pPr>
      <w:r w:rsidRPr="00481EEA">
        <w:rPr>
          <w:rFonts w:ascii="Arial" w:hAnsi="Arial" w:cs="Arial"/>
          <w:szCs w:val="22"/>
        </w:rPr>
        <w:t xml:space="preserve">For the proposed research, I would use both </w:t>
      </w:r>
      <w:r w:rsidRPr="00481EEA">
        <w:rPr>
          <w:rStyle w:val="Strong"/>
          <w:rFonts w:ascii="Arial" w:eastAsiaTheme="majorEastAsia" w:hAnsi="Arial" w:cs="Arial"/>
          <w:szCs w:val="22"/>
        </w:rPr>
        <w:t>primary and secondary data</w:t>
      </w:r>
      <w:r w:rsidRPr="00481EEA">
        <w:rPr>
          <w:rFonts w:ascii="Arial" w:hAnsi="Arial" w:cs="Arial"/>
          <w:szCs w:val="22"/>
        </w:rPr>
        <w:t xml:space="preserve">, with an emphasis on </w:t>
      </w:r>
      <w:r w:rsidRPr="00481EEA">
        <w:rPr>
          <w:rStyle w:val="Strong"/>
          <w:rFonts w:ascii="Arial" w:eastAsiaTheme="majorEastAsia" w:hAnsi="Arial" w:cs="Arial"/>
          <w:szCs w:val="22"/>
        </w:rPr>
        <w:t>primary data for qualitative insights</w:t>
      </w:r>
      <w:r w:rsidRPr="00481EEA">
        <w:rPr>
          <w:rFonts w:ascii="Arial" w:hAnsi="Arial" w:cs="Arial"/>
          <w:szCs w:val="22"/>
        </w:rPr>
        <w:t xml:space="preserve"> and </w:t>
      </w:r>
      <w:r w:rsidRPr="00481EEA">
        <w:rPr>
          <w:rStyle w:val="Strong"/>
          <w:rFonts w:ascii="Arial" w:eastAsiaTheme="majorEastAsia" w:hAnsi="Arial" w:cs="Arial"/>
          <w:szCs w:val="22"/>
        </w:rPr>
        <w:t>secondary data for quantitative context</w:t>
      </w:r>
      <w:r w:rsidRPr="00481EEA">
        <w:rPr>
          <w:rFonts w:ascii="Arial" w:hAnsi="Arial" w:cs="Arial"/>
          <w:szCs w:val="22"/>
        </w:rPr>
        <w:t>.</w:t>
      </w:r>
    </w:p>
    <w:p w14:paraId="57EB0E77" w14:textId="2FC9EA83" w:rsidR="006455B6" w:rsidRPr="006455B6" w:rsidRDefault="006455B6" w:rsidP="002A249F">
      <w:pPr>
        <w:pStyle w:val="NormalWeb"/>
        <w:spacing w:line="360" w:lineRule="auto"/>
        <w:jc w:val="both"/>
        <w:rPr>
          <w:rFonts w:ascii="Arial" w:hAnsi="Arial" w:cs="Arial"/>
          <w:szCs w:val="22"/>
        </w:rPr>
      </w:pPr>
      <w:r w:rsidRPr="006455B6">
        <w:rPr>
          <w:rFonts w:ascii="Arial" w:hAnsi="Arial" w:cs="Arial"/>
          <w:szCs w:val="22"/>
        </w:rPr>
        <w:t>Secondary data sources such as NHS England and Skills for Care would supply a minimum of staffing levels, vacancies, and trends. These play a crucial role in appreciating the magnitude of the problem.</w:t>
      </w:r>
    </w:p>
    <w:p w14:paraId="255C9033" w14:textId="6F96C61E" w:rsidR="006455B6" w:rsidRPr="00481EEA" w:rsidRDefault="006455B6" w:rsidP="002A249F">
      <w:pPr>
        <w:pStyle w:val="NormalWeb"/>
        <w:spacing w:line="360" w:lineRule="auto"/>
        <w:jc w:val="both"/>
        <w:rPr>
          <w:rFonts w:ascii="Arial" w:hAnsi="Arial" w:cs="Arial"/>
          <w:szCs w:val="22"/>
        </w:rPr>
      </w:pPr>
      <w:r w:rsidRPr="006455B6">
        <w:rPr>
          <w:rFonts w:ascii="Arial" w:hAnsi="Arial" w:cs="Arial"/>
          <w:szCs w:val="22"/>
        </w:rPr>
        <w:t>Primary data would be gathered using surveys and semi structured interviews with healthcare professionals (nurses, social care workers, allied health staff). Surveys would measure variables which include job satisfaction, turnover intentions, workload, and perceptions of workplace support. To help clarify trends found in the secondary data, interviews would give a more in-depth insight into personal experiences and organisational culture.</w:t>
      </w:r>
    </w:p>
    <w:p w14:paraId="048A4513" w14:textId="266210AD" w:rsidR="00752E69" w:rsidRPr="00481EEA" w:rsidRDefault="00752E69" w:rsidP="002A249F">
      <w:pPr>
        <w:pStyle w:val="Heading2"/>
        <w:jc w:val="both"/>
      </w:pPr>
      <w:bookmarkStart w:id="12" w:name="_Toc224930708"/>
      <w:r w:rsidRPr="00481EEA">
        <w:rPr>
          <w:rStyle w:val="Strong"/>
          <w:rFonts w:ascii="Arial" w:hAnsi="Arial" w:cs="Arial"/>
          <w:b/>
          <w:bCs w:val="0"/>
          <w:szCs w:val="22"/>
        </w:rPr>
        <w:lastRenderedPageBreak/>
        <w:t>Advantages and Challenges</w:t>
      </w:r>
      <w:bookmarkEnd w:id="12"/>
    </w:p>
    <w:p w14:paraId="39CD3CD3" w14:textId="20DC9269" w:rsidR="00982859" w:rsidRPr="00982859" w:rsidRDefault="00AB0180" w:rsidP="002A249F">
      <w:pPr>
        <w:pStyle w:val="NormalWeb"/>
        <w:spacing w:line="360" w:lineRule="auto"/>
        <w:jc w:val="both"/>
        <w:rPr>
          <w:rStyle w:val="Strong"/>
          <w:rFonts w:ascii="Arial" w:eastAsiaTheme="majorEastAsia" w:hAnsi="Arial" w:cs="Arial"/>
          <w:szCs w:val="22"/>
        </w:rPr>
      </w:pPr>
      <w:r>
        <w:rPr>
          <w:rStyle w:val="Strong"/>
          <w:rFonts w:ascii="Arial" w:eastAsiaTheme="majorEastAsia" w:hAnsi="Arial" w:cs="Arial"/>
          <w:szCs w:val="22"/>
        </w:rPr>
        <w:t>Advantages</w:t>
      </w:r>
      <w:r w:rsidR="00982859" w:rsidRPr="00982859">
        <w:rPr>
          <w:rStyle w:val="Strong"/>
          <w:rFonts w:ascii="Arial" w:eastAsiaTheme="majorEastAsia" w:hAnsi="Arial" w:cs="Arial"/>
          <w:szCs w:val="22"/>
        </w:rPr>
        <w:t xml:space="preserve">: </w:t>
      </w:r>
      <w:r w:rsidR="00982859" w:rsidRPr="00AB0180">
        <w:rPr>
          <w:rStyle w:val="Strong"/>
          <w:rFonts w:ascii="Arial" w:eastAsiaTheme="majorEastAsia" w:hAnsi="Arial" w:cs="Arial"/>
          <w:b w:val="0"/>
          <w:bCs w:val="0"/>
          <w:szCs w:val="22"/>
        </w:rPr>
        <w:t>The integration of both data types helps the study to be more valid and in-depth. Secondary data provide general coverage and time context whereas primary data provide up-to-date, customized data. Qualitative interviews help to unearth deep, complex insights that would be lost in the statistics (Saunders, Lewis and Thornhill, 2019).</w:t>
      </w:r>
    </w:p>
    <w:p w14:paraId="3CA918C7" w14:textId="46B1D579" w:rsidR="00752E69" w:rsidRPr="00481EEA" w:rsidRDefault="00982859" w:rsidP="002A249F">
      <w:pPr>
        <w:pStyle w:val="NormalWeb"/>
        <w:spacing w:line="360" w:lineRule="auto"/>
        <w:jc w:val="both"/>
        <w:rPr>
          <w:rFonts w:ascii="Arial" w:hAnsi="Arial" w:cs="Arial"/>
          <w:szCs w:val="22"/>
        </w:rPr>
      </w:pPr>
      <w:r w:rsidRPr="00982859">
        <w:rPr>
          <w:rStyle w:val="Strong"/>
          <w:rFonts w:ascii="Arial" w:eastAsiaTheme="majorEastAsia" w:hAnsi="Arial" w:cs="Arial"/>
          <w:szCs w:val="22"/>
        </w:rPr>
        <w:t xml:space="preserve">Challenges: </w:t>
      </w:r>
      <w:r w:rsidRPr="00AB0180">
        <w:rPr>
          <w:rStyle w:val="Strong"/>
          <w:rFonts w:ascii="Arial" w:eastAsiaTheme="majorEastAsia" w:hAnsi="Arial" w:cs="Arial"/>
          <w:b w:val="0"/>
          <w:bCs w:val="0"/>
          <w:szCs w:val="22"/>
        </w:rPr>
        <w:t>Primary data collection is more resourceful in terms of time, planning, participant recruitment, and ethical permittivity. Surveys may require a representative sample, which may be challenging in a large health system. Privacy and confidentiality of data also demand special attention in interviews</w:t>
      </w:r>
      <w:r>
        <w:rPr>
          <w:rStyle w:val="Strong"/>
          <w:rFonts w:ascii="Arial" w:eastAsiaTheme="majorEastAsia" w:hAnsi="Arial" w:cs="Arial"/>
          <w:szCs w:val="22"/>
        </w:rPr>
        <w:t xml:space="preserve"> </w:t>
      </w:r>
      <w:r w:rsidR="00E13270" w:rsidRPr="00481EEA">
        <w:rPr>
          <w:rFonts w:ascii="Arial" w:hAnsi="Arial" w:cs="Arial"/>
          <w:szCs w:val="22"/>
        </w:rPr>
        <w:t>(Taherdoost, 2021)</w:t>
      </w:r>
      <w:r w:rsidR="00752E69" w:rsidRPr="00481EEA">
        <w:rPr>
          <w:rFonts w:ascii="Arial" w:hAnsi="Arial" w:cs="Arial"/>
          <w:szCs w:val="22"/>
        </w:rPr>
        <w:t>.</w:t>
      </w:r>
    </w:p>
    <w:p w14:paraId="3E286329" w14:textId="26EF4273" w:rsidR="00752E69" w:rsidRPr="00481EEA" w:rsidRDefault="00752E69" w:rsidP="002A249F">
      <w:pPr>
        <w:pStyle w:val="Heading1"/>
        <w:jc w:val="both"/>
      </w:pPr>
      <w:bookmarkStart w:id="13" w:name="_Toc224930709"/>
      <w:r w:rsidRPr="00481EEA">
        <w:rPr>
          <w:rStyle w:val="Strong"/>
          <w:rFonts w:ascii="Arial" w:hAnsi="Arial" w:cs="Arial"/>
          <w:b/>
          <w:bCs w:val="0"/>
          <w:sz w:val="22"/>
          <w:szCs w:val="22"/>
        </w:rPr>
        <w:t>Conclusion</w:t>
      </w:r>
      <w:bookmarkEnd w:id="13"/>
      <w:r w:rsidRPr="00481EEA">
        <w:rPr>
          <w:rStyle w:val="Strong"/>
          <w:rFonts w:ascii="Arial" w:hAnsi="Arial" w:cs="Arial"/>
          <w:b/>
          <w:bCs w:val="0"/>
          <w:sz w:val="22"/>
          <w:szCs w:val="22"/>
        </w:rPr>
        <w:t xml:space="preserve"> </w:t>
      </w:r>
    </w:p>
    <w:p w14:paraId="17F87F00" w14:textId="1D3830F2" w:rsidR="00D13C7B" w:rsidRPr="00481EEA" w:rsidRDefault="0081437C" w:rsidP="002A249F">
      <w:pPr>
        <w:pStyle w:val="NormalWeb"/>
        <w:spacing w:line="360" w:lineRule="auto"/>
        <w:jc w:val="both"/>
        <w:rPr>
          <w:rFonts w:ascii="Arial" w:hAnsi="Arial" w:cs="Arial"/>
          <w:szCs w:val="22"/>
        </w:rPr>
      </w:pPr>
      <w:r w:rsidRPr="0081437C">
        <w:rPr>
          <w:rFonts w:ascii="Arial" w:hAnsi="Arial" w:cs="Arial"/>
          <w:szCs w:val="22"/>
        </w:rPr>
        <w:t>The issue of workforce shortage in UK health and social care sector is a critical problem that influences the quality of services, staff wellbeing, and organisational performance. This report examined the magnitude and consequences of the problem, assessed pertinent sources, and described a research program with a combination of quantitative and qualitative designs. The combination of primary and secondary data will provide a multifaceted approach to cognizing causes and possible solutions. Workforce shortages will need to be addressed in order to guarantee sustainable and high-quality care delivery in the UK. This study fits with professional interests to help improve workforce planning and health service management.</w:t>
      </w:r>
    </w:p>
    <w:p w14:paraId="4579321B" w14:textId="76E327BD" w:rsidR="00347614" w:rsidRPr="00481EEA" w:rsidRDefault="00400EBD" w:rsidP="00FA1518">
      <w:pPr>
        <w:pStyle w:val="Heading1"/>
        <w:rPr>
          <w:lang w:val="en-GB"/>
        </w:rPr>
      </w:pPr>
      <w:bookmarkStart w:id="14" w:name="_Toc224930710"/>
      <w:r w:rsidRPr="00481EEA">
        <w:rPr>
          <w:lang w:val="en-GB"/>
        </w:rPr>
        <w:t>References</w:t>
      </w:r>
      <w:bookmarkEnd w:id="14"/>
    </w:p>
    <w:p w14:paraId="78F5261C"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t xml:space="preserve">Anderson, M. </w:t>
      </w:r>
      <w:r w:rsidRPr="00400EBD">
        <w:rPr>
          <w:rFonts w:ascii="Arial" w:eastAsia="Times New Roman" w:hAnsi="Arial" w:cs="Arial"/>
          <w:i/>
          <w:iCs/>
          <w:kern w:val="0"/>
          <w:szCs w:val="22"/>
          <w:lang w:eastAsia="en-GB"/>
          <w14:ligatures w14:val="none"/>
        </w:rPr>
        <w:t>et al.</w:t>
      </w:r>
      <w:r w:rsidRPr="00400EBD">
        <w:rPr>
          <w:rFonts w:ascii="Arial" w:eastAsia="Times New Roman" w:hAnsi="Arial" w:cs="Arial"/>
          <w:kern w:val="0"/>
          <w:szCs w:val="22"/>
          <w:lang w:eastAsia="en-GB"/>
          <w14:ligatures w14:val="none"/>
        </w:rPr>
        <w:t xml:space="preserve"> (2021) ‘Securing a sustainable and fit-for-purpose UK health and care workforce’, </w:t>
      </w:r>
      <w:r w:rsidRPr="00400EBD">
        <w:rPr>
          <w:rFonts w:ascii="Arial" w:eastAsia="Times New Roman" w:hAnsi="Arial" w:cs="Arial"/>
          <w:i/>
          <w:iCs/>
          <w:kern w:val="0"/>
          <w:szCs w:val="22"/>
          <w:lang w:eastAsia="en-GB"/>
          <w14:ligatures w14:val="none"/>
        </w:rPr>
        <w:t>The Lancet</w:t>
      </w:r>
      <w:r w:rsidRPr="00400EBD">
        <w:rPr>
          <w:rFonts w:ascii="Arial" w:eastAsia="Times New Roman" w:hAnsi="Arial" w:cs="Arial"/>
          <w:kern w:val="0"/>
          <w:szCs w:val="22"/>
          <w:lang w:eastAsia="en-GB"/>
          <w14:ligatures w14:val="none"/>
        </w:rPr>
        <w:t>, 397(10288), pp. 1992–2011. Available at: https://doi.org/10.1016/S0140-6736(21)00231-2.</w:t>
      </w:r>
    </w:p>
    <w:p w14:paraId="6FC3EB2B"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t xml:space="preserve">Milner, A., Nielsen, R. and Verdery, A.M. (2021) ‘Brexit and the European National Health Service England Workforce: A Quantitative Analysis of Doctors’ Perceived Professional Impact and Intentions to Leave the United Kingdom’, </w:t>
      </w:r>
      <w:r w:rsidRPr="00400EBD">
        <w:rPr>
          <w:rFonts w:ascii="Arial" w:eastAsia="Times New Roman" w:hAnsi="Arial" w:cs="Arial"/>
          <w:i/>
          <w:iCs/>
          <w:kern w:val="0"/>
          <w:szCs w:val="22"/>
          <w:lang w:eastAsia="en-GB"/>
          <w14:ligatures w14:val="none"/>
        </w:rPr>
        <w:t>Annals of Global Health</w:t>
      </w:r>
      <w:r w:rsidRPr="00400EBD">
        <w:rPr>
          <w:rFonts w:ascii="Arial" w:eastAsia="Times New Roman" w:hAnsi="Arial" w:cs="Arial"/>
          <w:kern w:val="0"/>
          <w:szCs w:val="22"/>
          <w:lang w:eastAsia="en-GB"/>
          <w14:ligatures w14:val="none"/>
        </w:rPr>
        <w:t>, 87(1). Available at: https://doi.org/10.5334/aogh.3048.</w:t>
      </w:r>
    </w:p>
    <w:p w14:paraId="4A21B925"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t xml:space="preserve">NHS Digital (2024) </w:t>
      </w:r>
      <w:r w:rsidRPr="00400EBD">
        <w:rPr>
          <w:rFonts w:ascii="Arial" w:eastAsia="Times New Roman" w:hAnsi="Arial" w:cs="Arial"/>
          <w:i/>
          <w:iCs/>
          <w:kern w:val="0"/>
          <w:szCs w:val="22"/>
          <w:lang w:eastAsia="en-GB"/>
          <w14:ligatures w14:val="none"/>
        </w:rPr>
        <w:t>NHS Workforce Statistics - NHS Digital</w:t>
      </w:r>
      <w:r w:rsidRPr="00400EBD">
        <w:rPr>
          <w:rFonts w:ascii="Arial" w:eastAsia="Times New Roman" w:hAnsi="Arial" w:cs="Arial"/>
          <w:kern w:val="0"/>
          <w:szCs w:val="22"/>
          <w:lang w:eastAsia="en-GB"/>
          <w14:ligatures w14:val="none"/>
        </w:rPr>
        <w:t xml:space="preserve">, </w:t>
      </w:r>
      <w:r w:rsidRPr="00400EBD">
        <w:rPr>
          <w:rFonts w:ascii="Arial" w:eastAsia="Times New Roman" w:hAnsi="Arial" w:cs="Arial"/>
          <w:i/>
          <w:iCs/>
          <w:kern w:val="0"/>
          <w:szCs w:val="22"/>
          <w:lang w:eastAsia="en-GB"/>
          <w14:ligatures w14:val="none"/>
        </w:rPr>
        <w:t>NHS Digital</w:t>
      </w:r>
      <w:r w:rsidRPr="00400EBD">
        <w:rPr>
          <w:rFonts w:ascii="Arial" w:eastAsia="Times New Roman" w:hAnsi="Arial" w:cs="Arial"/>
          <w:kern w:val="0"/>
          <w:szCs w:val="22"/>
          <w:lang w:eastAsia="en-GB"/>
          <w14:ligatures w14:val="none"/>
        </w:rPr>
        <w:t>. Available at: https://digital.nhs.uk/data-and-information/publications/statistical/nhs-workforce-statistics (Accessed: 20 March 2026).</w:t>
      </w:r>
    </w:p>
    <w:p w14:paraId="0AC8A945"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lastRenderedPageBreak/>
        <w:t xml:space="preserve">NHS England (2024) </w:t>
      </w:r>
      <w:r w:rsidRPr="00400EBD">
        <w:rPr>
          <w:rFonts w:ascii="Arial" w:eastAsia="Times New Roman" w:hAnsi="Arial" w:cs="Arial"/>
          <w:i/>
          <w:iCs/>
          <w:kern w:val="0"/>
          <w:szCs w:val="22"/>
          <w:lang w:eastAsia="en-GB"/>
          <w14:ligatures w14:val="none"/>
        </w:rPr>
        <w:t>NHS Long Term Workforce Plan</w:t>
      </w:r>
      <w:r w:rsidRPr="00400EBD">
        <w:rPr>
          <w:rFonts w:ascii="Arial" w:eastAsia="Times New Roman" w:hAnsi="Arial" w:cs="Arial"/>
          <w:kern w:val="0"/>
          <w:szCs w:val="22"/>
          <w:lang w:eastAsia="en-GB"/>
          <w14:ligatures w14:val="none"/>
        </w:rPr>
        <w:t xml:space="preserve">, </w:t>
      </w:r>
      <w:r w:rsidRPr="00400EBD">
        <w:rPr>
          <w:rFonts w:ascii="Arial" w:eastAsia="Times New Roman" w:hAnsi="Arial" w:cs="Arial"/>
          <w:i/>
          <w:iCs/>
          <w:kern w:val="0"/>
          <w:szCs w:val="22"/>
          <w:lang w:eastAsia="en-GB"/>
          <w14:ligatures w14:val="none"/>
        </w:rPr>
        <w:t>NHS England</w:t>
      </w:r>
      <w:r w:rsidRPr="00400EBD">
        <w:rPr>
          <w:rFonts w:ascii="Arial" w:eastAsia="Times New Roman" w:hAnsi="Arial" w:cs="Arial"/>
          <w:kern w:val="0"/>
          <w:szCs w:val="22"/>
          <w:lang w:eastAsia="en-GB"/>
          <w14:ligatures w14:val="none"/>
        </w:rPr>
        <w:t>. NHS England. Available at: https://www.england.nhs.uk/long-read/nhs-long-term-workforce-plan-2/ (Accessed: 20 March 2026).</w:t>
      </w:r>
    </w:p>
    <w:p w14:paraId="4F1273F6"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t xml:space="preserve">Sardana, N. </w:t>
      </w:r>
      <w:r w:rsidRPr="00400EBD">
        <w:rPr>
          <w:rFonts w:ascii="Arial" w:eastAsia="Times New Roman" w:hAnsi="Arial" w:cs="Arial"/>
          <w:i/>
          <w:iCs/>
          <w:kern w:val="0"/>
          <w:szCs w:val="22"/>
          <w:lang w:eastAsia="en-GB"/>
          <w14:ligatures w14:val="none"/>
        </w:rPr>
        <w:t>et al.</w:t>
      </w:r>
      <w:r w:rsidRPr="00400EBD">
        <w:rPr>
          <w:rFonts w:ascii="Arial" w:eastAsia="Times New Roman" w:hAnsi="Arial" w:cs="Arial"/>
          <w:kern w:val="0"/>
          <w:szCs w:val="22"/>
          <w:lang w:eastAsia="en-GB"/>
          <w14:ligatures w14:val="none"/>
        </w:rPr>
        <w:t xml:space="preserve"> (2023) ‘Chapter 6 - Qualitative and quantitative research methods’, in </w:t>
      </w:r>
      <w:r w:rsidRPr="00400EBD">
        <w:rPr>
          <w:rFonts w:ascii="Arial" w:eastAsia="Times New Roman" w:hAnsi="Arial" w:cs="Arial"/>
          <w:i/>
          <w:iCs/>
          <w:kern w:val="0"/>
          <w:szCs w:val="22"/>
          <w:lang w:eastAsia="en-GB"/>
          <w14:ligatures w14:val="none"/>
        </w:rPr>
        <w:t>Substance Use and Addiction Research Methodology, Mechanisms, and Therapeutics</w:t>
      </w:r>
      <w:r w:rsidRPr="00400EBD">
        <w:rPr>
          <w:rFonts w:ascii="Arial" w:eastAsia="Times New Roman" w:hAnsi="Arial" w:cs="Arial"/>
          <w:kern w:val="0"/>
          <w:szCs w:val="22"/>
          <w:lang w:eastAsia="en-GB"/>
          <w14:ligatures w14:val="none"/>
        </w:rPr>
        <w:t>. Academic Press.</w:t>
      </w:r>
    </w:p>
    <w:p w14:paraId="11F7918A"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t xml:space="preserve">Saunders, M.N., Lewis, P. and Thornhill, A. (2019) ‘Understanding research philosophy and approaches to theory development’, in </w:t>
      </w:r>
      <w:r w:rsidRPr="00400EBD">
        <w:rPr>
          <w:rFonts w:ascii="Arial" w:eastAsia="Times New Roman" w:hAnsi="Arial" w:cs="Arial"/>
          <w:i/>
          <w:iCs/>
          <w:kern w:val="0"/>
          <w:szCs w:val="22"/>
          <w:lang w:eastAsia="en-GB"/>
          <w14:ligatures w14:val="none"/>
        </w:rPr>
        <w:t>Research Methods for Business Students</w:t>
      </w:r>
      <w:r w:rsidRPr="00400EBD">
        <w:rPr>
          <w:rFonts w:ascii="Arial" w:eastAsia="Times New Roman" w:hAnsi="Arial" w:cs="Arial"/>
          <w:kern w:val="0"/>
          <w:szCs w:val="22"/>
          <w:lang w:eastAsia="en-GB"/>
          <w14:ligatures w14:val="none"/>
        </w:rPr>
        <w:t>. Pearson Education, Limited, pp. 128–171.</w:t>
      </w:r>
    </w:p>
    <w:p w14:paraId="6197278F"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t xml:space="preserve">Shemtob, L. </w:t>
      </w:r>
      <w:r w:rsidRPr="00400EBD">
        <w:rPr>
          <w:rFonts w:ascii="Arial" w:eastAsia="Times New Roman" w:hAnsi="Arial" w:cs="Arial"/>
          <w:i/>
          <w:iCs/>
          <w:kern w:val="0"/>
          <w:szCs w:val="22"/>
          <w:lang w:eastAsia="en-GB"/>
          <w14:ligatures w14:val="none"/>
        </w:rPr>
        <w:t>et al.</w:t>
      </w:r>
      <w:r w:rsidRPr="00400EBD">
        <w:rPr>
          <w:rFonts w:ascii="Arial" w:eastAsia="Times New Roman" w:hAnsi="Arial" w:cs="Arial"/>
          <w:kern w:val="0"/>
          <w:szCs w:val="22"/>
          <w:lang w:eastAsia="en-GB"/>
          <w14:ligatures w14:val="none"/>
        </w:rPr>
        <w:t xml:space="preserve"> (2023) ‘What needs to be done to address staffing shortages in health and social care?’, </w:t>
      </w:r>
      <w:r w:rsidRPr="00400EBD">
        <w:rPr>
          <w:rFonts w:ascii="Arial" w:eastAsia="Times New Roman" w:hAnsi="Arial" w:cs="Arial"/>
          <w:i/>
          <w:iCs/>
          <w:kern w:val="0"/>
          <w:szCs w:val="22"/>
          <w:lang w:eastAsia="en-GB"/>
          <w14:ligatures w14:val="none"/>
        </w:rPr>
        <w:t>British Journal of General Practice</w:t>
      </w:r>
      <w:r w:rsidRPr="00400EBD">
        <w:rPr>
          <w:rFonts w:ascii="Arial" w:eastAsia="Times New Roman" w:hAnsi="Arial" w:cs="Arial"/>
          <w:kern w:val="0"/>
          <w:szCs w:val="22"/>
          <w:lang w:eastAsia="en-GB"/>
          <w14:ligatures w14:val="none"/>
        </w:rPr>
        <w:t>, 73(728), pp. 102–103. Available at: https://doi.org/10.3399/bjgp23x732045.</w:t>
      </w:r>
    </w:p>
    <w:p w14:paraId="7ED57D46"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t xml:space="preserve">Skills for Care (2025) </w:t>
      </w:r>
      <w:r w:rsidRPr="00400EBD">
        <w:rPr>
          <w:rFonts w:ascii="Arial" w:eastAsia="Times New Roman" w:hAnsi="Arial" w:cs="Arial"/>
          <w:i/>
          <w:iCs/>
          <w:kern w:val="0"/>
          <w:szCs w:val="22"/>
          <w:lang w:eastAsia="en-GB"/>
          <w14:ligatures w14:val="none"/>
        </w:rPr>
        <w:t>Adult social care workforce data</w:t>
      </w:r>
      <w:r w:rsidRPr="00400EBD">
        <w:rPr>
          <w:rFonts w:ascii="Arial" w:eastAsia="Times New Roman" w:hAnsi="Arial" w:cs="Arial"/>
          <w:kern w:val="0"/>
          <w:szCs w:val="22"/>
          <w:lang w:eastAsia="en-GB"/>
          <w14:ligatures w14:val="none"/>
        </w:rPr>
        <w:t xml:space="preserve">, </w:t>
      </w:r>
      <w:r w:rsidRPr="00400EBD">
        <w:rPr>
          <w:rFonts w:ascii="Arial" w:eastAsia="Times New Roman" w:hAnsi="Arial" w:cs="Arial"/>
          <w:i/>
          <w:iCs/>
          <w:kern w:val="0"/>
          <w:szCs w:val="22"/>
          <w:lang w:eastAsia="en-GB"/>
          <w14:ligatures w14:val="none"/>
        </w:rPr>
        <w:t>www.skillsforcare.org.uk</w:t>
      </w:r>
      <w:r w:rsidRPr="00400EBD">
        <w:rPr>
          <w:rFonts w:ascii="Arial" w:eastAsia="Times New Roman" w:hAnsi="Arial" w:cs="Arial"/>
          <w:kern w:val="0"/>
          <w:szCs w:val="22"/>
          <w:lang w:eastAsia="en-GB"/>
          <w14:ligatures w14:val="none"/>
        </w:rPr>
        <w:t>. Available at: https://www.skillsforcare.org.uk/adult-social-care-workforce-data/adult-social-care-workforce-data.aspx (Accessed: 20 March 2026).</w:t>
      </w:r>
    </w:p>
    <w:p w14:paraId="5F33EEF3" w14:textId="77777777" w:rsidR="00400EBD" w:rsidRPr="00400EBD" w:rsidRDefault="00400EBD" w:rsidP="00481EEA">
      <w:pPr>
        <w:spacing w:after="240"/>
        <w:jc w:val="both"/>
        <w:rPr>
          <w:rFonts w:ascii="Arial" w:eastAsia="Times New Roman" w:hAnsi="Arial" w:cs="Arial"/>
          <w:kern w:val="0"/>
          <w:szCs w:val="22"/>
          <w:lang w:eastAsia="en-GB"/>
          <w14:ligatures w14:val="none"/>
        </w:rPr>
      </w:pPr>
      <w:r w:rsidRPr="00400EBD">
        <w:rPr>
          <w:rFonts w:ascii="Arial" w:eastAsia="Times New Roman" w:hAnsi="Arial" w:cs="Arial"/>
          <w:kern w:val="0"/>
          <w:szCs w:val="22"/>
          <w:lang w:eastAsia="en-GB"/>
          <w14:ligatures w14:val="none"/>
        </w:rPr>
        <w:t xml:space="preserve">Taherdoost, H. (2021) ‘Data Collection Methods and Tools for Research; a Step-by-Step Guide to Choose Data Collection Technique for Academic and Business Research Projects’, </w:t>
      </w:r>
      <w:r w:rsidRPr="00400EBD">
        <w:rPr>
          <w:rFonts w:ascii="Arial" w:eastAsia="Times New Roman" w:hAnsi="Arial" w:cs="Arial"/>
          <w:i/>
          <w:iCs/>
          <w:kern w:val="0"/>
          <w:szCs w:val="22"/>
          <w:lang w:eastAsia="en-GB"/>
          <w14:ligatures w14:val="none"/>
        </w:rPr>
        <w:t>International Journal of Academic Research in Management (IJARM)</w:t>
      </w:r>
      <w:r w:rsidRPr="00400EBD">
        <w:rPr>
          <w:rFonts w:ascii="Arial" w:eastAsia="Times New Roman" w:hAnsi="Arial" w:cs="Arial"/>
          <w:kern w:val="0"/>
          <w:szCs w:val="22"/>
          <w:lang w:eastAsia="en-GB"/>
          <w14:ligatures w14:val="none"/>
        </w:rPr>
        <w:t>, 10(1), p. 10. Available at: https://hal.science/Hal-03741847/.</w:t>
      </w:r>
    </w:p>
    <w:p w14:paraId="277E8185" w14:textId="77777777" w:rsidR="00400EBD" w:rsidRPr="00481EEA" w:rsidRDefault="00400EBD" w:rsidP="00481EEA">
      <w:pPr>
        <w:jc w:val="both"/>
        <w:rPr>
          <w:rFonts w:ascii="Arial" w:hAnsi="Arial" w:cs="Arial"/>
          <w:szCs w:val="22"/>
          <w:lang w:val="en-GB"/>
        </w:rPr>
      </w:pPr>
    </w:p>
    <w:sectPr w:rsidR="00400EBD" w:rsidRPr="00481EE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3908A" w14:textId="77777777" w:rsidR="00A6001A" w:rsidRDefault="00A6001A" w:rsidP="00FA1518">
      <w:pPr>
        <w:spacing w:after="0" w:line="240" w:lineRule="auto"/>
      </w:pPr>
      <w:r>
        <w:separator/>
      </w:r>
    </w:p>
  </w:endnote>
  <w:endnote w:type="continuationSeparator" w:id="0">
    <w:p w14:paraId="7D55FCCF" w14:textId="77777777" w:rsidR="00A6001A" w:rsidRDefault="00A6001A" w:rsidP="00FA1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908086"/>
      <w:docPartObj>
        <w:docPartGallery w:val="Page Numbers (Bottom of Page)"/>
        <w:docPartUnique/>
      </w:docPartObj>
    </w:sdtPr>
    <w:sdtEndPr>
      <w:rPr>
        <w:rStyle w:val="PageNumber"/>
      </w:rPr>
    </w:sdtEndPr>
    <w:sdtContent>
      <w:p w14:paraId="1CAB09AD" w14:textId="34D01BCE" w:rsidR="00FA1518" w:rsidRDefault="00FA1518" w:rsidP="00CA55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2729CCD" w14:textId="77777777" w:rsidR="00FA1518" w:rsidRDefault="00FA1518" w:rsidP="00FA15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1080339"/>
      <w:docPartObj>
        <w:docPartGallery w:val="Page Numbers (Bottom of Page)"/>
        <w:docPartUnique/>
      </w:docPartObj>
    </w:sdtPr>
    <w:sdtEndPr>
      <w:rPr>
        <w:rStyle w:val="PageNumber"/>
      </w:rPr>
    </w:sdtEndPr>
    <w:sdtContent>
      <w:p w14:paraId="5EADCA64" w14:textId="184016D2" w:rsidR="00FA1518" w:rsidRDefault="00FA1518" w:rsidP="00CA55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3F458EC9" w14:textId="77777777" w:rsidR="00FA1518" w:rsidRDefault="00FA1518" w:rsidP="00FA15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28A68" w14:textId="77777777" w:rsidR="00A6001A" w:rsidRDefault="00A6001A" w:rsidP="00FA1518">
      <w:pPr>
        <w:spacing w:after="0" w:line="240" w:lineRule="auto"/>
      </w:pPr>
      <w:r>
        <w:separator/>
      </w:r>
    </w:p>
  </w:footnote>
  <w:footnote w:type="continuationSeparator" w:id="0">
    <w:p w14:paraId="706DB7C8" w14:textId="77777777" w:rsidR="00A6001A" w:rsidRDefault="00A6001A" w:rsidP="00FA1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59B6"/>
    <w:multiLevelType w:val="multilevel"/>
    <w:tmpl w:val="E38C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83257"/>
    <w:multiLevelType w:val="multilevel"/>
    <w:tmpl w:val="02BC2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4E3F6C"/>
    <w:multiLevelType w:val="hybridMultilevel"/>
    <w:tmpl w:val="C34C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9527B"/>
    <w:multiLevelType w:val="hybridMultilevel"/>
    <w:tmpl w:val="9ADA02C8"/>
    <w:lvl w:ilvl="0" w:tplc="46129AC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E2CBC"/>
    <w:multiLevelType w:val="multilevel"/>
    <w:tmpl w:val="622A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6D3F9A"/>
    <w:multiLevelType w:val="multilevel"/>
    <w:tmpl w:val="5CC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C44E54"/>
    <w:multiLevelType w:val="multilevel"/>
    <w:tmpl w:val="7BF4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076B5"/>
    <w:multiLevelType w:val="multilevel"/>
    <w:tmpl w:val="7FFA3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026515"/>
    <w:multiLevelType w:val="multilevel"/>
    <w:tmpl w:val="62BE9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6117986">
    <w:abstractNumId w:val="4"/>
  </w:num>
  <w:num w:numId="2" w16cid:durableId="2054647701">
    <w:abstractNumId w:val="7"/>
  </w:num>
  <w:num w:numId="3" w16cid:durableId="974485072">
    <w:abstractNumId w:val="1"/>
  </w:num>
  <w:num w:numId="4" w16cid:durableId="108088364">
    <w:abstractNumId w:val="8"/>
  </w:num>
  <w:num w:numId="5" w16cid:durableId="318964664">
    <w:abstractNumId w:val="0"/>
  </w:num>
  <w:num w:numId="6" w16cid:durableId="726954647">
    <w:abstractNumId w:val="6"/>
  </w:num>
  <w:num w:numId="7" w16cid:durableId="339043088">
    <w:abstractNumId w:val="5"/>
  </w:num>
  <w:num w:numId="8" w16cid:durableId="1980301495">
    <w:abstractNumId w:val="2"/>
  </w:num>
  <w:num w:numId="9" w16cid:durableId="7352747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553"/>
    <w:rsid w:val="000363C5"/>
    <w:rsid w:val="000465C4"/>
    <w:rsid w:val="000521E5"/>
    <w:rsid w:val="00076DB4"/>
    <w:rsid w:val="000B743B"/>
    <w:rsid w:val="000E6EFD"/>
    <w:rsid w:val="00197EA3"/>
    <w:rsid w:val="0020574D"/>
    <w:rsid w:val="0029756B"/>
    <w:rsid w:val="002A249F"/>
    <w:rsid w:val="002A5235"/>
    <w:rsid w:val="0030474E"/>
    <w:rsid w:val="00340028"/>
    <w:rsid w:val="00347614"/>
    <w:rsid w:val="003B6553"/>
    <w:rsid w:val="00400EBD"/>
    <w:rsid w:val="00437888"/>
    <w:rsid w:val="00461624"/>
    <w:rsid w:val="00481EEA"/>
    <w:rsid w:val="004D18AF"/>
    <w:rsid w:val="005367AD"/>
    <w:rsid w:val="005574A8"/>
    <w:rsid w:val="0059603F"/>
    <w:rsid w:val="006455B6"/>
    <w:rsid w:val="00647CD0"/>
    <w:rsid w:val="006F040D"/>
    <w:rsid w:val="006F13C6"/>
    <w:rsid w:val="0071189B"/>
    <w:rsid w:val="007167A6"/>
    <w:rsid w:val="00752E69"/>
    <w:rsid w:val="007B7361"/>
    <w:rsid w:val="007C5BDE"/>
    <w:rsid w:val="00800049"/>
    <w:rsid w:val="00804503"/>
    <w:rsid w:val="0081437C"/>
    <w:rsid w:val="00833300"/>
    <w:rsid w:val="0085224D"/>
    <w:rsid w:val="00886CE7"/>
    <w:rsid w:val="008C72F5"/>
    <w:rsid w:val="00904EAD"/>
    <w:rsid w:val="00941C75"/>
    <w:rsid w:val="009566FB"/>
    <w:rsid w:val="00982859"/>
    <w:rsid w:val="009B14D7"/>
    <w:rsid w:val="00A6001A"/>
    <w:rsid w:val="00AB0180"/>
    <w:rsid w:val="00BA2C35"/>
    <w:rsid w:val="00BE4882"/>
    <w:rsid w:val="00C45B62"/>
    <w:rsid w:val="00CC60FF"/>
    <w:rsid w:val="00CD470F"/>
    <w:rsid w:val="00D13C7B"/>
    <w:rsid w:val="00D42577"/>
    <w:rsid w:val="00D95A10"/>
    <w:rsid w:val="00E13270"/>
    <w:rsid w:val="00E21C30"/>
    <w:rsid w:val="00E2674A"/>
    <w:rsid w:val="00E81E9B"/>
    <w:rsid w:val="00E947F1"/>
    <w:rsid w:val="00EB3B02"/>
    <w:rsid w:val="00F621E7"/>
    <w:rsid w:val="00F9086A"/>
    <w:rsid w:val="00FA1518"/>
    <w:rsid w:val="00FB6C6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1D73"/>
  <w15:chartTrackingRefBased/>
  <w15:docId w15:val="{6EBF86AB-D5EC-DF44-8DD8-52869D768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614"/>
    <w:pPr>
      <w:spacing w:line="360" w:lineRule="auto"/>
    </w:pPr>
    <w:rPr>
      <w:rFonts w:asciiTheme="minorBidi" w:hAnsiTheme="minorBidi"/>
      <w:sz w:val="22"/>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3B655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B655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B65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B65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B65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B65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3B6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553"/>
    <w:rPr>
      <w:rFonts w:eastAsiaTheme="majorEastAsia" w:cstheme="majorBidi"/>
      <w:color w:val="272727" w:themeColor="text1" w:themeTint="D8"/>
    </w:rPr>
  </w:style>
  <w:style w:type="paragraph" w:styleId="Title">
    <w:name w:val="Title"/>
    <w:basedOn w:val="Normal"/>
    <w:next w:val="Normal"/>
    <w:link w:val="TitleChar"/>
    <w:uiPriority w:val="10"/>
    <w:qFormat/>
    <w:rsid w:val="003B6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5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553"/>
    <w:pPr>
      <w:spacing w:before="160"/>
      <w:jc w:val="center"/>
    </w:pPr>
    <w:rPr>
      <w:i/>
      <w:iCs/>
      <w:color w:val="404040" w:themeColor="text1" w:themeTint="BF"/>
    </w:rPr>
  </w:style>
  <w:style w:type="character" w:customStyle="1" w:styleId="QuoteChar">
    <w:name w:val="Quote Char"/>
    <w:basedOn w:val="DefaultParagraphFont"/>
    <w:link w:val="Quote"/>
    <w:uiPriority w:val="29"/>
    <w:rsid w:val="003B6553"/>
    <w:rPr>
      <w:rFonts w:asciiTheme="majorBidi" w:hAnsiTheme="majorBidi"/>
      <w:i/>
      <w:iCs/>
      <w:color w:val="404040" w:themeColor="text1" w:themeTint="BF"/>
    </w:rPr>
  </w:style>
  <w:style w:type="paragraph" w:styleId="ListParagraph">
    <w:name w:val="List Paragraph"/>
    <w:basedOn w:val="Normal"/>
    <w:uiPriority w:val="34"/>
    <w:qFormat/>
    <w:rsid w:val="003B6553"/>
    <w:pPr>
      <w:ind w:left="720"/>
      <w:contextualSpacing/>
    </w:pPr>
  </w:style>
  <w:style w:type="character" w:styleId="IntenseEmphasis">
    <w:name w:val="Intense Emphasis"/>
    <w:basedOn w:val="DefaultParagraphFont"/>
    <w:uiPriority w:val="21"/>
    <w:qFormat/>
    <w:rsid w:val="003B6553"/>
    <w:rPr>
      <w:i/>
      <w:iCs/>
      <w:color w:val="0F4761" w:themeColor="accent1" w:themeShade="BF"/>
    </w:rPr>
  </w:style>
  <w:style w:type="paragraph" w:styleId="IntenseQuote">
    <w:name w:val="Intense Quote"/>
    <w:basedOn w:val="Normal"/>
    <w:next w:val="Normal"/>
    <w:link w:val="IntenseQuoteChar"/>
    <w:uiPriority w:val="30"/>
    <w:qFormat/>
    <w:rsid w:val="003B6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553"/>
    <w:rPr>
      <w:rFonts w:asciiTheme="majorBidi" w:hAnsiTheme="majorBidi"/>
      <w:i/>
      <w:iCs/>
      <w:color w:val="0F4761" w:themeColor="accent1" w:themeShade="BF"/>
    </w:rPr>
  </w:style>
  <w:style w:type="character" w:styleId="IntenseReference">
    <w:name w:val="Intense Reference"/>
    <w:basedOn w:val="DefaultParagraphFont"/>
    <w:uiPriority w:val="32"/>
    <w:qFormat/>
    <w:rsid w:val="003B6553"/>
    <w:rPr>
      <w:b/>
      <w:bCs/>
      <w:smallCaps/>
      <w:color w:val="0F4761" w:themeColor="accent1" w:themeShade="BF"/>
      <w:spacing w:val="5"/>
    </w:rPr>
  </w:style>
  <w:style w:type="paragraph" w:styleId="NormalWeb">
    <w:name w:val="Normal (Web)"/>
    <w:basedOn w:val="Normal"/>
    <w:uiPriority w:val="99"/>
    <w:unhideWhenUsed/>
    <w:rsid w:val="003B65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B6553"/>
    <w:rPr>
      <w:b/>
      <w:bCs/>
    </w:rPr>
  </w:style>
  <w:style w:type="character" w:styleId="Emphasis">
    <w:name w:val="Emphasis"/>
    <w:basedOn w:val="DefaultParagraphFont"/>
    <w:uiPriority w:val="20"/>
    <w:qFormat/>
    <w:rsid w:val="00752E69"/>
    <w:rPr>
      <w:i/>
      <w:iCs/>
    </w:rPr>
  </w:style>
  <w:style w:type="paragraph" w:styleId="Header">
    <w:name w:val="header"/>
    <w:basedOn w:val="Normal"/>
    <w:link w:val="HeaderChar"/>
    <w:uiPriority w:val="99"/>
    <w:unhideWhenUsed/>
    <w:rsid w:val="00FA1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518"/>
    <w:rPr>
      <w:rFonts w:asciiTheme="minorBidi" w:hAnsiTheme="minorBidi"/>
      <w:sz w:val="22"/>
    </w:rPr>
  </w:style>
  <w:style w:type="paragraph" w:styleId="Footer">
    <w:name w:val="footer"/>
    <w:basedOn w:val="Normal"/>
    <w:link w:val="FooterChar"/>
    <w:uiPriority w:val="99"/>
    <w:unhideWhenUsed/>
    <w:rsid w:val="00FA1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518"/>
    <w:rPr>
      <w:rFonts w:asciiTheme="minorBidi" w:hAnsiTheme="minorBidi"/>
      <w:sz w:val="22"/>
    </w:rPr>
  </w:style>
  <w:style w:type="character" w:styleId="PageNumber">
    <w:name w:val="page number"/>
    <w:basedOn w:val="DefaultParagraphFont"/>
    <w:uiPriority w:val="99"/>
    <w:semiHidden/>
    <w:unhideWhenUsed/>
    <w:rsid w:val="00FA1518"/>
  </w:style>
  <w:style w:type="paragraph" w:styleId="TOCHeading">
    <w:name w:val="TOC Heading"/>
    <w:basedOn w:val="Heading1"/>
    <w:next w:val="Normal"/>
    <w:uiPriority w:val="39"/>
    <w:unhideWhenUsed/>
    <w:qFormat/>
    <w:rsid w:val="0071189B"/>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71189B"/>
    <w:pPr>
      <w:spacing w:before="240" w:after="120"/>
    </w:pPr>
    <w:rPr>
      <w:rFonts w:asciiTheme="minorHAnsi" w:hAnsiTheme="minorHAnsi" w:cs="Times New Roman"/>
      <w:b/>
      <w:bCs/>
      <w:sz w:val="20"/>
    </w:rPr>
  </w:style>
  <w:style w:type="paragraph" w:styleId="TOC2">
    <w:name w:val="toc 2"/>
    <w:basedOn w:val="Normal"/>
    <w:next w:val="Normal"/>
    <w:autoRedefine/>
    <w:uiPriority w:val="39"/>
    <w:unhideWhenUsed/>
    <w:rsid w:val="0071189B"/>
    <w:pPr>
      <w:spacing w:before="120" w:after="0"/>
      <w:ind w:left="220"/>
    </w:pPr>
    <w:rPr>
      <w:rFonts w:asciiTheme="minorHAnsi" w:hAnsiTheme="minorHAnsi" w:cs="Times New Roman"/>
      <w:i/>
      <w:iCs/>
      <w:sz w:val="20"/>
    </w:rPr>
  </w:style>
  <w:style w:type="character" w:styleId="Hyperlink">
    <w:name w:val="Hyperlink"/>
    <w:basedOn w:val="DefaultParagraphFont"/>
    <w:uiPriority w:val="99"/>
    <w:unhideWhenUsed/>
    <w:rsid w:val="0071189B"/>
    <w:rPr>
      <w:color w:val="467886" w:themeColor="hyperlink"/>
      <w:u w:val="single"/>
    </w:rPr>
  </w:style>
  <w:style w:type="paragraph" w:styleId="TOC3">
    <w:name w:val="toc 3"/>
    <w:basedOn w:val="Normal"/>
    <w:next w:val="Normal"/>
    <w:autoRedefine/>
    <w:uiPriority w:val="39"/>
    <w:semiHidden/>
    <w:unhideWhenUsed/>
    <w:rsid w:val="0071189B"/>
    <w:pPr>
      <w:spacing w:after="0"/>
      <w:ind w:left="440"/>
    </w:pPr>
    <w:rPr>
      <w:rFonts w:asciiTheme="minorHAnsi" w:hAnsiTheme="minorHAnsi" w:cs="Times New Roman"/>
      <w:sz w:val="20"/>
    </w:rPr>
  </w:style>
  <w:style w:type="paragraph" w:styleId="TOC4">
    <w:name w:val="toc 4"/>
    <w:basedOn w:val="Normal"/>
    <w:next w:val="Normal"/>
    <w:autoRedefine/>
    <w:uiPriority w:val="39"/>
    <w:semiHidden/>
    <w:unhideWhenUsed/>
    <w:rsid w:val="0071189B"/>
    <w:pPr>
      <w:spacing w:after="0"/>
      <w:ind w:left="660"/>
    </w:pPr>
    <w:rPr>
      <w:rFonts w:asciiTheme="minorHAnsi" w:hAnsiTheme="minorHAnsi" w:cs="Times New Roman"/>
      <w:sz w:val="20"/>
    </w:rPr>
  </w:style>
  <w:style w:type="paragraph" w:styleId="TOC5">
    <w:name w:val="toc 5"/>
    <w:basedOn w:val="Normal"/>
    <w:next w:val="Normal"/>
    <w:autoRedefine/>
    <w:uiPriority w:val="39"/>
    <w:semiHidden/>
    <w:unhideWhenUsed/>
    <w:rsid w:val="0071189B"/>
    <w:pPr>
      <w:spacing w:after="0"/>
      <w:ind w:left="880"/>
    </w:pPr>
    <w:rPr>
      <w:rFonts w:asciiTheme="minorHAnsi" w:hAnsiTheme="minorHAnsi" w:cs="Times New Roman"/>
      <w:sz w:val="20"/>
    </w:rPr>
  </w:style>
  <w:style w:type="paragraph" w:styleId="TOC6">
    <w:name w:val="toc 6"/>
    <w:basedOn w:val="Normal"/>
    <w:next w:val="Normal"/>
    <w:autoRedefine/>
    <w:uiPriority w:val="39"/>
    <w:semiHidden/>
    <w:unhideWhenUsed/>
    <w:rsid w:val="0071189B"/>
    <w:pPr>
      <w:spacing w:after="0"/>
      <w:ind w:left="1100"/>
    </w:pPr>
    <w:rPr>
      <w:rFonts w:asciiTheme="minorHAnsi" w:hAnsiTheme="minorHAnsi" w:cs="Times New Roman"/>
      <w:sz w:val="20"/>
    </w:rPr>
  </w:style>
  <w:style w:type="paragraph" w:styleId="TOC7">
    <w:name w:val="toc 7"/>
    <w:basedOn w:val="Normal"/>
    <w:next w:val="Normal"/>
    <w:autoRedefine/>
    <w:uiPriority w:val="39"/>
    <w:semiHidden/>
    <w:unhideWhenUsed/>
    <w:rsid w:val="0071189B"/>
    <w:pPr>
      <w:spacing w:after="0"/>
      <w:ind w:left="1320"/>
    </w:pPr>
    <w:rPr>
      <w:rFonts w:asciiTheme="minorHAnsi" w:hAnsiTheme="minorHAnsi" w:cs="Times New Roman"/>
      <w:sz w:val="20"/>
    </w:rPr>
  </w:style>
  <w:style w:type="paragraph" w:styleId="TOC8">
    <w:name w:val="toc 8"/>
    <w:basedOn w:val="Normal"/>
    <w:next w:val="Normal"/>
    <w:autoRedefine/>
    <w:uiPriority w:val="39"/>
    <w:semiHidden/>
    <w:unhideWhenUsed/>
    <w:rsid w:val="0071189B"/>
    <w:pPr>
      <w:spacing w:after="0"/>
      <w:ind w:left="1540"/>
    </w:pPr>
    <w:rPr>
      <w:rFonts w:asciiTheme="minorHAnsi" w:hAnsiTheme="minorHAnsi" w:cs="Times New Roman"/>
      <w:sz w:val="20"/>
    </w:rPr>
  </w:style>
  <w:style w:type="paragraph" w:styleId="TOC9">
    <w:name w:val="toc 9"/>
    <w:basedOn w:val="Normal"/>
    <w:next w:val="Normal"/>
    <w:autoRedefine/>
    <w:uiPriority w:val="39"/>
    <w:semiHidden/>
    <w:unhideWhenUsed/>
    <w:rsid w:val="0071189B"/>
    <w:pPr>
      <w:spacing w:after="0"/>
      <w:ind w:left="1760"/>
    </w:pPr>
    <w:rPr>
      <w:rFonts w:asciiTheme="minorHAnsi" w:hAnsiTheme="minorHAnsi" w:cs="Times New Roman"/>
      <w:sz w:val="20"/>
    </w:rPr>
  </w:style>
  <w:style w:type="paragraph" w:styleId="NoSpacing">
    <w:name w:val="No Spacing"/>
    <w:uiPriority w:val="1"/>
    <w:qFormat/>
    <w:rsid w:val="00E81E9B"/>
    <w:pPr>
      <w:spacing w:after="0" w:line="240" w:lineRule="auto"/>
    </w:pPr>
    <w:rPr>
      <w:rFonts w:asciiTheme="minorBidi" w:hAnsi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6DA34-E40E-4F4C-99DF-3F0FDD2C0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2172</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Aatiqa Rehmani</cp:lastModifiedBy>
  <cp:revision>2</cp:revision>
  <cp:lastPrinted>2026-03-20T08:18:00Z</cp:lastPrinted>
  <dcterms:created xsi:type="dcterms:W3CDTF">2026-03-23T22:53:00Z</dcterms:created>
  <dcterms:modified xsi:type="dcterms:W3CDTF">2026-03-23T22:53:00Z</dcterms:modified>
</cp:coreProperties>
</file>