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57DD9" w14:textId="19EF8210" w:rsidR="00055171" w:rsidRPr="00055171" w:rsidRDefault="00055171" w:rsidP="00055171">
      <w:pPr>
        <w:spacing w:before="100" w:beforeAutospacing="1" w:after="100" w:afterAutospacing="1"/>
        <w:jc w:val="center"/>
        <w:rPr>
          <w:rFonts w:eastAsia="Times New Roman" w:cs="Arial"/>
          <w:sz w:val="24"/>
          <w:lang w:val="en-US" w:bidi="bn-IN"/>
          <w14:ligatures w14:val="none"/>
        </w:rPr>
      </w:pPr>
      <w:r w:rsidRPr="00055171">
        <w:rPr>
          <w:rFonts w:eastAsia="Times New Roman" w:cs="Arial"/>
          <w:sz w:val="28"/>
          <w:szCs w:val="28"/>
          <w:lang w:val="en-US" w:bidi="bn-IN"/>
          <w14:ligatures w14:val="none"/>
        </w:rPr>
        <w:br/>
      </w:r>
      <w:r w:rsidRPr="00055171">
        <w:rPr>
          <w:rFonts w:eastAsia="Times New Roman" w:cs="Arial"/>
          <w:b/>
          <w:bCs/>
          <w:sz w:val="28"/>
          <w:szCs w:val="28"/>
          <w:lang w:val="en-US" w:bidi="bn-IN"/>
          <w14:ligatures w14:val="none"/>
        </w:rPr>
        <w:t>LCHS4008 - Introduction to Public Health</w:t>
      </w:r>
      <w:r w:rsidRPr="00055171">
        <w:rPr>
          <w:rFonts w:eastAsia="Times New Roman" w:cs="Arial"/>
          <w:sz w:val="24"/>
          <w:lang w:val="en-US" w:bidi="bn-IN"/>
          <w14:ligatures w14:val="none"/>
        </w:rPr>
        <w:br/>
      </w:r>
      <w:r w:rsidRPr="00055171">
        <w:rPr>
          <w:rFonts w:eastAsia="Times New Roman" w:cs="Arial"/>
          <w:sz w:val="40"/>
          <w:szCs w:val="40"/>
          <w:lang w:val="en-US" w:bidi="bn-IN"/>
          <w14:ligatures w14:val="none"/>
        </w:rPr>
        <w:t>Heart Disease: A Public Health Issue</w:t>
      </w:r>
    </w:p>
    <w:p w14:paraId="3BB9C460" w14:textId="5BC74281" w:rsidR="00055171" w:rsidRPr="00055171" w:rsidRDefault="00055171" w:rsidP="00055171">
      <w:pPr>
        <w:spacing w:before="100" w:beforeAutospacing="1" w:after="100" w:afterAutospacing="1"/>
        <w:jc w:val="center"/>
        <w:rPr>
          <w:rFonts w:eastAsia="Times New Roman" w:cs="Arial"/>
          <w:b/>
          <w:bCs/>
          <w:sz w:val="28"/>
          <w:szCs w:val="28"/>
          <w:lang w:val="en-US" w:bidi="bn-IN"/>
          <w14:ligatures w14:val="none"/>
        </w:rPr>
      </w:pPr>
      <w:r w:rsidRPr="00055171">
        <w:rPr>
          <w:rFonts w:eastAsia="Times New Roman" w:cs="Arial"/>
          <w:b/>
          <w:bCs/>
          <w:sz w:val="28"/>
          <w:szCs w:val="28"/>
          <w:lang w:val="en-US" w:bidi="bn-IN"/>
          <w14:ligatures w14:val="none"/>
        </w:rPr>
        <w:t>Student Name:</w:t>
      </w:r>
      <w:r w:rsidR="00BF3700">
        <w:rPr>
          <w:rFonts w:eastAsia="Times New Roman" w:cs="Arial"/>
          <w:b/>
          <w:bCs/>
          <w:sz w:val="28"/>
          <w:szCs w:val="28"/>
          <w:lang w:val="en-US" w:bidi="bn-IN"/>
          <w14:ligatures w14:val="none"/>
        </w:rPr>
        <w:t xml:space="preserve"> MARY VICENTINA NOVAIS</w:t>
      </w:r>
      <w:r w:rsidRPr="00055171">
        <w:rPr>
          <w:rFonts w:eastAsia="Times New Roman" w:cs="Arial"/>
          <w:b/>
          <w:bCs/>
          <w:sz w:val="28"/>
          <w:szCs w:val="28"/>
          <w:lang w:val="en-US" w:bidi="bn-IN"/>
          <w14:ligatures w14:val="none"/>
        </w:rPr>
        <w:br/>
      </w:r>
      <w:r w:rsidRPr="0090448D">
        <w:rPr>
          <w:rFonts w:eastAsia="Times New Roman" w:cs="Arial"/>
          <w:b/>
          <w:bCs/>
          <w:sz w:val="28"/>
          <w:szCs w:val="28"/>
          <w:lang w:val="en-US" w:bidi="bn-IN"/>
          <w14:ligatures w14:val="none"/>
        </w:rPr>
        <w:t>Student ID:</w:t>
      </w:r>
      <w:r w:rsidR="00BF3700">
        <w:rPr>
          <w:rFonts w:eastAsia="Times New Roman" w:cs="Arial"/>
          <w:b/>
          <w:bCs/>
          <w:sz w:val="28"/>
          <w:szCs w:val="28"/>
          <w:lang w:val="en-US" w:bidi="bn-IN"/>
          <w14:ligatures w14:val="none"/>
        </w:rPr>
        <w:t>2436907</w:t>
      </w:r>
    </w:p>
    <w:p w14:paraId="5AF57DDB" w14:textId="77777777" w:rsidR="00055171" w:rsidRDefault="00055171">
      <w:pPr>
        <w:spacing w:after="120" w:line="259" w:lineRule="auto"/>
      </w:pPr>
    </w:p>
    <w:p w14:paraId="72CD96C3" w14:textId="77777777" w:rsidR="0090448D" w:rsidRDefault="00D51C1A">
      <w:pPr>
        <w:spacing w:after="120" w:line="259" w:lineRule="auto"/>
      </w:pPr>
      <w:r w:rsidRPr="00055171">
        <w:br w:type="page"/>
      </w:r>
    </w:p>
    <w:sdt>
      <w:sdtPr>
        <w:rPr>
          <w:rFonts w:ascii="Arial" w:eastAsiaTheme="minorHAnsi" w:hAnsi="Arial" w:cstheme="minorBidi"/>
          <w:color w:val="auto"/>
          <w:sz w:val="22"/>
          <w:szCs w:val="24"/>
          <w:lang w:val="en-GB"/>
          <w14:ligatures w14:val="standardContextual"/>
        </w:rPr>
        <w:id w:val="-112139434"/>
        <w:docPartObj>
          <w:docPartGallery w:val="Table of Contents"/>
          <w:docPartUnique/>
        </w:docPartObj>
      </w:sdtPr>
      <w:sdtEndPr>
        <w:rPr>
          <w:b/>
          <w:bCs/>
          <w:noProof/>
        </w:rPr>
      </w:sdtEndPr>
      <w:sdtContent>
        <w:p w14:paraId="541DBD09" w14:textId="0CE9B3F0" w:rsidR="0090448D" w:rsidRDefault="0090448D">
          <w:pPr>
            <w:pStyle w:val="TOCHeading"/>
          </w:pPr>
          <w:r>
            <w:t>Contents</w:t>
          </w:r>
        </w:p>
        <w:p w14:paraId="7DA59ACE" w14:textId="3C2969CD" w:rsidR="0090448D" w:rsidRDefault="0090448D">
          <w:pPr>
            <w:pStyle w:val="TOC1"/>
            <w:tabs>
              <w:tab w:val="right" w:leader="dot" w:pos="9350"/>
            </w:tabs>
            <w:rPr>
              <w:noProof/>
            </w:rPr>
          </w:pPr>
          <w:r>
            <w:fldChar w:fldCharType="begin"/>
          </w:r>
          <w:r>
            <w:instrText xml:space="preserve"> TOC \o "1-3" \h \z \u </w:instrText>
          </w:r>
          <w:r>
            <w:fldChar w:fldCharType="separate"/>
          </w:r>
          <w:hyperlink w:anchor="_Toc216124454" w:history="1">
            <w:r w:rsidRPr="00164B14">
              <w:rPr>
                <w:rStyle w:val="Hyperlink"/>
                <w:noProof/>
              </w:rPr>
              <w:t>Introduction</w:t>
            </w:r>
            <w:r>
              <w:rPr>
                <w:noProof/>
                <w:webHidden/>
              </w:rPr>
              <w:tab/>
            </w:r>
            <w:r>
              <w:rPr>
                <w:noProof/>
                <w:webHidden/>
              </w:rPr>
              <w:fldChar w:fldCharType="begin"/>
            </w:r>
            <w:r>
              <w:rPr>
                <w:noProof/>
                <w:webHidden/>
              </w:rPr>
              <w:instrText xml:space="preserve"> PAGEREF _Toc216124454 \h </w:instrText>
            </w:r>
            <w:r>
              <w:rPr>
                <w:noProof/>
                <w:webHidden/>
              </w:rPr>
            </w:r>
            <w:r>
              <w:rPr>
                <w:noProof/>
                <w:webHidden/>
              </w:rPr>
              <w:fldChar w:fldCharType="separate"/>
            </w:r>
            <w:r>
              <w:rPr>
                <w:noProof/>
                <w:webHidden/>
              </w:rPr>
              <w:t>3</w:t>
            </w:r>
            <w:r>
              <w:rPr>
                <w:noProof/>
                <w:webHidden/>
              </w:rPr>
              <w:fldChar w:fldCharType="end"/>
            </w:r>
          </w:hyperlink>
        </w:p>
        <w:p w14:paraId="5530C68C" w14:textId="14F80863" w:rsidR="0090448D" w:rsidRDefault="0090448D">
          <w:pPr>
            <w:pStyle w:val="TOC1"/>
            <w:tabs>
              <w:tab w:val="right" w:leader="dot" w:pos="9350"/>
            </w:tabs>
            <w:rPr>
              <w:noProof/>
            </w:rPr>
          </w:pPr>
          <w:hyperlink w:anchor="_Toc216124455" w:history="1">
            <w:r w:rsidRPr="00164B14">
              <w:rPr>
                <w:rStyle w:val="Hyperlink"/>
                <w:noProof/>
              </w:rPr>
              <w:t>Consequences in the Community and for the NHS</w:t>
            </w:r>
            <w:r>
              <w:rPr>
                <w:noProof/>
                <w:webHidden/>
              </w:rPr>
              <w:tab/>
            </w:r>
            <w:r>
              <w:rPr>
                <w:noProof/>
                <w:webHidden/>
              </w:rPr>
              <w:fldChar w:fldCharType="begin"/>
            </w:r>
            <w:r>
              <w:rPr>
                <w:noProof/>
                <w:webHidden/>
              </w:rPr>
              <w:instrText xml:space="preserve"> PAGEREF _Toc216124455 \h </w:instrText>
            </w:r>
            <w:r>
              <w:rPr>
                <w:noProof/>
                <w:webHidden/>
              </w:rPr>
            </w:r>
            <w:r>
              <w:rPr>
                <w:noProof/>
                <w:webHidden/>
              </w:rPr>
              <w:fldChar w:fldCharType="separate"/>
            </w:r>
            <w:r>
              <w:rPr>
                <w:noProof/>
                <w:webHidden/>
              </w:rPr>
              <w:t>4</w:t>
            </w:r>
            <w:r>
              <w:rPr>
                <w:noProof/>
                <w:webHidden/>
              </w:rPr>
              <w:fldChar w:fldCharType="end"/>
            </w:r>
          </w:hyperlink>
        </w:p>
        <w:p w14:paraId="4B3DD07C" w14:textId="19AD101C" w:rsidR="0090448D" w:rsidRDefault="0090448D">
          <w:pPr>
            <w:pStyle w:val="TOC2"/>
            <w:tabs>
              <w:tab w:val="right" w:leader="dot" w:pos="9350"/>
            </w:tabs>
            <w:rPr>
              <w:noProof/>
            </w:rPr>
          </w:pPr>
          <w:hyperlink w:anchor="_Toc216124456" w:history="1">
            <w:r w:rsidRPr="00164B14">
              <w:rPr>
                <w:rStyle w:val="Hyperlink"/>
                <w:rFonts w:eastAsia="Times New Roman"/>
                <w:noProof/>
              </w:rPr>
              <w:t>Impact on the Community</w:t>
            </w:r>
            <w:r>
              <w:rPr>
                <w:noProof/>
                <w:webHidden/>
              </w:rPr>
              <w:tab/>
            </w:r>
            <w:r>
              <w:rPr>
                <w:noProof/>
                <w:webHidden/>
              </w:rPr>
              <w:fldChar w:fldCharType="begin"/>
            </w:r>
            <w:r>
              <w:rPr>
                <w:noProof/>
                <w:webHidden/>
              </w:rPr>
              <w:instrText xml:space="preserve"> PAGEREF _Toc216124456 \h </w:instrText>
            </w:r>
            <w:r>
              <w:rPr>
                <w:noProof/>
                <w:webHidden/>
              </w:rPr>
            </w:r>
            <w:r>
              <w:rPr>
                <w:noProof/>
                <w:webHidden/>
              </w:rPr>
              <w:fldChar w:fldCharType="separate"/>
            </w:r>
            <w:r>
              <w:rPr>
                <w:noProof/>
                <w:webHidden/>
              </w:rPr>
              <w:t>4</w:t>
            </w:r>
            <w:r>
              <w:rPr>
                <w:noProof/>
                <w:webHidden/>
              </w:rPr>
              <w:fldChar w:fldCharType="end"/>
            </w:r>
          </w:hyperlink>
        </w:p>
        <w:p w14:paraId="1D7406E8" w14:textId="5234793D" w:rsidR="0090448D" w:rsidRDefault="0090448D">
          <w:pPr>
            <w:pStyle w:val="TOC2"/>
            <w:tabs>
              <w:tab w:val="right" w:leader="dot" w:pos="9350"/>
            </w:tabs>
            <w:rPr>
              <w:noProof/>
            </w:rPr>
          </w:pPr>
          <w:hyperlink w:anchor="_Toc216124457" w:history="1">
            <w:r w:rsidRPr="00164B14">
              <w:rPr>
                <w:rStyle w:val="Hyperlink"/>
                <w:rFonts w:eastAsia="Times New Roman"/>
                <w:noProof/>
              </w:rPr>
              <w:t>Impact on the NHS</w:t>
            </w:r>
            <w:r>
              <w:rPr>
                <w:noProof/>
                <w:webHidden/>
              </w:rPr>
              <w:tab/>
            </w:r>
            <w:r>
              <w:rPr>
                <w:noProof/>
                <w:webHidden/>
              </w:rPr>
              <w:fldChar w:fldCharType="begin"/>
            </w:r>
            <w:r>
              <w:rPr>
                <w:noProof/>
                <w:webHidden/>
              </w:rPr>
              <w:instrText xml:space="preserve"> PAGEREF _Toc216124457 \h </w:instrText>
            </w:r>
            <w:r>
              <w:rPr>
                <w:noProof/>
                <w:webHidden/>
              </w:rPr>
            </w:r>
            <w:r>
              <w:rPr>
                <w:noProof/>
                <w:webHidden/>
              </w:rPr>
              <w:fldChar w:fldCharType="separate"/>
            </w:r>
            <w:r>
              <w:rPr>
                <w:noProof/>
                <w:webHidden/>
              </w:rPr>
              <w:t>4</w:t>
            </w:r>
            <w:r>
              <w:rPr>
                <w:noProof/>
                <w:webHidden/>
              </w:rPr>
              <w:fldChar w:fldCharType="end"/>
            </w:r>
          </w:hyperlink>
        </w:p>
        <w:p w14:paraId="0739AE4D" w14:textId="48C9D031" w:rsidR="0090448D" w:rsidRDefault="0090448D">
          <w:pPr>
            <w:pStyle w:val="TOC1"/>
            <w:tabs>
              <w:tab w:val="right" w:leader="dot" w:pos="9350"/>
            </w:tabs>
            <w:rPr>
              <w:noProof/>
            </w:rPr>
          </w:pPr>
          <w:hyperlink w:anchor="_Toc216124458" w:history="1">
            <w:r w:rsidRPr="00164B14">
              <w:rPr>
                <w:rStyle w:val="Hyperlink"/>
                <w:noProof/>
              </w:rPr>
              <w:t>Control of Heart Disease</w:t>
            </w:r>
            <w:r>
              <w:rPr>
                <w:noProof/>
                <w:webHidden/>
              </w:rPr>
              <w:tab/>
            </w:r>
            <w:r>
              <w:rPr>
                <w:noProof/>
                <w:webHidden/>
              </w:rPr>
              <w:fldChar w:fldCharType="begin"/>
            </w:r>
            <w:r>
              <w:rPr>
                <w:noProof/>
                <w:webHidden/>
              </w:rPr>
              <w:instrText xml:space="preserve"> PAGEREF _Toc216124458 \h </w:instrText>
            </w:r>
            <w:r>
              <w:rPr>
                <w:noProof/>
                <w:webHidden/>
              </w:rPr>
            </w:r>
            <w:r>
              <w:rPr>
                <w:noProof/>
                <w:webHidden/>
              </w:rPr>
              <w:fldChar w:fldCharType="separate"/>
            </w:r>
            <w:r>
              <w:rPr>
                <w:noProof/>
                <w:webHidden/>
              </w:rPr>
              <w:t>6</w:t>
            </w:r>
            <w:r>
              <w:rPr>
                <w:noProof/>
                <w:webHidden/>
              </w:rPr>
              <w:fldChar w:fldCharType="end"/>
            </w:r>
          </w:hyperlink>
        </w:p>
        <w:p w14:paraId="4AE08668" w14:textId="47DF0A11" w:rsidR="0090448D" w:rsidRDefault="0090448D">
          <w:pPr>
            <w:pStyle w:val="TOC1"/>
            <w:tabs>
              <w:tab w:val="right" w:leader="dot" w:pos="9350"/>
            </w:tabs>
            <w:rPr>
              <w:noProof/>
            </w:rPr>
          </w:pPr>
          <w:hyperlink w:anchor="_Toc216124459" w:history="1">
            <w:r w:rsidRPr="00164B14">
              <w:rPr>
                <w:rStyle w:val="Hyperlink"/>
                <w:noProof/>
              </w:rPr>
              <w:t>Factors Influencing Health and Well-Being</w:t>
            </w:r>
            <w:r>
              <w:rPr>
                <w:noProof/>
                <w:webHidden/>
              </w:rPr>
              <w:tab/>
            </w:r>
            <w:r>
              <w:rPr>
                <w:noProof/>
                <w:webHidden/>
              </w:rPr>
              <w:fldChar w:fldCharType="begin"/>
            </w:r>
            <w:r>
              <w:rPr>
                <w:noProof/>
                <w:webHidden/>
              </w:rPr>
              <w:instrText xml:space="preserve"> PAGEREF _Toc216124459 \h </w:instrText>
            </w:r>
            <w:r>
              <w:rPr>
                <w:noProof/>
                <w:webHidden/>
              </w:rPr>
            </w:r>
            <w:r>
              <w:rPr>
                <w:noProof/>
                <w:webHidden/>
              </w:rPr>
              <w:fldChar w:fldCharType="separate"/>
            </w:r>
            <w:r>
              <w:rPr>
                <w:noProof/>
                <w:webHidden/>
              </w:rPr>
              <w:t>7</w:t>
            </w:r>
            <w:r>
              <w:rPr>
                <w:noProof/>
                <w:webHidden/>
              </w:rPr>
              <w:fldChar w:fldCharType="end"/>
            </w:r>
          </w:hyperlink>
        </w:p>
        <w:p w14:paraId="229113BB" w14:textId="46B7C52F" w:rsidR="0090448D" w:rsidRDefault="0090448D">
          <w:pPr>
            <w:pStyle w:val="TOC1"/>
            <w:tabs>
              <w:tab w:val="right" w:leader="dot" w:pos="9350"/>
            </w:tabs>
            <w:rPr>
              <w:noProof/>
            </w:rPr>
          </w:pPr>
          <w:hyperlink w:anchor="_Toc216124460" w:history="1">
            <w:r w:rsidRPr="00164B14">
              <w:rPr>
                <w:rStyle w:val="Hyperlink"/>
                <w:noProof/>
              </w:rPr>
              <w:t>Conclusion</w:t>
            </w:r>
            <w:r>
              <w:rPr>
                <w:noProof/>
                <w:webHidden/>
              </w:rPr>
              <w:tab/>
            </w:r>
            <w:r>
              <w:rPr>
                <w:noProof/>
                <w:webHidden/>
              </w:rPr>
              <w:fldChar w:fldCharType="begin"/>
            </w:r>
            <w:r>
              <w:rPr>
                <w:noProof/>
                <w:webHidden/>
              </w:rPr>
              <w:instrText xml:space="preserve"> PAGEREF _Toc216124460 \h </w:instrText>
            </w:r>
            <w:r>
              <w:rPr>
                <w:noProof/>
                <w:webHidden/>
              </w:rPr>
            </w:r>
            <w:r>
              <w:rPr>
                <w:noProof/>
                <w:webHidden/>
              </w:rPr>
              <w:fldChar w:fldCharType="separate"/>
            </w:r>
            <w:r>
              <w:rPr>
                <w:noProof/>
                <w:webHidden/>
              </w:rPr>
              <w:t>9</w:t>
            </w:r>
            <w:r>
              <w:rPr>
                <w:noProof/>
                <w:webHidden/>
              </w:rPr>
              <w:fldChar w:fldCharType="end"/>
            </w:r>
          </w:hyperlink>
        </w:p>
        <w:p w14:paraId="32AEBF81" w14:textId="1477D29D" w:rsidR="0090448D" w:rsidRDefault="0090448D">
          <w:pPr>
            <w:pStyle w:val="TOC1"/>
            <w:tabs>
              <w:tab w:val="right" w:leader="dot" w:pos="9350"/>
            </w:tabs>
            <w:rPr>
              <w:noProof/>
            </w:rPr>
          </w:pPr>
          <w:hyperlink w:anchor="_Toc216124461" w:history="1">
            <w:r w:rsidRPr="00164B14">
              <w:rPr>
                <w:rStyle w:val="Hyperlink"/>
                <w:noProof/>
              </w:rPr>
              <w:t>References</w:t>
            </w:r>
            <w:r>
              <w:rPr>
                <w:noProof/>
                <w:webHidden/>
              </w:rPr>
              <w:tab/>
            </w:r>
            <w:r>
              <w:rPr>
                <w:noProof/>
                <w:webHidden/>
              </w:rPr>
              <w:fldChar w:fldCharType="begin"/>
            </w:r>
            <w:r>
              <w:rPr>
                <w:noProof/>
                <w:webHidden/>
              </w:rPr>
              <w:instrText xml:space="preserve"> PAGEREF _Toc216124461 \h </w:instrText>
            </w:r>
            <w:r>
              <w:rPr>
                <w:noProof/>
                <w:webHidden/>
              </w:rPr>
            </w:r>
            <w:r>
              <w:rPr>
                <w:noProof/>
                <w:webHidden/>
              </w:rPr>
              <w:fldChar w:fldCharType="separate"/>
            </w:r>
            <w:r>
              <w:rPr>
                <w:noProof/>
                <w:webHidden/>
              </w:rPr>
              <w:t>10</w:t>
            </w:r>
            <w:r>
              <w:rPr>
                <w:noProof/>
                <w:webHidden/>
              </w:rPr>
              <w:fldChar w:fldCharType="end"/>
            </w:r>
          </w:hyperlink>
        </w:p>
        <w:p w14:paraId="13E9E866" w14:textId="53D77D2B" w:rsidR="0090448D" w:rsidRDefault="0090448D">
          <w:r>
            <w:rPr>
              <w:b/>
              <w:bCs/>
              <w:noProof/>
            </w:rPr>
            <w:fldChar w:fldCharType="end"/>
          </w:r>
        </w:p>
      </w:sdtContent>
    </w:sdt>
    <w:p w14:paraId="070B314A" w14:textId="717D6661" w:rsidR="000D5E29" w:rsidRDefault="000D5E29">
      <w:pPr>
        <w:spacing w:after="120" w:line="259" w:lineRule="auto"/>
      </w:pPr>
      <w:r>
        <w:br w:type="page"/>
      </w:r>
    </w:p>
    <w:p w14:paraId="4195E29D" w14:textId="41372B80" w:rsidR="001D0660" w:rsidRPr="001D0660" w:rsidRDefault="001D0660" w:rsidP="004921B3">
      <w:pPr>
        <w:pStyle w:val="Heading1"/>
        <w:rPr>
          <w:lang w:bidi="bn-IN"/>
        </w:rPr>
      </w:pPr>
      <w:bookmarkStart w:id="0" w:name="_Toc216124454"/>
      <w:r w:rsidRPr="001D0660">
        <w:rPr>
          <w:lang w:bidi="bn-IN"/>
        </w:rPr>
        <w:lastRenderedPageBreak/>
        <w:t>Introduction</w:t>
      </w:r>
      <w:bookmarkEnd w:id="0"/>
      <w:r w:rsidRPr="001D0660">
        <w:rPr>
          <w:lang w:bidi="bn-IN"/>
        </w:rPr>
        <w:t xml:space="preserve"> </w:t>
      </w:r>
    </w:p>
    <w:p w14:paraId="567A8188" w14:textId="41F33B76" w:rsidR="00D51C1A" w:rsidRDefault="00B31F50" w:rsidP="004921B3">
      <w:r>
        <w:rPr>
          <w:lang w:val="en-US" w:bidi="bn-IN"/>
        </w:rPr>
        <w:t>H</w:t>
      </w:r>
      <w:r w:rsidRPr="00B31F50">
        <w:rPr>
          <w:lang w:val="en-US" w:bidi="bn-IN"/>
        </w:rPr>
        <w:t>eart disease is a general term, which is used to refer to a series of diseases that affect the structure and functions of the heart, the most common one being coronary artery disease (CAD). CAD is a disease in which the coronary arteries are constricted due to the presence of fatty deposits (atherosclerosis) and it restricts the blood flow in the heart muscle (Murthy, 2014). Other serious types include heart failure where the heart can no longer pump enough blood, arrhythmias (unregular heartbeats) and congenital heart defects. The symptoms tend to include chest pains, dyspnea, fatigability, and dizziness. The world has a high death rate of 31</w:t>
      </w:r>
      <w:r w:rsidR="006B6E3C">
        <w:rPr>
          <w:lang w:val="en-US" w:bidi="bn-IN"/>
        </w:rPr>
        <w:t xml:space="preserve">% </w:t>
      </w:r>
      <w:r w:rsidRPr="00B31F50">
        <w:rPr>
          <w:lang w:val="en-US" w:bidi="bn-IN"/>
        </w:rPr>
        <w:t>being caused by heart diseases and the number of deaths per year is over 17.9 million. One in every 4 deaths in the UK is cardiovascular diseases hence the need to find better ways of preventing and treatment.</w:t>
      </w:r>
    </w:p>
    <w:p w14:paraId="114D1D4A" w14:textId="54BD288D" w:rsidR="003D44F6" w:rsidRDefault="003D44F6" w:rsidP="004921B3">
      <w:r>
        <w:br w:type="page"/>
      </w:r>
    </w:p>
    <w:p w14:paraId="62A5BD75" w14:textId="2461A486" w:rsidR="003D44F6" w:rsidRDefault="009B0058" w:rsidP="004921B3">
      <w:pPr>
        <w:pStyle w:val="Heading1"/>
        <w:rPr>
          <w:lang w:bidi="bn-IN"/>
        </w:rPr>
      </w:pPr>
      <w:bookmarkStart w:id="1" w:name="_Toc216124455"/>
      <w:r>
        <w:rPr>
          <w:noProof/>
        </w:rPr>
        <w:lastRenderedPageBreak/>
        <w:drawing>
          <wp:anchor distT="0" distB="0" distL="114300" distR="114300" simplePos="0" relativeHeight="251659264" behindDoc="0" locked="0" layoutInCell="1" allowOverlap="1" wp14:anchorId="595C0838" wp14:editId="2BB8B6B5">
            <wp:simplePos x="0" y="0"/>
            <wp:positionH relativeFrom="margin">
              <wp:posOffset>1165860</wp:posOffset>
            </wp:positionH>
            <wp:positionV relativeFrom="paragraph">
              <wp:posOffset>381000</wp:posOffset>
            </wp:positionV>
            <wp:extent cx="3359785" cy="2522220"/>
            <wp:effectExtent l="19050" t="19050" r="12065" b="11430"/>
            <wp:wrapTopAndBottom/>
            <wp:docPr id="646231241" name="Picture 1" descr="A pie chart with numbers and text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31241" name="Picture 1" descr="A pie chart with numbers and text with Crust in the backgroun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9785" cy="252222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3D44F6" w:rsidRPr="003D44F6">
        <w:rPr>
          <w:lang w:bidi="bn-IN"/>
        </w:rPr>
        <w:t>Consequences in the Community and for the NHS</w:t>
      </w:r>
      <w:bookmarkEnd w:id="1"/>
      <w:r w:rsidR="003D44F6" w:rsidRPr="003D44F6">
        <w:rPr>
          <w:lang w:bidi="bn-IN"/>
        </w:rPr>
        <w:t xml:space="preserve"> </w:t>
      </w:r>
    </w:p>
    <w:p w14:paraId="5823E849" w14:textId="743FFE9C" w:rsidR="009B0058" w:rsidRPr="009A0569" w:rsidRDefault="009B0058" w:rsidP="009B0058">
      <w:pPr>
        <w:pStyle w:val="Caption"/>
        <w:jc w:val="center"/>
        <w:rPr>
          <w:color w:val="0070C0"/>
          <w:lang w:val="en-US" w:bidi="bn-IN"/>
        </w:rPr>
      </w:pPr>
      <w:r w:rsidRPr="009A0569">
        <w:rPr>
          <w:color w:val="0070C0"/>
        </w:rPr>
        <w:t xml:space="preserve">Figure </w:t>
      </w:r>
      <w:r w:rsidRPr="009A0569">
        <w:rPr>
          <w:color w:val="0070C0"/>
        </w:rPr>
        <w:fldChar w:fldCharType="begin"/>
      </w:r>
      <w:r w:rsidRPr="009A0569">
        <w:rPr>
          <w:color w:val="0070C0"/>
        </w:rPr>
        <w:instrText xml:space="preserve"> SEQ Figure \* ARABIC </w:instrText>
      </w:r>
      <w:r w:rsidRPr="009A0569">
        <w:rPr>
          <w:color w:val="0070C0"/>
        </w:rPr>
        <w:fldChar w:fldCharType="separate"/>
      </w:r>
      <w:r w:rsidR="00EB71D9" w:rsidRPr="009A0569">
        <w:rPr>
          <w:noProof/>
          <w:color w:val="0070C0"/>
        </w:rPr>
        <w:t>1</w:t>
      </w:r>
      <w:r w:rsidRPr="009A0569">
        <w:rPr>
          <w:color w:val="0070C0"/>
        </w:rPr>
        <w:fldChar w:fldCharType="end"/>
      </w:r>
      <w:r w:rsidRPr="009A0569">
        <w:rPr>
          <w:color w:val="0070C0"/>
        </w:rPr>
        <w:t xml:space="preserve">: Consequences in the Community and for the NHS </w:t>
      </w:r>
      <w:r w:rsidRPr="009A0569">
        <w:rPr>
          <w:color w:val="0070C0"/>
          <w:lang w:val="en-US" w:bidi="bn-IN"/>
        </w:rPr>
        <w:t>year (McCarthy, 2014).</w:t>
      </w:r>
    </w:p>
    <w:p w14:paraId="6F8C8612" w14:textId="77777777" w:rsidR="004921B3" w:rsidRDefault="003D44F6" w:rsidP="004921B3">
      <w:pPr>
        <w:pStyle w:val="Heading2"/>
        <w:rPr>
          <w:lang w:bidi="bn-IN"/>
        </w:rPr>
      </w:pPr>
      <w:bookmarkStart w:id="2" w:name="_Toc216124456"/>
      <w:r w:rsidRPr="003D44F6">
        <w:rPr>
          <w:rFonts w:eastAsia="Times New Roman"/>
          <w:lang w:bidi="bn-IN"/>
        </w:rPr>
        <w:t>Impact on the Community</w:t>
      </w:r>
      <w:bookmarkEnd w:id="2"/>
    </w:p>
    <w:p w14:paraId="724C78A6" w14:textId="7D00435E" w:rsidR="003336F6" w:rsidRPr="003336F6" w:rsidRDefault="003336F6" w:rsidP="004921B3">
      <w:pPr>
        <w:rPr>
          <w:lang w:val="en-US" w:bidi="bn-IN"/>
        </w:rPr>
      </w:pPr>
      <w:r w:rsidRPr="003336F6">
        <w:rPr>
          <w:lang w:val="en-US" w:bidi="bn-IN"/>
        </w:rPr>
        <w:t>Heart disease has a tremendous impact on the people and society. It leads to the highest number of deaths in the world because it contributes to approximately 31 per cent of all deaths in the world, which is greater than 17.9 million deaths per year (McCarthy, 2014). The society has a high number of heart disease patients who are limited physically. This can make such conditions as heart failure cause fatigue, shortness of breath, and the inability to do everyday activities to dramatically reduce the quality of life. The emotional and psychological pressure is also tremendous and majority of the patients are depressed, anxious and stressed, which can worsen their physical health.</w:t>
      </w:r>
    </w:p>
    <w:p w14:paraId="61E7F833" w14:textId="7E826BBB" w:rsidR="003336F6" w:rsidRDefault="003336F6" w:rsidP="004921B3">
      <w:pPr>
        <w:rPr>
          <w:lang w:val="en-US" w:bidi="bn-IN"/>
        </w:rPr>
      </w:pPr>
      <w:r w:rsidRPr="003336F6">
        <w:rPr>
          <w:lang w:val="en-US" w:bidi="bn-IN"/>
        </w:rPr>
        <w:t xml:space="preserve">In addition to this, heart disease produces a financial battlefield upon a person and his family. The weight of the further treatment cost, in-hospital care, and the cost of drugs and lifestyle change can cause much pressure. As an example, direct medical costs of the coronary artery disease alone in the United States alone have been estimated to be USD 219 billion each year that </w:t>
      </w:r>
      <w:r w:rsidR="004921B3" w:rsidRPr="003336F6">
        <w:rPr>
          <w:lang w:val="en-US" w:bidi="bn-IN"/>
        </w:rPr>
        <w:t>include</w:t>
      </w:r>
      <w:r w:rsidRPr="003336F6">
        <w:rPr>
          <w:lang w:val="en-US" w:bidi="bn-IN"/>
        </w:rPr>
        <w:t xml:space="preserve"> hospitalization, doctor visits and medication (MD, 2017). Early retirement is as a result of absenteeism due to heart diseases, disability and costs the economy of the UK approximately </w:t>
      </w:r>
      <w:r w:rsidR="00DC7D24">
        <w:rPr>
          <w:lang w:val="en-US" w:bidi="bn-IN"/>
        </w:rPr>
        <w:t>$</w:t>
      </w:r>
      <w:r w:rsidRPr="003336F6">
        <w:rPr>
          <w:lang w:val="en-US" w:bidi="bn-IN"/>
        </w:rPr>
        <w:t>15 billion annually.</w:t>
      </w:r>
    </w:p>
    <w:p w14:paraId="4A7F82DC" w14:textId="77777777" w:rsidR="004921B3" w:rsidRDefault="003D44F6" w:rsidP="004921B3">
      <w:pPr>
        <w:pStyle w:val="Heading2"/>
        <w:rPr>
          <w:lang w:bidi="bn-IN"/>
        </w:rPr>
      </w:pPr>
      <w:bookmarkStart w:id="3" w:name="_Toc216124457"/>
      <w:r w:rsidRPr="003D44F6">
        <w:rPr>
          <w:rFonts w:eastAsia="Times New Roman"/>
          <w:lang w:bidi="bn-IN"/>
        </w:rPr>
        <w:t>Impact on the NHS</w:t>
      </w:r>
      <w:bookmarkEnd w:id="3"/>
    </w:p>
    <w:p w14:paraId="2494C811" w14:textId="0137DA90" w:rsidR="003336F6" w:rsidRPr="003336F6" w:rsidRDefault="003336F6" w:rsidP="004921B3">
      <w:pPr>
        <w:rPr>
          <w:lang w:val="en-US" w:bidi="bn-IN"/>
        </w:rPr>
      </w:pPr>
      <w:r w:rsidRPr="003336F6">
        <w:rPr>
          <w:lang w:val="en-US" w:bidi="bn-IN"/>
        </w:rPr>
        <w:t xml:space="preserve">In the UK, the National Health Service (NHS) has a high prevalence of heart disease which is a burden to the NHS. In the UK, cardiovascular diseases are found to be the cause of a quarter of all deaths or approximately 160,000 deaths annually (Jones, 2022). This is draining the NHS </w:t>
      </w:r>
      <w:r w:rsidRPr="003336F6">
        <w:rPr>
          <w:lang w:val="en-US" w:bidi="bn-IN"/>
        </w:rPr>
        <w:lastRenderedPageBreak/>
        <w:t xml:space="preserve">since even the heart disease, single handedly, is draining the NHS more than </w:t>
      </w:r>
      <w:r w:rsidR="006B6E3C">
        <w:rPr>
          <w:lang w:val="en-US" w:bidi="bn-IN"/>
        </w:rPr>
        <w:t>$</w:t>
      </w:r>
      <w:r w:rsidRPr="003336F6">
        <w:rPr>
          <w:lang w:val="en-US" w:bidi="bn-IN"/>
        </w:rPr>
        <w:t>7.4 billion in healthcare spending annually. This figure includes the direct spending, which is in form of hospitalization spending, surgical spending, rehabilitation spending, and long term care expenses of the chronic heart disease patients.</w:t>
      </w:r>
    </w:p>
    <w:p w14:paraId="071BFB25" w14:textId="77777777" w:rsidR="003336F6" w:rsidRDefault="003336F6" w:rsidP="004921B3">
      <w:pPr>
        <w:rPr>
          <w:lang w:val="en-US" w:bidi="bn-IN"/>
        </w:rPr>
      </w:pPr>
      <w:r w:rsidRPr="003336F6">
        <w:rPr>
          <w:lang w:val="en-US" w:bidi="bn-IN"/>
        </w:rPr>
        <w:t>Other than the tough costs involved in healthcare, there is an additional issue that NHS has to contend with and that is the escalated demand of cardiac care services. Heart disease is one of the most prevalent causes of hospital admissions and the cardiovascular crises in hospitals are typically typified by a high percentage of acute hospitalization of heart attacks, stroke and other heart based crisis (Alexis, 2005). The pressure is only worsened by the old age factor and the increasing rate of predisposing factors such as high blood pressure, obesity and diabetes. Screening, health checks and lifestyle modification programs are the primary prevention programs of the paramount importance to the burden relief, but these programs receive little funding and are under resourced in underserved regions.</w:t>
      </w:r>
    </w:p>
    <w:p w14:paraId="2095219A" w14:textId="77777777" w:rsidR="004921B3" w:rsidRDefault="004921B3">
      <w:pPr>
        <w:spacing w:after="120" w:line="259" w:lineRule="auto"/>
        <w:rPr>
          <w:lang w:val="en-US" w:bidi="bn-IN"/>
        </w:rPr>
      </w:pPr>
      <w:r>
        <w:rPr>
          <w:lang w:val="en-US" w:bidi="bn-IN"/>
        </w:rPr>
        <w:br w:type="page"/>
      </w:r>
    </w:p>
    <w:p w14:paraId="029CF721" w14:textId="452B136D" w:rsidR="003D44F6" w:rsidRPr="003D44F6" w:rsidRDefault="003D44F6" w:rsidP="004921B3">
      <w:pPr>
        <w:pStyle w:val="Heading1"/>
        <w:rPr>
          <w:lang w:bidi="bn-IN"/>
        </w:rPr>
      </w:pPr>
      <w:bookmarkStart w:id="4" w:name="_Toc216124458"/>
      <w:r w:rsidRPr="003D44F6">
        <w:rPr>
          <w:lang w:bidi="bn-IN"/>
        </w:rPr>
        <w:lastRenderedPageBreak/>
        <w:t>Control of Heart Disease</w:t>
      </w:r>
      <w:bookmarkEnd w:id="4"/>
      <w:r w:rsidRPr="003D44F6">
        <w:rPr>
          <w:lang w:bidi="bn-IN"/>
        </w:rPr>
        <w:t xml:space="preserve"> </w:t>
      </w:r>
    </w:p>
    <w:p w14:paraId="4E0E333C" w14:textId="6B49C536" w:rsidR="003336F6" w:rsidRDefault="003D44F6" w:rsidP="004921B3">
      <w:pPr>
        <w:rPr>
          <w:lang w:val="en-US" w:bidi="bn-IN"/>
        </w:rPr>
      </w:pPr>
      <w:r w:rsidRPr="004921B3">
        <w:rPr>
          <w:b/>
          <w:bCs/>
          <w:lang w:val="en-US" w:bidi="bn-IN"/>
        </w:rPr>
        <w:t>Medical Interventions</w:t>
      </w:r>
      <w:r w:rsidR="004921B3" w:rsidRPr="004921B3">
        <w:rPr>
          <w:b/>
          <w:bCs/>
          <w:lang w:val="en-US" w:bidi="bn-IN"/>
        </w:rPr>
        <w:t>:</w:t>
      </w:r>
      <w:r w:rsidR="004921B3">
        <w:rPr>
          <w:lang w:val="en-US" w:bidi="bn-IN"/>
        </w:rPr>
        <w:t xml:space="preserve"> </w:t>
      </w:r>
      <w:r w:rsidR="003336F6" w:rsidRPr="003336F6">
        <w:rPr>
          <w:lang w:val="en-US" w:bidi="bn-IN"/>
        </w:rPr>
        <w:t>Heart disease treatment involves the use of both drug therapy, medical surgery and surgery. The pharmacological treatment represents one of the essential elements, which are used to address such risk factors as high blood pressure and high cholesterol (Pickering, 2024). The statins have been among the most prescribed drugs that have been known to reduce the level of low density lipoprotein (LDL) cholesterol levels, and reduce the risk of heart attack by 25-30</w:t>
      </w:r>
      <w:r w:rsidR="009720FA">
        <w:rPr>
          <w:lang w:val="en-US" w:bidi="bn-IN"/>
        </w:rPr>
        <w:t xml:space="preserve">% </w:t>
      </w:r>
      <w:r w:rsidR="003336F6" w:rsidRPr="003336F6">
        <w:rPr>
          <w:lang w:val="en-US" w:bidi="bn-IN"/>
        </w:rPr>
        <w:t>of an individual who has already developed coronary artery disease. Stroke and heart failure in patients with high blood pressure can be prevented using ACE inhibitors and beta-blockers as antihypertensive medications. Anticoagulants are prescribed to reduce the chances of blood clotting among patients with atrial fibrillation type of arrhythmia particularly in patients who are at a greater risk of stroke.</w:t>
      </w:r>
    </w:p>
    <w:p w14:paraId="05DFB9F2" w14:textId="36FCEE26" w:rsidR="003D44F6" w:rsidRPr="003D44F6" w:rsidRDefault="003D44F6" w:rsidP="004921B3">
      <w:pPr>
        <w:rPr>
          <w:lang w:val="en-US" w:bidi="bn-IN"/>
        </w:rPr>
      </w:pPr>
      <w:r w:rsidRPr="004921B3">
        <w:rPr>
          <w:b/>
          <w:bCs/>
          <w:lang w:val="en-US" w:bidi="bn-IN"/>
        </w:rPr>
        <w:t>Lifestyle Modifications</w:t>
      </w:r>
      <w:r w:rsidR="004921B3" w:rsidRPr="004921B3">
        <w:rPr>
          <w:b/>
          <w:bCs/>
          <w:lang w:val="en-US" w:bidi="bn-IN"/>
        </w:rPr>
        <w:t>:</w:t>
      </w:r>
      <w:r w:rsidR="004921B3">
        <w:rPr>
          <w:lang w:val="en-US" w:bidi="bn-IN"/>
        </w:rPr>
        <w:t xml:space="preserve"> </w:t>
      </w:r>
      <w:r w:rsidR="00EC3041" w:rsidRPr="00EC3041">
        <w:rPr>
          <w:lang w:val="en-US" w:bidi="bn-IN"/>
        </w:rPr>
        <w:t>Preventive and management of heart disease thorough lifestyle change is one of the best approaches. Studies have found out that exercise, normal weight and healthy diet are of very low risk of heart disease (Ockene, 1998). An instance is routine aerobic activity that has been portrayed to reduce the chance of heart disease by up to 30</w:t>
      </w:r>
      <w:r w:rsidR="009720FA">
        <w:rPr>
          <w:lang w:val="en-US" w:bidi="bn-IN"/>
        </w:rPr>
        <w:t>%</w:t>
      </w:r>
      <w:r w:rsidR="00EC3041" w:rsidRPr="00EC3041">
        <w:rPr>
          <w:lang w:val="en-US" w:bidi="bn-IN"/>
        </w:rPr>
        <w:t xml:space="preserve"> as it is able to help in raising the cardiovascular health, blood pressure, and cholesterol levels. The smoking cessation programs, salt</w:t>
      </w:r>
      <w:r w:rsidR="009720FA">
        <w:rPr>
          <w:lang w:val="en-US" w:bidi="bn-IN"/>
        </w:rPr>
        <w:t>-</w:t>
      </w:r>
      <w:r w:rsidR="00EC3041" w:rsidRPr="00EC3041">
        <w:rPr>
          <w:lang w:val="en-US" w:bidi="bn-IN"/>
        </w:rPr>
        <w:t>cutting programs and encouraging fruit and vegetable consumption have been successful in several countries. The reduction in the level of dietary salt intakes by populations by 5% has been attributed to a corresponding 2-3% reduction on blood pressure and resultant reduction on heart disease risk.</w:t>
      </w:r>
    </w:p>
    <w:p w14:paraId="72ED3049" w14:textId="2BD745B4" w:rsidR="003D44F6" w:rsidRPr="003D44F6" w:rsidRDefault="003D44F6" w:rsidP="004921B3">
      <w:pPr>
        <w:rPr>
          <w:lang w:val="en-US" w:bidi="bn-IN"/>
        </w:rPr>
      </w:pPr>
      <w:r w:rsidRPr="004921B3">
        <w:rPr>
          <w:b/>
          <w:bCs/>
          <w:lang w:val="en-US" w:bidi="bn-IN"/>
        </w:rPr>
        <w:t>Public Health Initiatives</w:t>
      </w:r>
      <w:r w:rsidR="004921B3" w:rsidRPr="004921B3">
        <w:rPr>
          <w:b/>
          <w:bCs/>
          <w:lang w:val="en-US" w:bidi="bn-IN"/>
        </w:rPr>
        <w:t>:</w:t>
      </w:r>
      <w:r w:rsidR="004921B3">
        <w:rPr>
          <w:lang w:val="en-US" w:bidi="bn-IN"/>
        </w:rPr>
        <w:t xml:space="preserve"> </w:t>
      </w:r>
      <w:r w:rsidR="00EC3041" w:rsidRPr="00EC3041">
        <w:rPr>
          <w:lang w:val="en-US" w:bidi="bn-IN"/>
        </w:rPr>
        <w:t>Introduction of public health programs on the prevention of heart diseases has occurred in the world. Such programs as the one provided by NHS in the UK the NHS Health Check that provides free health diagnostics of the population aged 40-74, and the assessment of the risk factors of heart diseases, including cholesterol, blood pressure, and lifestyle habits is already in place (Kumar, 2022). An example of how salt reduction program has been implemented in UK is that the salt intake has been reduced by approximately 15</w:t>
      </w:r>
      <w:r w:rsidR="009720FA">
        <w:rPr>
          <w:lang w:val="en-US" w:bidi="bn-IN"/>
        </w:rPr>
        <w:t xml:space="preserve">% </w:t>
      </w:r>
      <w:r w:rsidR="00EC3041" w:rsidRPr="00EC3041">
        <w:rPr>
          <w:lang w:val="en-US" w:bidi="bn-IN"/>
        </w:rPr>
        <w:t>since the implementation of the program and also that the program has assisted in reducing cardiovascular occurrence in relation to hypertension. Bans on smoking and high taxation of processed food and beverages have also been determined to be effective toward hearing the war against heart disease, because it strikes out on many of the leading causative agents such as smoking and unhealthy eating.</w:t>
      </w:r>
    </w:p>
    <w:p w14:paraId="7AE948BD" w14:textId="77777777" w:rsidR="004921B3" w:rsidRDefault="004921B3">
      <w:pPr>
        <w:spacing w:after="120" w:line="259" w:lineRule="auto"/>
        <w:rPr>
          <w:lang w:val="en-US" w:bidi="bn-IN"/>
        </w:rPr>
      </w:pPr>
      <w:r>
        <w:rPr>
          <w:lang w:val="en-US" w:bidi="bn-IN"/>
        </w:rPr>
        <w:br w:type="page"/>
      </w:r>
    </w:p>
    <w:p w14:paraId="10624347" w14:textId="4F817786" w:rsidR="003D44F6" w:rsidRDefault="00EB71D9" w:rsidP="009B0058">
      <w:pPr>
        <w:pStyle w:val="Heading1"/>
        <w:rPr>
          <w:lang w:bidi="bn-IN"/>
        </w:rPr>
      </w:pPr>
      <w:bookmarkStart w:id="5" w:name="_Toc216124459"/>
      <w:r w:rsidRPr="00EB71D9">
        <w:rPr>
          <w:noProof/>
          <w:lang w:val="en-GB" w:bidi="bn-IN"/>
        </w:rPr>
        <w:lastRenderedPageBreak/>
        <w:drawing>
          <wp:anchor distT="0" distB="0" distL="114300" distR="114300" simplePos="0" relativeHeight="251661312" behindDoc="0" locked="0" layoutInCell="1" allowOverlap="1" wp14:anchorId="6B3DE439" wp14:editId="58FC8E87">
            <wp:simplePos x="0" y="0"/>
            <wp:positionH relativeFrom="margin">
              <wp:align>center</wp:align>
            </wp:positionH>
            <wp:positionV relativeFrom="paragraph">
              <wp:posOffset>365760</wp:posOffset>
            </wp:positionV>
            <wp:extent cx="4091940" cy="2110740"/>
            <wp:effectExtent l="0" t="0" r="22860" b="0"/>
            <wp:wrapTopAndBottom/>
            <wp:docPr id="922856911" name="Diagram 1">
              <a:extLst xmlns:a="http://schemas.openxmlformats.org/drawingml/2006/main">
                <a:ext uri="{FF2B5EF4-FFF2-40B4-BE49-F238E27FC236}">
                  <a16:creationId xmlns:a16="http://schemas.microsoft.com/office/drawing/2014/main" id="{1533961A-1549-1A55-E77E-7497F02795D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3D44F6" w:rsidRPr="003D44F6">
        <w:rPr>
          <w:lang w:bidi="bn-IN"/>
        </w:rPr>
        <w:t>Factors Influencing Health and Well-Being</w:t>
      </w:r>
      <w:bookmarkEnd w:id="5"/>
      <w:r w:rsidR="003D44F6" w:rsidRPr="003D44F6">
        <w:rPr>
          <w:lang w:bidi="bn-IN"/>
        </w:rPr>
        <w:t xml:space="preserve"> </w:t>
      </w:r>
    </w:p>
    <w:p w14:paraId="723A89CA" w14:textId="5D96D548" w:rsidR="000C23D7" w:rsidRPr="009A0569" w:rsidRDefault="00EB71D9" w:rsidP="0090448D">
      <w:pPr>
        <w:pStyle w:val="Caption"/>
        <w:jc w:val="center"/>
        <w:rPr>
          <w:color w:val="0070C0"/>
          <w:lang w:val="en-US" w:bidi="bn-IN"/>
        </w:rPr>
      </w:pPr>
      <w:r w:rsidRPr="009A0569">
        <w:rPr>
          <w:color w:val="0070C0"/>
        </w:rPr>
        <w:t xml:space="preserve">Figure </w:t>
      </w:r>
      <w:r w:rsidRPr="009A0569">
        <w:rPr>
          <w:color w:val="0070C0"/>
        </w:rPr>
        <w:fldChar w:fldCharType="begin"/>
      </w:r>
      <w:r w:rsidRPr="009A0569">
        <w:rPr>
          <w:color w:val="0070C0"/>
        </w:rPr>
        <w:instrText xml:space="preserve"> SEQ Figure \* ARABIC </w:instrText>
      </w:r>
      <w:r w:rsidRPr="009A0569">
        <w:rPr>
          <w:color w:val="0070C0"/>
        </w:rPr>
        <w:fldChar w:fldCharType="separate"/>
      </w:r>
      <w:r w:rsidRPr="009A0569">
        <w:rPr>
          <w:noProof/>
          <w:color w:val="0070C0"/>
        </w:rPr>
        <w:t>2</w:t>
      </w:r>
      <w:r w:rsidRPr="009A0569">
        <w:rPr>
          <w:color w:val="0070C0"/>
        </w:rPr>
        <w:fldChar w:fldCharType="end"/>
      </w:r>
      <w:r w:rsidRPr="009A0569">
        <w:rPr>
          <w:color w:val="0070C0"/>
        </w:rPr>
        <w:t>: Factors Influencing He</w:t>
      </w:r>
      <w:r w:rsidR="0090448D" w:rsidRPr="009A0569">
        <w:rPr>
          <w:color w:val="0070C0"/>
        </w:rPr>
        <w:t xml:space="preserve">alth and Well-Being </w:t>
      </w:r>
      <w:r w:rsidR="0090448D" w:rsidRPr="009A0569">
        <w:rPr>
          <w:color w:val="0070C0"/>
          <w:lang w:val="en-US" w:bidi="bn-IN"/>
        </w:rPr>
        <w:t>(Baumann &amp; Tchicaya, 2015).</w:t>
      </w:r>
    </w:p>
    <w:p w14:paraId="7A1F710D" w14:textId="306A230E" w:rsidR="00311D01" w:rsidRPr="00311D01" w:rsidRDefault="00311D01" w:rsidP="004921B3">
      <w:pPr>
        <w:rPr>
          <w:lang w:val="en-US" w:bidi="bn-IN"/>
        </w:rPr>
      </w:pPr>
      <w:r w:rsidRPr="009B0058">
        <w:rPr>
          <w:b/>
          <w:bCs/>
          <w:lang w:val="en-US" w:bidi="bn-IN"/>
        </w:rPr>
        <w:t>Socioeconomic Factors</w:t>
      </w:r>
      <w:r w:rsidR="009B0058" w:rsidRPr="009B0058">
        <w:rPr>
          <w:b/>
          <w:bCs/>
          <w:lang w:val="en-US" w:bidi="bn-IN"/>
        </w:rPr>
        <w:t>:</w:t>
      </w:r>
      <w:r w:rsidR="009B0058">
        <w:rPr>
          <w:lang w:val="en-US" w:bidi="bn-IN"/>
        </w:rPr>
        <w:t xml:space="preserve"> </w:t>
      </w:r>
      <w:r w:rsidR="00EC3041" w:rsidRPr="00EC3041">
        <w:rPr>
          <w:lang w:val="en-US" w:bidi="bn-IN"/>
        </w:rPr>
        <w:t>The socioeconomic status (SES) plays an important role in influencing the occurrence of heart diseases. The poorer populations are at a greater risk of engaging in the risk factors that cause cardiovascular disease that include smoking, unbalanced diets, and sedentary lifestyles (Baumann &amp; Tchicaya, 2015). A research conducted by the British Heart Foundation intended that people in the lower economic classes groups stand a greater chance of contracting heart disease 2-3 times more than their rich counterparts. The decreased access to medical services and low living standards among these groups of people increase the risk of heart diseases</w:t>
      </w:r>
      <w:r w:rsidRPr="00311D01">
        <w:rPr>
          <w:lang w:val="en-US" w:bidi="bn-IN"/>
        </w:rPr>
        <w:t xml:space="preserve">. </w:t>
      </w:r>
    </w:p>
    <w:p w14:paraId="23410A58" w14:textId="14A92373" w:rsidR="00311D01" w:rsidRPr="00311D01" w:rsidRDefault="00311D01" w:rsidP="004921B3">
      <w:pPr>
        <w:rPr>
          <w:lang w:val="en-US" w:bidi="bn-IN"/>
        </w:rPr>
      </w:pPr>
      <w:r w:rsidRPr="009B0058">
        <w:rPr>
          <w:b/>
          <w:bCs/>
          <w:lang w:val="en-US" w:bidi="bn-IN"/>
        </w:rPr>
        <w:t>Access to Healthcare</w:t>
      </w:r>
      <w:r w:rsidR="009B0058" w:rsidRPr="009B0058">
        <w:rPr>
          <w:b/>
          <w:bCs/>
          <w:lang w:val="en-US" w:bidi="bn-IN"/>
        </w:rPr>
        <w:t>:</w:t>
      </w:r>
      <w:r w:rsidR="009B0058">
        <w:rPr>
          <w:lang w:val="en-US" w:bidi="bn-IN"/>
        </w:rPr>
        <w:t xml:space="preserve"> </w:t>
      </w:r>
      <w:r w:rsidR="006E13E5" w:rsidRPr="006E13E5">
        <w:rPr>
          <w:lang w:val="en-US" w:bidi="bn-IN"/>
        </w:rPr>
        <w:t xml:space="preserve">Access to healthcare is a significant contributor to the treatment of heart disease. Despite the fact that UK NHS is a universal one, there are regional disparities. Rural residents often face a long waiting line in the process of getting such treatment as angioplasty and coronary artery bypass surgery (Manji et al., 2013). An example would have been when the NHS reported that long waits of up to 30 percent were possible to rural patients compared to urban patients. These delays can worsen the health conditions particularly of individuals who are </w:t>
      </w:r>
      <w:r w:rsidR="009B0058" w:rsidRPr="006E13E5">
        <w:rPr>
          <w:lang w:val="en-US" w:bidi="bn-IN"/>
        </w:rPr>
        <w:t>severe</w:t>
      </w:r>
      <w:r w:rsidR="006E13E5" w:rsidRPr="006E13E5">
        <w:rPr>
          <w:lang w:val="en-US" w:bidi="bn-IN"/>
        </w:rPr>
        <w:t xml:space="preserve"> heart </w:t>
      </w:r>
      <w:r w:rsidR="009B0058" w:rsidRPr="006E13E5">
        <w:rPr>
          <w:lang w:val="en-US" w:bidi="bn-IN"/>
        </w:rPr>
        <w:t>disease</w:t>
      </w:r>
      <w:r w:rsidR="006E13E5" w:rsidRPr="006E13E5">
        <w:rPr>
          <w:lang w:val="en-US" w:bidi="bn-IN"/>
        </w:rPr>
        <w:t>. The ability to access medical services including regular health examination is a valuable exercise contributing to the adequate management of cardiovascular risk factors and prevention of complications.</w:t>
      </w:r>
    </w:p>
    <w:p w14:paraId="334E02FB" w14:textId="72CBF219" w:rsidR="006E13E5" w:rsidRPr="006E13E5" w:rsidRDefault="00311D01" w:rsidP="004921B3">
      <w:pPr>
        <w:rPr>
          <w:lang w:val="en-US" w:bidi="bn-IN"/>
        </w:rPr>
      </w:pPr>
      <w:r w:rsidRPr="009B0058">
        <w:rPr>
          <w:b/>
          <w:bCs/>
          <w:lang w:val="en-US" w:bidi="bn-IN"/>
        </w:rPr>
        <w:t>Lifestyle Factors</w:t>
      </w:r>
      <w:r w:rsidR="009B0058" w:rsidRPr="009B0058">
        <w:rPr>
          <w:b/>
          <w:bCs/>
          <w:lang w:val="en-US" w:bidi="bn-IN"/>
        </w:rPr>
        <w:t>:</w:t>
      </w:r>
      <w:r w:rsidR="009B0058">
        <w:rPr>
          <w:lang w:val="en-US" w:bidi="bn-IN"/>
        </w:rPr>
        <w:t xml:space="preserve"> </w:t>
      </w:r>
      <w:r w:rsidR="006E13E5" w:rsidRPr="006E13E5">
        <w:rPr>
          <w:lang w:val="en-US" w:bidi="bn-IN"/>
        </w:rPr>
        <w:t>The lifestyle choices are some of the risk factors that are easy to change in the case of heart disease. The study shows that the amount of heart disease can be reduced by 40</w:t>
      </w:r>
      <w:r w:rsidR="00DC7D24">
        <w:rPr>
          <w:lang w:val="en-US" w:bidi="bn-IN"/>
        </w:rPr>
        <w:t>%</w:t>
      </w:r>
      <w:r w:rsidR="006E13E5" w:rsidRPr="006E13E5">
        <w:rPr>
          <w:lang w:val="en-US" w:bidi="bn-IN"/>
        </w:rPr>
        <w:t xml:space="preserve"> by the people who engage in 30-minute daily physical exercises (Shoemaker et al., 2016). Furthermore, the use of healthy diets as a low in the </w:t>
      </w:r>
      <w:r w:rsidR="009B0058" w:rsidRPr="006E13E5">
        <w:rPr>
          <w:lang w:val="en-US" w:bidi="bn-IN"/>
        </w:rPr>
        <w:t>trans-fat</w:t>
      </w:r>
      <w:r w:rsidR="006E13E5" w:rsidRPr="006E13E5">
        <w:rPr>
          <w:lang w:val="en-US" w:bidi="bn-IN"/>
        </w:rPr>
        <w:t xml:space="preserve"> and increasing content of fruits and vegetables is also a contribution to the control of blood pressure and cholesterol. Conversely, </w:t>
      </w:r>
      <w:r w:rsidR="006E13E5" w:rsidRPr="006E13E5">
        <w:rPr>
          <w:lang w:val="en-US" w:bidi="bn-IN"/>
        </w:rPr>
        <w:lastRenderedPageBreak/>
        <w:t>unhealthy diets and sedentary lifestyle are among the serious causes of obesity, high cholesterol and hypertension that are linked to development of heart diseases.</w:t>
      </w:r>
    </w:p>
    <w:p w14:paraId="5414CF66" w14:textId="1FBC203F" w:rsidR="006E13E5" w:rsidRPr="006E13E5" w:rsidRDefault="006E13E5" w:rsidP="004921B3">
      <w:pPr>
        <w:rPr>
          <w:lang w:val="en-US" w:bidi="bn-IN"/>
        </w:rPr>
      </w:pPr>
      <w:r w:rsidRPr="009B0058">
        <w:rPr>
          <w:b/>
          <w:bCs/>
          <w:lang w:val="en-US" w:bidi="bn-IN"/>
        </w:rPr>
        <w:t>Psychosocial Factors</w:t>
      </w:r>
      <w:r w:rsidR="009B0058" w:rsidRPr="009B0058">
        <w:rPr>
          <w:b/>
          <w:bCs/>
          <w:lang w:val="en-US" w:bidi="bn-IN"/>
        </w:rPr>
        <w:t>:</w:t>
      </w:r>
      <w:r w:rsidR="009B0058">
        <w:rPr>
          <w:lang w:val="en-US" w:bidi="bn-IN"/>
        </w:rPr>
        <w:t xml:space="preserve"> </w:t>
      </w:r>
      <w:r w:rsidRPr="006E13E5">
        <w:rPr>
          <w:lang w:val="en-US" w:bidi="bn-IN"/>
        </w:rPr>
        <w:t>Psychological stress, depression and anxiety have a great influence on the heart disease. Acute stress increases blood pressure and contributes to the development of fatty plaques in arteries, which endangers cardiovascular (Greenman, 2015). Some studies have conducted that the highly stressed are 40 per cent more prone to contract heart illnesses. The approach to mental health would be critical in alleviating the burden of heart disease because of stress management and social support.</w:t>
      </w:r>
    </w:p>
    <w:p w14:paraId="77C9986A" w14:textId="3D65628F" w:rsidR="006D1A8F" w:rsidRDefault="006E13E5" w:rsidP="004921B3">
      <w:r w:rsidRPr="006E13E5">
        <w:rPr>
          <w:lang w:val="en-US" w:bidi="bn-IN"/>
        </w:rPr>
        <w:t> </w:t>
      </w:r>
      <w:r w:rsidR="006D1A8F">
        <w:br w:type="page"/>
      </w:r>
    </w:p>
    <w:p w14:paraId="3A7AD01B" w14:textId="397BD39D" w:rsidR="006D1A8F" w:rsidRPr="006D1A8F" w:rsidRDefault="006D1A8F" w:rsidP="009B0058">
      <w:pPr>
        <w:pStyle w:val="Heading1"/>
        <w:rPr>
          <w:lang w:bidi="bn-IN"/>
        </w:rPr>
      </w:pPr>
      <w:bookmarkStart w:id="6" w:name="_Toc216124460"/>
      <w:r w:rsidRPr="006D1A8F">
        <w:rPr>
          <w:lang w:bidi="bn-IN"/>
        </w:rPr>
        <w:lastRenderedPageBreak/>
        <w:t>Conclusion</w:t>
      </w:r>
      <w:bookmarkEnd w:id="6"/>
      <w:r w:rsidRPr="006D1A8F">
        <w:rPr>
          <w:lang w:bidi="bn-IN"/>
        </w:rPr>
        <w:t xml:space="preserve"> </w:t>
      </w:r>
    </w:p>
    <w:p w14:paraId="4B586CA3" w14:textId="1D5B6309" w:rsidR="00840A7F" w:rsidRDefault="006E13E5" w:rsidP="004921B3">
      <w:r w:rsidRPr="006E13E5">
        <w:rPr>
          <w:lang w:val="en-US" w:bidi="bn-IN"/>
        </w:rPr>
        <w:t xml:space="preserve">Heart disease has been one of the prominent world health epidemics, hence a bane of millions of individuals and a liability to societies and health services. It kills severely, makes individuals and imposes economic and physical disability and causes direct impact on the state health (Manji et al., 2013). </w:t>
      </w:r>
      <w:r w:rsidR="009B0058" w:rsidRPr="006E13E5">
        <w:rPr>
          <w:lang w:val="en-US" w:bidi="bn-IN"/>
        </w:rPr>
        <w:t>Multi-dimensional</w:t>
      </w:r>
      <w:r w:rsidRPr="006E13E5">
        <w:rPr>
          <w:lang w:val="en-US" w:bidi="bn-IN"/>
        </w:rPr>
        <w:t xml:space="preserve"> approach is the key to successful management because it involves the use of medical therapies, lifestyle changes and preventive measures in a population scale. The social economic disparity and access to healthcare services will remain crucial in the outcome of heart diseases. The first screening, education and intervention is essential in prevention of prevalence. It is necessary that there are robust policies in the domain of public health to address lifestyle risk factors that involve smoking habits and unhealthy diet to minimize the rising heart disease burden in the UK and the rest of the world.</w:t>
      </w:r>
      <w:r w:rsidR="00840A7F">
        <w:br w:type="page"/>
      </w:r>
    </w:p>
    <w:p w14:paraId="0BEEBFFC" w14:textId="187B77DF" w:rsidR="00212201" w:rsidRDefault="00840A7F" w:rsidP="009B0058">
      <w:pPr>
        <w:pStyle w:val="Heading1"/>
      </w:pPr>
      <w:bookmarkStart w:id="7" w:name="_Toc216124461"/>
      <w:r>
        <w:lastRenderedPageBreak/>
        <w:t>References</w:t>
      </w:r>
      <w:bookmarkEnd w:id="7"/>
    </w:p>
    <w:p w14:paraId="469C8320" w14:textId="77777777" w:rsidR="009B0058" w:rsidRDefault="009B0058" w:rsidP="009B0058">
      <w:pPr>
        <w:pStyle w:val="NormalWeb"/>
        <w:spacing w:before="0" w:beforeAutospacing="0" w:after="120" w:afterAutospacing="0" w:line="360" w:lineRule="auto"/>
        <w:ind w:left="562" w:hanging="562"/>
        <w:jc w:val="both"/>
        <w:rPr>
          <w:sz w:val="24"/>
        </w:rPr>
      </w:pPr>
      <w:r>
        <w:t xml:space="preserve">Alexis, O. (2005) ‘Managing change: Cultural diversity in the NHS workforce’, </w:t>
      </w:r>
      <w:r>
        <w:rPr>
          <w:i/>
          <w:iCs/>
        </w:rPr>
        <w:t>Nursing Management</w:t>
      </w:r>
      <w:r>
        <w:t xml:space="preserve">, 11(10), pp. 28–30. doi:10.7748/nm2005.03.11.10.28.c2013. </w:t>
      </w:r>
    </w:p>
    <w:p w14:paraId="7D5F2DB3" w14:textId="77777777" w:rsidR="009B0058" w:rsidRDefault="009B0058" w:rsidP="009B0058">
      <w:pPr>
        <w:pStyle w:val="NormalWeb"/>
        <w:spacing w:before="0" w:beforeAutospacing="0" w:after="120" w:afterAutospacing="0" w:line="360" w:lineRule="auto"/>
        <w:ind w:left="562" w:hanging="562"/>
        <w:jc w:val="both"/>
      </w:pPr>
      <w:r>
        <w:t xml:space="preserve">Baumann, M. and Tchicaya, A. (2015) ‘Abstract 19600: Patients with cardiovascular risk factors were more likely to have Lower Life Satisfaction’, </w:t>
      </w:r>
      <w:r>
        <w:rPr>
          <w:i/>
          <w:iCs/>
        </w:rPr>
        <w:t>Circulation</w:t>
      </w:r>
      <w:r>
        <w:t xml:space="preserve">, 132(suppl_3). doi:10.1161/circ.132.suppl_3.19600. </w:t>
      </w:r>
    </w:p>
    <w:p w14:paraId="47692C61" w14:textId="77777777" w:rsidR="009B0058" w:rsidRDefault="009B0058" w:rsidP="009B0058">
      <w:pPr>
        <w:pStyle w:val="NormalWeb"/>
        <w:spacing w:before="0" w:beforeAutospacing="0" w:after="120" w:afterAutospacing="0" w:line="360" w:lineRule="auto"/>
        <w:ind w:left="562" w:hanging="562"/>
        <w:jc w:val="both"/>
      </w:pPr>
      <w:r>
        <w:t xml:space="preserve">Greenman, P.S. (2015) ‘Sad and worried hearts: A psychological treatment for clinically significant depression, anxiety, and post-traumatic stress in patients with cardiac disease’, </w:t>
      </w:r>
      <w:r>
        <w:rPr>
          <w:i/>
          <w:iCs/>
        </w:rPr>
        <w:t>International Journal of Clinical Cardiology</w:t>
      </w:r>
      <w:r>
        <w:t xml:space="preserve">, 2(3). doi:10.23937/2378-2951/1410037. </w:t>
      </w:r>
    </w:p>
    <w:p w14:paraId="28D864EC" w14:textId="77777777" w:rsidR="009B0058" w:rsidRDefault="009B0058" w:rsidP="009B0058">
      <w:pPr>
        <w:pStyle w:val="NormalWeb"/>
        <w:spacing w:before="0" w:beforeAutospacing="0" w:after="120" w:afterAutospacing="0" w:line="360" w:lineRule="auto"/>
        <w:ind w:left="562" w:hanging="562"/>
        <w:jc w:val="both"/>
      </w:pPr>
      <w:r>
        <w:t xml:space="preserve">Jones, M. (2022) ‘Benefits of using SNOMED CT in the UK National Health Service (NHS)’, </w:t>
      </w:r>
      <w:r>
        <w:rPr>
          <w:i/>
          <w:iCs/>
        </w:rPr>
        <w:t>Roadmap to Successful Digital Health Ecosystems</w:t>
      </w:r>
      <w:r>
        <w:t xml:space="preserve">, pp. 489–497. doi:10.1016/b978-0-12-823413-6.00023-9. </w:t>
      </w:r>
    </w:p>
    <w:p w14:paraId="10A489DA" w14:textId="77777777" w:rsidR="009B0058" w:rsidRDefault="009B0058" w:rsidP="009B0058">
      <w:pPr>
        <w:pStyle w:val="NormalWeb"/>
        <w:spacing w:before="0" w:beforeAutospacing="0" w:after="120" w:afterAutospacing="0" w:line="360" w:lineRule="auto"/>
        <w:ind w:left="562" w:hanging="562"/>
        <w:jc w:val="both"/>
      </w:pPr>
      <w:r>
        <w:t xml:space="preserve">Kumar, R.K. (2022) ‘Public health approaches to rheumatic heart disease prevention and management’, </w:t>
      </w:r>
      <w:r>
        <w:rPr>
          <w:i/>
          <w:iCs/>
        </w:rPr>
        <w:t>Public Health Approach to Cardiovascular Disease Prevention &amp;amp; Management</w:t>
      </w:r>
      <w:r>
        <w:t xml:space="preserve">, pp. 200–208. doi:10.1201/b23266-24. </w:t>
      </w:r>
    </w:p>
    <w:p w14:paraId="13493B0D" w14:textId="77777777" w:rsidR="009B0058" w:rsidRDefault="009B0058" w:rsidP="009B0058">
      <w:pPr>
        <w:pStyle w:val="NormalWeb"/>
        <w:spacing w:before="0" w:beforeAutospacing="0" w:after="120" w:afterAutospacing="0" w:line="360" w:lineRule="auto"/>
        <w:ind w:left="562" w:hanging="562"/>
        <w:jc w:val="both"/>
      </w:pPr>
      <w:r>
        <w:t xml:space="preserve">Manji, R.A. </w:t>
      </w:r>
      <w:r>
        <w:rPr>
          <w:i/>
          <w:iCs/>
        </w:rPr>
        <w:t>et al.</w:t>
      </w:r>
      <w:r>
        <w:t xml:space="preserve"> (2013) ‘Longer in-hospital wait times do not result in worse outcomes for patients requiring urgent coronary artery bypass graft surgery’, </w:t>
      </w:r>
      <w:r>
        <w:rPr>
          <w:i/>
          <w:iCs/>
        </w:rPr>
        <w:t>Hospital Practice</w:t>
      </w:r>
      <w:r>
        <w:t xml:space="preserve">, 41(3), pp. 15–22. doi:10.3810/hp.2013.08.1064. </w:t>
      </w:r>
    </w:p>
    <w:p w14:paraId="7B6B26CE" w14:textId="77777777" w:rsidR="009B0058" w:rsidRDefault="009B0058" w:rsidP="009B0058">
      <w:pPr>
        <w:pStyle w:val="NormalWeb"/>
        <w:spacing w:before="0" w:beforeAutospacing="0" w:after="120" w:afterAutospacing="0" w:line="360" w:lineRule="auto"/>
        <w:ind w:left="562" w:hanging="562"/>
        <w:jc w:val="both"/>
      </w:pPr>
      <w:r>
        <w:t xml:space="preserve">McCarthy, M. (2014) ‘Smoking remains leading cause of premature death in US’, </w:t>
      </w:r>
      <w:r>
        <w:rPr>
          <w:i/>
          <w:iCs/>
        </w:rPr>
        <w:t>BMJ</w:t>
      </w:r>
      <w:r>
        <w:t xml:space="preserve">, 348(jan20 9). doi:10.1136/bmj.g396. </w:t>
      </w:r>
    </w:p>
    <w:p w14:paraId="58BC98CE" w14:textId="77777777" w:rsidR="009B0058" w:rsidRDefault="009B0058" w:rsidP="009B0058">
      <w:pPr>
        <w:pStyle w:val="NormalWeb"/>
        <w:spacing w:before="0" w:beforeAutospacing="0" w:after="120" w:afterAutospacing="0" w:line="360" w:lineRule="auto"/>
        <w:ind w:left="562" w:hanging="562"/>
        <w:jc w:val="both"/>
      </w:pPr>
      <w:r>
        <w:t xml:space="preserve">MD, M.A. (2017) ‘Prevalence of significant coronary artery disease in rheumatic heart disease patients undergoing preoperative coronary angiography, Tanta University Hospital experience’, </w:t>
      </w:r>
      <w:r>
        <w:rPr>
          <w:i/>
          <w:iCs/>
        </w:rPr>
        <w:t>Journal of Medical Science And clinical Research</w:t>
      </w:r>
      <w:r>
        <w:t xml:space="preserve">, 05(02), pp. 17338–17342. doi:10.18535/jmscr/v5i2.19. </w:t>
      </w:r>
    </w:p>
    <w:p w14:paraId="563F0D4C" w14:textId="77777777" w:rsidR="009B0058" w:rsidRDefault="009B0058" w:rsidP="009B0058">
      <w:pPr>
        <w:pStyle w:val="NormalWeb"/>
        <w:spacing w:before="0" w:beforeAutospacing="0" w:after="120" w:afterAutospacing="0" w:line="360" w:lineRule="auto"/>
        <w:ind w:left="562" w:hanging="562"/>
        <w:jc w:val="both"/>
      </w:pPr>
      <w:r>
        <w:t xml:space="preserve">Murthy, P. (2014) ‘Chapter-e coronary artery disease/ischemic heart disease’, </w:t>
      </w:r>
      <w:r>
        <w:rPr>
          <w:i/>
          <w:iCs/>
        </w:rPr>
        <w:t>Common Urologic Problems: Benign Prostatic Hyperplasia</w:t>
      </w:r>
      <w:r>
        <w:t xml:space="preserve">, pp. 246–306. doi:10.5005/jp/books/12157_5. </w:t>
      </w:r>
    </w:p>
    <w:p w14:paraId="4BEDFD1E" w14:textId="77777777" w:rsidR="009B0058" w:rsidRDefault="009B0058" w:rsidP="009B0058">
      <w:pPr>
        <w:pStyle w:val="NormalWeb"/>
        <w:spacing w:before="0" w:beforeAutospacing="0" w:after="120" w:afterAutospacing="0" w:line="360" w:lineRule="auto"/>
        <w:ind w:left="562" w:hanging="562"/>
        <w:jc w:val="both"/>
      </w:pPr>
      <w:r>
        <w:t xml:space="preserve">Ockene, J.K. and Ockene, I.S. (1998) ‘Preventing cardiovascular disease: Effective smoking cessation strategies for the busy clinician’, </w:t>
      </w:r>
      <w:r>
        <w:rPr>
          <w:i/>
          <w:iCs/>
        </w:rPr>
        <w:t>Medical Science Symposia Series</w:t>
      </w:r>
      <w:r>
        <w:t xml:space="preserve">, pp. 303–312. doi:10.1007/978-94-011-5022-4_35. </w:t>
      </w:r>
    </w:p>
    <w:p w14:paraId="04143FF1" w14:textId="77777777" w:rsidR="009B0058" w:rsidRDefault="009B0058" w:rsidP="009B0058">
      <w:pPr>
        <w:pStyle w:val="NormalWeb"/>
        <w:spacing w:before="0" w:beforeAutospacing="0" w:after="120" w:afterAutospacing="0" w:line="360" w:lineRule="auto"/>
        <w:ind w:left="562" w:hanging="562"/>
        <w:jc w:val="both"/>
      </w:pPr>
      <w:r>
        <w:lastRenderedPageBreak/>
        <w:t xml:space="preserve">Pickering, T. (2024) ‘Comparative outcomes of medical, percutaneous, and surgical treatments for tricuspid valve endocarditis’, </w:t>
      </w:r>
      <w:r>
        <w:rPr>
          <w:i/>
          <w:iCs/>
        </w:rPr>
        <w:t>Journal of Heart Valve Disease Innovation</w:t>
      </w:r>
      <w:r>
        <w:t xml:space="preserve">, pp. 51–59. doi:10.36923/jhvd.v29i1.241. </w:t>
      </w:r>
    </w:p>
    <w:p w14:paraId="17E5C470" w14:textId="77777777" w:rsidR="009B0058" w:rsidRDefault="009B0058" w:rsidP="009B0058">
      <w:pPr>
        <w:pStyle w:val="NormalWeb"/>
        <w:spacing w:before="0" w:beforeAutospacing="0" w:after="120" w:afterAutospacing="0" w:line="360" w:lineRule="auto"/>
        <w:ind w:left="562" w:hanging="562"/>
        <w:jc w:val="both"/>
      </w:pPr>
      <w:r>
        <w:t xml:space="preserve">Shoemaker, M.J., Roper, S.E. and Calkins, T.N. (2016) ‘Seasonal variation of daily physical activity in individuals with heart failure’, </w:t>
      </w:r>
      <w:r>
        <w:rPr>
          <w:i/>
          <w:iCs/>
        </w:rPr>
        <w:t>Heart International</w:t>
      </w:r>
      <w:r>
        <w:t xml:space="preserve">, 11(1). doi:10.5301/heartint.5000231. </w:t>
      </w:r>
    </w:p>
    <w:p w14:paraId="55A1E2E7" w14:textId="77777777" w:rsidR="00840A7F" w:rsidRDefault="00840A7F"/>
    <w:sectPr w:rsidR="00840A7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B1D5F" w14:textId="77777777" w:rsidR="0022441D" w:rsidRDefault="0022441D" w:rsidP="00D51C1A">
      <w:pPr>
        <w:spacing w:line="240" w:lineRule="auto"/>
      </w:pPr>
      <w:r>
        <w:separator/>
      </w:r>
    </w:p>
  </w:endnote>
  <w:endnote w:type="continuationSeparator" w:id="0">
    <w:p w14:paraId="451537A6" w14:textId="77777777" w:rsidR="0022441D" w:rsidRDefault="0022441D" w:rsidP="00D51C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7853377"/>
      <w:docPartObj>
        <w:docPartGallery w:val="Page Numbers (Bottom of Page)"/>
        <w:docPartUnique/>
      </w:docPartObj>
    </w:sdtPr>
    <w:sdtEndPr>
      <w:rPr>
        <w:noProof/>
      </w:rPr>
    </w:sdtEndPr>
    <w:sdtContent>
      <w:p w14:paraId="25299697" w14:textId="01C30D6F" w:rsidR="00D51C1A" w:rsidRDefault="00D51C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F3BCD1" w14:textId="77777777" w:rsidR="00D51C1A" w:rsidRDefault="00D51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BD1A8" w14:textId="77777777" w:rsidR="0022441D" w:rsidRDefault="0022441D" w:rsidP="00D51C1A">
      <w:pPr>
        <w:spacing w:line="240" w:lineRule="auto"/>
      </w:pPr>
      <w:r>
        <w:separator/>
      </w:r>
    </w:p>
  </w:footnote>
  <w:footnote w:type="continuationSeparator" w:id="0">
    <w:p w14:paraId="4670F9DB" w14:textId="77777777" w:rsidR="0022441D" w:rsidRDefault="0022441D" w:rsidP="00D51C1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SzMDQxsbSwNDMzM7dQ0lEKTi0uzszPAykwqgUAG/FamywAAAA="/>
  </w:docVars>
  <w:rsids>
    <w:rsidRoot w:val="00872AFD"/>
    <w:rsid w:val="0000462C"/>
    <w:rsid w:val="00014775"/>
    <w:rsid w:val="00014BCF"/>
    <w:rsid w:val="000159C9"/>
    <w:rsid w:val="000359F9"/>
    <w:rsid w:val="00054E16"/>
    <w:rsid w:val="00055171"/>
    <w:rsid w:val="0005560A"/>
    <w:rsid w:val="00057E96"/>
    <w:rsid w:val="00064959"/>
    <w:rsid w:val="00087C6B"/>
    <w:rsid w:val="00093AB4"/>
    <w:rsid w:val="000A0804"/>
    <w:rsid w:val="000A3C06"/>
    <w:rsid w:val="000A5530"/>
    <w:rsid w:val="000A7EAD"/>
    <w:rsid w:val="000B2330"/>
    <w:rsid w:val="000B39EE"/>
    <w:rsid w:val="000B560B"/>
    <w:rsid w:val="000C0C23"/>
    <w:rsid w:val="000C1C8D"/>
    <w:rsid w:val="000C23D7"/>
    <w:rsid w:val="000D3180"/>
    <w:rsid w:val="000D42F4"/>
    <w:rsid w:val="000D5E29"/>
    <w:rsid w:val="000F529D"/>
    <w:rsid w:val="00117E98"/>
    <w:rsid w:val="00124EF5"/>
    <w:rsid w:val="00125903"/>
    <w:rsid w:val="00165AC0"/>
    <w:rsid w:val="00166998"/>
    <w:rsid w:val="00177DF1"/>
    <w:rsid w:val="00197A5F"/>
    <w:rsid w:val="001B0135"/>
    <w:rsid w:val="001B0E2B"/>
    <w:rsid w:val="001C509F"/>
    <w:rsid w:val="001C691C"/>
    <w:rsid w:val="001D0660"/>
    <w:rsid w:val="001E3AA1"/>
    <w:rsid w:val="001E4747"/>
    <w:rsid w:val="001F1927"/>
    <w:rsid w:val="00203D8A"/>
    <w:rsid w:val="00210A6D"/>
    <w:rsid w:val="00212201"/>
    <w:rsid w:val="00216827"/>
    <w:rsid w:val="0022441D"/>
    <w:rsid w:val="00225127"/>
    <w:rsid w:val="002313D8"/>
    <w:rsid w:val="0023679A"/>
    <w:rsid w:val="00263A7B"/>
    <w:rsid w:val="00284EA7"/>
    <w:rsid w:val="00291F5F"/>
    <w:rsid w:val="002C2A88"/>
    <w:rsid w:val="002C5BEF"/>
    <w:rsid w:val="002E4310"/>
    <w:rsid w:val="00300A22"/>
    <w:rsid w:val="00311D01"/>
    <w:rsid w:val="003157F0"/>
    <w:rsid w:val="003173A3"/>
    <w:rsid w:val="0033323F"/>
    <w:rsid w:val="003336F6"/>
    <w:rsid w:val="00337FAC"/>
    <w:rsid w:val="00350831"/>
    <w:rsid w:val="00354620"/>
    <w:rsid w:val="00357AFF"/>
    <w:rsid w:val="00377DAD"/>
    <w:rsid w:val="003817D1"/>
    <w:rsid w:val="0038735F"/>
    <w:rsid w:val="0039344C"/>
    <w:rsid w:val="003A56D7"/>
    <w:rsid w:val="003B4423"/>
    <w:rsid w:val="003B5CDA"/>
    <w:rsid w:val="003D1338"/>
    <w:rsid w:val="003D1A66"/>
    <w:rsid w:val="003D3114"/>
    <w:rsid w:val="003D44F6"/>
    <w:rsid w:val="003D5445"/>
    <w:rsid w:val="003D6FEC"/>
    <w:rsid w:val="003E0820"/>
    <w:rsid w:val="003E4EF9"/>
    <w:rsid w:val="00402A82"/>
    <w:rsid w:val="00404165"/>
    <w:rsid w:val="00406029"/>
    <w:rsid w:val="00410E6D"/>
    <w:rsid w:val="004157EB"/>
    <w:rsid w:val="004309C6"/>
    <w:rsid w:val="00435437"/>
    <w:rsid w:val="00453D9A"/>
    <w:rsid w:val="0045574A"/>
    <w:rsid w:val="00460E93"/>
    <w:rsid w:val="00472156"/>
    <w:rsid w:val="00472222"/>
    <w:rsid w:val="00475B5E"/>
    <w:rsid w:val="004921B3"/>
    <w:rsid w:val="004964B4"/>
    <w:rsid w:val="004A6799"/>
    <w:rsid w:val="004B7241"/>
    <w:rsid w:val="004C47F8"/>
    <w:rsid w:val="004E6C99"/>
    <w:rsid w:val="004E767B"/>
    <w:rsid w:val="004F5682"/>
    <w:rsid w:val="0050357E"/>
    <w:rsid w:val="005327AE"/>
    <w:rsid w:val="00533B4D"/>
    <w:rsid w:val="005407C1"/>
    <w:rsid w:val="00541857"/>
    <w:rsid w:val="005424FB"/>
    <w:rsid w:val="00546E7E"/>
    <w:rsid w:val="00555188"/>
    <w:rsid w:val="00571F5D"/>
    <w:rsid w:val="00581372"/>
    <w:rsid w:val="005A668A"/>
    <w:rsid w:val="005D4F1B"/>
    <w:rsid w:val="005F6284"/>
    <w:rsid w:val="00610F27"/>
    <w:rsid w:val="00623962"/>
    <w:rsid w:val="00624E8D"/>
    <w:rsid w:val="0064596D"/>
    <w:rsid w:val="006553F6"/>
    <w:rsid w:val="00661AE0"/>
    <w:rsid w:val="00663DE7"/>
    <w:rsid w:val="00681474"/>
    <w:rsid w:val="00696B79"/>
    <w:rsid w:val="006A51DD"/>
    <w:rsid w:val="006B6E3C"/>
    <w:rsid w:val="006D1A8F"/>
    <w:rsid w:val="006D5AFB"/>
    <w:rsid w:val="006E113F"/>
    <w:rsid w:val="006E13E5"/>
    <w:rsid w:val="006E3B0D"/>
    <w:rsid w:val="006E5DE3"/>
    <w:rsid w:val="006F4A4A"/>
    <w:rsid w:val="007263F5"/>
    <w:rsid w:val="00734453"/>
    <w:rsid w:val="00735EFA"/>
    <w:rsid w:val="00743B14"/>
    <w:rsid w:val="007459B3"/>
    <w:rsid w:val="00750A83"/>
    <w:rsid w:val="00764474"/>
    <w:rsid w:val="0076614D"/>
    <w:rsid w:val="00772D9B"/>
    <w:rsid w:val="007751D0"/>
    <w:rsid w:val="00786517"/>
    <w:rsid w:val="00792C3C"/>
    <w:rsid w:val="007A3AA4"/>
    <w:rsid w:val="007A3FEB"/>
    <w:rsid w:val="007A45B0"/>
    <w:rsid w:val="007B2CD8"/>
    <w:rsid w:val="007B3B62"/>
    <w:rsid w:val="007D64A6"/>
    <w:rsid w:val="007E0504"/>
    <w:rsid w:val="007F2589"/>
    <w:rsid w:val="007F2E62"/>
    <w:rsid w:val="007F3DA4"/>
    <w:rsid w:val="00807079"/>
    <w:rsid w:val="00831CE7"/>
    <w:rsid w:val="0084076B"/>
    <w:rsid w:val="00840A7F"/>
    <w:rsid w:val="00851F5A"/>
    <w:rsid w:val="00856138"/>
    <w:rsid w:val="00862813"/>
    <w:rsid w:val="00863683"/>
    <w:rsid w:val="008669AC"/>
    <w:rsid w:val="00872AFD"/>
    <w:rsid w:val="00881921"/>
    <w:rsid w:val="0088248E"/>
    <w:rsid w:val="00885D53"/>
    <w:rsid w:val="00893BBD"/>
    <w:rsid w:val="0089636B"/>
    <w:rsid w:val="008A421E"/>
    <w:rsid w:val="008A5122"/>
    <w:rsid w:val="008C7E3B"/>
    <w:rsid w:val="008E1637"/>
    <w:rsid w:val="008E36D8"/>
    <w:rsid w:val="008F046A"/>
    <w:rsid w:val="00902DA9"/>
    <w:rsid w:val="0090448D"/>
    <w:rsid w:val="00906FA9"/>
    <w:rsid w:val="00916705"/>
    <w:rsid w:val="0092612B"/>
    <w:rsid w:val="0093048E"/>
    <w:rsid w:val="00931A1B"/>
    <w:rsid w:val="00940763"/>
    <w:rsid w:val="00941729"/>
    <w:rsid w:val="00945141"/>
    <w:rsid w:val="009510FF"/>
    <w:rsid w:val="00971244"/>
    <w:rsid w:val="009720FA"/>
    <w:rsid w:val="009735C9"/>
    <w:rsid w:val="00975A9C"/>
    <w:rsid w:val="0098221E"/>
    <w:rsid w:val="0098580A"/>
    <w:rsid w:val="0099038D"/>
    <w:rsid w:val="00994F89"/>
    <w:rsid w:val="009A0569"/>
    <w:rsid w:val="009A39CB"/>
    <w:rsid w:val="009B0058"/>
    <w:rsid w:val="009B11B3"/>
    <w:rsid w:val="009D0104"/>
    <w:rsid w:val="009E698C"/>
    <w:rsid w:val="009F3E88"/>
    <w:rsid w:val="009F62C2"/>
    <w:rsid w:val="00A078A4"/>
    <w:rsid w:val="00A1219D"/>
    <w:rsid w:val="00A156A6"/>
    <w:rsid w:val="00A222CF"/>
    <w:rsid w:val="00A23358"/>
    <w:rsid w:val="00A24A49"/>
    <w:rsid w:val="00A27A19"/>
    <w:rsid w:val="00A35739"/>
    <w:rsid w:val="00A5679C"/>
    <w:rsid w:val="00A619E3"/>
    <w:rsid w:val="00A66F8A"/>
    <w:rsid w:val="00A80B88"/>
    <w:rsid w:val="00A9414E"/>
    <w:rsid w:val="00AC0443"/>
    <w:rsid w:val="00AC4293"/>
    <w:rsid w:val="00B00FFB"/>
    <w:rsid w:val="00B17BD0"/>
    <w:rsid w:val="00B31F50"/>
    <w:rsid w:val="00B61AE8"/>
    <w:rsid w:val="00B624E1"/>
    <w:rsid w:val="00B779A6"/>
    <w:rsid w:val="00B81B85"/>
    <w:rsid w:val="00B83D4B"/>
    <w:rsid w:val="00B95ED1"/>
    <w:rsid w:val="00BA6397"/>
    <w:rsid w:val="00BA7B7C"/>
    <w:rsid w:val="00BB2581"/>
    <w:rsid w:val="00BB3D23"/>
    <w:rsid w:val="00BB63DE"/>
    <w:rsid w:val="00BD2035"/>
    <w:rsid w:val="00BF1150"/>
    <w:rsid w:val="00BF3700"/>
    <w:rsid w:val="00C15A12"/>
    <w:rsid w:val="00C20DC6"/>
    <w:rsid w:val="00C32719"/>
    <w:rsid w:val="00C35E41"/>
    <w:rsid w:val="00C44886"/>
    <w:rsid w:val="00C45C44"/>
    <w:rsid w:val="00C51D60"/>
    <w:rsid w:val="00C648BB"/>
    <w:rsid w:val="00C77218"/>
    <w:rsid w:val="00C94A28"/>
    <w:rsid w:val="00CA3B62"/>
    <w:rsid w:val="00CB32FC"/>
    <w:rsid w:val="00CE120A"/>
    <w:rsid w:val="00CE6CD8"/>
    <w:rsid w:val="00CF795C"/>
    <w:rsid w:val="00D2280C"/>
    <w:rsid w:val="00D23628"/>
    <w:rsid w:val="00D25506"/>
    <w:rsid w:val="00D264EB"/>
    <w:rsid w:val="00D41098"/>
    <w:rsid w:val="00D51C1A"/>
    <w:rsid w:val="00D53C0C"/>
    <w:rsid w:val="00D70530"/>
    <w:rsid w:val="00D822B7"/>
    <w:rsid w:val="00D8375F"/>
    <w:rsid w:val="00D91D18"/>
    <w:rsid w:val="00DA1F8E"/>
    <w:rsid w:val="00DA658D"/>
    <w:rsid w:val="00DA6B99"/>
    <w:rsid w:val="00DC3EC9"/>
    <w:rsid w:val="00DC56F7"/>
    <w:rsid w:val="00DC7D24"/>
    <w:rsid w:val="00DD78A0"/>
    <w:rsid w:val="00DE4498"/>
    <w:rsid w:val="00E32D81"/>
    <w:rsid w:val="00E43CDD"/>
    <w:rsid w:val="00E45E40"/>
    <w:rsid w:val="00E46349"/>
    <w:rsid w:val="00E6740E"/>
    <w:rsid w:val="00E81B62"/>
    <w:rsid w:val="00E8505B"/>
    <w:rsid w:val="00E933C1"/>
    <w:rsid w:val="00E9629C"/>
    <w:rsid w:val="00EA2074"/>
    <w:rsid w:val="00EA2885"/>
    <w:rsid w:val="00EA4485"/>
    <w:rsid w:val="00EB472B"/>
    <w:rsid w:val="00EB5E4B"/>
    <w:rsid w:val="00EB6DB9"/>
    <w:rsid w:val="00EB71D9"/>
    <w:rsid w:val="00EC3041"/>
    <w:rsid w:val="00EC3FDC"/>
    <w:rsid w:val="00ED35C0"/>
    <w:rsid w:val="00EE61C2"/>
    <w:rsid w:val="00EF25FA"/>
    <w:rsid w:val="00EF40E8"/>
    <w:rsid w:val="00F013CF"/>
    <w:rsid w:val="00F22BE9"/>
    <w:rsid w:val="00F22F61"/>
    <w:rsid w:val="00F319C3"/>
    <w:rsid w:val="00F34119"/>
    <w:rsid w:val="00F371CB"/>
    <w:rsid w:val="00F63B2B"/>
    <w:rsid w:val="00F648F5"/>
    <w:rsid w:val="00F674FB"/>
    <w:rsid w:val="00F80D8A"/>
    <w:rsid w:val="00FA163E"/>
    <w:rsid w:val="00FA49A5"/>
    <w:rsid w:val="00FA649C"/>
    <w:rsid w:val="00FA66DC"/>
    <w:rsid w:val="00FB47B6"/>
    <w:rsid w:val="00FC45BC"/>
    <w:rsid w:val="00FD36D8"/>
    <w:rsid w:val="00FE3B00"/>
    <w:rsid w:val="00FE4A7F"/>
    <w:rsid w:val="00FF15DB"/>
    <w:rsid w:val="00FF4D3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CE922"/>
  <w15:chartTrackingRefBased/>
  <w15:docId w15:val="{C171A3BC-8AF4-47DD-93BE-0C5AF33D7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20" w:line="259"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3DE"/>
    <w:pPr>
      <w:spacing w:after="0" w:line="360" w:lineRule="auto"/>
    </w:pPr>
    <w:rPr>
      <w:rFonts w:ascii="Arial" w:hAnsi="Arial"/>
      <w:kern w:val="0"/>
      <w:szCs w:val="24"/>
      <w:lang w:val="en-GB"/>
    </w:rPr>
  </w:style>
  <w:style w:type="paragraph" w:styleId="Heading1">
    <w:name w:val="heading 1"/>
    <w:basedOn w:val="Heading2"/>
    <w:next w:val="Normal"/>
    <w:link w:val="Heading1Char"/>
    <w:qFormat/>
    <w:rsid w:val="00D8375F"/>
    <w:pPr>
      <w:keepNext w:val="0"/>
      <w:keepLines w:val="0"/>
      <w:spacing w:before="120" w:after="120" w:line="240" w:lineRule="auto"/>
      <w:jc w:val="left"/>
      <w:outlineLvl w:val="0"/>
    </w:pPr>
    <w:rPr>
      <w:rFonts w:eastAsia="Calibri" w:cstheme="minorHAnsi"/>
      <w:color w:val="0E2841" w:themeColor="text2"/>
      <w:sz w:val="32"/>
      <w:szCs w:val="28"/>
    </w:rPr>
  </w:style>
  <w:style w:type="paragraph" w:styleId="Heading2">
    <w:name w:val="heading 2"/>
    <w:basedOn w:val="Normal"/>
    <w:next w:val="Normal"/>
    <w:link w:val="Heading2Char"/>
    <w:uiPriority w:val="9"/>
    <w:unhideWhenUsed/>
    <w:qFormat/>
    <w:rsid w:val="00DA6B99"/>
    <w:pPr>
      <w:keepNext/>
      <w:keepLines/>
      <w:spacing w:before="40"/>
      <w:outlineLvl w:val="1"/>
    </w:pPr>
    <w:rPr>
      <w:rFonts w:eastAsiaTheme="majorEastAsia" w:cstheme="majorBidi"/>
      <w:b/>
      <w:color w:val="0F4761" w:themeColor="accent1" w:themeShade="BF"/>
      <w:kern w:val="2"/>
      <w:sz w:val="26"/>
      <w:szCs w:val="26"/>
      <w:lang w:val="en-US"/>
    </w:rPr>
  </w:style>
  <w:style w:type="paragraph" w:styleId="Heading3">
    <w:name w:val="heading 3"/>
    <w:basedOn w:val="Normal"/>
    <w:next w:val="Normal"/>
    <w:link w:val="Heading3Char"/>
    <w:uiPriority w:val="9"/>
    <w:unhideWhenUsed/>
    <w:qFormat/>
    <w:rsid w:val="00C20DC6"/>
    <w:pPr>
      <w:keepNext/>
      <w:keepLines/>
      <w:spacing w:before="160" w:after="80" w:line="240" w:lineRule="auto"/>
      <w:outlineLvl w:val="2"/>
    </w:pPr>
    <w:rPr>
      <w:rFonts w:eastAsiaTheme="majorEastAsia" w:cstheme="majorBidi"/>
      <w:b/>
      <w:szCs w:val="28"/>
      <w:lang w:val="en-US"/>
    </w:rPr>
  </w:style>
  <w:style w:type="paragraph" w:styleId="Heading4">
    <w:name w:val="heading 4"/>
    <w:basedOn w:val="Normal"/>
    <w:next w:val="Normal"/>
    <w:link w:val="Heading4Char"/>
    <w:uiPriority w:val="9"/>
    <w:unhideWhenUsed/>
    <w:qFormat/>
    <w:rsid w:val="00872A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72AF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72AF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72AF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72AF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72AF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375F"/>
    <w:rPr>
      <w:rFonts w:ascii="Times New Roman" w:eastAsia="Calibri" w:hAnsi="Times New Roman" w:cstheme="minorHAnsi"/>
      <w:b/>
      <w:color w:val="0E2841" w:themeColor="text2"/>
      <w:sz w:val="32"/>
      <w:szCs w:val="28"/>
    </w:rPr>
  </w:style>
  <w:style w:type="character" w:customStyle="1" w:styleId="Heading2Char">
    <w:name w:val="Heading 2 Char"/>
    <w:basedOn w:val="DefaultParagraphFont"/>
    <w:link w:val="Heading2"/>
    <w:uiPriority w:val="9"/>
    <w:rsid w:val="00DA6B99"/>
    <w:rPr>
      <w:rFonts w:ascii="Times New Roman" w:eastAsiaTheme="majorEastAsia" w:hAnsi="Times New Roman" w:cstheme="majorBidi"/>
      <w:b/>
      <w:color w:val="0F4761" w:themeColor="accent1" w:themeShade="BF"/>
      <w:sz w:val="26"/>
      <w:szCs w:val="26"/>
    </w:rPr>
  </w:style>
  <w:style w:type="character" w:customStyle="1" w:styleId="Heading3Char">
    <w:name w:val="Heading 3 Char"/>
    <w:basedOn w:val="DefaultParagraphFont"/>
    <w:link w:val="Heading3"/>
    <w:uiPriority w:val="9"/>
    <w:rsid w:val="00C20DC6"/>
    <w:rPr>
      <w:rFonts w:ascii="Times New Roman" w:eastAsiaTheme="majorEastAsia" w:hAnsi="Times New Roman" w:cstheme="majorBidi"/>
      <w:b/>
      <w:color w:val="000000" w:themeColor="text1"/>
      <w:kern w:val="0"/>
      <w:szCs w:val="28"/>
      <w:lang w:eastAsia="en-GB"/>
    </w:rPr>
  </w:style>
  <w:style w:type="character" w:customStyle="1" w:styleId="Heading4Char">
    <w:name w:val="Heading 4 Char"/>
    <w:basedOn w:val="DefaultParagraphFont"/>
    <w:link w:val="Heading4"/>
    <w:uiPriority w:val="9"/>
    <w:rsid w:val="00872AFD"/>
    <w:rPr>
      <w:rFonts w:eastAsiaTheme="majorEastAsia" w:cstheme="majorBidi"/>
      <w:i/>
      <w:iCs/>
      <w:color w:val="0F4761" w:themeColor="accent1" w:themeShade="BF"/>
      <w:kern w:val="0"/>
      <w:sz w:val="24"/>
      <w:szCs w:val="24"/>
      <w:lang w:val="en-GB"/>
    </w:rPr>
  </w:style>
  <w:style w:type="character" w:customStyle="1" w:styleId="Heading5Char">
    <w:name w:val="Heading 5 Char"/>
    <w:basedOn w:val="DefaultParagraphFont"/>
    <w:link w:val="Heading5"/>
    <w:uiPriority w:val="9"/>
    <w:semiHidden/>
    <w:rsid w:val="00872AFD"/>
    <w:rPr>
      <w:rFonts w:eastAsiaTheme="majorEastAsia" w:cstheme="majorBidi"/>
      <w:color w:val="0F4761" w:themeColor="accent1" w:themeShade="BF"/>
      <w:kern w:val="0"/>
      <w:sz w:val="24"/>
      <w:szCs w:val="24"/>
      <w:lang w:val="en-GB"/>
    </w:rPr>
  </w:style>
  <w:style w:type="character" w:customStyle="1" w:styleId="Heading6Char">
    <w:name w:val="Heading 6 Char"/>
    <w:basedOn w:val="DefaultParagraphFont"/>
    <w:link w:val="Heading6"/>
    <w:uiPriority w:val="9"/>
    <w:semiHidden/>
    <w:rsid w:val="00872AFD"/>
    <w:rPr>
      <w:rFonts w:eastAsiaTheme="majorEastAsia" w:cstheme="majorBidi"/>
      <w:i/>
      <w:iCs/>
      <w:color w:val="595959" w:themeColor="text1" w:themeTint="A6"/>
      <w:kern w:val="0"/>
      <w:sz w:val="24"/>
      <w:szCs w:val="24"/>
      <w:lang w:val="en-GB"/>
    </w:rPr>
  </w:style>
  <w:style w:type="character" w:customStyle="1" w:styleId="Heading7Char">
    <w:name w:val="Heading 7 Char"/>
    <w:basedOn w:val="DefaultParagraphFont"/>
    <w:link w:val="Heading7"/>
    <w:uiPriority w:val="9"/>
    <w:semiHidden/>
    <w:rsid w:val="00872AFD"/>
    <w:rPr>
      <w:rFonts w:eastAsiaTheme="majorEastAsia" w:cstheme="majorBidi"/>
      <w:color w:val="595959" w:themeColor="text1" w:themeTint="A6"/>
      <w:kern w:val="0"/>
      <w:sz w:val="24"/>
      <w:szCs w:val="24"/>
      <w:lang w:val="en-GB"/>
    </w:rPr>
  </w:style>
  <w:style w:type="character" w:customStyle="1" w:styleId="Heading8Char">
    <w:name w:val="Heading 8 Char"/>
    <w:basedOn w:val="DefaultParagraphFont"/>
    <w:link w:val="Heading8"/>
    <w:uiPriority w:val="9"/>
    <w:semiHidden/>
    <w:rsid w:val="00872AFD"/>
    <w:rPr>
      <w:rFonts w:eastAsiaTheme="majorEastAsia" w:cstheme="majorBidi"/>
      <w:i/>
      <w:iCs/>
      <w:color w:val="272727" w:themeColor="text1" w:themeTint="D8"/>
      <w:kern w:val="0"/>
      <w:sz w:val="24"/>
      <w:szCs w:val="24"/>
      <w:lang w:val="en-GB"/>
    </w:rPr>
  </w:style>
  <w:style w:type="character" w:customStyle="1" w:styleId="Heading9Char">
    <w:name w:val="Heading 9 Char"/>
    <w:basedOn w:val="DefaultParagraphFont"/>
    <w:link w:val="Heading9"/>
    <w:uiPriority w:val="9"/>
    <w:semiHidden/>
    <w:rsid w:val="00872AFD"/>
    <w:rPr>
      <w:rFonts w:eastAsiaTheme="majorEastAsia" w:cstheme="majorBidi"/>
      <w:color w:val="272727" w:themeColor="text1" w:themeTint="D8"/>
      <w:kern w:val="0"/>
      <w:sz w:val="24"/>
      <w:szCs w:val="24"/>
      <w:lang w:val="en-GB"/>
    </w:rPr>
  </w:style>
  <w:style w:type="paragraph" w:styleId="Title">
    <w:name w:val="Title"/>
    <w:basedOn w:val="Normal"/>
    <w:next w:val="Normal"/>
    <w:link w:val="TitleChar"/>
    <w:uiPriority w:val="10"/>
    <w:qFormat/>
    <w:rsid w:val="00872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AF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72A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AFD"/>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872A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2AFD"/>
    <w:rPr>
      <w:rFonts w:ascii="Times New Roman" w:hAnsi="Times New Roman"/>
      <w:i/>
      <w:iCs/>
      <w:color w:val="404040" w:themeColor="text1" w:themeTint="BF"/>
      <w:kern w:val="0"/>
      <w:sz w:val="24"/>
      <w:szCs w:val="24"/>
      <w:lang w:val="en-GB"/>
    </w:rPr>
  </w:style>
  <w:style w:type="paragraph" w:styleId="ListParagraph">
    <w:name w:val="List Paragraph"/>
    <w:basedOn w:val="Normal"/>
    <w:uiPriority w:val="34"/>
    <w:qFormat/>
    <w:rsid w:val="00872AFD"/>
    <w:pPr>
      <w:ind w:left="720"/>
      <w:contextualSpacing/>
    </w:pPr>
  </w:style>
  <w:style w:type="character" w:styleId="IntenseEmphasis">
    <w:name w:val="Intense Emphasis"/>
    <w:basedOn w:val="DefaultParagraphFont"/>
    <w:uiPriority w:val="21"/>
    <w:qFormat/>
    <w:rsid w:val="00872AFD"/>
    <w:rPr>
      <w:i/>
      <w:iCs/>
      <w:color w:val="0F4761" w:themeColor="accent1" w:themeShade="BF"/>
    </w:rPr>
  </w:style>
  <w:style w:type="paragraph" w:styleId="IntenseQuote">
    <w:name w:val="Intense Quote"/>
    <w:basedOn w:val="Normal"/>
    <w:next w:val="Normal"/>
    <w:link w:val="IntenseQuoteChar"/>
    <w:uiPriority w:val="30"/>
    <w:qFormat/>
    <w:rsid w:val="00872A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AFD"/>
    <w:rPr>
      <w:rFonts w:ascii="Times New Roman" w:hAnsi="Times New Roman"/>
      <w:i/>
      <w:iCs/>
      <w:color w:val="0F4761" w:themeColor="accent1" w:themeShade="BF"/>
      <w:kern w:val="0"/>
      <w:sz w:val="24"/>
      <w:szCs w:val="24"/>
      <w:lang w:val="en-GB"/>
    </w:rPr>
  </w:style>
  <w:style w:type="character" w:styleId="IntenseReference">
    <w:name w:val="Intense Reference"/>
    <w:basedOn w:val="DefaultParagraphFont"/>
    <w:uiPriority w:val="32"/>
    <w:qFormat/>
    <w:rsid w:val="00872AFD"/>
    <w:rPr>
      <w:b/>
      <w:bCs/>
      <w:smallCaps/>
      <w:color w:val="0F4761" w:themeColor="accent1" w:themeShade="BF"/>
      <w:spacing w:val="5"/>
    </w:rPr>
  </w:style>
  <w:style w:type="paragraph" w:styleId="Header">
    <w:name w:val="header"/>
    <w:basedOn w:val="Normal"/>
    <w:link w:val="HeaderChar"/>
    <w:uiPriority w:val="99"/>
    <w:unhideWhenUsed/>
    <w:rsid w:val="00D51C1A"/>
    <w:pPr>
      <w:tabs>
        <w:tab w:val="center" w:pos="4680"/>
        <w:tab w:val="right" w:pos="9360"/>
      </w:tabs>
      <w:spacing w:line="240" w:lineRule="auto"/>
    </w:pPr>
  </w:style>
  <w:style w:type="character" w:customStyle="1" w:styleId="HeaderChar">
    <w:name w:val="Header Char"/>
    <w:basedOn w:val="DefaultParagraphFont"/>
    <w:link w:val="Header"/>
    <w:uiPriority w:val="99"/>
    <w:rsid w:val="00D51C1A"/>
    <w:rPr>
      <w:rFonts w:ascii="Times New Roman" w:hAnsi="Times New Roman"/>
      <w:kern w:val="0"/>
      <w:sz w:val="24"/>
      <w:szCs w:val="24"/>
      <w:lang w:val="en-GB"/>
    </w:rPr>
  </w:style>
  <w:style w:type="paragraph" w:styleId="Footer">
    <w:name w:val="footer"/>
    <w:basedOn w:val="Normal"/>
    <w:link w:val="FooterChar"/>
    <w:uiPriority w:val="99"/>
    <w:unhideWhenUsed/>
    <w:rsid w:val="00D51C1A"/>
    <w:pPr>
      <w:tabs>
        <w:tab w:val="center" w:pos="4680"/>
        <w:tab w:val="right" w:pos="9360"/>
      </w:tabs>
      <w:spacing w:line="240" w:lineRule="auto"/>
    </w:pPr>
  </w:style>
  <w:style w:type="character" w:customStyle="1" w:styleId="FooterChar">
    <w:name w:val="Footer Char"/>
    <w:basedOn w:val="DefaultParagraphFont"/>
    <w:link w:val="Footer"/>
    <w:uiPriority w:val="99"/>
    <w:rsid w:val="00D51C1A"/>
    <w:rPr>
      <w:rFonts w:ascii="Times New Roman" w:hAnsi="Times New Roman"/>
      <w:kern w:val="0"/>
      <w:sz w:val="24"/>
      <w:szCs w:val="24"/>
      <w:lang w:val="en-GB"/>
    </w:rPr>
  </w:style>
  <w:style w:type="character" w:styleId="Strong">
    <w:name w:val="Strong"/>
    <w:basedOn w:val="DefaultParagraphFont"/>
    <w:uiPriority w:val="22"/>
    <w:qFormat/>
    <w:rsid w:val="001D0660"/>
    <w:rPr>
      <w:b/>
      <w:bCs/>
    </w:rPr>
  </w:style>
  <w:style w:type="paragraph" w:styleId="NormalWeb">
    <w:name w:val="Normal (Web)"/>
    <w:basedOn w:val="Normal"/>
    <w:uiPriority w:val="99"/>
    <w:semiHidden/>
    <w:unhideWhenUsed/>
    <w:rsid w:val="001D0660"/>
    <w:pPr>
      <w:spacing w:before="100" w:beforeAutospacing="1" w:after="100" w:afterAutospacing="1" w:line="240" w:lineRule="auto"/>
      <w:jc w:val="left"/>
    </w:pPr>
    <w:rPr>
      <w:rFonts w:eastAsia="Times New Roman" w:cs="Times New Roman"/>
      <w:lang w:val="en-US" w:bidi="bn-IN"/>
      <w14:ligatures w14:val="none"/>
    </w:rPr>
  </w:style>
  <w:style w:type="paragraph" w:styleId="Caption">
    <w:name w:val="caption"/>
    <w:basedOn w:val="Normal"/>
    <w:next w:val="Normal"/>
    <w:uiPriority w:val="35"/>
    <w:unhideWhenUsed/>
    <w:qFormat/>
    <w:rsid w:val="009B0058"/>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90448D"/>
    <w:pPr>
      <w:keepNext/>
      <w:keepLines/>
      <w:spacing w:before="240" w:after="0" w:line="259" w:lineRule="auto"/>
      <w:outlineLvl w:val="9"/>
    </w:pPr>
    <w:rPr>
      <w:rFonts w:asciiTheme="majorHAnsi" w:eastAsiaTheme="majorEastAsia" w:hAnsiTheme="majorHAnsi" w:cstheme="majorBidi"/>
      <w:b w:val="0"/>
      <w:color w:val="0F4761" w:themeColor="accent1" w:themeShade="BF"/>
      <w:kern w:val="0"/>
      <w:szCs w:val="32"/>
      <w14:ligatures w14:val="none"/>
    </w:rPr>
  </w:style>
  <w:style w:type="paragraph" w:styleId="TOC1">
    <w:name w:val="toc 1"/>
    <w:basedOn w:val="Normal"/>
    <w:next w:val="Normal"/>
    <w:autoRedefine/>
    <w:uiPriority w:val="39"/>
    <w:unhideWhenUsed/>
    <w:rsid w:val="0090448D"/>
    <w:pPr>
      <w:spacing w:after="100"/>
    </w:pPr>
  </w:style>
  <w:style w:type="paragraph" w:styleId="TOC2">
    <w:name w:val="toc 2"/>
    <w:basedOn w:val="Normal"/>
    <w:next w:val="Normal"/>
    <w:autoRedefine/>
    <w:uiPriority w:val="39"/>
    <w:unhideWhenUsed/>
    <w:rsid w:val="0090448D"/>
    <w:pPr>
      <w:spacing w:after="100"/>
      <w:ind w:left="220"/>
    </w:pPr>
  </w:style>
  <w:style w:type="character" w:styleId="Hyperlink">
    <w:name w:val="Hyperlink"/>
    <w:basedOn w:val="DefaultParagraphFont"/>
    <w:uiPriority w:val="99"/>
    <w:unhideWhenUsed/>
    <w:rsid w:val="0090448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6D760A-F069-4B50-8EB9-9B89C3F4E3B4}"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38BD7FAF-F9F4-4764-A067-1471009DCC6E}">
      <dgm:prSet phldrT="[Text]"/>
      <dgm:spPr/>
      <dgm:t>
        <a:bodyPr/>
        <a:lstStyle/>
        <a:p>
          <a:pPr algn="ctr">
            <a:buNone/>
          </a:pPr>
          <a:r>
            <a:rPr lang="en-US" b="1"/>
            <a:t>Socioeconomic Factors</a:t>
          </a:r>
          <a:endParaRPr lang="en-US"/>
        </a:p>
      </dgm:t>
    </dgm:pt>
    <dgm:pt modelId="{7210B4A2-82A7-4C0D-A801-8B76692DB23B}" type="parTrans" cxnId="{948819E7-8BBA-43A0-8AE1-9D86EDD87CA5}">
      <dgm:prSet/>
      <dgm:spPr/>
      <dgm:t>
        <a:bodyPr/>
        <a:lstStyle/>
        <a:p>
          <a:pPr algn="ctr"/>
          <a:endParaRPr lang="en-US"/>
        </a:p>
      </dgm:t>
    </dgm:pt>
    <dgm:pt modelId="{82C8D211-5B5D-4034-BE5A-123ACCE79C94}" type="sibTrans" cxnId="{948819E7-8BBA-43A0-8AE1-9D86EDD87CA5}">
      <dgm:prSet/>
      <dgm:spPr/>
      <dgm:t>
        <a:bodyPr/>
        <a:lstStyle/>
        <a:p>
          <a:pPr algn="ctr"/>
          <a:endParaRPr lang="en-US"/>
        </a:p>
      </dgm:t>
    </dgm:pt>
    <dgm:pt modelId="{22042C56-03D6-42C4-8CE7-043C28CE9233}">
      <dgm:prSet phldrT="[Text]"/>
      <dgm:spPr/>
      <dgm:t>
        <a:bodyPr/>
        <a:lstStyle/>
        <a:p>
          <a:pPr algn="ctr">
            <a:buNone/>
          </a:pPr>
          <a:r>
            <a:rPr lang="en-US" b="1"/>
            <a:t>Access to Healthcare</a:t>
          </a:r>
          <a:endParaRPr lang="en-US"/>
        </a:p>
      </dgm:t>
    </dgm:pt>
    <dgm:pt modelId="{00A8D689-3B16-47C7-8027-79270734D651}" type="parTrans" cxnId="{A2C1D1AC-EDA2-40BF-BD55-28214A02E61A}">
      <dgm:prSet/>
      <dgm:spPr/>
      <dgm:t>
        <a:bodyPr/>
        <a:lstStyle/>
        <a:p>
          <a:pPr algn="ctr"/>
          <a:endParaRPr lang="en-US"/>
        </a:p>
      </dgm:t>
    </dgm:pt>
    <dgm:pt modelId="{972FDD57-D149-4FBF-B849-37B3E3CDA769}" type="sibTrans" cxnId="{A2C1D1AC-EDA2-40BF-BD55-28214A02E61A}">
      <dgm:prSet/>
      <dgm:spPr/>
      <dgm:t>
        <a:bodyPr/>
        <a:lstStyle/>
        <a:p>
          <a:pPr algn="ctr"/>
          <a:endParaRPr lang="en-US"/>
        </a:p>
      </dgm:t>
    </dgm:pt>
    <dgm:pt modelId="{4781E942-BE9D-4544-90C3-61071F5A3889}">
      <dgm:prSet phldrT="[Text]"/>
      <dgm:spPr/>
      <dgm:t>
        <a:bodyPr/>
        <a:lstStyle/>
        <a:p>
          <a:pPr algn="ctr">
            <a:buNone/>
          </a:pPr>
          <a:r>
            <a:rPr lang="en-US" b="1"/>
            <a:t>Lifestyle Factors</a:t>
          </a:r>
          <a:endParaRPr lang="en-US"/>
        </a:p>
      </dgm:t>
    </dgm:pt>
    <dgm:pt modelId="{1B299261-EC16-41FE-936F-33C76C44FEE8}" type="parTrans" cxnId="{6E7992AA-29CA-43F8-8FAC-BC3C3D45FBD0}">
      <dgm:prSet/>
      <dgm:spPr/>
      <dgm:t>
        <a:bodyPr/>
        <a:lstStyle/>
        <a:p>
          <a:pPr algn="ctr"/>
          <a:endParaRPr lang="en-US"/>
        </a:p>
      </dgm:t>
    </dgm:pt>
    <dgm:pt modelId="{696FF97F-B463-410A-95AE-5C4E1F987962}" type="sibTrans" cxnId="{6E7992AA-29CA-43F8-8FAC-BC3C3D45FBD0}">
      <dgm:prSet/>
      <dgm:spPr/>
      <dgm:t>
        <a:bodyPr/>
        <a:lstStyle/>
        <a:p>
          <a:pPr algn="ctr"/>
          <a:endParaRPr lang="en-US"/>
        </a:p>
      </dgm:t>
    </dgm:pt>
    <dgm:pt modelId="{95CAC638-524C-44D4-962B-8D32DDACDF21}">
      <dgm:prSet/>
      <dgm:spPr/>
      <dgm:t>
        <a:bodyPr/>
        <a:lstStyle/>
        <a:p>
          <a:pPr algn="ctr">
            <a:buNone/>
          </a:pPr>
          <a:r>
            <a:rPr lang="en-US" b="1"/>
            <a:t>Psychosocial Factors</a:t>
          </a:r>
          <a:endParaRPr lang="en-US"/>
        </a:p>
      </dgm:t>
    </dgm:pt>
    <dgm:pt modelId="{246792B6-ACB6-44C1-B8A9-09D7F6BB8DD8}" type="parTrans" cxnId="{BDB36057-9188-4983-89A1-FF854AFD864D}">
      <dgm:prSet/>
      <dgm:spPr/>
      <dgm:t>
        <a:bodyPr/>
        <a:lstStyle/>
        <a:p>
          <a:pPr algn="ctr"/>
          <a:endParaRPr lang="en-US"/>
        </a:p>
      </dgm:t>
    </dgm:pt>
    <dgm:pt modelId="{5708FF67-D293-4696-81B8-7A154D889BE8}" type="sibTrans" cxnId="{BDB36057-9188-4983-89A1-FF854AFD864D}">
      <dgm:prSet/>
      <dgm:spPr/>
      <dgm:t>
        <a:bodyPr/>
        <a:lstStyle/>
        <a:p>
          <a:pPr algn="ctr"/>
          <a:endParaRPr lang="en-US"/>
        </a:p>
      </dgm:t>
    </dgm:pt>
    <dgm:pt modelId="{1C9948F1-121F-4285-8DE3-5A6B07FF8C66}" type="pres">
      <dgm:prSet presAssocID="{CA6D760A-F069-4B50-8EB9-9B89C3F4E3B4}" presName="linear" presStyleCnt="0">
        <dgm:presLayoutVars>
          <dgm:dir/>
          <dgm:animLvl val="lvl"/>
          <dgm:resizeHandles val="exact"/>
        </dgm:presLayoutVars>
      </dgm:prSet>
      <dgm:spPr/>
    </dgm:pt>
    <dgm:pt modelId="{AF34F067-A52B-48CA-9D25-AA2369491FB9}" type="pres">
      <dgm:prSet presAssocID="{38BD7FAF-F9F4-4764-A067-1471009DCC6E}" presName="parentLin" presStyleCnt="0"/>
      <dgm:spPr/>
    </dgm:pt>
    <dgm:pt modelId="{226F7313-7AFB-4714-B70A-83D3BB077415}" type="pres">
      <dgm:prSet presAssocID="{38BD7FAF-F9F4-4764-A067-1471009DCC6E}" presName="parentLeftMargin" presStyleLbl="node1" presStyleIdx="0" presStyleCnt="4"/>
      <dgm:spPr/>
    </dgm:pt>
    <dgm:pt modelId="{C4C1E3EE-DAF2-4173-85A0-8F498C62A1B2}" type="pres">
      <dgm:prSet presAssocID="{38BD7FAF-F9F4-4764-A067-1471009DCC6E}" presName="parentText" presStyleLbl="node1" presStyleIdx="0" presStyleCnt="4">
        <dgm:presLayoutVars>
          <dgm:chMax val="0"/>
          <dgm:bulletEnabled val="1"/>
        </dgm:presLayoutVars>
      </dgm:prSet>
      <dgm:spPr/>
    </dgm:pt>
    <dgm:pt modelId="{8A473EDF-44A8-417C-957B-9BA61327C684}" type="pres">
      <dgm:prSet presAssocID="{38BD7FAF-F9F4-4764-A067-1471009DCC6E}" presName="negativeSpace" presStyleCnt="0"/>
      <dgm:spPr/>
    </dgm:pt>
    <dgm:pt modelId="{69F86DC6-3A07-42C9-A55E-F879D09AC35C}" type="pres">
      <dgm:prSet presAssocID="{38BD7FAF-F9F4-4764-A067-1471009DCC6E}" presName="childText" presStyleLbl="conFgAcc1" presStyleIdx="0" presStyleCnt="4">
        <dgm:presLayoutVars>
          <dgm:bulletEnabled val="1"/>
        </dgm:presLayoutVars>
      </dgm:prSet>
      <dgm:spPr/>
    </dgm:pt>
    <dgm:pt modelId="{7FBFF881-F1D6-4A58-B87B-7F1018BD56B4}" type="pres">
      <dgm:prSet presAssocID="{82C8D211-5B5D-4034-BE5A-123ACCE79C94}" presName="spaceBetweenRectangles" presStyleCnt="0"/>
      <dgm:spPr/>
    </dgm:pt>
    <dgm:pt modelId="{33885C87-E7B7-4DFD-9FB8-D80D31C96796}" type="pres">
      <dgm:prSet presAssocID="{22042C56-03D6-42C4-8CE7-043C28CE9233}" presName="parentLin" presStyleCnt="0"/>
      <dgm:spPr/>
    </dgm:pt>
    <dgm:pt modelId="{8B0985B9-F111-4619-9EB7-2D9D03F6C598}" type="pres">
      <dgm:prSet presAssocID="{22042C56-03D6-42C4-8CE7-043C28CE9233}" presName="parentLeftMargin" presStyleLbl="node1" presStyleIdx="0" presStyleCnt="4"/>
      <dgm:spPr/>
    </dgm:pt>
    <dgm:pt modelId="{9BD628C7-F0E4-4AFF-A284-353F4077D27A}" type="pres">
      <dgm:prSet presAssocID="{22042C56-03D6-42C4-8CE7-043C28CE9233}" presName="parentText" presStyleLbl="node1" presStyleIdx="1" presStyleCnt="4">
        <dgm:presLayoutVars>
          <dgm:chMax val="0"/>
          <dgm:bulletEnabled val="1"/>
        </dgm:presLayoutVars>
      </dgm:prSet>
      <dgm:spPr/>
    </dgm:pt>
    <dgm:pt modelId="{583A3A1F-0F06-466B-A345-99F1A1EA2FC3}" type="pres">
      <dgm:prSet presAssocID="{22042C56-03D6-42C4-8CE7-043C28CE9233}" presName="negativeSpace" presStyleCnt="0"/>
      <dgm:spPr/>
    </dgm:pt>
    <dgm:pt modelId="{0ED70E5F-2DA6-4902-B388-0562EA916EB5}" type="pres">
      <dgm:prSet presAssocID="{22042C56-03D6-42C4-8CE7-043C28CE9233}" presName="childText" presStyleLbl="conFgAcc1" presStyleIdx="1" presStyleCnt="4">
        <dgm:presLayoutVars>
          <dgm:bulletEnabled val="1"/>
        </dgm:presLayoutVars>
      </dgm:prSet>
      <dgm:spPr/>
    </dgm:pt>
    <dgm:pt modelId="{9FE62197-2C3F-4AE3-92AC-8190AD7B7837}" type="pres">
      <dgm:prSet presAssocID="{972FDD57-D149-4FBF-B849-37B3E3CDA769}" presName="spaceBetweenRectangles" presStyleCnt="0"/>
      <dgm:spPr/>
    </dgm:pt>
    <dgm:pt modelId="{EF830BA0-60DE-483A-8DC9-1546F707EE15}" type="pres">
      <dgm:prSet presAssocID="{4781E942-BE9D-4544-90C3-61071F5A3889}" presName="parentLin" presStyleCnt="0"/>
      <dgm:spPr/>
    </dgm:pt>
    <dgm:pt modelId="{70CE9AB7-C175-4B0F-B8F0-45A5E55F0F0E}" type="pres">
      <dgm:prSet presAssocID="{4781E942-BE9D-4544-90C3-61071F5A3889}" presName="parentLeftMargin" presStyleLbl="node1" presStyleIdx="1" presStyleCnt="4"/>
      <dgm:spPr/>
    </dgm:pt>
    <dgm:pt modelId="{C3738844-3AB1-4C47-9A0B-A136894B02F6}" type="pres">
      <dgm:prSet presAssocID="{4781E942-BE9D-4544-90C3-61071F5A3889}" presName="parentText" presStyleLbl="node1" presStyleIdx="2" presStyleCnt="4">
        <dgm:presLayoutVars>
          <dgm:chMax val="0"/>
          <dgm:bulletEnabled val="1"/>
        </dgm:presLayoutVars>
      </dgm:prSet>
      <dgm:spPr/>
    </dgm:pt>
    <dgm:pt modelId="{FD0DE8E2-93AD-43DD-8512-D210F4FAF19A}" type="pres">
      <dgm:prSet presAssocID="{4781E942-BE9D-4544-90C3-61071F5A3889}" presName="negativeSpace" presStyleCnt="0"/>
      <dgm:spPr/>
    </dgm:pt>
    <dgm:pt modelId="{A46337AF-5D6A-4E42-894A-9A8C92BDD77E}" type="pres">
      <dgm:prSet presAssocID="{4781E942-BE9D-4544-90C3-61071F5A3889}" presName="childText" presStyleLbl="conFgAcc1" presStyleIdx="2" presStyleCnt="4">
        <dgm:presLayoutVars>
          <dgm:bulletEnabled val="1"/>
        </dgm:presLayoutVars>
      </dgm:prSet>
      <dgm:spPr/>
    </dgm:pt>
    <dgm:pt modelId="{808F8B44-3126-456D-AB2C-E127DC1FD9B6}" type="pres">
      <dgm:prSet presAssocID="{696FF97F-B463-410A-95AE-5C4E1F987962}" presName="spaceBetweenRectangles" presStyleCnt="0"/>
      <dgm:spPr/>
    </dgm:pt>
    <dgm:pt modelId="{C721DFA0-B7A1-4664-9812-80A90C15B7E1}" type="pres">
      <dgm:prSet presAssocID="{95CAC638-524C-44D4-962B-8D32DDACDF21}" presName="parentLin" presStyleCnt="0"/>
      <dgm:spPr/>
    </dgm:pt>
    <dgm:pt modelId="{C0CACC42-B579-4DD7-A40F-F900154F35E1}" type="pres">
      <dgm:prSet presAssocID="{95CAC638-524C-44D4-962B-8D32DDACDF21}" presName="parentLeftMargin" presStyleLbl="node1" presStyleIdx="2" presStyleCnt="4"/>
      <dgm:spPr/>
    </dgm:pt>
    <dgm:pt modelId="{77E2AE2A-42CC-4C0F-AFED-856EA132A30F}" type="pres">
      <dgm:prSet presAssocID="{95CAC638-524C-44D4-962B-8D32DDACDF21}" presName="parentText" presStyleLbl="node1" presStyleIdx="3" presStyleCnt="4">
        <dgm:presLayoutVars>
          <dgm:chMax val="0"/>
          <dgm:bulletEnabled val="1"/>
        </dgm:presLayoutVars>
      </dgm:prSet>
      <dgm:spPr/>
    </dgm:pt>
    <dgm:pt modelId="{2563B397-7321-4A60-9C08-ECE7B144EB06}" type="pres">
      <dgm:prSet presAssocID="{95CAC638-524C-44D4-962B-8D32DDACDF21}" presName="negativeSpace" presStyleCnt="0"/>
      <dgm:spPr/>
    </dgm:pt>
    <dgm:pt modelId="{E21B3BCF-94AF-4E1E-982D-EA4EFC023518}" type="pres">
      <dgm:prSet presAssocID="{95CAC638-524C-44D4-962B-8D32DDACDF21}" presName="childText" presStyleLbl="conFgAcc1" presStyleIdx="3" presStyleCnt="4">
        <dgm:presLayoutVars>
          <dgm:bulletEnabled val="1"/>
        </dgm:presLayoutVars>
      </dgm:prSet>
      <dgm:spPr/>
    </dgm:pt>
  </dgm:ptLst>
  <dgm:cxnLst>
    <dgm:cxn modelId="{51283E08-1ED7-4D6D-B42D-0261AD718FE2}" type="presOf" srcId="{38BD7FAF-F9F4-4764-A067-1471009DCC6E}" destId="{C4C1E3EE-DAF2-4173-85A0-8F498C62A1B2}" srcOrd="1" destOrd="0" presId="urn:microsoft.com/office/officeart/2005/8/layout/list1"/>
    <dgm:cxn modelId="{692A750C-A28F-44B2-BBE8-22FA113359CC}" type="presOf" srcId="{95CAC638-524C-44D4-962B-8D32DDACDF21}" destId="{C0CACC42-B579-4DD7-A40F-F900154F35E1}" srcOrd="0" destOrd="0" presId="urn:microsoft.com/office/officeart/2005/8/layout/list1"/>
    <dgm:cxn modelId="{4AC86135-28A3-48B7-AB90-F8E4141693D6}" type="presOf" srcId="{22042C56-03D6-42C4-8CE7-043C28CE9233}" destId="{8B0985B9-F111-4619-9EB7-2D9D03F6C598}" srcOrd="0" destOrd="0" presId="urn:microsoft.com/office/officeart/2005/8/layout/list1"/>
    <dgm:cxn modelId="{1ADF5A45-8A43-4C19-8BE4-613C9300234A}" type="presOf" srcId="{4781E942-BE9D-4544-90C3-61071F5A3889}" destId="{70CE9AB7-C175-4B0F-B8F0-45A5E55F0F0E}" srcOrd="0" destOrd="0" presId="urn:microsoft.com/office/officeart/2005/8/layout/list1"/>
    <dgm:cxn modelId="{9351D14F-3C35-43FB-9582-70302861285F}" type="presOf" srcId="{CA6D760A-F069-4B50-8EB9-9B89C3F4E3B4}" destId="{1C9948F1-121F-4285-8DE3-5A6B07FF8C66}" srcOrd="0" destOrd="0" presId="urn:microsoft.com/office/officeart/2005/8/layout/list1"/>
    <dgm:cxn modelId="{BDB36057-9188-4983-89A1-FF854AFD864D}" srcId="{CA6D760A-F069-4B50-8EB9-9B89C3F4E3B4}" destId="{95CAC638-524C-44D4-962B-8D32DDACDF21}" srcOrd="3" destOrd="0" parTransId="{246792B6-ACB6-44C1-B8A9-09D7F6BB8DD8}" sibTransId="{5708FF67-D293-4696-81B8-7A154D889BE8}"/>
    <dgm:cxn modelId="{B5660295-B499-4D0C-A65F-809C3174B8A4}" type="presOf" srcId="{95CAC638-524C-44D4-962B-8D32DDACDF21}" destId="{77E2AE2A-42CC-4C0F-AFED-856EA132A30F}" srcOrd="1" destOrd="0" presId="urn:microsoft.com/office/officeart/2005/8/layout/list1"/>
    <dgm:cxn modelId="{6E7992AA-29CA-43F8-8FAC-BC3C3D45FBD0}" srcId="{CA6D760A-F069-4B50-8EB9-9B89C3F4E3B4}" destId="{4781E942-BE9D-4544-90C3-61071F5A3889}" srcOrd="2" destOrd="0" parTransId="{1B299261-EC16-41FE-936F-33C76C44FEE8}" sibTransId="{696FF97F-B463-410A-95AE-5C4E1F987962}"/>
    <dgm:cxn modelId="{A2C1D1AC-EDA2-40BF-BD55-28214A02E61A}" srcId="{CA6D760A-F069-4B50-8EB9-9B89C3F4E3B4}" destId="{22042C56-03D6-42C4-8CE7-043C28CE9233}" srcOrd="1" destOrd="0" parTransId="{00A8D689-3B16-47C7-8027-79270734D651}" sibTransId="{972FDD57-D149-4FBF-B849-37B3E3CDA769}"/>
    <dgm:cxn modelId="{C4296BAF-1325-453A-A456-AC5E528AF204}" type="presOf" srcId="{4781E942-BE9D-4544-90C3-61071F5A3889}" destId="{C3738844-3AB1-4C47-9A0B-A136894B02F6}" srcOrd="1" destOrd="0" presId="urn:microsoft.com/office/officeart/2005/8/layout/list1"/>
    <dgm:cxn modelId="{9FADC0AF-A838-4F58-B325-55A4C3AE14B4}" type="presOf" srcId="{22042C56-03D6-42C4-8CE7-043C28CE9233}" destId="{9BD628C7-F0E4-4AFF-A284-353F4077D27A}" srcOrd="1" destOrd="0" presId="urn:microsoft.com/office/officeart/2005/8/layout/list1"/>
    <dgm:cxn modelId="{40869BD1-DC66-4DB5-8CEA-873B8F69732E}" type="presOf" srcId="{38BD7FAF-F9F4-4764-A067-1471009DCC6E}" destId="{226F7313-7AFB-4714-B70A-83D3BB077415}" srcOrd="0" destOrd="0" presId="urn:microsoft.com/office/officeart/2005/8/layout/list1"/>
    <dgm:cxn modelId="{948819E7-8BBA-43A0-8AE1-9D86EDD87CA5}" srcId="{CA6D760A-F069-4B50-8EB9-9B89C3F4E3B4}" destId="{38BD7FAF-F9F4-4764-A067-1471009DCC6E}" srcOrd="0" destOrd="0" parTransId="{7210B4A2-82A7-4C0D-A801-8B76692DB23B}" sibTransId="{82C8D211-5B5D-4034-BE5A-123ACCE79C94}"/>
    <dgm:cxn modelId="{6290F767-0463-45A9-9294-3E34374270E1}" type="presParOf" srcId="{1C9948F1-121F-4285-8DE3-5A6B07FF8C66}" destId="{AF34F067-A52B-48CA-9D25-AA2369491FB9}" srcOrd="0" destOrd="0" presId="urn:microsoft.com/office/officeart/2005/8/layout/list1"/>
    <dgm:cxn modelId="{8AD51F4C-6A01-4E6D-B73C-FD1F7BFE2B4C}" type="presParOf" srcId="{AF34F067-A52B-48CA-9D25-AA2369491FB9}" destId="{226F7313-7AFB-4714-B70A-83D3BB077415}" srcOrd="0" destOrd="0" presId="urn:microsoft.com/office/officeart/2005/8/layout/list1"/>
    <dgm:cxn modelId="{0461C856-A447-42A2-A165-EBFA63C72BE6}" type="presParOf" srcId="{AF34F067-A52B-48CA-9D25-AA2369491FB9}" destId="{C4C1E3EE-DAF2-4173-85A0-8F498C62A1B2}" srcOrd="1" destOrd="0" presId="urn:microsoft.com/office/officeart/2005/8/layout/list1"/>
    <dgm:cxn modelId="{7D101E36-991A-480C-93AA-7E9DD7011288}" type="presParOf" srcId="{1C9948F1-121F-4285-8DE3-5A6B07FF8C66}" destId="{8A473EDF-44A8-417C-957B-9BA61327C684}" srcOrd="1" destOrd="0" presId="urn:microsoft.com/office/officeart/2005/8/layout/list1"/>
    <dgm:cxn modelId="{C296D3E9-BD07-4E64-AAE5-F6A747F1280B}" type="presParOf" srcId="{1C9948F1-121F-4285-8DE3-5A6B07FF8C66}" destId="{69F86DC6-3A07-42C9-A55E-F879D09AC35C}" srcOrd="2" destOrd="0" presId="urn:microsoft.com/office/officeart/2005/8/layout/list1"/>
    <dgm:cxn modelId="{FFD940F4-F226-4CE2-A1B3-29B70BD28D5E}" type="presParOf" srcId="{1C9948F1-121F-4285-8DE3-5A6B07FF8C66}" destId="{7FBFF881-F1D6-4A58-B87B-7F1018BD56B4}" srcOrd="3" destOrd="0" presId="urn:microsoft.com/office/officeart/2005/8/layout/list1"/>
    <dgm:cxn modelId="{4EACE589-3C01-4C05-A412-20A290A70DA1}" type="presParOf" srcId="{1C9948F1-121F-4285-8DE3-5A6B07FF8C66}" destId="{33885C87-E7B7-4DFD-9FB8-D80D31C96796}" srcOrd="4" destOrd="0" presId="urn:microsoft.com/office/officeart/2005/8/layout/list1"/>
    <dgm:cxn modelId="{0C9D3A8B-ED0B-4B5C-ADC5-20B943E8FD83}" type="presParOf" srcId="{33885C87-E7B7-4DFD-9FB8-D80D31C96796}" destId="{8B0985B9-F111-4619-9EB7-2D9D03F6C598}" srcOrd="0" destOrd="0" presId="urn:microsoft.com/office/officeart/2005/8/layout/list1"/>
    <dgm:cxn modelId="{4D7BE4DC-B6BD-4564-A98E-DAE7A85EE1CC}" type="presParOf" srcId="{33885C87-E7B7-4DFD-9FB8-D80D31C96796}" destId="{9BD628C7-F0E4-4AFF-A284-353F4077D27A}" srcOrd="1" destOrd="0" presId="urn:microsoft.com/office/officeart/2005/8/layout/list1"/>
    <dgm:cxn modelId="{6CCA206A-3E31-44E7-9CD5-6AA0A0E26BA7}" type="presParOf" srcId="{1C9948F1-121F-4285-8DE3-5A6B07FF8C66}" destId="{583A3A1F-0F06-466B-A345-99F1A1EA2FC3}" srcOrd="5" destOrd="0" presId="urn:microsoft.com/office/officeart/2005/8/layout/list1"/>
    <dgm:cxn modelId="{E61ECA12-2C1F-4E1D-B977-66BC25ED6244}" type="presParOf" srcId="{1C9948F1-121F-4285-8DE3-5A6B07FF8C66}" destId="{0ED70E5F-2DA6-4902-B388-0562EA916EB5}" srcOrd="6" destOrd="0" presId="urn:microsoft.com/office/officeart/2005/8/layout/list1"/>
    <dgm:cxn modelId="{E46E9308-90C5-4296-956D-9802B62A7F6C}" type="presParOf" srcId="{1C9948F1-121F-4285-8DE3-5A6B07FF8C66}" destId="{9FE62197-2C3F-4AE3-92AC-8190AD7B7837}" srcOrd="7" destOrd="0" presId="urn:microsoft.com/office/officeart/2005/8/layout/list1"/>
    <dgm:cxn modelId="{B9915119-6294-4670-B738-D202E8CD2A08}" type="presParOf" srcId="{1C9948F1-121F-4285-8DE3-5A6B07FF8C66}" destId="{EF830BA0-60DE-483A-8DC9-1546F707EE15}" srcOrd="8" destOrd="0" presId="urn:microsoft.com/office/officeart/2005/8/layout/list1"/>
    <dgm:cxn modelId="{D3F031DB-1330-48C7-B2ED-3A9F486EB4EC}" type="presParOf" srcId="{EF830BA0-60DE-483A-8DC9-1546F707EE15}" destId="{70CE9AB7-C175-4B0F-B8F0-45A5E55F0F0E}" srcOrd="0" destOrd="0" presId="urn:microsoft.com/office/officeart/2005/8/layout/list1"/>
    <dgm:cxn modelId="{6C024783-FB6B-49E8-A690-F727E2D35891}" type="presParOf" srcId="{EF830BA0-60DE-483A-8DC9-1546F707EE15}" destId="{C3738844-3AB1-4C47-9A0B-A136894B02F6}" srcOrd="1" destOrd="0" presId="urn:microsoft.com/office/officeart/2005/8/layout/list1"/>
    <dgm:cxn modelId="{EAD348BB-14DE-4742-92C9-A95D55EEAC79}" type="presParOf" srcId="{1C9948F1-121F-4285-8DE3-5A6B07FF8C66}" destId="{FD0DE8E2-93AD-43DD-8512-D210F4FAF19A}" srcOrd="9" destOrd="0" presId="urn:microsoft.com/office/officeart/2005/8/layout/list1"/>
    <dgm:cxn modelId="{8C634394-6F31-4D65-BD09-69C15C17EB17}" type="presParOf" srcId="{1C9948F1-121F-4285-8DE3-5A6B07FF8C66}" destId="{A46337AF-5D6A-4E42-894A-9A8C92BDD77E}" srcOrd="10" destOrd="0" presId="urn:microsoft.com/office/officeart/2005/8/layout/list1"/>
    <dgm:cxn modelId="{D6903779-E3B8-4D1B-94EF-5434C2000B63}" type="presParOf" srcId="{1C9948F1-121F-4285-8DE3-5A6B07FF8C66}" destId="{808F8B44-3126-456D-AB2C-E127DC1FD9B6}" srcOrd="11" destOrd="0" presId="urn:microsoft.com/office/officeart/2005/8/layout/list1"/>
    <dgm:cxn modelId="{2BAFB0E1-4C3C-4BDE-B2F2-538A239B3D83}" type="presParOf" srcId="{1C9948F1-121F-4285-8DE3-5A6B07FF8C66}" destId="{C721DFA0-B7A1-4664-9812-80A90C15B7E1}" srcOrd="12" destOrd="0" presId="urn:microsoft.com/office/officeart/2005/8/layout/list1"/>
    <dgm:cxn modelId="{07C67324-B66D-4998-A5A5-F8416A5D1E31}" type="presParOf" srcId="{C721DFA0-B7A1-4664-9812-80A90C15B7E1}" destId="{C0CACC42-B579-4DD7-A40F-F900154F35E1}" srcOrd="0" destOrd="0" presId="urn:microsoft.com/office/officeart/2005/8/layout/list1"/>
    <dgm:cxn modelId="{A66FCB98-0945-411F-B046-47696F5295A8}" type="presParOf" srcId="{C721DFA0-B7A1-4664-9812-80A90C15B7E1}" destId="{77E2AE2A-42CC-4C0F-AFED-856EA132A30F}" srcOrd="1" destOrd="0" presId="urn:microsoft.com/office/officeart/2005/8/layout/list1"/>
    <dgm:cxn modelId="{F24B0CB7-BA82-441F-A75D-31E1E502CA7B}" type="presParOf" srcId="{1C9948F1-121F-4285-8DE3-5A6B07FF8C66}" destId="{2563B397-7321-4A60-9C08-ECE7B144EB06}" srcOrd="13" destOrd="0" presId="urn:microsoft.com/office/officeart/2005/8/layout/list1"/>
    <dgm:cxn modelId="{66A317A2-0A8A-40DD-9B83-03F30200128D}" type="presParOf" srcId="{1C9948F1-121F-4285-8DE3-5A6B07FF8C66}" destId="{E21B3BCF-94AF-4E1E-982D-EA4EFC023518}" srcOrd="14"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F86DC6-3A07-42C9-A55E-F879D09AC35C}">
      <dsp:nvSpPr>
        <dsp:cNvPr id="0" name=""/>
        <dsp:cNvSpPr/>
      </dsp:nvSpPr>
      <dsp:spPr>
        <a:xfrm>
          <a:off x="0" y="249509"/>
          <a:ext cx="4091940" cy="2772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C1E3EE-DAF2-4173-85A0-8F498C62A1B2}">
      <dsp:nvSpPr>
        <dsp:cNvPr id="0" name=""/>
        <dsp:cNvSpPr/>
      </dsp:nvSpPr>
      <dsp:spPr>
        <a:xfrm>
          <a:off x="204597" y="87149"/>
          <a:ext cx="2864358" cy="32472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266" tIns="0" rIns="108266" bIns="0" numCol="1" spcCol="1270" anchor="ctr" anchorCtr="0">
          <a:noAutofit/>
        </a:bodyPr>
        <a:lstStyle/>
        <a:p>
          <a:pPr marL="0" lvl="0" indent="0" algn="ctr" defTabSz="488950">
            <a:lnSpc>
              <a:spcPct val="90000"/>
            </a:lnSpc>
            <a:spcBef>
              <a:spcPct val="0"/>
            </a:spcBef>
            <a:spcAft>
              <a:spcPct val="35000"/>
            </a:spcAft>
            <a:buNone/>
          </a:pPr>
          <a:r>
            <a:rPr lang="en-US" sz="1100" b="1" kern="1200"/>
            <a:t>Socioeconomic Factors</a:t>
          </a:r>
          <a:endParaRPr lang="en-US" sz="1100" kern="1200"/>
        </a:p>
      </dsp:txBody>
      <dsp:txXfrm>
        <a:off x="220449" y="103001"/>
        <a:ext cx="2832654" cy="293016"/>
      </dsp:txXfrm>
    </dsp:sp>
    <dsp:sp modelId="{0ED70E5F-2DA6-4902-B388-0562EA916EB5}">
      <dsp:nvSpPr>
        <dsp:cNvPr id="0" name=""/>
        <dsp:cNvSpPr/>
      </dsp:nvSpPr>
      <dsp:spPr>
        <a:xfrm>
          <a:off x="0" y="748469"/>
          <a:ext cx="4091940" cy="277200"/>
        </a:xfrm>
        <a:prstGeom prst="rect">
          <a:avLst/>
        </a:prstGeom>
        <a:solidFill>
          <a:schemeClr val="lt1">
            <a:alpha val="90000"/>
            <a:hueOff val="0"/>
            <a:satOff val="0"/>
            <a:lumOff val="0"/>
            <a:alphaOff val="0"/>
          </a:schemeClr>
        </a:solidFill>
        <a:ln w="12700" cap="flat" cmpd="sng" algn="ctr">
          <a:solidFill>
            <a:schemeClr val="accent2">
              <a:hueOff val="2147871"/>
              <a:satOff val="-6164"/>
              <a:lumOff val="-987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BD628C7-F0E4-4AFF-A284-353F4077D27A}">
      <dsp:nvSpPr>
        <dsp:cNvPr id="0" name=""/>
        <dsp:cNvSpPr/>
      </dsp:nvSpPr>
      <dsp:spPr>
        <a:xfrm>
          <a:off x="204597" y="586109"/>
          <a:ext cx="2864358" cy="324720"/>
        </a:xfrm>
        <a:prstGeom prst="roundRect">
          <a:avLst/>
        </a:prstGeom>
        <a:solidFill>
          <a:schemeClr val="accent2">
            <a:hueOff val="2147871"/>
            <a:satOff val="-6164"/>
            <a:lumOff val="-98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266" tIns="0" rIns="108266" bIns="0" numCol="1" spcCol="1270" anchor="ctr" anchorCtr="0">
          <a:noAutofit/>
        </a:bodyPr>
        <a:lstStyle/>
        <a:p>
          <a:pPr marL="0" lvl="0" indent="0" algn="ctr" defTabSz="488950">
            <a:lnSpc>
              <a:spcPct val="90000"/>
            </a:lnSpc>
            <a:spcBef>
              <a:spcPct val="0"/>
            </a:spcBef>
            <a:spcAft>
              <a:spcPct val="35000"/>
            </a:spcAft>
            <a:buNone/>
          </a:pPr>
          <a:r>
            <a:rPr lang="en-US" sz="1100" b="1" kern="1200"/>
            <a:t>Access to Healthcare</a:t>
          </a:r>
          <a:endParaRPr lang="en-US" sz="1100" kern="1200"/>
        </a:p>
      </dsp:txBody>
      <dsp:txXfrm>
        <a:off x="220449" y="601961"/>
        <a:ext cx="2832654" cy="293016"/>
      </dsp:txXfrm>
    </dsp:sp>
    <dsp:sp modelId="{A46337AF-5D6A-4E42-894A-9A8C92BDD77E}">
      <dsp:nvSpPr>
        <dsp:cNvPr id="0" name=""/>
        <dsp:cNvSpPr/>
      </dsp:nvSpPr>
      <dsp:spPr>
        <a:xfrm>
          <a:off x="0" y="1247430"/>
          <a:ext cx="4091940" cy="277200"/>
        </a:xfrm>
        <a:prstGeom prst="rect">
          <a:avLst/>
        </a:prstGeom>
        <a:solidFill>
          <a:schemeClr val="lt1">
            <a:alpha val="90000"/>
            <a:hueOff val="0"/>
            <a:satOff val="0"/>
            <a:lumOff val="0"/>
            <a:alphaOff val="0"/>
          </a:schemeClr>
        </a:solidFill>
        <a:ln w="12700" cap="flat" cmpd="sng" algn="ctr">
          <a:solidFill>
            <a:schemeClr val="accent2">
              <a:hueOff val="4295743"/>
              <a:satOff val="-12329"/>
              <a:lumOff val="-19739"/>
              <a:alphaOff val="0"/>
            </a:schemeClr>
          </a:solidFill>
          <a:prstDash val="solid"/>
          <a:miter lim="800000"/>
        </a:ln>
        <a:effectLst/>
      </dsp:spPr>
      <dsp:style>
        <a:lnRef idx="2">
          <a:scrgbClr r="0" g="0" b="0"/>
        </a:lnRef>
        <a:fillRef idx="1">
          <a:scrgbClr r="0" g="0" b="0"/>
        </a:fillRef>
        <a:effectRef idx="0">
          <a:scrgbClr r="0" g="0" b="0"/>
        </a:effectRef>
        <a:fontRef idx="minor"/>
      </dsp:style>
    </dsp:sp>
    <dsp:sp modelId="{C3738844-3AB1-4C47-9A0B-A136894B02F6}">
      <dsp:nvSpPr>
        <dsp:cNvPr id="0" name=""/>
        <dsp:cNvSpPr/>
      </dsp:nvSpPr>
      <dsp:spPr>
        <a:xfrm>
          <a:off x="204597" y="1085069"/>
          <a:ext cx="2864358" cy="324720"/>
        </a:xfrm>
        <a:prstGeom prst="roundRect">
          <a:avLst/>
        </a:prstGeom>
        <a:solidFill>
          <a:schemeClr val="accent2">
            <a:hueOff val="4295743"/>
            <a:satOff val="-12329"/>
            <a:lumOff val="-197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266" tIns="0" rIns="108266" bIns="0" numCol="1" spcCol="1270" anchor="ctr" anchorCtr="0">
          <a:noAutofit/>
        </a:bodyPr>
        <a:lstStyle/>
        <a:p>
          <a:pPr marL="0" lvl="0" indent="0" algn="ctr" defTabSz="488950">
            <a:lnSpc>
              <a:spcPct val="90000"/>
            </a:lnSpc>
            <a:spcBef>
              <a:spcPct val="0"/>
            </a:spcBef>
            <a:spcAft>
              <a:spcPct val="35000"/>
            </a:spcAft>
            <a:buNone/>
          </a:pPr>
          <a:r>
            <a:rPr lang="en-US" sz="1100" b="1" kern="1200"/>
            <a:t>Lifestyle Factors</a:t>
          </a:r>
          <a:endParaRPr lang="en-US" sz="1100" kern="1200"/>
        </a:p>
      </dsp:txBody>
      <dsp:txXfrm>
        <a:off x="220449" y="1100921"/>
        <a:ext cx="2832654" cy="293016"/>
      </dsp:txXfrm>
    </dsp:sp>
    <dsp:sp modelId="{E21B3BCF-94AF-4E1E-982D-EA4EFC023518}">
      <dsp:nvSpPr>
        <dsp:cNvPr id="0" name=""/>
        <dsp:cNvSpPr/>
      </dsp:nvSpPr>
      <dsp:spPr>
        <a:xfrm>
          <a:off x="0" y="1746390"/>
          <a:ext cx="4091940" cy="277200"/>
        </a:xfrm>
        <a:prstGeom prst="rect">
          <a:avLst/>
        </a:prstGeom>
        <a:solidFill>
          <a:schemeClr val="lt1">
            <a:alpha val="90000"/>
            <a:hueOff val="0"/>
            <a:satOff val="0"/>
            <a:lumOff val="0"/>
            <a:alphaOff val="0"/>
          </a:schemeClr>
        </a:solidFill>
        <a:ln w="12700" cap="flat" cmpd="sng" algn="ctr">
          <a:solidFill>
            <a:schemeClr val="accent2">
              <a:hueOff val="6443614"/>
              <a:satOff val="-18493"/>
              <a:lumOff val="-29609"/>
              <a:alphaOff val="0"/>
            </a:schemeClr>
          </a:solidFill>
          <a:prstDash val="solid"/>
          <a:miter lim="800000"/>
        </a:ln>
        <a:effectLst/>
      </dsp:spPr>
      <dsp:style>
        <a:lnRef idx="2">
          <a:scrgbClr r="0" g="0" b="0"/>
        </a:lnRef>
        <a:fillRef idx="1">
          <a:scrgbClr r="0" g="0" b="0"/>
        </a:fillRef>
        <a:effectRef idx="0">
          <a:scrgbClr r="0" g="0" b="0"/>
        </a:effectRef>
        <a:fontRef idx="minor"/>
      </dsp:style>
    </dsp:sp>
    <dsp:sp modelId="{77E2AE2A-42CC-4C0F-AFED-856EA132A30F}">
      <dsp:nvSpPr>
        <dsp:cNvPr id="0" name=""/>
        <dsp:cNvSpPr/>
      </dsp:nvSpPr>
      <dsp:spPr>
        <a:xfrm>
          <a:off x="204597" y="1584030"/>
          <a:ext cx="2864358" cy="324720"/>
        </a:xfrm>
        <a:prstGeom prst="roundRect">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266" tIns="0" rIns="108266" bIns="0" numCol="1" spcCol="1270" anchor="ctr" anchorCtr="0">
          <a:noAutofit/>
        </a:bodyPr>
        <a:lstStyle/>
        <a:p>
          <a:pPr marL="0" lvl="0" indent="0" algn="ctr" defTabSz="488950">
            <a:lnSpc>
              <a:spcPct val="90000"/>
            </a:lnSpc>
            <a:spcBef>
              <a:spcPct val="0"/>
            </a:spcBef>
            <a:spcAft>
              <a:spcPct val="35000"/>
            </a:spcAft>
            <a:buNone/>
          </a:pPr>
          <a:r>
            <a:rPr lang="en-US" sz="1100" b="1" kern="1200"/>
            <a:t>Psychosocial Factors</a:t>
          </a:r>
          <a:endParaRPr lang="en-US" sz="1100" kern="1200"/>
        </a:p>
      </dsp:txBody>
      <dsp:txXfrm>
        <a:off x="220449" y="1599882"/>
        <a:ext cx="2832654"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E768E-231C-4A62-BA1F-DE56E1902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2408</Words>
  <Characters>11150</Characters>
  <Application>Microsoft Office Word</Application>
  <DocSecurity>0</DocSecurity>
  <Lines>1393</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Luz Perpetua Diaz Alarcon (2439120)</cp:lastModifiedBy>
  <cp:revision>2</cp:revision>
  <dcterms:created xsi:type="dcterms:W3CDTF">2025-12-08T15:30:00Z</dcterms:created>
  <dcterms:modified xsi:type="dcterms:W3CDTF">2025-12-13T14:16:00Z</dcterms:modified>
</cp:coreProperties>
</file>