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7629" w:rsidRDefault="003E360F">
      <w:pPr>
        <w:pStyle w:val="Title"/>
        <w:jc w:val="center"/>
        <w:rPr>
          <w:b/>
          <w:bCs/>
          <w:sz w:val="40"/>
          <w:szCs w:val="40"/>
        </w:rPr>
      </w:pPr>
      <w:bookmarkStart w:id="0" w:name="_heading=h.2l6mm4cgfp2y" w:colFirst="0" w:colLast="0"/>
      <w:bookmarkEnd w:id="0"/>
      <w:r>
        <w:rPr>
          <w:noProof/>
          <w:color w:val="000000"/>
        </w:rPr>
        <w:drawing>
          <wp:anchor distT="0" distB="0" distL="114300" distR="114300" simplePos="0" relativeHeight="251658240" behindDoc="0" locked="0" layoutInCell="1" hidden="0" allowOverlap="1">
            <wp:simplePos x="0" y="0"/>
            <wp:positionH relativeFrom="margin">
              <wp:posOffset>1933575</wp:posOffset>
            </wp:positionH>
            <wp:positionV relativeFrom="page">
              <wp:posOffset>1285875</wp:posOffset>
            </wp:positionV>
            <wp:extent cx="1792800" cy="601200"/>
            <wp:effectExtent l="0" t="0" r="0" b="0"/>
            <wp:wrapSquare wrapText="bothSides" distT="0" distB="0" distL="114300" distR="114300"/>
            <wp:docPr id="10" name="image2.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2.jpg" descr="S:\Quality Assurance\QAHBooks\Academic Quality Handbook 2015-16\Appendices\UWTSD Logo.jpg"/>
                    <pic:cNvPicPr preferRelativeResize="0"/>
                  </pic:nvPicPr>
                  <pic:blipFill>
                    <a:blip r:embed="rId9"/>
                    <a:srcRect/>
                    <a:stretch>
                      <a:fillRect/>
                    </a:stretch>
                  </pic:blipFill>
                  <pic:spPr>
                    <a:xfrm>
                      <a:off x="0" y="0"/>
                      <a:ext cx="1792800" cy="601200"/>
                    </a:xfrm>
                    <a:prstGeom prst="rect">
                      <a:avLst/>
                    </a:prstGeom>
                    <a:ln/>
                  </pic:spPr>
                </pic:pic>
              </a:graphicData>
            </a:graphic>
          </wp:anchor>
        </w:drawing>
      </w:r>
    </w:p>
    <w:p w:rsidR="007E7629" w:rsidRDefault="007E7629">
      <w:pPr>
        <w:pStyle w:val="Title"/>
        <w:jc w:val="center"/>
        <w:rPr>
          <w:b/>
          <w:bCs/>
          <w:sz w:val="40"/>
          <w:szCs w:val="40"/>
        </w:rPr>
      </w:pPr>
      <w:bookmarkStart w:id="1" w:name="_heading=h.c1h1gdqtrpsc" w:colFirst="0" w:colLast="0"/>
      <w:bookmarkEnd w:id="1"/>
    </w:p>
    <w:p w:rsidR="007E7629" w:rsidRDefault="007E7629">
      <w:pPr>
        <w:pStyle w:val="Title"/>
        <w:jc w:val="center"/>
        <w:rPr>
          <w:b/>
          <w:bCs/>
          <w:sz w:val="40"/>
          <w:szCs w:val="40"/>
        </w:rPr>
      </w:pPr>
      <w:bookmarkStart w:id="2" w:name="_heading=h.udnkxfh6i2se" w:colFirst="0" w:colLast="0"/>
      <w:bookmarkEnd w:id="2"/>
    </w:p>
    <w:p w:rsidR="00CC6BBF" w:rsidRDefault="00CC6BBF" w:rsidP="00CC6BBF">
      <w:pPr>
        <w:pStyle w:val="Title"/>
        <w:jc w:val="center"/>
        <w:rPr>
          <w:b/>
          <w:bCs/>
          <w:sz w:val="28"/>
          <w:szCs w:val="40"/>
        </w:rPr>
      </w:pPr>
      <w:bookmarkStart w:id="3" w:name="_heading=h.pgztvs8aijpo" w:colFirst="0" w:colLast="0"/>
      <w:bookmarkEnd w:id="3"/>
    </w:p>
    <w:p w:rsidR="00CC6BBF" w:rsidRPr="00CC6BBF" w:rsidRDefault="00CC6BBF" w:rsidP="00CC6BBF">
      <w:pPr>
        <w:pStyle w:val="Title"/>
        <w:jc w:val="center"/>
        <w:rPr>
          <w:b/>
          <w:bCs/>
          <w:sz w:val="28"/>
          <w:szCs w:val="40"/>
        </w:rPr>
      </w:pPr>
      <w:r w:rsidRPr="00CC6BBF">
        <w:rPr>
          <w:b/>
          <w:bCs/>
          <w:sz w:val="28"/>
          <w:szCs w:val="40"/>
        </w:rPr>
        <w:t>Programme Name: Masters of Business Administration (MBA) International Business</w:t>
      </w:r>
    </w:p>
    <w:p w:rsidR="00CC6BBF" w:rsidRPr="00CC6BBF" w:rsidRDefault="00CC6BBF" w:rsidP="00CC6BBF">
      <w:pPr>
        <w:jc w:val="center"/>
        <w:rPr>
          <w:b/>
          <w:sz w:val="28"/>
        </w:rPr>
      </w:pPr>
      <w:r w:rsidRPr="00CC6BBF">
        <w:rPr>
          <w:b/>
          <w:sz w:val="28"/>
        </w:rPr>
        <w:t>Module: MBA Dissertation</w:t>
      </w:r>
    </w:p>
    <w:p w:rsidR="00CC6BBF" w:rsidRPr="00CC6BBF" w:rsidRDefault="00CC6BBF" w:rsidP="00CC6BBF">
      <w:pPr>
        <w:jc w:val="center"/>
        <w:rPr>
          <w:b/>
          <w:sz w:val="28"/>
        </w:rPr>
      </w:pPr>
      <w:r w:rsidRPr="00CC6BBF">
        <w:rPr>
          <w:b/>
          <w:sz w:val="28"/>
        </w:rPr>
        <w:t>Module Code: LCMB7035</w:t>
      </w:r>
    </w:p>
    <w:p w:rsidR="00CC6BBF" w:rsidRPr="00CC6BBF" w:rsidRDefault="00CC6BBF" w:rsidP="00CC6BBF">
      <w:pPr>
        <w:jc w:val="center"/>
        <w:rPr>
          <w:b/>
          <w:bCs/>
          <w:szCs w:val="40"/>
        </w:rPr>
      </w:pPr>
      <w:r w:rsidRPr="00CC6BBF">
        <w:rPr>
          <w:b/>
          <w:bCs/>
          <w:szCs w:val="40"/>
        </w:rPr>
        <w:t>TOPIC: CUSTOMER TRUST IN ESG INITIATIVES IN THE UK FOOD INDUSTRY: A SYSTEMATIC LITERATURE REVIEW</w:t>
      </w:r>
    </w:p>
    <w:p w:rsidR="00CC6BBF" w:rsidRPr="00CC6BBF" w:rsidRDefault="00CC6BBF" w:rsidP="00CC6BBF">
      <w:pPr>
        <w:jc w:val="center"/>
        <w:rPr>
          <w:b/>
          <w:sz w:val="28"/>
        </w:rPr>
      </w:pPr>
      <w:r w:rsidRPr="00CC6BBF">
        <w:rPr>
          <w:b/>
          <w:sz w:val="28"/>
        </w:rPr>
        <w:t>Student Name: Gokul Krishnan Krishna Kumar Gopika</w:t>
      </w:r>
    </w:p>
    <w:p w:rsidR="00CC6BBF" w:rsidRPr="00CC6BBF" w:rsidRDefault="00CC6BBF" w:rsidP="00CC6BBF">
      <w:pPr>
        <w:jc w:val="center"/>
        <w:rPr>
          <w:sz w:val="28"/>
        </w:rPr>
      </w:pPr>
      <w:r w:rsidRPr="00CC6BBF">
        <w:rPr>
          <w:b/>
          <w:sz w:val="28"/>
        </w:rPr>
        <w:t>Student ID: 2433834</w:t>
      </w:r>
    </w:p>
    <w:p w:rsidR="007E7629" w:rsidRPr="00CC6BBF" w:rsidRDefault="00CC6BBF" w:rsidP="00CC6BBF">
      <w:pPr>
        <w:jc w:val="center"/>
        <w:rPr>
          <w:b/>
          <w:sz w:val="28"/>
        </w:rPr>
      </w:pPr>
      <w:bookmarkStart w:id="4" w:name="_GoBack"/>
      <w:bookmarkEnd w:id="4"/>
      <w:r w:rsidRPr="00CC6BBF">
        <w:rPr>
          <w:b/>
          <w:sz w:val="28"/>
        </w:rPr>
        <w:t>Supervisor: Shujun Xiao</w:t>
      </w:r>
      <w:bookmarkStart w:id="5" w:name="_heading=h.m4fh2lfc5t2p" w:colFirst="0" w:colLast="0"/>
      <w:bookmarkEnd w:id="5"/>
    </w:p>
    <w:p w:rsidR="007E7629" w:rsidRPr="00CC6BBF" w:rsidRDefault="00CC6BBF" w:rsidP="00CC6BBF">
      <w:pPr>
        <w:pStyle w:val="Title"/>
        <w:jc w:val="center"/>
        <w:rPr>
          <w:b/>
          <w:sz w:val="24"/>
          <w:szCs w:val="24"/>
        </w:rPr>
      </w:pPr>
      <w:bookmarkStart w:id="6" w:name="_heading=h.sd13bv5s7y60" w:colFirst="0" w:colLast="0"/>
      <w:bookmarkEnd w:id="6"/>
      <w:r w:rsidRPr="00CC6BBF">
        <w:rPr>
          <w:b/>
          <w:sz w:val="28"/>
          <w:szCs w:val="24"/>
        </w:rPr>
        <w:t>Words: 15,393</w:t>
      </w:r>
      <w:r w:rsidR="003E360F" w:rsidRPr="00CC6BBF">
        <w:rPr>
          <w:b/>
        </w:rPr>
        <w:br w:type="page"/>
      </w:r>
    </w:p>
    <w:p w:rsidR="005C4A31" w:rsidRDefault="005C4A31" w:rsidP="005C4A31">
      <w:pPr>
        <w:jc w:val="center"/>
        <w:rPr>
          <w:b/>
          <w:bCs/>
        </w:rPr>
      </w:pPr>
      <w:r>
        <w:rPr>
          <w:b/>
          <w:bCs/>
        </w:rPr>
        <w:lastRenderedPageBreak/>
        <w:t xml:space="preserve">Acknowledgement </w:t>
      </w:r>
    </w:p>
    <w:p w:rsidR="005C4A31" w:rsidRDefault="005C4A31" w:rsidP="005C4A31">
      <w:pPr>
        <w:shd w:val="clear" w:color="auto" w:fill="auto"/>
        <w:rPr>
          <w:color w:val="000000"/>
        </w:rPr>
      </w:pPr>
      <w:r>
        <w:rPr>
          <w:color w:val="000000"/>
        </w:rPr>
        <w:t>I would like to thank my supervisor sincerely, due to the valuable guidance, constructive feedback and constant support during this dissertation. I also owe a debt of gratitude to my university and faculty who have also given access to me for the academic resources and learning environment that I needed to undertake this research. Lastly, I want to thank my family and friends who have been encouraging, patient and supportive in this journey. Their motivation and understanding greatly contributed to the successful completion of this dissertation.</w:t>
      </w:r>
    </w:p>
    <w:p w:rsidR="005C4A31" w:rsidRDefault="005C4A31">
      <w:pPr>
        <w:rPr>
          <w:b/>
          <w:bCs/>
        </w:rPr>
      </w:pPr>
      <w:r>
        <w:rPr>
          <w:b/>
          <w:bCs/>
        </w:rPr>
        <w:br w:type="page"/>
      </w:r>
    </w:p>
    <w:p w:rsidR="007E7629" w:rsidRDefault="003E360F">
      <w:pPr>
        <w:jc w:val="center"/>
        <w:rPr>
          <w:b/>
          <w:bCs/>
        </w:rPr>
      </w:pPr>
      <w:r>
        <w:rPr>
          <w:b/>
          <w:bCs/>
        </w:rPr>
        <w:lastRenderedPageBreak/>
        <w:t xml:space="preserve">Abstract </w:t>
      </w:r>
    </w:p>
    <w:p w:rsidR="007E7629" w:rsidRPr="005C4A31" w:rsidRDefault="003E360F" w:rsidP="005C4A31">
      <w:r>
        <w:t xml:space="preserve">The study has highlighted the context of the topic and its relevance to the present-day situation with a detailed background. The problem statement has provided a somewhat essential outlook on its vitality to be focused on for elaborate data collection. The aim of the research is to understand the interrelation of ESG initiatives of the organisations in driving customer trust levels in the food industry. The study has emphasised the methodological choices that have been made for the study along with the data collection process. The selected articles have been thoroughly reviewed along with collecting the findings relevant to the themes that have been found in the context of the current study. The thematic synthesis has identified four major themes demonstrating that ESG initiatives have increasingly become a strategic priority for promoting sustainability within the food industry, while their effectiveness in building customer trust depends on the credibility and authenticity of implementation. The findings have further established that effective ESG practices can enhance customer trust through transparent sustainability information. However, organisational challenges, mainly greenwashing, inconsistent ESG disclosure, weak verification and fragmented supply chains, can increase consumer scepticism and limit the effectiveness of ESG initiatives. The study has highlighted that authentic organisational commitment, customer engagement, stakeholder collaboration and supportive governance are vital for sustaining trust in ESG initiatives. The study thus concludes by providing efficient, practical, and theoretical recommendations for developing long-term customer trust within the food industry. </w:t>
      </w:r>
    </w:p>
    <w:p w:rsidR="007E7629" w:rsidRDefault="007E7629"/>
    <w:p w:rsidR="007E7629" w:rsidRDefault="003E360F">
      <w:pPr>
        <w:jc w:val="center"/>
        <w:rPr>
          <w:b/>
          <w:bCs/>
        </w:rPr>
      </w:pPr>
      <w:r>
        <w:br w:type="page"/>
      </w:r>
    </w:p>
    <w:p w:rsidR="007E7629" w:rsidRDefault="003E360F">
      <w:pPr>
        <w:jc w:val="center"/>
        <w:rPr>
          <w:b/>
          <w:bCs/>
        </w:rPr>
      </w:pPr>
      <w:r>
        <w:rPr>
          <w:b/>
          <w:bCs/>
        </w:rPr>
        <w:lastRenderedPageBreak/>
        <w:t>Table of Contents</w:t>
      </w:r>
    </w:p>
    <w:p w:rsidR="007E7629" w:rsidRDefault="007E7629">
      <w:pPr>
        <w:keepNext/>
        <w:keepLines/>
        <w:pBdr>
          <w:top w:val="nil"/>
          <w:left w:val="nil"/>
          <w:bottom w:val="nil"/>
          <w:right w:val="nil"/>
          <w:between w:val="nil"/>
        </w:pBdr>
        <w:shd w:val="clear" w:color="auto" w:fill="auto"/>
        <w:spacing w:before="240" w:line="259" w:lineRule="auto"/>
        <w:jc w:val="left"/>
        <w:rPr>
          <w:rFonts w:ascii="Calibri" w:eastAsia="Calibri" w:hAnsi="Calibri" w:cs="Calibri"/>
          <w:color w:val="366091"/>
          <w:sz w:val="32"/>
          <w:szCs w:val="32"/>
        </w:rPr>
      </w:pPr>
    </w:p>
    <w:sdt>
      <w:sdtPr>
        <w:id w:val="-711317569"/>
        <w:docPartObj>
          <w:docPartGallery w:val="Table of Contents"/>
          <w:docPartUnique/>
        </w:docPartObj>
      </w:sdtPr>
      <w:sdtEndPr/>
      <w:sdtContent>
        <w:p w:rsidR="00782D09" w:rsidRDefault="003E360F">
          <w:pPr>
            <w:pStyle w:val="TOC1"/>
            <w:tabs>
              <w:tab w:val="right" w:pos="9019"/>
            </w:tabs>
            <w:rPr>
              <w:rFonts w:asciiTheme="minorHAnsi" w:eastAsiaTheme="minorEastAsia" w:hAnsiTheme="minorHAnsi" w:cstheme="minorBidi"/>
              <w:noProof/>
              <w:color w:val="auto"/>
              <w:sz w:val="22"/>
              <w:szCs w:val="22"/>
              <w:lang w:val="en-GB"/>
            </w:rPr>
          </w:pPr>
          <w:r>
            <w:fldChar w:fldCharType="begin"/>
          </w:r>
          <w:r>
            <w:instrText xml:space="preserve"> TOC \h \u \z \t "Heading 1,1,Heading 2,2,Heading 3,3,"</w:instrText>
          </w:r>
          <w:r>
            <w:fldChar w:fldCharType="separate"/>
          </w:r>
          <w:hyperlink w:anchor="_Toc238235488" w:history="1">
            <w:r w:rsidR="00782D09" w:rsidRPr="00FC5484">
              <w:rPr>
                <w:rStyle w:val="Hyperlink"/>
                <w:noProof/>
              </w:rPr>
              <w:t>Chapter 1: Introduction</w:t>
            </w:r>
            <w:r w:rsidR="00782D09">
              <w:rPr>
                <w:noProof/>
                <w:webHidden/>
              </w:rPr>
              <w:tab/>
            </w:r>
            <w:r w:rsidR="00782D09">
              <w:rPr>
                <w:noProof/>
                <w:webHidden/>
              </w:rPr>
              <w:fldChar w:fldCharType="begin"/>
            </w:r>
            <w:r w:rsidR="00782D09">
              <w:rPr>
                <w:noProof/>
                <w:webHidden/>
              </w:rPr>
              <w:instrText xml:space="preserve"> PAGEREF _Toc238235488 \h </w:instrText>
            </w:r>
            <w:r w:rsidR="00782D09">
              <w:rPr>
                <w:noProof/>
                <w:webHidden/>
              </w:rPr>
            </w:r>
            <w:r w:rsidR="00782D09">
              <w:rPr>
                <w:noProof/>
                <w:webHidden/>
              </w:rPr>
              <w:fldChar w:fldCharType="separate"/>
            </w:r>
            <w:r w:rsidR="00971CB9">
              <w:rPr>
                <w:noProof/>
                <w:webHidden/>
              </w:rPr>
              <w:t>8</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489" w:history="1">
            <w:r w:rsidR="00782D09" w:rsidRPr="00FC5484">
              <w:rPr>
                <w:rStyle w:val="Hyperlink"/>
                <w:noProof/>
              </w:rPr>
              <w:t>Background &amp; Problem Statement</w:t>
            </w:r>
            <w:r w:rsidR="00782D09">
              <w:rPr>
                <w:noProof/>
                <w:webHidden/>
              </w:rPr>
              <w:tab/>
            </w:r>
            <w:r w:rsidR="00782D09">
              <w:rPr>
                <w:noProof/>
                <w:webHidden/>
              </w:rPr>
              <w:fldChar w:fldCharType="begin"/>
            </w:r>
            <w:r w:rsidR="00782D09">
              <w:rPr>
                <w:noProof/>
                <w:webHidden/>
              </w:rPr>
              <w:instrText xml:space="preserve"> PAGEREF _Toc238235489 \h </w:instrText>
            </w:r>
            <w:r w:rsidR="00782D09">
              <w:rPr>
                <w:noProof/>
                <w:webHidden/>
              </w:rPr>
            </w:r>
            <w:r w:rsidR="00782D09">
              <w:rPr>
                <w:noProof/>
                <w:webHidden/>
              </w:rPr>
              <w:fldChar w:fldCharType="separate"/>
            </w:r>
            <w:r w:rsidR="00971CB9">
              <w:rPr>
                <w:noProof/>
                <w:webHidden/>
              </w:rPr>
              <w:t>8</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490" w:history="1">
            <w:r w:rsidR="00782D09" w:rsidRPr="00FC5484">
              <w:rPr>
                <w:rStyle w:val="Hyperlink"/>
                <w:noProof/>
              </w:rPr>
              <w:t>Research Aim</w:t>
            </w:r>
            <w:r w:rsidR="00782D09">
              <w:rPr>
                <w:noProof/>
                <w:webHidden/>
              </w:rPr>
              <w:tab/>
            </w:r>
            <w:r w:rsidR="00782D09">
              <w:rPr>
                <w:noProof/>
                <w:webHidden/>
              </w:rPr>
              <w:fldChar w:fldCharType="begin"/>
            </w:r>
            <w:r w:rsidR="00782D09">
              <w:rPr>
                <w:noProof/>
                <w:webHidden/>
              </w:rPr>
              <w:instrText xml:space="preserve"> PAGEREF _Toc238235490 \h </w:instrText>
            </w:r>
            <w:r w:rsidR="00782D09">
              <w:rPr>
                <w:noProof/>
                <w:webHidden/>
              </w:rPr>
            </w:r>
            <w:r w:rsidR="00782D09">
              <w:rPr>
                <w:noProof/>
                <w:webHidden/>
              </w:rPr>
              <w:fldChar w:fldCharType="separate"/>
            </w:r>
            <w:r w:rsidR="00971CB9">
              <w:rPr>
                <w:noProof/>
                <w:webHidden/>
              </w:rPr>
              <w:t>9</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491" w:history="1">
            <w:r w:rsidR="00782D09" w:rsidRPr="00FC5484">
              <w:rPr>
                <w:rStyle w:val="Hyperlink"/>
                <w:noProof/>
              </w:rPr>
              <w:t>Research Objectives</w:t>
            </w:r>
            <w:r w:rsidR="00782D09">
              <w:rPr>
                <w:noProof/>
                <w:webHidden/>
              </w:rPr>
              <w:tab/>
            </w:r>
            <w:r w:rsidR="00782D09">
              <w:rPr>
                <w:noProof/>
                <w:webHidden/>
              </w:rPr>
              <w:fldChar w:fldCharType="begin"/>
            </w:r>
            <w:r w:rsidR="00782D09">
              <w:rPr>
                <w:noProof/>
                <w:webHidden/>
              </w:rPr>
              <w:instrText xml:space="preserve"> PAGEREF _Toc238235491 \h </w:instrText>
            </w:r>
            <w:r w:rsidR="00782D09">
              <w:rPr>
                <w:noProof/>
                <w:webHidden/>
              </w:rPr>
            </w:r>
            <w:r w:rsidR="00782D09">
              <w:rPr>
                <w:noProof/>
                <w:webHidden/>
              </w:rPr>
              <w:fldChar w:fldCharType="separate"/>
            </w:r>
            <w:r w:rsidR="00971CB9">
              <w:rPr>
                <w:noProof/>
                <w:webHidden/>
              </w:rPr>
              <w:t>9</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492" w:history="1">
            <w:r w:rsidR="00782D09" w:rsidRPr="00FC5484">
              <w:rPr>
                <w:rStyle w:val="Hyperlink"/>
                <w:noProof/>
              </w:rPr>
              <w:t>Research Questions</w:t>
            </w:r>
            <w:r w:rsidR="00782D09">
              <w:rPr>
                <w:noProof/>
                <w:webHidden/>
              </w:rPr>
              <w:tab/>
            </w:r>
            <w:r w:rsidR="00782D09">
              <w:rPr>
                <w:noProof/>
                <w:webHidden/>
              </w:rPr>
              <w:fldChar w:fldCharType="begin"/>
            </w:r>
            <w:r w:rsidR="00782D09">
              <w:rPr>
                <w:noProof/>
                <w:webHidden/>
              </w:rPr>
              <w:instrText xml:space="preserve"> PAGEREF _Toc238235492 \h </w:instrText>
            </w:r>
            <w:r w:rsidR="00782D09">
              <w:rPr>
                <w:noProof/>
                <w:webHidden/>
              </w:rPr>
            </w:r>
            <w:r w:rsidR="00782D09">
              <w:rPr>
                <w:noProof/>
                <w:webHidden/>
              </w:rPr>
              <w:fldChar w:fldCharType="separate"/>
            </w:r>
            <w:r w:rsidR="00971CB9">
              <w:rPr>
                <w:noProof/>
                <w:webHidden/>
              </w:rPr>
              <w:t>9</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493" w:history="1">
            <w:r w:rsidR="00782D09" w:rsidRPr="00FC5484">
              <w:rPr>
                <w:rStyle w:val="Hyperlink"/>
                <w:noProof/>
              </w:rPr>
              <w:t>Significance / Relevance of Study</w:t>
            </w:r>
            <w:r w:rsidR="00782D09">
              <w:rPr>
                <w:noProof/>
                <w:webHidden/>
              </w:rPr>
              <w:tab/>
            </w:r>
            <w:r w:rsidR="00782D09">
              <w:rPr>
                <w:noProof/>
                <w:webHidden/>
              </w:rPr>
              <w:fldChar w:fldCharType="begin"/>
            </w:r>
            <w:r w:rsidR="00782D09">
              <w:rPr>
                <w:noProof/>
                <w:webHidden/>
              </w:rPr>
              <w:instrText xml:space="preserve"> PAGEREF _Toc238235493 \h </w:instrText>
            </w:r>
            <w:r w:rsidR="00782D09">
              <w:rPr>
                <w:noProof/>
                <w:webHidden/>
              </w:rPr>
            </w:r>
            <w:r w:rsidR="00782D09">
              <w:rPr>
                <w:noProof/>
                <w:webHidden/>
              </w:rPr>
              <w:fldChar w:fldCharType="separate"/>
            </w:r>
            <w:r w:rsidR="00971CB9">
              <w:rPr>
                <w:noProof/>
                <w:webHidden/>
              </w:rPr>
              <w:t>10</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494" w:history="1">
            <w:r w:rsidR="00782D09" w:rsidRPr="00FC5484">
              <w:rPr>
                <w:rStyle w:val="Hyperlink"/>
                <w:noProof/>
              </w:rPr>
              <w:t>Brief Research Methodology</w:t>
            </w:r>
            <w:r w:rsidR="00782D09">
              <w:rPr>
                <w:noProof/>
                <w:webHidden/>
              </w:rPr>
              <w:tab/>
            </w:r>
            <w:r w:rsidR="00782D09">
              <w:rPr>
                <w:noProof/>
                <w:webHidden/>
              </w:rPr>
              <w:fldChar w:fldCharType="begin"/>
            </w:r>
            <w:r w:rsidR="00782D09">
              <w:rPr>
                <w:noProof/>
                <w:webHidden/>
              </w:rPr>
              <w:instrText xml:space="preserve"> PAGEREF _Toc238235494 \h </w:instrText>
            </w:r>
            <w:r w:rsidR="00782D09">
              <w:rPr>
                <w:noProof/>
                <w:webHidden/>
              </w:rPr>
            </w:r>
            <w:r w:rsidR="00782D09">
              <w:rPr>
                <w:noProof/>
                <w:webHidden/>
              </w:rPr>
              <w:fldChar w:fldCharType="separate"/>
            </w:r>
            <w:r w:rsidR="00971CB9">
              <w:rPr>
                <w:noProof/>
                <w:webHidden/>
              </w:rPr>
              <w:t>11</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495" w:history="1">
            <w:r w:rsidR="00782D09" w:rsidRPr="00FC5484">
              <w:rPr>
                <w:rStyle w:val="Hyperlink"/>
                <w:noProof/>
              </w:rPr>
              <w:t>Structure of the rest of the project</w:t>
            </w:r>
            <w:r w:rsidR="00782D09">
              <w:rPr>
                <w:noProof/>
                <w:webHidden/>
              </w:rPr>
              <w:tab/>
            </w:r>
            <w:r w:rsidR="00782D09">
              <w:rPr>
                <w:noProof/>
                <w:webHidden/>
              </w:rPr>
              <w:fldChar w:fldCharType="begin"/>
            </w:r>
            <w:r w:rsidR="00782D09">
              <w:rPr>
                <w:noProof/>
                <w:webHidden/>
              </w:rPr>
              <w:instrText xml:space="preserve"> PAGEREF _Toc238235495 \h </w:instrText>
            </w:r>
            <w:r w:rsidR="00782D09">
              <w:rPr>
                <w:noProof/>
                <w:webHidden/>
              </w:rPr>
            </w:r>
            <w:r w:rsidR="00782D09">
              <w:rPr>
                <w:noProof/>
                <w:webHidden/>
              </w:rPr>
              <w:fldChar w:fldCharType="separate"/>
            </w:r>
            <w:r w:rsidR="00971CB9">
              <w:rPr>
                <w:noProof/>
                <w:webHidden/>
              </w:rPr>
              <w:t>12</w:t>
            </w:r>
            <w:r w:rsidR="00782D09">
              <w:rPr>
                <w:noProof/>
                <w:webHidden/>
              </w:rPr>
              <w:fldChar w:fldCharType="end"/>
            </w:r>
          </w:hyperlink>
        </w:p>
        <w:p w:rsidR="00782D09" w:rsidRDefault="00FB5D41">
          <w:pPr>
            <w:pStyle w:val="TOC1"/>
            <w:tabs>
              <w:tab w:val="right" w:pos="9019"/>
            </w:tabs>
            <w:rPr>
              <w:rFonts w:asciiTheme="minorHAnsi" w:eastAsiaTheme="minorEastAsia" w:hAnsiTheme="minorHAnsi" w:cstheme="minorBidi"/>
              <w:noProof/>
              <w:color w:val="auto"/>
              <w:sz w:val="22"/>
              <w:szCs w:val="22"/>
              <w:lang w:val="en-GB"/>
            </w:rPr>
          </w:pPr>
          <w:hyperlink w:anchor="_Toc238235496" w:history="1">
            <w:r w:rsidR="00782D09" w:rsidRPr="00FC5484">
              <w:rPr>
                <w:rStyle w:val="Hyperlink"/>
                <w:noProof/>
              </w:rPr>
              <w:t>Chapter 2 Methodology</w:t>
            </w:r>
            <w:r w:rsidR="00782D09">
              <w:rPr>
                <w:noProof/>
                <w:webHidden/>
              </w:rPr>
              <w:tab/>
            </w:r>
            <w:r w:rsidR="00782D09">
              <w:rPr>
                <w:noProof/>
                <w:webHidden/>
              </w:rPr>
              <w:fldChar w:fldCharType="begin"/>
            </w:r>
            <w:r w:rsidR="00782D09">
              <w:rPr>
                <w:noProof/>
                <w:webHidden/>
              </w:rPr>
              <w:instrText xml:space="preserve"> PAGEREF _Toc238235496 \h </w:instrText>
            </w:r>
            <w:r w:rsidR="00782D09">
              <w:rPr>
                <w:noProof/>
                <w:webHidden/>
              </w:rPr>
            </w:r>
            <w:r w:rsidR="00782D09">
              <w:rPr>
                <w:noProof/>
                <w:webHidden/>
              </w:rPr>
              <w:fldChar w:fldCharType="separate"/>
            </w:r>
            <w:r w:rsidR="00971CB9">
              <w:rPr>
                <w:noProof/>
                <w:webHidden/>
              </w:rPr>
              <w:t>13</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497" w:history="1">
            <w:r w:rsidR="00782D09" w:rsidRPr="00FC5484">
              <w:rPr>
                <w:rStyle w:val="Hyperlink"/>
                <w:noProof/>
              </w:rPr>
              <w:t>2.1 Chapter Introduction</w:t>
            </w:r>
            <w:r w:rsidR="00782D09">
              <w:rPr>
                <w:noProof/>
                <w:webHidden/>
              </w:rPr>
              <w:tab/>
            </w:r>
            <w:r w:rsidR="00782D09">
              <w:rPr>
                <w:noProof/>
                <w:webHidden/>
              </w:rPr>
              <w:fldChar w:fldCharType="begin"/>
            </w:r>
            <w:r w:rsidR="00782D09">
              <w:rPr>
                <w:noProof/>
                <w:webHidden/>
              </w:rPr>
              <w:instrText xml:space="preserve"> PAGEREF _Toc238235497 \h </w:instrText>
            </w:r>
            <w:r w:rsidR="00782D09">
              <w:rPr>
                <w:noProof/>
                <w:webHidden/>
              </w:rPr>
            </w:r>
            <w:r w:rsidR="00782D09">
              <w:rPr>
                <w:noProof/>
                <w:webHidden/>
              </w:rPr>
              <w:fldChar w:fldCharType="separate"/>
            </w:r>
            <w:r w:rsidR="00971CB9">
              <w:rPr>
                <w:noProof/>
                <w:webHidden/>
              </w:rPr>
              <w:t>13</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498" w:history="1">
            <w:r w:rsidR="00782D09" w:rsidRPr="00FC5484">
              <w:rPr>
                <w:rStyle w:val="Hyperlink"/>
                <w:noProof/>
              </w:rPr>
              <w:t>2.2 Review design</w:t>
            </w:r>
            <w:r w:rsidR="00782D09">
              <w:rPr>
                <w:noProof/>
                <w:webHidden/>
              </w:rPr>
              <w:tab/>
            </w:r>
            <w:r w:rsidR="00782D09">
              <w:rPr>
                <w:noProof/>
                <w:webHidden/>
              </w:rPr>
              <w:fldChar w:fldCharType="begin"/>
            </w:r>
            <w:r w:rsidR="00782D09">
              <w:rPr>
                <w:noProof/>
                <w:webHidden/>
              </w:rPr>
              <w:instrText xml:space="preserve"> PAGEREF _Toc238235498 \h </w:instrText>
            </w:r>
            <w:r w:rsidR="00782D09">
              <w:rPr>
                <w:noProof/>
                <w:webHidden/>
              </w:rPr>
            </w:r>
            <w:r w:rsidR="00782D09">
              <w:rPr>
                <w:noProof/>
                <w:webHidden/>
              </w:rPr>
              <w:fldChar w:fldCharType="separate"/>
            </w:r>
            <w:r w:rsidR="00971CB9">
              <w:rPr>
                <w:noProof/>
                <w:webHidden/>
              </w:rPr>
              <w:t>13</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499" w:history="1">
            <w:r w:rsidR="00782D09" w:rsidRPr="00FC5484">
              <w:rPr>
                <w:rStyle w:val="Hyperlink"/>
                <w:noProof/>
              </w:rPr>
              <w:t>2.2.1 Strategy and philosophical standpoint</w:t>
            </w:r>
            <w:r w:rsidR="00782D09">
              <w:rPr>
                <w:noProof/>
                <w:webHidden/>
              </w:rPr>
              <w:tab/>
            </w:r>
            <w:r w:rsidR="00782D09">
              <w:rPr>
                <w:noProof/>
                <w:webHidden/>
              </w:rPr>
              <w:fldChar w:fldCharType="begin"/>
            </w:r>
            <w:r w:rsidR="00782D09">
              <w:rPr>
                <w:noProof/>
                <w:webHidden/>
              </w:rPr>
              <w:instrText xml:space="preserve"> PAGEREF _Toc238235499 \h </w:instrText>
            </w:r>
            <w:r w:rsidR="00782D09">
              <w:rPr>
                <w:noProof/>
                <w:webHidden/>
              </w:rPr>
            </w:r>
            <w:r w:rsidR="00782D09">
              <w:rPr>
                <w:noProof/>
                <w:webHidden/>
              </w:rPr>
              <w:fldChar w:fldCharType="separate"/>
            </w:r>
            <w:r w:rsidR="00971CB9">
              <w:rPr>
                <w:noProof/>
                <w:webHidden/>
              </w:rPr>
              <w:t>13</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00" w:history="1">
            <w:r w:rsidR="00782D09" w:rsidRPr="00FC5484">
              <w:rPr>
                <w:rStyle w:val="Hyperlink"/>
                <w:noProof/>
              </w:rPr>
              <w:t>2.2.2 Review scope</w:t>
            </w:r>
            <w:r w:rsidR="00782D09">
              <w:rPr>
                <w:noProof/>
                <w:webHidden/>
              </w:rPr>
              <w:tab/>
            </w:r>
            <w:r w:rsidR="00782D09">
              <w:rPr>
                <w:noProof/>
                <w:webHidden/>
              </w:rPr>
              <w:fldChar w:fldCharType="begin"/>
            </w:r>
            <w:r w:rsidR="00782D09">
              <w:rPr>
                <w:noProof/>
                <w:webHidden/>
              </w:rPr>
              <w:instrText xml:space="preserve"> PAGEREF _Toc238235500 \h </w:instrText>
            </w:r>
            <w:r w:rsidR="00782D09">
              <w:rPr>
                <w:noProof/>
                <w:webHidden/>
              </w:rPr>
            </w:r>
            <w:r w:rsidR="00782D09">
              <w:rPr>
                <w:noProof/>
                <w:webHidden/>
              </w:rPr>
              <w:fldChar w:fldCharType="separate"/>
            </w:r>
            <w:r w:rsidR="00971CB9">
              <w:rPr>
                <w:noProof/>
                <w:webHidden/>
              </w:rPr>
              <w:t>13</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01" w:history="1">
            <w:r w:rsidR="00782D09" w:rsidRPr="00FC5484">
              <w:rPr>
                <w:rStyle w:val="Hyperlink"/>
                <w:noProof/>
              </w:rPr>
              <w:t>2.2.3 Methodological Focus</w:t>
            </w:r>
            <w:r w:rsidR="00782D09">
              <w:rPr>
                <w:noProof/>
                <w:webHidden/>
              </w:rPr>
              <w:tab/>
            </w:r>
            <w:r w:rsidR="00782D09">
              <w:rPr>
                <w:noProof/>
                <w:webHidden/>
              </w:rPr>
              <w:fldChar w:fldCharType="begin"/>
            </w:r>
            <w:r w:rsidR="00782D09">
              <w:rPr>
                <w:noProof/>
                <w:webHidden/>
              </w:rPr>
              <w:instrText xml:space="preserve"> PAGEREF _Toc238235501 \h </w:instrText>
            </w:r>
            <w:r w:rsidR="00782D09">
              <w:rPr>
                <w:noProof/>
                <w:webHidden/>
              </w:rPr>
            </w:r>
            <w:r w:rsidR="00782D09">
              <w:rPr>
                <w:noProof/>
                <w:webHidden/>
              </w:rPr>
              <w:fldChar w:fldCharType="separate"/>
            </w:r>
            <w:r w:rsidR="00971CB9">
              <w:rPr>
                <w:noProof/>
                <w:webHidden/>
              </w:rPr>
              <w:t>14</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02" w:history="1">
            <w:r w:rsidR="00782D09" w:rsidRPr="00FC5484">
              <w:rPr>
                <w:rStyle w:val="Hyperlink"/>
                <w:noProof/>
              </w:rPr>
              <w:t>2.2.4 Time Horizon</w:t>
            </w:r>
            <w:r w:rsidR="00782D09">
              <w:rPr>
                <w:noProof/>
                <w:webHidden/>
              </w:rPr>
              <w:tab/>
            </w:r>
            <w:r w:rsidR="00782D09">
              <w:rPr>
                <w:noProof/>
                <w:webHidden/>
              </w:rPr>
              <w:fldChar w:fldCharType="begin"/>
            </w:r>
            <w:r w:rsidR="00782D09">
              <w:rPr>
                <w:noProof/>
                <w:webHidden/>
              </w:rPr>
              <w:instrText xml:space="preserve"> PAGEREF _Toc238235502 \h </w:instrText>
            </w:r>
            <w:r w:rsidR="00782D09">
              <w:rPr>
                <w:noProof/>
                <w:webHidden/>
              </w:rPr>
            </w:r>
            <w:r w:rsidR="00782D09">
              <w:rPr>
                <w:noProof/>
                <w:webHidden/>
              </w:rPr>
              <w:fldChar w:fldCharType="separate"/>
            </w:r>
            <w:r w:rsidR="00971CB9">
              <w:rPr>
                <w:noProof/>
                <w:webHidden/>
              </w:rPr>
              <w:t>14</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03" w:history="1">
            <w:r w:rsidR="00782D09" w:rsidRPr="00FC5484">
              <w:rPr>
                <w:rStyle w:val="Hyperlink"/>
                <w:noProof/>
              </w:rPr>
              <w:t>2.3 Collection of sources</w:t>
            </w:r>
            <w:r w:rsidR="00782D09">
              <w:rPr>
                <w:noProof/>
                <w:webHidden/>
              </w:rPr>
              <w:tab/>
            </w:r>
            <w:r w:rsidR="00782D09">
              <w:rPr>
                <w:noProof/>
                <w:webHidden/>
              </w:rPr>
              <w:fldChar w:fldCharType="begin"/>
            </w:r>
            <w:r w:rsidR="00782D09">
              <w:rPr>
                <w:noProof/>
                <w:webHidden/>
              </w:rPr>
              <w:instrText xml:space="preserve"> PAGEREF _Toc238235503 \h </w:instrText>
            </w:r>
            <w:r w:rsidR="00782D09">
              <w:rPr>
                <w:noProof/>
                <w:webHidden/>
              </w:rPr>
            </w:r>
            <w:r w:rsidR="00782D09">
              <w:rPr>
                <w:noProof/>
                <w:webHidden/>
              </w:rPr>
              <w:fldChar w:fldCharType="separate"/>
            </w:r>
            <w:r w:rsidR="00971CB9">
              <w:rPr>
                <w:noProof/>
                <w:webHidden/>
              </w:rPr>
              <w:t>15</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04" w:history="1">
            <w:r w:rsidR="00782D09" w:rsidRPr="00FC5484">
              <w:rPr>
                <w:rStyle w:val="Hyperlink"/>
                <w:noProof/>
              </w:rPr>
              <w:t>2.3.1 Search sentence</w:t>
            </w:r>
            <w:r w:rsidR="00782D09">
              <w:rPr>
                <w:noProof/>
                <w:webHidden/>
              </w:rPr>
              <w:tab/>
            </w:r>
            <w:r w:rsidR="00782D09">
              <w:rPr>
                <w:noProof/>
                <w:webHidden/>
              </w:rPr>
              <w:fldChar w:fldCharType="begin"/>
            </w:r>
            <w:r w:rsidR="00782D09">
              <w:rPr>
                <w:noProof/>
                <w:webHidden/>
              </w:rPr>
              <w:instrText xml:space="preserve"> PAGEREF _Toc238235504 \h </w:instrText>
            </w:r>
            <w:r w:rsidR="00782D09">
              <w:rPr>
                <w:noProof/>
                <w:webHidden/>
              </w:rPr>
            </w:r>
            <w:r w:rsidR="00782D09">
              <w:rPr>
                <w:noProof/>
                <w:webHidden/>
              </w:rPr>
              <w:fldChar w:fldCharType="separate"/>
            </w:r>
            <w:r w:rsidR="00971CB9">
              <w:rPr>
                <w:noProof/>
                <w:webHidden/>
              </w:rPr>
              <w:t>15</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05" w:history="1">
            <w:r w:rsidR="00782D09" w:rsidRPr="00FC5484">
              <w:rPr>
                <w:rStyle w:val="Hyperlink"/>
                <w:noProof/>
              </w:rPr>
              <w:t>2.3.2 Sampling strategy</w:t>
            </w:r>
            <w:r w:rsidR="00782D09">
              <w:rPr>
                <w:noProof/>
                <w:webHidden/>
              </w:rPr>
              <w:tab/>
            </w:r>
            <w:r w:rsidR="00782D09">
              <w:rPr>
                <w:noProof/>
                <w:webHidden/>
              </w:rPr>
              <w:fldChar w:fldCharType="begin"/>
            </w:r>
            <w:r w:rsidR="00782D09">
              <w:rPr>
                <w:noProof/>
                <w:webHidden/>
              </w:rPr>
              <w:instrText xml:space="preserve"> PAGEREF _Toc238235505 \h </w:instrText>
            </w:r>
            <w:r w:rsidR="00782D09">
              <w:rPr>
                <w:noProof/>
                <w:webHidden/>
              </w:rPr>
            </w:r>
            <w:r w:rsidR="00782D09">
              <w:rPr>
                <w:noProof/>
                <w:webHidden/>
              </w:rPr>
              <w:fldChar w:fldCharType="separate"/>
            </w:r>
            <w:r w:rsidR="00971CB9">
              <w:rPr>
                <w:noProof/>
                <w:webHidden/>
              </w:rPr>
              <w:t>16</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06" w:history="1">
            <w:r w:rsidR="00782D09" w:rsidRPr="00FC5484">
              <w:rPr>
                <w:rStyle w:val="Hyperlink"/>
                <w:noProof/>
              </w:rPr>
              <w:t>2.3.3 Inclusion and exclusion criteria</w:t>
            </w:r>
            <w:r w:rsidR="00782D09">
              <w:rPr>
                <w:noProof/>
                <w:webHidden/>
              </w:rPr>
              <w:tab/>
            </w:r>
            <w:r w:rsidR="00782D09">
              <w:rPr>
                <w:noProof/>
                <w:webHidden/>
              </w:rPr>
              <w:fldChar w:fldCharType="begin"/>
            </w:r>
            <w:r w:rsidR="00782D09">
              <w:rPr>
                <w:noProof/>
                <w:webHidden/>
              </w:rPr>
              <w:instrText xml:space="preserve"> PAGEREF _Toc238235506 \h </w:instrText>
            </w:r>
            <w:r w:rsidR="00782D09">
              <w:rPr>
                <w:noProof/>
                <w:webHidden/>
              </w:rPr>
            </w:r>
            <w:r w:rsidR="00782D09">
              <w:rPr>
                <w:noProof/>
                <w:webHidden/>
              </w:rPr>
              <w:fldChar w:fldCharType="separate"/>
            </w:r>
            <w:r w:rsidR="00971CB9">
              <w:rPr>
                <w:noProof/>
                <w:webHidden/>
              </w:rPr>
              <w:t>16</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07" w:history="1">
            <w:r w:rsidR="00782D09" w:rsidRPr="00FC5484">
              <w:rPr>
                <w:rStyle w:val="Hyperlink"/>
                <w:noProof/>
              </w:rPr>
              <w:t>2.3.4 Approach to evaluation and appraisal of sources</w:t>
            </w:r>
            <w:r w:rsidR="00782D09">
              <w:rPr>
                <w:noProof/>
                <w:webHidden/>
              </w:rPr>
              <w:tab/>
            </w:r>
            <w:r w:rsidR="00782D09">
              <w:rPr>
                <w:noProof/>
                <w:webHidden/>
              </w:rPr>
              <w:fldChar w:fldCharType="begin"/>
            </w:r>
            <w:r w:rsidR="00782D09">
              <w:rPr>
                <w:noProof/>
                <w:webHidden/>
              </w:rPr>
              <w:instrText xml:space="preserve"> PAGEREF _Toc238235507 \h </w:instrText>
            </w:r>
            <w:r w:rsidR="00782D09">
              <w:rPr>
                <w:noProof/>
                <w:webHidden/>
              </w:rPr>
            </w:r>
            <w:r w:rsidR="00782D09">
              <w:rPr>
                <w:noProof/>
                <w:webHidden/>
              </w:rPr>
              <w:fldChar w:fldCharType="separate"/>
            </w:r>
            <w:r w:rsidR="00971CB9">
              <w:rPr>
                <w:noProof/>
                <w:webHidden/>
              </w:rPr>
              <w:t>17</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08" w:history="1">
            <w:r w:rsidR="00782D09" w:rsidRPr="00FC5484">
              <w:rPr>
                <w:rStyle w:val="Hyperlink"/>
                <w:noProof/>
              </w:rPr>
              <w:t>2.3.5 CASP Quality Assessment</w:t>
            </w:r>
            <w:r w:rsidR="00782D09">
              <w:rPr>
                <w:noProof/>
                <w:webHidden/>
              </w:rPr>
              <w:tab/>
            </w:r>
            <w:r w:rsidR="00782D09">
              <w:rPr>
                <w:noProof/>
                <w:webHidden/>
              </w:rPr>
              <w:fldChar w:fldCharType="begin"/>
            </w:r>
            <w:r w:rsidR="00782D09">
              <w:rPr>
                <w:noProof/>
                <w:webHidden/>
              </w:rPr>
              <w:instrText xml:space="preserve"> PAGEREF _Toc238235508 \h </w:instrText>
            </w:r>
            <w:r w:rsidR="00782D09">
              <w:rPr>
                <w:noProof/>
                <w:webHidden/>
              </w:rPr>
            </w:r>
            <w:r w:rsidR="00782D09">
              <w:rPr>
                <w:noProof/>
                <w:webHidden/>
              </w:rPr>
              <w:fldChar w:fldCharType="separate"/>
            </w:r>
            <w:r w:rsidR="00971CB9">
              <w:rPr>
                <w:noProof/>
                <w:webHidden/>
              </w:rPr>
              <w:t>17</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09" w:history="1">
            <w:r w:rsidR="00782D09" w:rsidRPr="00FC5484">
              <w:rPr>
                <w:rStyle w:val="Hyperlink"/>
                <w:noProof/>
              </w:rPr>
              <w:t>2.4 Analysis tools and techniques</w:t>
            </w:r>
            <w:r w:rsidR="00782D09">
              <w:rPr>
                <w:noProof/>
                <w:webHidden/>
              </w:rPr>
              <w:tab/>
            </w:r>
            <w:r w:rsidR="00782D09">
              <w:rPr>
                <w:noProof/>
                <w:webHidden/>
              </w:rPr>
              <w:fldChar w:fldCharType="begin"/>
            </w:r>
            <w:r w:rsidR="00782D09">
              <w:rPr>
                <w:noProof/>
                <w:webHidden/>
              </w:rPr>
              <w:instrText xml:space="preserve"> PAGEREF _Toc238235509 \h </w:instrText>
            </w:r>
            <w:r w:rsidR="00782D09">
              <w:rPr>
                <w:noProof/>
                <w:webHidden/>
              </w:rPr>
            </w:r>
            <w:r w:rsidR="00782D09">
              <w:rPr>
                <w:noProof/>
                <w:webHidden/>
              </w:rPr>
              <w:fldChar w:fldCharType="separate"/>
            </w:r>
            <w:r w:rsidR="00971CB9">
              <w:rPr>
                <w:noProof/>
                <w:webHidden/>
              </w:rPr>
              <w:t>17</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10" w:history="1">
            <w:r w:rsidR="00782D09" w:rsidRPr="00FC5484">
              <w:rPr>
                <w:rStyle w:val="Hyperlink"/>
                <w:noProof/>
              </w:rPr>
              <w:t>2.5 Literature search summary</w:t>
            </w:r>
            <w:r w:rsidR="00782D09">
              <w:rPr>
                <w:noProof/>
                <w:webHidden/>
              </w:rPr>
              <w:tab/>
            </w:r>
            <w:r w:rsidR="00782D09">
              <w:rPr>
                <w:noProof/>
                <w:webHidden/>
              </w:rPr>
              <w:fldChar w:fldCharType="begin"/>
            </w:r>
            <w:r w:rsidR="00782D09">
              <w:rPr>
                <w:noProof/>
                <w:webHidden/>
              </w:rPr>
              <w:instrText xml:space="preserve"> PAGEREF _Toc238235510 \h </w:instrText>
            </w:r>
            <w:r w:rsidR="00782D09">
              <w:rPr>
                <w:noProof/>
                <w:webHidden/>
              </w:rPr>
            </w:r>
            <w:r w:rsidR="00782D09">
              <w:rPr>
                <w:noProof/>
                <w:webHidden/>
              </w:rPr>
              <w:fldChar w:fldCharType="separate"/>
            </w:r>
            <w:r w:rsidR="00971CB9">
              <w:rPr>
                <w:noProof/>
                <w:webHidden/>
              </w:rPr>
              <w:t>18</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11" w:history="1">
            <w:r w:rsidR="00782D09" w:rsidRPr="00FC5484">
              <w:rPr>
                <w:rStyle w:val="Hyperlink"/>
                <w:noProof/>
              </w:rPr>
              <w:t>2.6 Review limitations</w:t>
            </w:r>
            <w:r w:rsidR="00782D09">
              <w:rPr>
                <w:noProof/>
                <w:webHidden/>
              </w:rPr>
              <w:tab/>
            </w:r>
            <w:r w:rsidR="00782D09">
              <w:rPr>
                <w:noProof/>
                <w:webHidden/>
              </w:rPr>
              <w:fldChar w:fldCharType="begin"/>
            </w:r>
            <w:r w:rsidR="00782D09">
              <w:rPr>
                <w:noProof/>
                <w:webHidden/>
              </w:rPr>
              <w:instrText xml:space="preserve"> PAGEREF _Toc238235511 \h </w:instrText>
            </w:r>
            <w:r w:rsidR="00782D09">
              <w:rPr>
                <w:noProof/>
                <w:webHidden/>
              </w:rPr>
            </w:r>
            <w:r w:rsidR="00782D09">
              <w:rPr>
                <w:noProof/>
                <w:webHidden/>
              </w:rPr>
              <w:fldChar w:fldCharType="separate"/>
            </w:r>
            <w:r w:rsidR="00971CB9">
              <w:rPr>
                <w:noProof/>
                <w:webHidden/>
              </w:rPr>
              <w:t>20</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12" w:history="1">
            <w:r w:rsidR="00782D09" w:rsidRPr="00FC5484">
              <w:rPr>
                <w:rStyle w:val="Hyperlink"/>
                <w:noProof/>
              </w:rPr>
              <w:t>2.7 Chapter conclusion</w:t>
            </w:r>
            <w:r w:rsidR="00782D09">
              <w:rPr>
                <w:noProof/>
                <w:webHidden/>
              </w:rPr>
              <w:tab/>
            </w:r>
            <w:r w:rsidR="00782D09">
              <w:rPr>
                <w:noProof/>
                <w:webHidden/>
              </w:rPr>
              <w:fldChar w:fldCharType="begin"/>
            </w:r>
            <w:r w:rsidR="00782D09">
              <w:rPr>
                <w:noProof/>
                <w:webHidden/>
              </w:rPr>
              <w:instrText xml:space="preserve"> PAGEREF _Toc238235512 \h </w:instrText>
            </w:r>
            <w:r w:rsidR="00782D09">
              <w:rPr>
                <w:noProof/>
                <w:webHidden/>
              </w:rPr>
            </w:r>
            <w:r w:rsidR="00782D09">
              <w:rPr>
                <w:noProof/>
                <w:webHidden/>
              </w:rPr>
              <w:fldChar w:fldCharType="separate"/>
            </w:r>
            <w:r w:rsidR="00971CB9">
              <w:rPr>
                <w:noProof/>
                <w:webHidden/>
              </w:rPr>
              <w:t>20</w:t>
            </w:r>
            <w:r w:rsidR="00782D09">
              <w:rPr>
                <w:noProof/>
                <w:webHidden/>
              </w:rPr>
              <w:fldChar w:fldCharType="end"/>
            </w:r>
          </w:hyperlink>
        </w:p>
        <w:p w:rsidR="00782D09" w:rsidRDefault="00FB5D41">
          <w:pPr>
            <w:pStyle w:val="TOC1"/>
            <w:tabs>
              <w:tab w:val="right" w:pos="9019"/>
            </w:tabs>
            <w:rPr>
              <w:rFonts w:asciiTheme="minorHAnsi" w:eastAsiaTheme="minorEastAsia" w:hAnsiTheme="minorHAnsi" w:cstheme="minorBidi"/>
              <w:noProof/>
              <w:color w:val="auto"/>
              <w:sz w:val="22"/>
              <w:szCs w:val="22"/>
              <w:lang w:val="en-GB"/>
            </w:rPr>
          </w:pPr>
          <w:hyperlink w:anchor="_Toc238235513" w:history="1">
            <w:r w:rsidR="00782D09" w:rsidRPr="00FC5484">
              <w:rPr>
                <w:rStyle w:val="Hyperlink"/>
                <w:noProof/>
              </w:rPr>
              <w:t>Chapter 3: Literature Findings, Analysis and Discussion</w:t>
            </w:r>
            <w:r w:rsidR="00782D09">
              <w:rPr>
                <w:noProof/>
                <w:webHidden/>
              </w:rPr>
              <w:tab/>
            </w:r>
            <w:r w:rsidR="00782D09">
              <w:rPr>
                <w:noProof/>
                <w:webHidden/>
              </w:rPr>
              <w:fldChar w:fldCharType="begin"/>
            </w:r>
            <w:r w:rsidR="00782D09">
              <w:rPr>
                <w:noProof/>
                <w:webHidden/>
              </w:rPr>
              <w:instrText xml:space="preserve"> PAGEREF _Toc238235513 \h </w:instrText>
            </w:r>
            <w:r w:rsidR="00782D09">
              <w:rPr>
                <w:noProof/>
                <w:webHidden/>
              </w:rPr>
            </w:r>
            <w:r w:rsidR="00782D09">
              <w:rPr>
                <w:noProof/>
                <w:webHidden/>
              </w:rPr>
              <w:fldChar w:fldCharType="separate"/>
            </w:r>
            <w:r w:rsidR="00971CB9">
              <w:rPr>
                <w:noProof/>
                <w:webHidden/>
              </w:rPr>
              <w:t>21</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14" w:history="1">
            <w:r w:rsidR="00782D09" w:rsidRPr="00FC5484">
              <w:rPr>
                <w:rStyle w:val="Hyperlink"/>
                <w:noProof/>
              </w:rPr>
              <w:t>3.1 Introduction</w:t>
            </w:r>
            <w:r w:rsidR="00782D09">
              <w:rPr>
                <w:noProof/>
                <w:webHidden/>
              </w:rPr>
              <w:tab/>
            </w:r>
            <w:r w:rsidR="00782D09">
              <w:rPr>
                <w:noProof/>
                <w:webHidden/>
              </w:rPr>
              <w:fldChar w:fldCharType="begin"/>
            </w:r>
            <w:r w:rsidR="00782D09">
              <w:rPr>
                <w:noProof/>
                <w:webHidden/>
              </w:rPr>
              <w:instrText xml:space="preserve"> PAGEREF _Toc238235514 \h </w:instrText>
            </w:r>
            <w:r w:rsidR="00782D09">
              <w:rPr>
                <w:noProof/>
                <w:webHidden/>
              </w:rPr>
            </w:r>
            <w:r w:rsidR="00782D09">
              <w:rPr>
                <w:noProof/>
                <w:webHidden/>
              </w:rPr>
              <w:fldChar w:fldCharType="separate"/>
            </w:r>
            <w:r w:rsidR="00971CB9">
              <w:rPr>
                <w:noProof/>
                <w:webHidden/>
              </w:rPr>
              <w:t>21</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15" w:history="1">
            <w:r w:rsidR="00782D09" w:rsidRPr="00FC5484">
              <w:rPr>
                <w:rStyle w:val="Hyperlink"/>
                <w:noProof/>
              </w:rPr>
              <w:t>3.2 Sample Overview</w:t>
            </w:r>
            <w:r w:rsidR="00782D09">
              <w:rPr>
                <w:noProof/>
                <w:webHidden/>
              </w:rPr>
              <w:tab/>
            </w:r>
            <w:r w:rsidR="00782D09">
              <w:rPr>
                <w:noProof/>
                <w:webHidden/>
              </w:rPr>
              <w:fldChar w:fldCharType="begin"/>
            </w:r>
            <w:r w:rsidR="00782D09">
              <w:rPr>
                <w:noProof/>
                <w:webHidden/>
              </w:rPr>
              <w:instrText xml:space="preserve"> PAGEREF _Toc238235515 \h </w:instrText>
            </w:r>
            <w:r w:rsidR="00782D09">
              <w:rPr>
                <w:noProof/>
                <w:webHidden/>
              </w:rPr>
            </w:r>
            <w:r w:rsidR="00782D09">
              <w:rPr>
                <w:noProof/>
                <w:webHidden/>
              </w:rPr>
              <w:fldChar w:fldCharType="separate"/>
            </w:r>
            <w:r w:rsidR="00971CB9">
              <w:rPr>
                <w:noProof/>
                <w:webHidden/>
              </w:rPr>
              <w:t>21</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16" w:history="1">
            <w:r w:rsidR="00782D09" w:rsidRPr="00FC5484">
              <w:rPr>
                <w:rStyle w:val="Hyperlink"/>
                <w:noProof/>
              </w:rPr>
              <w:t>3.3 Findings and Discussion</w:t>
            </w:r>
            <w:r w:rsidR="00782D09">
              <w:rPr>
                <w:noProof/>
                <w:webHidden/>
              </w:rPr>
              <w:tab/>
            </w:r>
            <w:r w:rsidR="00782D09">
              <w:rPr>
                <w:noProof/>
                <w:webHidden/>
              </w:rPr>
              <w:fldChar w:fldCharType="begin"/>
            </w:r>
            <w:r w:rsidR="00782D09">
              <w:rPr>
                <w:noProof/>
                <w:webHidden/>
              </w:rPr>
              <w:instrText xml:space="preserve"> PAGEREF _Toc238235516 \h </w:instrText>
            </w:r>
            <w:r w:rsidR="00782D09">
              <w:rPr>
                <w:noProof/>
                <w:webHidden/>
              </w:rPr>
            </w:r>
            <w:r w:rsidR="00782D09">
              <w:rPr>
                <w:noProof/>
                <w:webHidden/>
              </w:rPr>
              <w:fldChar w:fldCharType="separate"/>
            </w:r>
            <w:r w:rsidR="00971CB9">
              <w:rPr>
                <w:noProof/>
                <w:webHidden/>
              </w:rPr>
              <w:t>25</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17" w:history="1">
            <w:r w:rsidR="00782D09" w:rsidRPr="00FC5484">
              <w:rPr>
                <w:rStyle w:val="Hyperlink"/>
                <w:noProof/>
              </w:rPr>
              <w:t>Theme 1: ESG initiatives have become a strategic priority for promoting sustainability in the food industry</w:t>
            </w:r>
            <w:r w:rsidR="00782D09">
              <w:rPr>
                <w:noProof/>
                <w:webHidden/>
              </w:rPr>
              <w:tab/>
            </w:r>
            <w:r w:rsidR="00782D09">
              <w:rPr>
                <w:noProof/>
                <w:webHidden/>
              </w:rPr>
              <w:fldChar w:fldCharType="begin"/>
            </w:r>
            <w:r w:rsidR="00782D09">
              <w:rPr>
                <w:noProof/>
                <w:webHidden/>
              </w:rPr>
              <w:instrText xml:space="preserve"> PAGEREF _Toc238235517 \h </w:instrText>
            </w:r>
            <w:r w:rsidR="00782D09">
              <w:rPr>
                <w:noProof/>
                <w:webHidden/>
              </w:rPr>
            </w:r>
            <w:r w:rsidR="00782D09">
              <w:rPr>
                <w:noProof/>
                <w:webHidden/>
              </w:rPr>
              <w:fldChar w:fldCharType="separate"/>
            </w:r>
            <w:r w:rsidR="00971CB9">
              <w:rPr>
                <w:noProof/>
                <w:webHidden/>
              </w:rPr>
              <w:t>25</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18" w:history="1">
            <w:r w:rsidR="00782D09" w:rsidRPr="00FC5484">
              <w:rPr>
                <w:rStyle w:val="Hyperlink"/>
                <w:noProof/>
              </w:rPr>
              <w:t>Theme 2: Effective initiatives of ESG positively influence customer trust in the food industry</w:t>
            </w:r>
            <w:r w:rsidR="00782D09">
              <w:rPr>
                <w:noProof/>
                <w:webHidden/>
              </w:rPr>
              <w:tab/>
            </w:r>
            <w:r w:rsidR="00782D09">
              <w:rPr>
                <w:noProof/>
                <w:webHidden/>
              </w:rPr>
              <w:fldChar w:fldCharType="begin"/>
            </w:r>
            <w:r w:rsidR="00782D09">
              <w:rPr>
                <w:noProof/>
                <w:webHidden/>
              </w:rPr>
              <w:instrText xml:space="preserve"> PAGEREF _Toc238235518 \h </w:instrText>
            </w:r>
            <w:r w:rsidR="00782D09">
              <w:rPr>
                <w:noProof/>
                <w:webHidden/>
              </w:rPr>
            </w:r>
            <w:r w:rsidR="00782D09">
              <w:rPr>
                <w:noProof/>
                <w:webHidden/>
              </w:rPr>
              <w:fldChar w:fldCharType="separate"/>
            </w:r>
            <w:r w:rsidR="00971CB9">
              <w:rPr>
                <w:noProof/>
                <w:webHidden/>
              </w:rPr>
              <w:t>30</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19" w:history="1">
            <w:r w:rsidR="00782D09" w:rsidRPr="00FC5484">
              <w:rPr>
                <w:rStyle w:val="Hyperlink"/>
                <w:noProof/>
              </w:rPr>
              <w:t>Theme 3:  Challenges in the ESG initiatives in limit the development of customer trust</w:t>
            </w:r>
            <w:r w:rsidR="00782D09">
              <w:rPr>
                <w:noProof/>
                <w:webHidden/>
              </w:rPr>
              <w:tab/>
            </w:r>
            <w:r w:rsidR="00782D09">
              <w:rPr>
                <w:noProof/>
                <w:webHidden/>
              </w:rPr>
              <w:fldChar w:fldCharType="begin"/>
            </w:r>
            <w:r w:rsidR="00782D09">
              <w:rPr>
                <w:noProof/>
                <w:webHidden/>
              </w:rPr>
              <w:instrText xml:space="preserve"> PAGEREF _Toc238235519 \h </w:instrText>
            </w:r>
            <w:r w:rsidR="00782D09">
              <w:rPr>
                <w:noProof/>
                <w:webHidden/>
              </w:rPr>
            </w:r>
            <w:r w:rsidR="00782D09">
              <w:rPr>
                <w:noProof/>
                <w:webHidden/>
              </w:rPr>
              <w:fldChar w:fldCharType="separate"/>
            </w:r>
            <w:r w:rsidR="00971CB9">
              <w:rPr>
                <w:noProof/>
                <w:webHidden/>
              </w:rPr>
              <w:t>34</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20" w:history="1">
            <w:r w:rsidR="00782D09" w:rsidRPr="00FC5484">
              <w:rPr>
                <w:rStyle w:val="Hyperlink"/>
                <w:noProof/>
              </w:rPr>
              <w:t>Theme 4: Organisational commitment and stakeholder engagement strengthen ESG implementation</w:t>
            </w:r>
            <w:r w:rsidR="00782D09">
              <w:rPr>
                <w:noProof/>
                <w:webHidden/>
              </w:rPr>
              <w:tab/>
            </w:r>
            <w:r w:rsidR="00782D09">
              <w:rPr>
                <w:noProof/>
                <w:webHidden/>
              </w:rPr>
              <w:fldChar w:fldCharType="begin"/>
            </w:r>
            <w:r w:rsidR="00782D09">
              <w:rPr>
                <w:noProof/>
                <w:webHidden/>
              </w:rPr>
              <w:instrText xml:space="preserve"> PAGEREF _Toc238235520 \h </w:instrText>
            </w:r>
            <w:r w:rsidR="00782D09">
              <w:rPr>
                <w:noProof/>
                <w:webHidden/>
              </w:rPr>
            </w:r>
            <w:r w:rsidR="00782D09">
              <w:rPr>
                <w:noProof/>
                <w:webHidden/>
              </w:rPr>
              <w:fldChar w:fldCharType="separate"/>
            </w:r>
            <w:r w:rsidR="00971CB9">
              <w:rPr>
                <w:noProof/>
                <w:webHidden/>
              </w:rPr>
              <w:t>39</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21" w:history="1">
            <w:r w:rsidR="00782D09" w:rsidRPr="00FC5484">
              <w:rPr>
                <w:rStyle w:val="Hyperlink"/>
                <w:noProof/>
              </w:rPr>
              <w:t>3.4 Relations to literature</w:t>
            </w:r>
            <w:r w:rsidR="00782D09">
              <w:rPr>
                <w:noProof/>
                <w:webHidden/>
              </w:rPr>
              <w:tab/>
            </w:r>
            <w:r w:rsidR="00782D09">
              <w:rPr>
                <w:noProof/>
                <w:webHidden/>
              </w:rPr>
              <w:fldChar w:fldCharType="begin"/>
            </w:r>
            <w:r w:rsidR="00782D09">
              <w:rPr>
                <w:noProof/>
                <w:webHidden/>
              </w:rPr>
              <w:instrText xml:space="preserve"> PAGEREF _Toc238235521 \h </w:instrText>
            </w:r>
            <w:r w:rsidR="00782D09">
              <w:rPr>
                <w:noProof/>
                <w:webHidden/>
              </w:rPr>
            </w:r>
            <w:r w:rsidR="00782D09">
              <w:rPr>
                <w:noProof/>
                <w:webHidden/>
              </w:rPr>
              <w:fldChar w:fldCharType="separate"/>
            </w:r>
            <w:r w:rsidR="00971CB9">
              <w:rPr>
                <w:noProof/>
                <w:webHidden/>
              </w:rPr>
              <w:t>44</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22" w:history="1">
            <w:r w:rsidR="00782D09" w:rsidRPr="00FC5484">
              <w:rPr>
                <w:rStyle w:val="Hyperlink"/>
                <w:noProof/>
              </w:rPr>
              <w:t>3.5 Conceptual framework</w:t>
            </w:r>
            <w:r w:rsidR="00782D09">
              <w:rPr>
                <w:noProof/>
                <w:webHidden/>
              </w:rPr>
              <w:tab/>
            </w:r>
            <w:r w:rsidR="00782D09">
              <w:rPr>
                <w:noProof/>
                <w:webHidden/>
              </w:rPr>
              <w:fldChar w:fldCharType="begin"/>
            </w:r>
            <w:r w:rsidR="00782D09">
              <w:rPr>
                <w:noProof/>
                <w:webHidden/>
              </w:rPr>
              <w:instrText xml:space="preserve"> PAGEREF _Toc238235522 \h </w:instrText>
            </w:r>
            <w:r w:rsidR="00782D09">
              <w:rPr>
                <w:noProof/>
                <w:webHidden/>
              </w:rPr>
            </w:r>
            <w:r w:rsidR="00782D09">
              <w:rPr>
                <w:noProof/>
                <w:webHidden/>
              </w:rPr>
              <w:fldChar w:fldCharType="separate"/>
            </w:r>
            <w:r w:rsidR="00971CB9">
              <w:rPr>
                <w:noProof/>
                <w:webHidden/>
              </w:rPr>
              <w:t>45</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23" w:history="1">
            <w:r w:rsidR="00782D09" w:rsidRPr="00FC5484">
              <w:rPr>
                <w:rStyle w:val="Hyperlink"/>
                <w:noProof/>
              </w:rPr>
              <w:t>3.6 Marginal implications</w:t>
            </w:r>
            <w:r w:rsidR="00782D09">
              <w:rPr>
                <w:noProof/>
                <w:webHidden/>
              </w:rPr>
              <w:tab/>
            </w:r>
            <w:r w:rsidR="00782D09">
              <w:rPr>
                <w:noProof/>
                <w:webHidden/>
              </w:rPr>
              <w:fldChar w:fldCharType="begin"/>
            </w:r>
            <w:r w:rsidR="00782D09">
              <w:rPr>
                <w:noProof/>
                <w:webHidden/>
              </w:rPr>
              <w:instrText xml:space="preserve"> PAGEREF _Toc238235523 \h </w:instrText>
            </w:r>
            <w:r w:rsidR="00782D09">
              <w:rPr>
                <w:noProof/>
                <w:webHidden/>
              </w:rPr>
            </w:r>
            <w:r w:rsidR="00782D09">
              <w:rPr>
                <w:noProof/>
                <w:webHidden/>
              </w:rPr>
              <w:fldChar w:fldCharType="separate"/>
            </w:r>
            <w:r w:rsidR="00971CB9">
              <w:rPr>
                <w:noProof/>
                <w:webHidden/>
              </w:rPr>
              <w:t>46</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24" w:history="1">
            <w:r w:rsidR="00782D09" w:rsidRPr="00FC5484">
              <w:rPr>
                <w:rStyle w:val="Hyperlink"/>
                <w:noProof/>
              </w:rPr>
              <w:t>3.7 Evidence synthesis</w:t>
            </w:r>
            <w:r w:rsidR="00782D09">
              <w:rPr>
                <w:noProof/>
                <w:webHidden/>
              </w:rPr>
              <w:tab/>
            </w:r>
            <w:r w:rsidR="00782D09">
              <w:rPr>
                <w:noProof/>
                <w:webHidden/>
              </w:rPr>
              <w:fldChar w:fldCharType="begin"/>
            </w:r>
            <w:r w:rsidR="00782D09">
              <w:rPr>
                <w:noProof/>
                <w:webHidden/>
              </w:rPr>
              <w:instrText xml:space="preserve"> PAGEREF _Toc238235524 \h </w:instrText>
            </w:r>
            <w:r w:rsidR="00782D09">
              <w:rPr>
                <w:noProof/>
                <w:webHidden/>
              </w:rPr>
            </w:r>
            <w:r w:rsidR="00782D09">
              <w:rPr>
                <w:noProof/>
                <w:webHidden/>
              </w:rPr>
              <w:fldChar w:fldCharType="separate"/>
            </w:r>
            <w:r w:rsidR="00971CB9">
              <w:rPr>
                <w:noProof/>
                <w:webHidden/>
              </w:rPr>
              <w:t>46</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25" w:history="1">
            <w:r w:rsidR="00782D09" w:rsidRPr="00FC5484">
              <w:rPr>
                <w:rStyle w:val="Hyperlink"/>
                <w:noProof/>
              </w:rPr>
              <w:t>3.8 Chapter summary</w:t>
            </w:r>
            <w:r w:rsidR="00782D09">
              <w:rPr>
                <w:noProof/>
                <w:webHidden/>
              </w:rPr>
              <w:tab/>
            </w:r>
            <w:r w:rsidR="00782D09">
              <w:rPr>
                <w:noProof/>
                <w:webHidden/>
              </w:rPr>
              <w:fldChar w:fldCharType="begin"/>
            </w:r>
            <w:r w:rsidR="00782D09">
              <w:rPr>
                <w:noProof/>
                <w:webHidden/>
              </w:rPr>
              <w:instrText xml:space="preserve"> PAGEREF _Toc238235525 \h </w:instrText>
            </w:r>
            <w:r w:rsidR="00782D09">
              <w:rPr>
                <w:noProof/>
                <w:webHidden/>
              </w:rPr>
            </w:r>
            <w:r w:rsidR="00782D09">
              <w:rPr>
                <w:noProof/>
                <w:webHidden/>
              </w:rPr>
              <w:fldChar w:fldCharType="separate"/>
            </w:r>
            <w:r w:rsidR="00971CB9">
              <w:rPr>
                <w:noProof/>
                <w:webHidden/>
              </w:rPr>
              <w:t>47</w:t>
            </w:r>
            <w:r w:rsidR="00782D09">
              <w:rPr>
                <w:noProof/>
                <w:webHidden/>
              </w:rPr>
              <w:fldChar w:fldCharType="end"/>
            </w:r>
          </w:hyperlink>
        </w:p>
        <w:p w:rsidR="00782D09" w:rsidRDefault="00FB5D41">
          <w:pPr>
            <w:pStyle w:val="TOC1"/>
            <w:tabs>
              <w:tab w:val="right" w:pos="9019"/>
            </w:tabs>
            <w:rPr>
              <w:rFonts w:asciiTheme="minorHAnsi" w:eastAsiaTheme="minorEastAsia" w:hAnsiTheme="minorHAnsi" w:cstheme="minorBidi"/>
              <w:noProof/>
              <w:color w:val="auto"/>
              <w:sz w:val="22"/>
              <w:szCs w:val="22"/>
              <w:lang w:val="en-GB"/>
            </w:rPr>
          </w:pPr>
          <w:hyperlink w:anchor="_Toc238235526" w:history="1">
            <w:r w:rsidR="00782D09" w:rsidRPr="00FC5484">
              <w:rPr>
                <w:rStyle w:val="Hyperlink"/>
                <w:noProof/>
              </w:rPr>
              <w:t>Chapter 5: Conclusions And Recommendations</w:t>
            </w:r>
            <w:r w:rsidR="00782D09">
              <w:rPr>
                <w:noProof/>
                <w:webHidden/>
              </w:rPr>
              <w:tab/>
            </w:r>
            <w:r w:rsidR="00782D09">
              <w:rPr>
                <w:noProof/>
                <w:webHidden/>
              </w:rPr>
              <w:fldChar w:fldCharType="begin"/>
            </w:r>
            <w:r w:rsidR="00782D09">
              <w:rPr>
                <w:noProof/>
                <w:webHidden/>
              </w:rPr>
              <w:instrText xml:space="preserve"> PAGEREF _Toc238235526 \h </w:instrText>
            </w:r>
            <w:r w:rsidR="00782D09">
              <w:rPr>
                <w:noProof/>
                <w:webHidden/>
              </w:rPr>
            </w:r>
            <w:r w:rsidR="00782D09">
              <w:rPr>
                <w:noProof/>
                <w:webHidden/>
              </w:rPr>
              <w:fldChar w:fldCharType="separate"/>
            </w:r>
            <w:r w:rsidR="00971CB9">
              <w:rPr>
                <w:noProof/>
                <w:webHidden/>
              </w:rPr>
              <w:t>49</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27" w:history="1">
            <w:r w:rsidR="00782D09" w:rsidRPr="00FC5484">
              <w:rPr>
                <w:rStyle w:val="Hyperlink"/>
                <w:noProof/>
              </w:rPr>
              <w:t>5.1 Summary of main findings</w:t>
            </w:r>
            <w:r w:rsidR="00782D09">
              <w:rPr>
                <w:noProof/>
                <w:webHidden/>
              </w:rPr>
              <w:tab/>
            </w:r>
            <w:r w:rsidR="00782D09">
              <w:rPr>
                <w:noProof/>
                <w:webHidden/>
              </w:rPr>
              <w:fldChar w:fldCharType="begin"/>
            </w:r>
            <w:r w:rsidR="00782D09">
              <w:rPr>
                <w:noProof/>
                <w:webHidden/>
              </w:rPr>
              <w:instrText xml:space="preserve"> PAGEREF _Toc238235527 \h </w:instrText>
            </w:r>
            <w:r w:rsidR="00782D09">
              <w:rPr>
                <w:noProof/>
                <w:webHidden/>
              </w:rPr>
            </w:r>
            <w:r w:rsidR="00782D09">
              <w:rPr>
                <w:noProof/>
                <w:webHidden/>
              </w:rPr>
              <w:fldChar w:fldCharType="separate"/>
            </w:r>
            <w:r w:rsidR="00971CB9">
              <w:rPr>
                <w:noProof/>
                <w:webHidden/>
              </w:rPr>
              <w:t>49</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28" w:history="1">
            <w:r w:rsidR="00782D09" w:rsidRPr="00FC5484">
              <w:rPr>
                <w:rStyle w:val="Hyperlink"/>
                <w:noProof/>
              </w:rPr>
              <w:t>5.2 Conclusion based on the research question</w:t>
            </w:r>
            <w:r w:rsidR="00782D09">
              <w:rPr>
                <w:noProof/>
                <w:webHidden/>
              </w:rPr>
              <w:tab/>
            </w:r>
            <w:r w:rsidR="00782D09">
              <w:rPr>
                <w:noProof/>
                <w:webHidden/>
              </w:rPr>
              <w:fldChar w:fldCharType="begin"/>
            </w:r>
            <w:r w:rsidR="00782D09">
              <w:rPr>
                <w:noProof/>
                <w:webHidden/>
              </w:rPr>
              <w:instrText xml:space="preserve"> PAGEREF _Toc238235528 \h </w:instrText>
            </w:r>
            <w:r w:rsidR="00782D09">
              <w:rPr>
                <w:noProof/>
                <w:webHidden/>
              </w:rPr>
            </w:r>
            <w:r w:rsidR="00782D09">
              <w:rPr>
                <w:noProof/>
                <w:webHidden/>
              </w:rPr>
              <w:fldChar w:fldCharType="separate"/>
            </w:r>
            <w:r w:rsidR="00971CB9">
              <w:rPr>
                <w:noProof/>
                <w:webHidden/>
              </w:rPr>
              <w:t>50</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29" w:history="1">
            <w:r w:rsidR="00782D09" w:rsidRPr="00FC5484">
              <w:rPr>
                <w:rStyle w:val="Hyperlink"/>
                <w:noProof/>
              </w:rPr>
              <w:t>5.3 Recommendations</w:t>
            </w:r>
            <w:r w:rsidR="00782D09">
              <w:rPr>
                <w:noProof/>
                <w:webHidden/>
              </w:rPr>
              <w:tab/>
            </w:r>
            <w:r w:rsidR="00782D09">
              <w:rPr>
                <w:noProof/>
                <w:webHidden/>
              </w:rPr>
              <w:fldChar w:fldCharType="begin"/>
            </w:r>
            <w:r w:rsidR="00782D09">
              <w:rPr>
                <w:noProof/>
                <w:webHidden/>
              </w:rPr>
              <w:instrText xml:space="preserve"> PAGEREF _Toc238235529 \h </w:instrText>
            </w:r>
            <w:r w:rsidR="00782D09">
              <w:rPr>
                <w:noProof/>
                <w:webHidden/>
              </w:rPr>
            </w:r>
            <w:r w:rsidR="00782D09">
              <w:rPr>
                <w:noProof/>
                <w:webHidden/>
              </w:rPr>
              <w:fldChar w:fldCharType="separate"/>
            </w:r>
            <w:r w:rsidR="00971CB9">
              <w:rPr>
                <w:noProof/>
                <w:webHidden/>
              </w:rPr>
              <w:t>51</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30" w:history="1">
            <w:r w:rsidR="00782D09" w:rsidRPr="00FC5484">
              <w:rPr>
                <w:rStyle w:val="Hyperlink"/>
                <w:noProof/>
              </w:rPr>
              <w:t>5.3.1 Practical recommendations</w:t>
            </w:r>
            <w:r w:rsidR="00782D09">
              <w:rPr>
                <w:noProof/>
                <w:webHidden/>
              </w:rPr>
              <w:tab/>
            </w:r>
            <w:r w:rsidR="00782D09">
              <w:rPr>
                <w:noProof/>
                <w:webHidden/>
              </w:rPr>
              <w:fldChar w:fldCharType="begin"/>
            </w:r>
            <w:r w:rsidR="00782D09">
              <w:rPr>
                <w:noProof/>
                <w:webHidden/>
              </w:rPr>
              <w:instrText xml:space="preserve"> PAGEREF _Toc238235530 \h </w:instrText>
            </w:r>
            <w:r w:rsidR="00782D09">
              <w:rPr>
                <w:noProof/>
                <w:webHidden/>
              </w:rPr>
            </w:r>
            <w:r w:rsidR="00782D09">
              <w:rPr>
                <w:noProof/>
                <w:webHidden/>
              </w:rPr>
              <w:fldChar w:fldCharType="separate"/>
            </w:r>
            <w:r w:rsidR="00971CB9">
              <w:rPr>
                <w:noProof/>
                <w:webHidden/>
              </w:rPr>
              <w:t>51</w:t>
            </w:r>
            <w:r w:rsidR="00782D09">
              <w:rPr>
                <w:noProof/>
                <w:webHidden/>
              </w:rPr>
              <w:fldChar w:fldCharType="end"/>
            </w:r>
          </w:hyperlink>
        </w:p>
        <w:p w:rsidR="00782D09" w:rsidRDefault="00FB5D41">
          <w:pPr>
            <w:pStyle w:val="TOC3"/>
            <w:tabs>
              <w:tab w:val="right" w:pos="9019"/>
            </w:tabs>
            <w:rPr>
              <w:rFonts w:asciiTheme="minorHAnsi" w:eastAsiaTheme="minorEastAsia" w:hAnsiTheme="minorHAnsi" w:cstheme="minorBidi"/>
              <w:noProof/>
              <w:color w:val="auto"/>
              <w:sz w:val="22"/>
              <w:szCs w:val="22"/>
              <w:lang w:val="en-GB"/>
            </w:rPr>
          </w:pPr>
          <w:hyperlink w:anchor="_Toc238235531" w:history="1">
            <w:r w:rsidR="00782D09" w:rsidRPr="00FC5484">
              <w:rPr>
                <w:rStyle w:val="Hyperlink"/>
                <w:noProof/>
              </w:rPr>
              <w:t>5.3.2 Theoretical recommendations</w:t>
            </w:r>
            <w:r w:rsidR="00782D09">
              <w:rPr>
                <w:noProof/>
                <w:webHidden/>
              </w:rPr>
              <w:tab/>
            </w:r>
            <w:r w:rsidR="00782D09">
              <w:rPr>
                <w:noProof/>
                <w:webHidden/>
              </w:rPr>
              <w:fldChar w:fldCharType="begin"/>
            </w:r>
            <w:r w:rsidR="00782D09">
              <w:rPr>
                <w:noProof/>
                <w:webHidden/>
              </w:rPr>
              <w:instrText xml:space="preserve"> PAGEREF _Toc238235531 \h </w:instrText>
            </w:r>
            <w:r w:rsidR="00782D09">
              <w:rPr>
                <w:noProof/>
                <w:webHidden/>
              </w:rPr>
            </w:r>
            <w:r w:rsidR="00782D09">
              <w:rPr>
                <w:noProof/>
                <w:webHidden/>
              </w:rPr>
              <w:fldChar w:fldCharType="separate"/>
            </w:r>
            <w:r w:rsidR="00971CB9">
              <w:rPr>
                <w:noProof/>
                <w:webHidden/>
              </w:rPr>
              <w:t>51</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32" w:history="1">
            <w:r w:rsidR="00782D09" w:rsidRPr="00FC5484">
              <w:rPr>
                <w:rStyle w:val="Hyperlink"/>
                <w:noProof/>
              </w:rPr>
              <w:t>5.4 Limitations of the research</w:t>
            </w:r>
            <w:r w:rsidR="00782D09">
              <w:rPr>
                <w:noProof/>
                <w:webHidden/>
              </w:rPr>
              <w:tab/>
            </w:r>
            <w:r w:rsidR="00782D09">
              <w:rPr>
                <w:noProof/>
                <w:webHidden/>
              </w:rPr>
              <w:fldChar w:fldCharType="begin"/>
            </w:r>
            <w:r w:rsidR="00782D09">
              <w:rPr>
                <w:noProof/>
                <w:webHidden/>
              </w:rPr>
              <w:instrText xml:space="preserve"> PAGEREF _Toc238235532 \h </w:instrText>
            </w:r>
            <w:r w:rsidR="00782D09">
              <w:rPr>
                <w:noProof/>
                <w:webHidden/>
              </w:rPr>
            </w:r>
            <w:r w:rsidR="00782D09">
              <w:rPr>
                <w:noProof/>
                <w:webHidden/>
              </w:rPr>
              <w:fldChar w:fldCharType="separate"/>
            </w:r>
            <w:r w:rsidR="00971CB9">
              <w:rPr>
                <w:noProof/>
                <w:webHidden/>
              </w:rPr>
              <w:t>52</w:t>
            </w:r>
            <w:r w:rsidR="00782D09">
              <w:rPr>
                <w:noProof/>
                <w:webHidden/>
              </w:rPr>
              <w:fldChar w:fldCharType="end"/>
            </w:r>
          </w:hyperlink>
        </w:p>
        <w:p w:rsidR="00782D09" w:rsidRDefault="00FB5D41">
          <w:pPr>
            <w:pStyle w:val="TOC2"/>
            <w:tabs>
              <w:tab w:val="right" w:pos="9019"/>
            </w:tabs>
            <w:rPr>
              <w:rFonts w:asciiTheme="minorHAnsi" w:eastAsiaTheme="minorEastAsia" w:hAnsiTheme="minorHAnsi" w:cstheme="minorBidi"/>
              <w:noProof/>
              <w:color w:val="auto"/>
              <w:sz w:val="22"/>
              <w:szCs w:val="22"/>
              <w:lang w:val="en-GB"/>
            </w:rPr>
          </w:pPr>
          <w:hyperlink w:anchor="_Toc238235533" w:history="1">
            <w:r w:rsidR="00782D09" w:rsidRPr="00FC5484">
              <w:rPr>
                <w:rStyle w:val="Hyperlink"/>
                <w:noProof/>
              </w:rPr>
              <w:t>5.5 Recommendations for future work</w:t>
            </w:r>
            <w:r w:rsidR="00782D09">
              <w:rPr>
                <w:noProof/>
                <w:webHidden/>
              </w:rPr>
              <w:tab/>
            </w:r>
            <w:r w:rsidR="00782D09">
              <w:rPr>
                <w:noProof/>
                <w:webHidden/>
              </w:rPr>
              <w:fldChar w:fldCharType="begin"/>
            </w:r>
            <w:r w:rsidR="00782D09">
              <w:rPr>
                <w:noProof/>
                <w:webHidden/>
              </w:rPr>
              <w:instrText xml:space="preserve"> PAGEREF _Toc238235533 \h </w:instrText>
            </w:r>
            <w:r w:rsidR="00782D09">
              <w:rPr>
                <w:noProof/>
                <w:webHidden/>
              </w:rPr>
            </w:r>
            <w:r w:rsidR="00782D09">
              <w:rPr>
                <w:noProof/>
                <w:webHidden/>
              </w:rPr>
              <w:fldChar w:fldCharType="separate"/>
            </w:r>
            <w:r w:rsidR="00971CB9">
              <w:rPr>
                <w:noProof/>
                <w:webHidden/>
              </w:rPr>
              <w:t>52</w:t>
            </w:r>
            <w:r w:rsidR="00782D09">
              <w:rPr>
                <w:noProof/>
                <w:webHidden/>
              </w:rPr>
              <w:fldChar w:fldCharType="end"/>
            </w:r>
          </w:hyperlink>
        </w:p>
        <w:p w:rsidR="00782D09" w:rsidRDefault="00FB5D41">
          <w:pPr>
            <w:pStyle w:val="TOC1"/>
            <w:tabs>
              <w:tab w:val="right" w:pos="9019"/>
            </w:tabs>
            <w:rPr>
              <w:rFonts w:asciiTheme="minorHAnsi" w:eastAsiaTheme="minorEastAsia" w:hAnsiTheme="minorHAnsi" w:cstheme="minorBidi"/>
              <w:noProof/>
              <w:color w:val="auto"/>
              <w:sz w:val="22"/>
              <w:szCs w:val="22"/>
              <w:lang w:val="en-GB"/>
            </w:rPr>
          </w:pPr>
          <w:hyperlink w:anchor="_Toc238235534" w:history="1">
            <w:r w:rsidR="00782D09" w:rsidRPr="00FC5484">
              <w:rPr>
                <w:rStyle w:val="Hyperlink"/>
                <w:noProof/>
              </w:rPr>
              <w:t>References</w:t>
            </w:r>
            <w:r w:rsidR="00782D09">
              <w:rPr>
                <w:noProof/>
                <w:webHidden/>
              </w:rPr>
              <w:tab/>
            </w:r>
            <w:r w:rsidR="00782D09">
              <w:rPr>
                <w:noProof/>
                <w:webHidden/>
              </w:rPr>
              <w:fldChar w:fldCharType="begin"/>
            </w:r>
            <w:r w:rsidR="00782D09">
              <w:rPr>
                <w:noProof/>
                <w:webHidden/>
              </w:rPr>
              <w:instrText xml:space="preserve"> PAGEREF _Toc238235534 \h </w:instrText>
            </w:r>
            <w:r w:rsidR="00782D09">
              <w:rPr>
                <w:noProof/>
                <w:webHidden/>
              </w:rPr>
            </w:r>
            <w:r w:rsidR="00782D09">
              <w:rPr>
                <w:noProof/>
                <w:webHidden/>
              </w:rPr>
              <w:fldChar w:fldCharType="separate"/>
            </w:r>
            <w:r w:rsidR="00971CB9">
              <w:rPr>
                <w:noProof/>
                <w:webHidden/>
              </w:rPr>
              <w:t>54</w:t>
            </w:r>
            <w:r w:rsidR="00782D09">
              <w:rPr>
                <w:noProof/>
                <w:webHidden/>
              </w:rPr>
              <w:fldChar w:fldCharType="end"/>
            </w:r>
          </w:hyperlink>
        </w:p>
        <w:p w:rsidR="00782D09" w:rsidRDefault="00FB5D41">
          <w:pPr>
            <w:pStyle w:val="TOC1"/>
            <w:tabs>
              <w:tab w:val="right" w:pos="9019"/>
            </w:tabs>
            <w:rPr>
              <w:rFonts w:asciiTheme="minorHAnsi" w:eastAsiaTheme="minorEastAsia" w:hAnsiTheme="minorHAnsi" w:cstheme="minorBidi"/>
              <w:noProof/>
              <w:color w:val="auto"/>
              <w:sz w:val="22"/>
              <w:szCs w:val="22"/>
              <w:lang w:val="en-GB"/>
            </w:rPr>
          </w:pPr>
          <w:hyperlink w:anchor="_Toc238235535" w:history="1">
            <w:r w:rsidR="00782D09" w:rsidRPr="00FC5484">
              <w:rPr>
                <w:rStyle w:val="Hyperlink"/>
                <w:noProof/>
              </w:rPr>
              <w:t>Appendix: Ethics Form</w:t>
            </w:r>
            <w:r w:rsidR="00782D09">
              <w:rPr>
                <w:noProof/>
                <w:webHidden/>
              </w:rPr>
              <w:tab/>
            </w:r>
            <w:r w:rsidR="00782D09">
              <w:rPr>
                <w:noProof/>
                <w:webHidden/>
              </w:rPr>
              <w:fldChar w:fldCharType="begin"/>
            </w:r>
            <w:r w:rsidR="00782D09">
              <w:rPr>
                <w:noProof/>
                <w:webHidden/>
              </w:rPr>
              <w:instrText xml:space="preserve"> PAGEREF _Toc238235535 \h </w:instrText>
            </w:r>
            <w:r w:rsidR="00782D09">
              <w:rPr>
                <w:noProof/>
                <w:webHidden/>
              </w:rPr>
            </w:r>
            <w:r w:rsidR="00782D09">
              <w:rPr>
                <w:noProof/>
                <w:webHidden/>
              </w:rPr>
              <w:fldChar w:fldCharType="separate"/>
            </w:r>
            <w:r w:rsidR="00971CB9">
              <w:rPr>
                <w:noProof/>
                <w:webHidden/>
              </w:rPr>
              <w:t>68</w:t>
            </w:r>
            <w:r w:rsidR="00782D09">
              <w:rPr>
                <w:noProof/>
                <w:webHidden/>
              </w:rPr>
              <w:fldChar w:fldCharType="end"/>
            </w:r>
          </w:hyperlink>
        </w:p>
        <w:p w:rsidR="007E7629" w:rsidRDefault="003E360F">
          <w:pPr>
            <w:pBdr>
              <w:top w:val="nil"/>
              <w:left w:val="nil"/>
              <w:bottom w:val="nil"/>
              <w:right w:val="nil"/>
              <w:between w:val="nil"/>
            </w:pBdr>
            <w:tabs>
              <w:tab w:val="right" w:pos="9019"/>
            </w:tabs>
            <w:spacing w:after="100"/>
          </w:pPr>
          <w:r>
            <w:fldChar w:fldCharType="end"/>
          </w:r>
        </w:p>
      </w:sdtContent>
    </w:sdt>
    <w:p w:rsidR="007E7629" w:rsidRDefault="007E7629"/>
    <w:p w:rsidR="007E7629" w:rsidRDefault="003E360F">
      <w:pPr>
        <w:jc w:val="center"/>
        <w:rPr>
          <w:b/>
          <w:bCs/>
        </w:rPr>
      </w:pPr>
      <w:r>
        <w:rPr>
          <w:b/>
          <w:bCs/>
        </w:rPr>
        <w:t>List of Figures</w:t>
      </w:r>
    </w:p>
    <w:p w:rsidR="008D2EC4" w:rsidRDefault="008D2EC4">
      <w:pPr>
        <w:pStyle w:val="TableofFigures"/>
        <w:tabs>
          <w:tab w:val="right" w:leader="dot" w:pos="9019"/>
        </w:tabs>
        <w:rPr>
          <w:rFonts w:asciiTheme="minorHAnsi" w:eastAsiaTheme="minorEastAsia" w:hAnsiTheme="minorHAnsi" w:cstheme="minorBidi"/>
          <w:noProof/>
          <w:color w:val="auto"/>
          <w:sz w:val="22"/>
          <w:szCs w:val="22"/>
          <w:lang w:val="en-GB"/>
        </w:rPr>
      </w:pPr>
      <w:r>
        <w:rPr>
          <w:b/>
          <w:bCs/>
        </w:rPr>
        <w:fldChar w:fldCharType="begin"/>
      </w:r>
      <w:r>
        <w:rPr>
          <w:b/>
          <w:bCs/>
        </w:rPr>
        <w:instrText xml:space="preserve"> TOC \h \z \c "Figure" </w:instrText>
      </w:r>
      <w:r>
        <w:rPr>
          <w:b/>
          <w:bCs/>
        </w:rPr>
        <w:fldChar w:fldCharType="separate"/>
      </w:r>
      <w:hyperlink w:anchor="_Toc237861940" w:history="1">
        <w:r w:rsidRPr="00990FDC">
          <w:rPr>
            <w:rStyle w:val="Hyperlink"/>
            <w:noProof/>
          </w:rPr>
          <w:t>Figure 1: Dissertation Structure</w:t>
        </w:r>
        <w:r>
          <w:rPr>
            <w:noProof/>
            <w:webHidden/>
          </w:rPr>
          <w:tab/>
        </w:r>
        <w:r>
          <w:rPr>
            <w:noProof/>
            <w:webHidden/>
          </w:rPr>
          <w:fldChar w:fldCharType="begin"/>
        </w:r>
        <w:r>
          <w:rPr>
            <w:noProof/>
            <w:webHidden/>
          </w:rPr>
          <w:instrText xml:space="preserve"> PAGEREF _Toc237861940 \h </w:instrText>
        </w:r>
        <w:r>
          <w:rPr>
            <w:noProof/>
            <w:webHidden/>
          </w:rPr>
        </w:r>
        <w:r>
          <w:rPr>
            <w:noProof/>
            <w:webHidden/>
          </w:rPr>
          <w:fldChar w:fldCharType="separate"/>
        </w:r>
        <w:r w:rsidR="00971CB9">
          <w:rPr>
            <w:noProof/>
            <w:webHidden/>
          </w:rPr>
          <w:t>12</w:t>
        </w:r>
        <w:r>
          <w:rPr>
            <w:noProof/>
            <w:webHidden/>
          </w:rPr>
          <w:fldChar w:fldCharType="end"/>
        </w:r>
      </w:hyperlink>
    </w:p>
    <w:p w:rsidR="008D2EC4" w:rsidRDefault="00FB5D41">
      <w:pPr>
        <w:pStyle w:val="TableofFigures"/>
        <w:tabs>
          <w:tab w:val="right" w:leader="dot" w:pos="9019"/>
        </w:tabs>
        <w:rPr>
          <w:rFonts w:asciiTheme="minorHAnsi" w:eastAsiaTheme="minorEastAsia" w:hAnsiTheme="minorHAnsi" w:cstheme="minorBidi"/>
          <w:noProof/>
          <w:color w:val="auto"/>
          <w:sz w:val="22"/>
          <w:szCs w:val="22"/>
          <w:lang w:val="en-GB"/>
        </w:rPr>
      </w:pPr>
      <w:hyperlink w:anchor="_Toc237861941" w:history="1">
        <w:r w:rsidR="008D2EC4" w:rsidRPr="00990FDC">
          <w:rPr>
            <w:rStyle w:val="Hyperlink"/>
            <w:noProof/>
          </w:rPr>
          <w:t>Figure 2: PRISMA Flowchart representing selection of the sources for the final review</w:t>
        </w:r>
        <w:r w:rsidR="008D2EC4">
          <w:rPr>
            <w:noProof/>
            <w:webHidden/>
          </w:rPr>
          <w:tab/>
        </w:r>
        <w:r w:rsidR="008D2EC4">
          <w:rPr>
            <w:noProof/>
            <w:webHidden/>
          </w:rPr>
          <w:fldChar w:fldCharType="begin"/>
        </w:r>
        <w:r w:rsidR="008D2EC4">
          <w:rPr>
            <w:noProof/>
            <w:webHidden/>
          </w:rPr>
          <w:instrText xml:space="preserve"> PAGEREF _Toc237861941 \h </w:instrText>
        </w:r>
        <w:r w:rsidR="008D2EC4">
          <w:rPr>
            <w:noProof/>
            <w:webHidden/>
          </w:rPr>
        </w:r>
        <w:r w:rsidR="008D2EC4">
          <w:rPr>
            <w:noProof/>
            <w:webHidden/>
          </w:rPr>
          <w:fldChar w:fldCharType="separate"/>
        </w:r>
        <w:r w:rsidR="00971CB9">
          <w:rPr>
            <w:noProof/>
            <w:webHidden/>
          </w:rPr>
          <w:t>19</w:t>
        </w:r>
        <w:r w:rsidR="008D2EC4">
          <w:rPr>
            <w:noProof/>
            <w:webHidden/>
          </w:rPr>
          <w:fldChar w:fldCharType="end"/>
        </w:r>
      </w:hyperlink>
    </w:p>
    <w:p w:rsidR="008D2EC4" w:rsidRDefault="00FB5D41">
      <w:pPr>
        <w:pStyle w:val="TableofFigures"/>
        <w:tabs>
          <w:tab w:val="right" w:leader="dot" w:pos="9019"/>
        </w:tabs>
        <w:rPr>
          <w:rFonts w:asciiTheme="minorHAnsi" w:eastAsiaTheme="minorEastAsia" w:hAnsiTheme="minorHAnsi" w:cstheme="minorBidi"/>
          <w:noProof/>
          <w:color w:val="auto"/>
          <w:sz w:val="22"/>
          <w:szCs w:val="22"/>
          <w:lang w:val="en-GB"/>
        </w:rPr>
      </w:pPr>
      <w:hyperlink w:anchor="_Toc237861942" w:history="1">
        <w:r w:rsidR="008D2EC4" w:rsidRPr="00990FDC">
          <w:rPr>
            <w:rStyle w:val="Hyperlink"/>
            <w:noProof/>
          </w:rPr>
          <w:t>Figure 3: Conceptual Framework</w:t>
        </w:r>
        <w:r w:rsidR="008D2EC4">
          <w:rPr>
            <w:noProof/>
            <w:webHidden/>
          </w:rPr>
          <w:tab/>
        </w:r>
        <w:r w:rsidR="008D2EC4">
          <w:rPr>
            <w:noProof/>
            <w:webHidden/>
          </w:rPr>
          <w:fldChar w:fldCharType="begin"/>
        </w:r>
        <w:r w:rsidR="008D2EC4">
          <w:rPr>
            <w:noProof/>
            <w:webHidden/>
          </w:rPr>
          <w:instrText xml:space="preserve"> PAGEREF _Toc237861942 \h </w:instrText>
        </w:r>
        <w:r w:rsidR="008D2EC4">
          <w:rPr>
            <w:noProof/>
            <w:webHidden/>
          </w:rPr>
        </w:r>
        <w:r w:rsidR="008D2EC4">
          <w:rPr>
            <w:noProof/>
            <w:webHidden/>
          </w:rPr>
          <w:fldChar w:fldCharType="separate"/>
        </w:r>
        <w:r w:rsidR="00971CB9">
          <w:rPr>
            <w:noProof/>
            <w:webHidden/>
          </w:rPr>
          <w:t>45</w:t>
        </w:r>
        <w:r w:rsidR="008D2EC4">
          <w:rPr>
            <w:noProof/>
            <w:webHidden/>
          </w:rPr>
          <w:fldChar w:fldCharType="end"/>
        </w:r>
      </w:hyperlink>
    </w:p>
    <w:p w:rsidR="007E7629" w:rsidRDefault="008D2EC4" w:rsidP="008D2EC4">
      <w:pPr>
        <w:pBdr>
          <w:top w:val="nil"/>
          <w:left w:val="nil"/>
          <w:bottom w:val="nil"/>
          <w:right w:val="nil"/>
          <w:between w:val="nil"/>
        </w:pBdr>
        <w:tabs>
          <w:tab w:val="right" w:pos="9019"/>
        </w:tabs>
        <w:rPr>
          <w:b/>
          <w:bCs/>
        </w:rPr>
      </w:pPr>
      <w:r>
        <w:rPr>
          <w:b/>
          <w:bCs/>
        </w:rPr>
        <w:fldChar w:fldCharType="end"/>
      </w:r>
    </w:p>
    <w:p w:rsidR="007E7629" w:rsidRDefault="007E7629">
      <w:pPr>
        <w:jc w:val="center"/>
        <w:rPr>
          <w:b/>
          <w:bCs/>
        </w:rPr>
      </w:pPr>
    </w:p>
    <w:p w:rsidR="00971CB9" w:rsidRDefault="00971CB9">
      <w:pPr>
        <w:rPr>
          <w:b/>
          <w:bCs/>
        </w:rPr>
      </w:pPr>
      <w:r>
        <w:rPr>
          <w:b/>
          <w:bCs/>
        </w:rPr>
        <w:br w:type="page"/>
      </w:r>
    </w:p>
    <w:p w:rsidR="007E7629" w:rsidRDefault="003E360F">
      <w:pPr>
        <w:jc w:val="center"/>
        <w:rPr>
          <w:b/>
          <w:bCs/>
        </w:rPr>
      </w:pPr>
      <w:r>
        <w:rPr>
          <w:b/>
          <w:bCs/>
        </w:rPr>
        <w:lastRenderedPageBreak/>
        <w:t xml:space="preserve">List of Tables </w:t>
      </w:r>
    </w:p>
    <w:p w:rsidR="008D2EC4" w:rsidRDefault="008D2EC4">
      <w:pPr>
        <w:pStyle w:val="TableofFigures"/>
        <w:tabs>
          <w:tab w:val="right" w:leader="dot" w:pos="9019"/>
        </w:tabs>
        <w:rPr>
          <w:rFonts w:asciiTheme="minorHAnsi" w:eastAsiaTheme="minorEastAsia" w:hAnsiTheme="minorHAnsi" w:cstheme="minorBidi"/>
          <w:noProof/>
          <w:color w:val="auto"/>
          <w:sz w:val="22"/>
          <w:szCs w:val="22"/>
          <w:lang w:val="en-GB"/>
        </w:rPr>
      </w:pPr>
      <w:r>
        <w:rPr>
          <w:b/>
          <w:bCs/>
        </w:rPr>
        <w:fldChar w:fldCharType="begin"/>
      </w:r>
      <w:r>
        <w:rPr>
          <w:b/>
          <w:bCs/>
        </w:rPr>
        <w:instrText xml:space="preserve"> TOC \h \z \c "Table" </w:instrText>
      </w:r>
      <w:r>
        <w:rPr>
          <w:b/>
          <w:bCs/>
        </w:rPr>
        <w:fldChar w:fldCharType="separate"/>
      </w:r>
      <w:hyperlink w:anchor="_Toc237861952" w:history="1">
        <w:r w:rsidRPr="003732B1">
          <w:rPr>
            <w:rStyle w:val="Hyperlink"/>
            <w:noProof/>
          </w:rPr>
          <w:t>Table 1: PICO Framework Implementation</w:t>
        </w:r>
        <w:r>
          <w:rPr>
            <w:noProof/>
            <w:webHidden/>
          </w:rPr>
          <w:tab/>
        </w:r>
        <w:r>
          <w:rPr>
            <w:noProof/>
            <w:webHidden/>
          </w:rPr>
          <w:fldChar w:fldCharType="begin"/>
        </w:r>
        <w:r>
          <w:rPr>
            <w:noProof/>
            <w:webHidden/>
          </w:rPr>
          <w:instrText xml:space="preserve"> PAGEREF _Toc237861952 \h </w:instrText>
        </w:r>
        <w:r>
          <w:rPr>
            <w:noProof/>
            <w:webHidden/>
          </w:rPr>
        </w:r>
        <w:r>
          <w:rPr>
            <w:noProof/>
            <w:webHidden/>
          </w:rPr>
          <w:fldChar w:fldCharType="separate"/>
        </w:r>
        <w:r w:rsidR="00971CB9">
          <w:rPr>
            <w:noProof/>
            <w:webHidden/>
          </w:rPr>
          <w:t>10</w:t>
        </w:r>
        <w:r>
          <w:rPr>
            <w:noProof/>
            <w:webHidden/>
          </w:rPr>
          <w:fldChar w:fldCharType="end"/>
        </w:r>
      </w:hyperlink>
    </w:p>
    <w:p w:rsidR="008D2EC4" w:rsidRDefault="00FB5D41">
      <w:pPr>
        <w:pStyle w:val="TableofFigures"/>
        <w:tabs>
          <w:tab w:val="right" w:leader="dot" w:pos="9019"/>
        </w:tabs>
        <w:rPr>
          <w:rFonts w:asciiTheme="minorHAnsi" w:eastAsiaTheme="minorEastAsia" w:hAnsiTheme="minorHAnsi" w:cstheme="minorBidi"/>
          <w:noProof/>
          <w:color w:val="auto"/>
          <w:sz w:val="22"/>
          <w:szCs w:val="22"/>
          <w:lang w:val="en-GB"/>
        </w:rPr>
      </w:pPr>
      <w:hyperlink w:anchor="_Toc237861953" w:history="1">
        <w:r w:rsidR="008D2EC4" w:rsidRPr="003732B1">
          <w:rPr>
            <w:rStyle w:val="Hyperlink"/>
            <w:noProof/>
          </w:rPr>
          <w:t>Table 2: Inclusion and Exclusion Criteria</w:t>
        </w:r>
        <w:r w:rsidR="008D2EC4">
          <w:rPr>
            <w:noProof/>
            <w:webHidden/>
          </w:rPr>
          <w:tab/>
        </w:r>
        <w:r w:rsidR="008D2EC4">
          <w:rPr>
            <w:noProof/>
            <w:webHidden/>
          </w:rPr>
          <w:fldChar w:fldCharType="begin"/>
        </w:r>
        <w:r w:rsidR="008D2EC4">
          <w:rPr>
            <w:noProof/>
            <w:webHidden/>
          </w:rPr>
          <w:instrText xml:space="preserve"> PAGEREF _Toc237861953 \h </w:instrText>
        </w:r>
        <w:r w:rsidR="008D2EC4">
          <w:rPr>
            <w:noProof/>
            <w:webHidden/>
          </w:rPr>
        </w:r>
        <w:r w:rsidR="008D2EC4">
          <w:rPr>
            <w:noProof/>
            <w:webHidden/>
          </w:rPr>
          <w:fldChar w:fldCharType="separate"/>
        </w:r>
        <w:r w:rsidR="00971CB9">
          <w:rPr>
            <w:noProof/>
            <w:webHidden/>
          </w:rPr>
          <w:t>16</w:t>
        </w:r>
        <w:r w:rsidR="008D2EC4">
          <w:rPr>
            <w:noProof/>
            <w:webHidden/>
          </w:rPr>
          <w:fldChar w:fldCharType="end"/>
        </w:r>
      </w:hyperlink>
    </w:p>
    <w:p w:rsidR="008D2EC4" w:rsidRDefault="00FB5D41">
      <w:pPr>
        <w:pStyle w:val="TableofFigures"/>
        <w:tabs>
          <w:tab w:val="right" w:leader="dot" w:pos="9019"/>
        </w:tabs>
        <w:rPr>
          <w:rFonts w:asciiTheme="minorHAnsi" w:eastAsiaTheme="minorEastAsia" w:hAnsiTheme="minorHAnsi" w:cstheme="minorBidi"/>
          <w:noProof/>
          <w:color w:val="auto"/>
          <w:sz w:val="22"/>
          <w:szCs w:val="22"/>
          <w:lang w:val="en-GB"/>
        </w:rPr>
      </w:pPr>
      <w:hyperlink w:anchor="_Toc237861954" w:history="1">
        <w:r w:rsidR="008D2EC4" w:rsidRPr="003732B1">
          <w:rPr>
            <w:rStyle w:val="Hyperlink"/>
            <w:noProof/>
          </w:rPr>
          <w:t>Table 3: Keywords used in search strings</w:t>
        </w:r>
        <w:r w:rsidR="008D2EC4">
          <w:rPr>
            <w:noProof/>
            <w:webHidden/>
          </w:rPr>
          <w:tab/>
        </w:r>
        <w:r w:rsidR="008D2EC4">
          <w:rPr>
            <w:noProof/>
            <w:webHidden/>
          </w:rPr>
          <w:fldChar w:fldCharType="begin"/>
        </w:r>
        <w:r w:rsidR="008D2EC4">
          <w:rPr>
            <w:noProof/>
            <w:webHidden/>
          </w:rPr>
          <w:instrText xml:space="preserve"> PAGEREF _Toc237861954 \h </w:instrText>
        </w:r>
        <w:r w:rsidR="008D2EC4">
          <w:rPr>
            <w:noProof/>
            <w:webHidden/>
          </w:rPr>
        </w:r>
        <w:r w:rsidR="008D2EC4">
          <w:rPr>
            <w:noProof/>
            <w:webHidden/>
          </w:rPr>
          <w:fldChar w:fldCharType="separate"/>
        </w:r>
        <w:r w:rsidR="00971CB9">
          <w:rPr>
            <w:noProof/>
            <w:webHidden/>
          </w:rPr>
          <w:t>18</w:t>
        </w:r>
        <w:r w:rsidR="008D2EC4">
          <w:rPr>
            <w:noProof/>
            <w:webHidden/>
          </w:rPr>
          <w:fldChar w:fldCharType="end"/>
        </w:r>
      </w:hyperlink>
    </w:p>
    <w:p w:rsidR="008D2EC4" w:rsidRDefault="00FB5D41">
      <w:pPr>
        <w:pStyle w:val="TableofFigures"/>
        <w:tabs>
          <w:tab w:val="right" w:leader="dot" w:pos="9019"/>
        </w:tabs>
        <w:rPr>
          <w:rFonts w:asciiTheme="minorHAnsi" w:eastAsiaTheme="minorEastAsia" w:hAnsiTheme="minorHAnsi" w:cstheme="minorBidi"/>
          <w:noProof/>
          <w:color w:val="auto"/>
          <w:sz w:val="22"/>
          <w:szCs w:val="22"/>
          <w:lang w:val="en-GB"/>
        </w:rPr>
      </w:pPr>
      <w:hyperlink w:anchor="_Toc237861955" w:history="1">
        <w:r w:rsidR="008D2EC4" w:rsidRPr="003732B1">
          <w:rPr>
            <w:rStyle w:val="Hyperlink"/>
            <w:noProof/>
          </w:rPr>
          <w:t>Table 4: Sample overview of the selected sources</w:t>
        </w:r>
        <w:r w:rsidR="008D2EC4">
          <w:rPr>
            <w:noProof/>
            <w:webHidden/>
          </w:rPr>
          <w:tab/>
        </w:r>
        <w:r w:rsidR="008D2EC4">
          <w:rPr>
            <w:noProof/>
            <w:webHidden/>
          </w:rPr>
          <w:fldChar w:fldCharType="begin"/>
        </w:r>
        <w:r w:rsidR="008D2EC4">
          <w:rPr>
            <w:noProof/>
            <w:webHidden/>
          </w:rPr>
          <w:instrText xml:space="preserve"> PAGEREF _Toc237861955 \h </w:instrText>
        </w:r>
        <w:r w:rsidR="008D2EC4">
          <w:rPr>
            <w:noProof/>
            <w:webHidden/>
          </w:rPr>
        </w:r>
        <w:r w:rsidR="008D2EC4">
          <w:rPr>
            <w:noProof/>
            <w:webHidden/>
          </w:rPr>
          <w:fldChar w:fldCharType="separate"/>
        </w:r>
        <w:r w:rsidR="00971CB9">
          <w:rPr>
            <w:noProof/>
            <w:webHidden/>
          </w:rPr>
          <w:t>24</w:t>
        </w:r>
        <w:r w:rsidR="008D2EC4">
          <w:rPr>
            <w:noProof/>
            <w:webHidden/>
          </w:rPr>
          <w:fldChar w:fldCharType="end"/>
        </w:r>
      </w:hyperlink>
    </w:p>
    <w:p w:rsidR="008D2EC4" w:rsidRDefault="00FB5D41">
      <w:pPr>
        <w:pStyle w:val="TableofFigures"/>
        <w:tabs>
          <w:tab w:val="right" w:leader="dot" w:pos="9019"/>
        </w:tabs>
        <w:rPr>
          <w:rFonts w:asciiTheme="minorHAnsi" w:eastAsiaTheme="minorEastAsia" w:hAnsiTheme="minorHAnsi" w:cstheme="minorBidi"/>
          <w:noProof/>
          <w:color w:val="auto"/>
          <w:sz w:val="22"/>
          <w:szCs w:val="22"/>
          <w:lang w:val="en-GB"/>
        </w:rPr>
      </w:pPr>
      <w:hyperlink w:anchor="_Toc237861956" w:history="1">
        <w:r w:rsidR="008D2EC4" w:rsidRPr="003732B1">
          <w:rPr>
            <w:rStyle w:val="Hyperlink"/>
            <w:noProof/>
          </w:rPr>
          <w:t>Table 5: Synthesis of findings across the selected studies</w:t>
        </w:r>
        <w:r w:rsidR="008D2EC4">
          <w:rPr>
            <w:noProof/>
            <w:webHidden/>
          </w:rPr>
          <w:tab/>
        </w:r>
        <w:r w:rsidR="008D2EC4">
          <w:rPr>
            <w:noProof/>
            <w:webHidden/>
          </w:rPr>
          <w:fldChar w:fldCharType="begin"/>
        </w:r>
        <w:r w:rsidR="008D2EC4">
          <w:rPr>
            <w:noProof/>
            <w:webHidden/>
          </w:rPr>
          <w:instrText xml:space="preserve"> PAGEREF _Toc237861956 \h </w:instrText>
        </w:r>
        <w:r w:rsidR="008D2EC4">
          <w:rPr>
            <w:noProof/>
            <w:webHidden/>
          </w:rPr>
        </w:r>
        <w:r w:rsidR="008D2EC4">
          <w:rPr>
            <w:noProof/>
            <w:webHidden/>
          </w:rPr>
          <w:fldChar w:fldCharType="separate"/>
        </w:r>
        <w:r w:rsidR="00971CB9">
          <w:rPr>
            <w:noProof/>
            <w:webHidden/>
          </w:rPr>
          <w:t>47</w:t>
        </w:r>
        <w:r w:rsidR="008D2EC4">
          <w:rPr>
            <w:noProof/>
            <w:webHidden/>
          </w:rPr>
          <w:fldChar w:fldCharType="end"/>
        </w:r>
      </w:hyperlink>
    </w:p>
    <w:p w:rsidR="007E7629" w:rsidRDefault="008D2EC4" w:rsidP="008D2EC4">
      <w:pPr>
        <w:pBdr>
          <w:top w:val="nil"/>
          <w:left w:val="nil"/>
          <w:bottom w:val="nil"/>
          <w:right w:val="nil"/>
          <w:between w:val="nil"/>
        </w:pBdr>
        <w:tabs>
          <w:tab w:val="right" w:pos="9019"/>
        </w:tabs>
        <w:rPr>
          <w:b/>
          <w:bCs/>
        </w:rPr>
      </w:pPr>
      <w:r>
        <w:rPr>
          <w:b/>
          <w:bCs/>
        </w:rPr>
        <w:fldChar w:fldCharType="end"/>
      </w:r>
    </w:p>
    <w:p w:rsidR="007E7629" w:rsidRDefault="003E360F">
      <w:pPr>
        <w:pStyle w:val="Heading1"/>
      </w:pPr>
      <w:bookmarkStart w:id="7" w:name="_heading=h.7odb53xdw2" w:colFirst="0" w:colLast="0"/>
      <w:bookmarkEnd w:id="7"/>
      <w:r>
        <w:br w:type="page"/>
      </w:r>
    </w:p>
    <w:p w:rsidR="007E7629" w:rsidRDefault="003E360F">
      <w:pPr>
        <w:pStyle w:val="Heading1"/>
      </w:pPr>
      <w:bookmarkStart w:id="8" w:name="_Toc238235488"/>
      <w:r>
        <w:lastRenderedPageBreak/>
        <w:t>Chapter 1: Introduction</w:t>
      </w:r>
      <w:bookmarkEnd w:id="8"/>
    </w:p>
    <w:p w:rsidR="007E7629" w:rsidRDefault="003E360F">
      <w:pPr>
        <w:pStyle w:val="Heading2"/>
      </w:pPr>
      <w:bookmarkStart w:id="9" w:name="_Toc238235489"/>
      <w:r>
        <w:t>Background &amp; Problem Statement</w:t>
      </w:r>
      <w:bookmarkEnd w:id="9"/>
      <w:r>
        <w:t xml:space="preserve">   </w:t>
      </w:r>
    </w:p>
    <w:p w:rsidR="007E7629" w:rsidRDefault="003E360F">
      <w:pPr>
        <w:shd w:val="clear" w:color="auto" w:fill="auto"/>
        <w:rPr>
          <w:color w:val="000000"/>
        </w:rPr>
      </w:pPr>
      <w:r>
        <w:rPr>
          <w:color w:val="000000"/>
        </w:rPr>
        <w:t>Environmental, Social and Governance (ESG) activities are now a core element of modern business strategy as organisations are growing under pressure, particularly by regulators, investors and consumers, to be able to demonstrate responsible and sustainable business behaviour. ESG ensures a wide scope of practices, which include environmental conservation, ethical supply, waste management, worker happiness, diversity and inclusion, corporate reporting, and accountability (Yaremchuk, 2026).</w:t>
      </w:r>
    </w:p>
    <w:p w:rsidR="007E7629" w:rsidRDefault="003E360F">
      <w:pPr>
        <w:shd w:val="clear" w:color="auto" w:fill="auto"/>
        <w:rPr>
          <w:color w:val="000000"/>
        </w:rPr>
      </w:pPr>
      <w:r>
        <w:rPr>
          <w:color w:val="000000"/>
        </w:rPr>
        <w:t>The food industry has become one of the most vulnerable industries in terms of scrutiny on sustainability. Food distribution and manufacturing industries are some of the major factors contributing to environmental issues like carbon emission, food wastage, excessive packaging, and resource depletion (Hemachandra and Pettigrew, 2025). The food producing companies are making huge efforts towards their participation in ESG initiatives to portray their commitment to sustainable development.</w:t>
      </w:r>
    </w:p>
    <w:p w:rsidR="007E7629" w:rsidRDefault="003E360F">
      <w:pPr>
        <w:rPr>
          <w:color w:val="000000"/>
        </w:rPr>
      </w:pPr>
      <w:r>
        <w:rPr>
          <w:color w:val="000000"/>
        </w:rPr>
        <w:t xml:space="preserve">As per recent findings, it can be noted that the consumption pattern of the consumers is shifting toward being environmentally friendly. According to Shah (2026), nearly 10% of global consumers are responsible for causing $1.7 to $5.7 trillion worth damage to the environment annually due to their sustainable consumption patterns. In the case of the UK food industry, more than 54% would like to adopt an eco-friendly diet (Patel, 2021). 78% have been conscious of the effects of their consumption decisions (Consultancy UK, 2026). </w:t>
      </w:r>
    </w:p>
    <w:p w:rsidR="007E7629" w:rsidRDefault="003E360F">
      <w:pPr>
        <w:shd w:val="clear" w:color="auto" w:fill="auto"/>
        <w:rPr>
          <w:color w:val="000000"/>
        </w:rPr>
      </w:pPr>
      <w:r>
        <w:rPr>
          <w:color w:val="000000"/>
        </w:rPr>
        <w:t>In the food industry, sustainability has turned into a significant buying factor. Issues related to sustainability are influencing the demands of customers and making food organizations realize the need to incorporate sustainable ESG programs. While there has been greater adoption of ESG practices, it is expected that they will not be able to create the trust of the consumers in any way. The majority of firms are openly sharing their successes when it comes to sustainability, but the consumers are becoming increasingly sceptical of the veracity of the claims. These include greenwashing, misunderstandings on sustainability, lack of transparency, and ineffective ESG reporting (Jamil and Wahyuni, 2024). Customers will not be able to differentiate between actual ESG activities and token sustainability programmes that are created to serve as marketing tools only.</w:t>
      </w:r>
    </w:p>
    <w:p w:rsidR="003504FD" w:rsidRDefault="003504FD">
      <w:pPr>
        <w:shd w:val="clear" w:color="auto" w:fill="auto"/>
        <w:rPr>
          <w:color w:val="000000"/>
        </w:rPr>
      </w:pPr>
      <w:r w:rsidRPr="003504FD">
        <w:rPr>
          <w:color w:val="000000"/>
        </w:rPr>
        <w:t xml:space="preserve">It is relevant to analyze customer trust towards ESG activities from the perspective of the UK due to the fact that the country’s food industry is regulated by strong regulations and growing consumer demand for sustainability, responsible sourcing, and transparency. Today’s </w:t>
      </w:r>
      <w:r w:rsidRPr="003504FD">
        <w:rPr>
          <w:color w:val="000000"/>
        </w:rPr>
        <w:lastRenderedPageBreak/>
        <w:t>customers in the UK have growing concerns about the impacts of food consumption on the environment and society. At the same time, food companies function through complicated supply chains which need ESG-related communication to be credible. Finally, research suggests that there is a positive reaction of UK consumers to transparent and credible information about sustainability (Sneideriene and Legenzova, 2025).</w:t>
      </w:r>
    </w:p>
    <w:p w:rsidR="007E7629" w:rsidRDefault="003E360F">
      <w:pPr>
        <w:shd w:val="clear" w:color="auto" w:fill="auto"/>
        <w:rPr>
          <w:color w:val="000000"/>
        </w:rPr>
      </w:pPr>
      <w:r>
        <w:rPr>
          <w:color w:val="000000"/>
        </w:rPr>
        <w:t xml:space="preserve">The previous academic studies have largely been on how ESG initiatives have been affecting corporate reputation, customer satisfaction, brand loyalty and financial performance. Customer trust as a separate result of the implementation of ESG has received less attention comparatively, especially in the food industry. Moreover, the past results of the impact of transparency, authenticity and greenwashing on consumer trust are not consistent. As such, there is a critical gap in research on the effect of ESG initiatives on customer trust and what aspects of ESG-related practices enhance or diminish trust in the food industry. </w:t>
      </w:r>
    </w:p>
    <w:p w:rsidR="007E7629" w:rsidRDefault="007E7629"/>
    <w:p w:rsidR="007E7629" w:rsidRDefault="003E360F">
      <w:pPr>
        <w:pStyle w:val="Heading2"/>
      </w:pPr>
      <w:bookmarkStart w:id="10" w:name="_Toc238235490"/>
      <w:r>
        <w:t>Research Aim</w:t>
      </w:r>
      <w:bookmarkEnd w:id="10"/>
      <w:r>
        <w:t xml:space="preserve">  </w:t>
      </w:r>
    </w:p>
    <w:p w:rsidR="007E7629" w:rsidRDefault="003E360F">
      <w:pPr>
        <w:shd w:val="clear" w:color="auto" w:fill="auto"/>
        <w:rPr>
          <w:color w:val="000000"/>
        </w:rPr>
      </w:pPr>
      <w:r>
        <w:rPr>
          <w:color w:val="000000"/>
        </w:rPr>
        <w:t>The aim of this study will be to critically investigate the impact of Environmental, Social and Governance (ESG) initiatives on customer trust within the food industry.</w:t>
      </w:r>
    </w:p>
    <w:p w:rsidR="007E7629" w:rsidRDefault="007E7629"/>
    <w:p w:rsidR="007E7629" w:rsidRDefault="003E360F">
      <w:pPr>
        <w:pStyle w:val="Heading2"/>
      </w:pPr>
      <w:bookmarkStart w:id="11" w:name="_Toc238235491"/>
      <w:r>
        <w:t>Research Objectives</w:t>
      </w:r>
      <w:bookmarkEnd w:id="11"/>
    </w:p>
    <w:p w:rsidR="007E7629" w:rsidRDefault="003E360F">
      <w:pPr>
        <w:shd w:val="clear" w:color="auto" w:fill="auto"/>
        <w:rPr>
          <w:color w:val="000000"/>
        </w:rPr>
      </w:pPr>
      <w:r>
        <w:rPr>
          <w:color w:val="000000"/>
        </w:rPr>
        <w:t xml:space="preserve">RO1: To critically evaluate the implementation and significance of ESG initiatives within the </w:t>
      </w:r>
      <w:r w:rsidR="00F70496">
        <w:rPr>
          <w:color w:val="000000"/>
        </w:rPr>
        <w:t xml:space="preserve">UK </w:t>
      </w:r>
      <w:r>
        <w:rPr>
          <w:color w:val="000000"/>
        </w:rPr>
        <w:t>food industry</w:t>
      </w:r>
    </w:p>
    <w:p w:rsidR="007E7629" w:rsidRDefault="003E360F">
      <w:pPr>
        <w:shd w:val="clear" w:color="auto" w:fill="auto"/>
        <w:rPr>
          <w:color w:val="000000"/>
        </w:rPr>
      </w:pPr>
      <w:r>
        <w:rPr>
          <w:color w:val="000000"/>
        </w:rPr>
        <w:t xml:space="preserve">RO2: To examine the relationship between ESG initiatives and customer trust </w:t>
      </w:r>
    </w:p>
    <w:p w:rsidR="007E7629" w:rsidRDefault="003E360F">
      <w:pPr>
        <w:shd w:val="clear" w:color="auto" w:fill="auto"/>
        <w:rPr>
          <w:color w:val="000000"/>
        </w:rPr>
      </w:pPr>
      <w:r>
        <w:rPr>
          <w:color w:val="000000"/>
        </w:rPr>
        <w:t>RO3: To identify the challenges related to ESG dimensions and organisational practices that impact customer trust</w:t>
      </w:r>
    </w:p>
    <w:p w:rsidR="007E7629" w:rsidRDefault="003E360F">
      <w:pPr>
        <w:shd w:val="clear" w:color="auto" w:fill="auto"/>
        <w:rPr>
          <w:color w:val="000000"/>
        </w:rPr>
      </w:pPr>
      <w:r>
        <w:rPr>
          <w:color w:val="000000"/>
        </w:rPr>
        <w:t>RO4: To recommend the factors that strengthen customer trust through ESG initiatives</w:t>
      </w:r>
    </w:p>
    <w:p w:rsidR="007E7629" w:rsidRDefault="007E7629"/>
    <w:p w:rsidR="007E7629" w:rsidRDefault="003E360F">
      <w:pPr>
        <w:pStyle w:val="Heading2"/>
      </w:pPr>
      <w:bookmarkStart w:id="12" w:name="_Toc238235492"/>
      <w:r>
        <w:t>Research Questions</w:t>
      </w:r>
      <w:bookmarkEnd w:id="12"/>
      <w:r>
        <w:t xml:space="preserve"> </w:t>
      </w:r>
    </w:p>
    <w:p w:rsidR="007E7629" w:rsidRDefault="003E360F">
      <w:pPr>
        <w:numPr>
          <w:ilvl w:val="0"/>
          <w:numId w:val="10"/>
        </w:numPr>
        <w:rPr>
          <w:color w:val="000000"/>
        </w:rPr>
      </w:pPr>
      <w:bookmarkStart w:id="13" w:name="_heading=h.ibwyssqt0rqb" w:colFirst="0" w:colLast="0"/>
      <w:bookmarkEnd w:id="13"/>
      <w:r>
        <w:rPr>
          <w:color w:val="000000"/>
        </w:rPr>
        <w:t xml:space="preserve">What does the existing academic literature report about the influence of ESG initiatives on customer trust in the food industry? </w:t>
      </w:r>
    </w:p>
    <w:p w:rsidR="007E7629" w:rsidRDefault="007E7629"/>
    <w:p w:rsidR="007E7629" w:rsidRDefault="003E360F">
      <w:pPr>
        <w:rPr>
          <w:b/>
          <w:bCs/>
          <w:i/>
          <w:iCs/>
        </w:rPr>
      </w:pPr>
      <w:r>
        <w:rPr>
          <w:b/>
          <w:bCs/>
          <w:i/>
          <w:iCs/>
        </w:rPr>
        <w:t>Justification for the questions</w:t>
      </w:r>
    </w:p>
    <w:p w:rsidR="007E7629" w:rsidRDefault="007E7629">
      <w:pPr>
        <w:rPr>
          <w:b/>
          <w:bCs/>
          <w:i/>
          <w:iCs/>
        </w:rPr>
      </w:pPr>
    </w:p>
    <w:tbl>
      <w:tblPr>
        <w:tblStyle w:val="a8"/>
        <w:tblW w:w="9030" w:type="dxa"/>
        <w:tblBorders>
          <w:top w:val="nil"/>
          <w:left w:val="nil"/>
          <w:bottom w:val="nil"/>
          <w:right w:val="nil"/>
          <w:insideH w:val="nil"/>
          <w:insideV w:val="nil"/>
        </w:tblBorders>
        <w:tblLayout w:type="fixed"/>
        <w:tblLook w:val="0600" w:firstRow="0" w:lastRow="0" w:firstColumn="0" w:lastColumn="0" w:noHBand="1" w:noVBand="1"/>
      </w:tblPr>
      <w:tblGrid>
        <w:gridCol w:w="2445"/>
        <w:gridCol w:w="6585"/>
      </w:tblGrid>
      <w:tr w:rsidR="007E7629">
        <w:trPr>
          <w:trHeight w:val="540"/>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jc w:val="center"/>
              <w:rPr>
                <w:b/>
                <w:bCs/>
              </w:rPr>
            </w:pPr>
            <w:r>
              <w:rPr>
                <w:b/>
                <w:bCs/>
              </w:rPr>
              <w:t>PICO component</w:t>
            </w:r>
          </w:p>
        </w:tc>
        <w:tc>
          <w:tcPr>
            <w:tcW w:w="6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jc w:val="center"/>
              <w:rPr>
                <w:b/>
                <w:bCs/>
              </w:rPr>
            </w:pPr>
            <w:r>
              <w:rPr>
                <w:b/>
                <w:bCs/>
              </w:rPr>
              <w:t>Application in the study</w:t>
            </w:r>
          </w:p>
        </w:tc>
      </w:tr>
      <w:tr w:rsidR="007E7629">
        <w:trPr>
          <w:trHeight w:val="515"/>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pPr>
            <w:r>
              <w:lastRenderedPageBreak/>
              <w:t>Population (P)</w:t>
            </w:r>
          </w:p>
        </w:tc>
        <w:tc>
          <w:tcPr>
            <w:tcW w:w="6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pPr>
            <w:r>
              <w:t>Consumers within the UK food industry</w:t>
            </w:r>
          </w:p>
        </w:tc>
      </w:tr>
      <w:tr w:rsidR="007E7629">
        <w:trPr>
          <w:trHeight w:val="555"/>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pPr>
            <w:r>
              <w:t>Intervention (I)</w:t>
            </w:r>
          </w:p>
        </w:tc>
        <w:tc>
          <w:tcPr>
            <w:tcW w:w="6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pPr>
            <w:r>
              <w:t xml:space="preserve">Environmental, Social and Governance (ESG) initiatives </w:t>
            </w:r>
          </w:p>
        </w:tc>
      </w:tr>
      <w:tr w:rsidR="007E7629">
        <w:trPr>
          <w:trHeight w:val="600"/>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pPr>
            <w:r>
              <w:t>Comparison (C)</w:t>
            </w:r>
          </w:p>
        </w:tc>
        <w:tc>
          <w:tcPr>
            <w:tcW w:w="6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pPr>
            <w:r>
              <w:t>Approaches to ESG implementation</w:t>
            </w:r>
          </w:p>
        </w:tc>
      </w:tr>
      <w:tr w:rsidR="007E7629">
        <w:trPr>
          <w:trHeight w:val="515"/>
        </w:trPr>
        <w:tc>
          <w:tcPr>
            <w:tcW w:w="24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pPr>
            <w:r>
              <w:t>Outcome (O)</w:t>
            </w:r>
          </w:p>
        </w:tc>
        <w:tc>
          <w:tcPr>
            <w:tcW w:w="65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pacing w:line="240" w:lineRule="auto"/>
            </w:pPr>
            <w:r>
              <w:t>Influence consumer trust</w:t>
            </w:r>
          </w:p>
        </w:tc>
      </w:tr>
    </w:tbl>
    <w:p w:rsidR="007E7629" w:rsidRDefault="00B02212" w:rsidP="00B02212">
      <w:pPr>
        <w:pStyle w:val="Caption"/>
        <w:jc w:val="center"/>
      </w:pPr>
      <w:bookmarkStart w:id="14" w:name="_heading=h.w5certbjwbdg" w:colFirst="0" w:colLast="0"/>
      <w:bookmarkStart w:id="15" w:name="_Toc237861952"/>
      <w:bookmarkEnd w:id="14"/>
      <w:r>
        <w:t xml:space="preserve">Table </w:t>
      </w:r>
      <w:r w:rsidR="00FB5D41">
        <w:fldChar w:fldCharType="begin"/>
      </w:r>
      <w:r w:rsidR="00FB5D41">
        <w:instrText xml:space="preserve"> SEQ Table \* ARABIC </w:instrText>
      </w:r>
      <w:r w:rsidR="00FB5D41">
        <w:fldChar w:fldCharType="separate"/>
      </w:r>
      <w:r>
        <w:rPr>
          <w:noProof/>
        </w:rPr>
        <w:t>1</w:t>
      </w:r>
      <w:r w:rsidR="00FB5D41">
        <w:rPr>
          <w:noProof/>
        </w:rPr>
        <w:fldChar w:fldCharType="end"/>
      </w:r>
      <w:r>
        <w:t xml:space="preserve">: </w:t>
      </w:r>
      <w:r w:rsidRPr="00B15994">
        <w:t>PICO Framework Implementation</w:t>
      </w:r>
      <w:bookmarkEnd w:id="15"/>
    </w:p>
    <w:p w:rsidR="007E7629" w:rsidRDefault="003E360F">
      <w:pPr>
        <w:jc w:val="center"/>
      </w:pPr>
      <w:r>
        <w:t>(Source: Self-Created)</w:t>
      </w:r>
    </w:p>
    <w:p w:rsidR="007E7629" w:rsidRDefault="003E360F">
      <w:r>
        <w:t>The central research question was created within the framework of Population, Intervention, Comparison and Outcome (PICO) to ensure that the systematic literature review was focused, structured and transparent. The framework explicitly outlines the population of the review, the population of study, the criterion of comparison and the anticipated outcome, which supports a systematic and reproducible search strategy. The overall research question is going to aim at synthesising the available academic evidence on the adoption of Environmental, Social and Governance (ESG) initiatives, their impact on customer trust, the organisational issues that come with the adoption of ESG initiatives and the variables that enhance customer trust in the food sector. As a result, the research question directly relates to the research aim and objectives and helps to synthesise the existing scholarly evidence in a systematic literature review.</w:t>
      </w:r>
    </w:p>
    <w:p w:rsidR="007E7629" w:rsidRDefault="007E7629"/>
    <w:p w:rsidR="007E7629" w:rsidRDefault="003E360F">
      <w:pPr>
        <w:pStyle w:val="Heading2"/>
      </w:pPr>
      <w:bookmarkStart w:id="16" w:name="_Toc238235493"/>
      <w:r>
        <w:t>Significance / Relevance of Study</w:t>
      </w:r>
      <w:bookmarkEnd w:id="16"/>
    </w:p>
    <w:p w:rsidR="007E7629" w:rsidRDefault="003E360F">
      <w:r>
        <w:t xml:space="preserve">The study is significant based on the increased importance of ESG initiatives in shaping business sustainability, along with consumer perceptions within the food industry. With the consumers being more conscious of environmental protection, reduction of food waste, ethical sourcing, corporate transparency and consumer trust that has emerged as a critical factor that influences the purchase decisions and long-term brand relations. </w:t>
      </w:r>
    </w:p>
    <w:p w:rsidR="007E7629" w:rsidRDefault="003E360F">
      <w:r>
        <w:t xml:space="preserve">Academically, the study is significant as it highlights that despite the growing adoption of ESG practices by food businesses, researchers at present have focused on the outcomes like the maintenance of corporate reputation, customer satisfaction and loyalty, while the customer trust remains underexplored. The concerns regarding greenwashing, inconsistent CSG disclosures, and the lack of transparency have created uncertainty among consumers, that have made investigating the trust highly essential (Koch and Denner, 2025). The study is also professionally relevant for business leaders as it focuses on recognising the challenges that </w:t>
      </w:r>
      <w:r>
        <w:lastRenderedPageBreak/>
        <w:t xml:space="preserve">undermine the trust level of consumers from inadequate transparency and greenwashing (Khamisu and Paluri, 2024). The study also focuses on guiding the individuals professionally associated with the food industry, and even on a global scale, to maintain efficient ESG commitments along with organisational actions. The understanding of the impact of the challenges in organisations on customer trust and loyalty can help businesses to improve their sustainability efforts. </w:t>
      </w:r>
    </w:p>
    <w:p w:rsidR="007E7629" w:rsidRDefault="003E360F">
      <w:r>
        <w:t xml:space="preserve">The study is also significant for policymakers as it aims to analyse the influence of ESG initiatives on the trust level of consumers in the food sector. The findings of this study have thus been directed to provide appropriate insights for academics, industry practitioners and policymakers based on identifying effective ESG practices. The challenges that have been highlighted in the research have provided an outlook on the undermined trust level, along with recommending strategies for strengthening the confidence level of the consumers (Wu </w:t>
      </w:r>
      <w:r>
        <w:rPr>
          <w:i/>
          <w:iCs/>
        </w:rPr>
        <w:t>et al</w:t>
      </w:r>
      <w:r>
        <w:t xml:space="preserve">., 2021). Consequently, the research also focused on contributing to the theoretical understanding and the practical decision-making towards sustainable management practices in the food industry. </w:t>
      </w:r>
    </w:p>
    <w:p w:rsidR="007E7629" w:rsidRDefault="007E7629"/>
    <w:p w:rsidR="007E7629" w:rsidRDefault="003E360F">
      <w:pPr>
        <w:pStyle w:val="Heading2"/>
      </w:pPr>
      <w:bookmarkStart w:id="17" w:name="_Toc238235494"/>
      <w:r>
        <w:t>Brief Research Methodology</w:t>
      </w:r>
      <w:bookmarkEnd w:id="17"/>
    </w:p>
    <w:p w:rsidR="007E7629" w:rsidRDefault="003E360F">
      <w:r>
        <w:t xml:space="preserve">The study has been executed based on a systematic literature review (SLR) methodology for critically investigating the impact of the ESG initiatives on the trust level of consumers in the food industry. The choice of SLR has been made for the study to ensure the collection, evaluation and synthesis of the existing scholarly evidence for transparency, replicability, and rigorous manner (Smela </w:t>
      </w:r>
      <w:r>
        <w:rPr>
          <w:i/>
          <w:iCs/>
        </w:rPr>
        <w:t>et al</w:t>
      </w:r>
      <w:r>
        <w:t xml:space="preserve">., 2023). The approach tends to facilitate the identification of the key themes, relationships, research gaps, and the challenges related to the ESG initiatives along with customer trust. </w:t>
      </w:r>
    </w:p>
    <w:p w:rsidR="007E7629" w:rsidRDefault="003E360F">
      <w:r>
        <w:t xml:space="preserve">The research has been entirely on secondary data sources, mainly related to the ESG initiatives and customer trust. The research will be entirely reliant on the sources of secondary data from peer-reviewed journal articles and scholarly publications, specifically. The relevant literature has been identified based on recognising the academic databases that include Google Scholar, Science Direct, and Emerald Insight. The research process has been executed using efficient keywords like ‘ESG Initiatives’, ‘Environmental, Social and Governance’, ‘greenwashing’, ‘customer trust’, ‘sustainability’ and ‘food industry’. The keywords have been set by applying the Boolean Operators method, which is used for refining the search and even improving the overall relevance of the study (Abusaada and Elshater, 2024). </w:t>
      </w:r>
    </w:p>
    <w:p w:rsidR="007E7629" w:rsidRDefault="003E360F">
      <w:r>
        <w:lastRenderedPageBreak/>
        <w:t xml:space="preserve">With the complete focus being on ensuring efficient relevance and quality of the literature, the specific inclusion and exclusion criteria are applied. The year range that has been referred to for collecting the peer-reviewed journal articles is 2021 to 2026. It is only the article published in the English language have been referred to for collecting the data, with the focus being on ESG initiatives, customer trust, behavioural outcomes and sustainability practices. The studies that lack methodological rigour and are non-peer-reviewed publications have been excluded from the study. The articles, such as abstracts from conferences, along with the articles that solely focus on financial and investor perspectives, are also excluded. </w:t>
      </w:r>
    </w:p>
    <w:p w:rsidR="007E7629" w:rsidRDefault="007E7629"/>
    <w:p w:rsidR="007E7629" w:rsidRDefault="003E360F">
      <w:pPr>
        <w:pStyle w:val="Heading2"/>
      </w:pPr>
      <w:bookmarkStart w:id="18" w:name="_Toc238235495"/>
      <w:r>
        <w:t>Structure of the rest of the project</w:t>
      </w:r>
      <w:bookmarkEnd w:id="18"/>
    </w:p>
    <w:p w:rsidR="007E7629" w:rsidRDefault="003E360F" w:rsidP="00B02212">
      <w:pPr>
        <w:jc w:val="center"/>
      </w:pPr>
      <w:r>
        <w:rPr>
          <w:noProof/>
        </w:rPr>
        <w:drawing>
          <wp:inline distT="114300" distB="114300" distL="114300" distR="114300">
            <wp:extent cx="5731200" cy="33274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327400"/>
                    </a:xfrm>
                    <a:prstGeom prst="rect">
                      <a:avLst/>
                    </a:prstGeom>
                    <a:ln/>
                  </pic:spPr>
                </pic:pic>
              </a:graphicData>
            </a:graphic>
          </wp:inline>
        </w:drawing>
      </w:r>
      <w:bookmarkStart w:id="19" w:name="_heading=h.jz439sh3xzrj" w:colFirst="0" w:colLast="0"/>
      <w:bookmarkEnd w:id="19"/>
    </w:p>
    <w:p w:rsidR="00B02212" w:rsidRDefault="00B02212" w:rsidP="00B02212">
      <w:pPr>
        <w:pStyle w:val="Caption"/>
        <w:jc w:val="center"/>
      </w:pPr>
      <w:bookmarkStart w:id="20" w:name="_Toc237861940"/>
      <w:r>
        <w:t xml:space="preserve">Figure </w:t>
      </w:r>
      <w:r w:rsidR="00FB5D41">
        <w:fldChar w:fldCharType="begin"/>
      </w:r>
      <w:r w:rsidR="00FB5D41">
        <w:instrText xml:space="preserve"> SEQ Figure \* ARABIC </w:instrText>
      </w:r>
      <w:r w:rsidR="00FB5D41">
        <w:fldChar w:fldCharType="separate"/>
      </w:r>
      <w:r>
        <w:rPr>
          <w:noProof/>
        </w:rPr>
        <w:t>1</w:t>
      </w:r>
      <w:r w:rsidR="00FB5D41">
        <w:rPr>
          <w:noProof/>
        </w:rPr>
        <w:fldChar w:fldCharType="end"/>
      </w:r>
      <w:r>
        <w:t xml:space="preserve">: </w:t>
      </w:r>
      <w:r w:rsidRPr="00EB699E">
        <w:t>Dissertation Structure</w:t>
      </w:r>
      <w:bookmarkEnd w:id="20"/>
    </w:p>
    <w:p w:rsidR="007E7629" w:rsidRDefault="003E360F">
      <w:pPr>
        <w:jc w:val="center"/>
      </w:pPr>
      <w:r>
        <w:t>(Source: Self-Created)</w:t>
      </w:r>
    </w:p>
    <w:p w:rsidR="007E7629" w:rsidRDefault="003E360F">
      <w:pPr>
        <w:shd w:val="clear" w:color="auto" w:fill="auto"/>
        <w:rPr>
          <w:color w:val="000000"/>
        </w:rPr>
      </w:pPr>
      <w:r>
        <w:rPr>
          <w:color w:val="000000"/>
        </w:rPr>
        <w:t>This dissertation is organised into five chapters. Chapter One summarises the topic of the research; it gives the background, the problem statement, the research aim, objectives, and questions, the significance of the research, and the overview of the methodology. Chapter two describes the research methodology, such as the research philosophy, approach, research design, data collection and analysis methods. In Chapter Three, the literature on ESG initiatives, customer trust, and the food industry is critically reviewed, and the theoretical background of the research and gaps are highlighted. The findings are discussed and presented in Chapter Four. Lastly, Chapter Five offers some conclusions, recommendations, limitations, and future research directions.</w:t>
      </w:r>
    </w:p>
    <w:p w:rsidR="007E7629" w:rsidRDefault="003E360F">
      <w:pPr>
        <w:pStyle w:val="Heading1"/>
      </w:pPr>
      <w:bookmarkStart w:id="21" w:name="_Toc238235496"/>
      <w:r>
        <w:lastRenderedPageBreak/>
        <w:t>Chapter 2 Methodology</w:t>
      </w:r>
      <w:bookmarkEnd w:id="21"/>
      <w:r>
        <w:t xml:space="preserve">                                       </w:t>
      </w:r>
    </w:p>
    <w:p w:rsidR="007E7629" w:rsidRDefault="003E360F">
      <w:pPr>
        <w:pStyle w:val="Heading2"/>
        <w:shd w:val="clear" w:color="auto" w:fill="auto"/>
      </w:pPr>
      <w:bookmarkStart w:id="22" w:name="_Toc238235497"/>
      <w:r>
        <w:t>2.1 Chapter Introduction</w:t>
      </w:r>
      <w:bookmarkEnd w:id="22"/>
    </w:p>
    <w:p w:rsidR="007E7629" w:rsidRDefault="003E360F">
      <w:r>
        <w:t xml:space="preserve">This chapter has elaborated on the specific search strategy, analysing the choice of approach and the overall format in which the study has been executed. This chapter has detailed the choices that have been made at every step of the study for selecting and incorporating the appropriate data sources. </w:t>
      </w:r>
    </w:p>
    <w:p w:rsidR="007E7629" w:rsidRDefault="003E360F">
      <w:pPr>
        <w:pStyle w:val="Heading2"/>
        <w:shd w:val="clear" w:color="auto" w:fill="auto"/>
      </w:pPr>
      <w:bookmarkStart w:id="23" w:name="_Toc238235498"/>
      <w:r>
        <w:t>2.2 Review design</w:t>
      </w:r>
      <w:bookmarkEnd w:id="23"/>
      <w:r>
        <w:t xml:space="preserve"> </w:t>
      </w:r>
    </w:p>
    <w:p w:rsidR="007E7629" w:rsidRDefault="003E360F">
      <w:pPr>
        <w:pStyle w:val="Heading3"/>
        <w:shd w:val="clear" w:color="auto" w:fill="auto"/>
      </w:pPr>
      <w:bookmarkStart w:id="24" w:name="_Toc238235499"/>
      <w:r>
        <w:t>2.2.1 Strategy and philosophical standpoint</w:t>
      </w:r>
      <w:bookmarkEnd w:id="24"/>
    </w:p>
    <w:p w:rsidR="007E7629" w:rsidRDefault="003E360F">
      <w:r>
        <w:t>The study has adopted the Systematic Literature Review (SLR) strategy for critically examining the existing evidence regarding the influence of ESG initiatives on customer trust within the food industry. The SLR strategy has been selected as it enabled the identification, appraisal and even the synthesis of high-quality scholarly evidence using a transparent and even the replicable process (</w:t>
      </w:r>
      <w:r>
        <w:rPr>
          <w:highlight w:val="white"/>
        </w:rPr>
        <w:t xml:space="preserve">Szarucki </w:t>
      </w:r>
      <w:r>
        <w:rPr>
          <w:i/>
          <w:iCs/>
          <w:highlight w:val="white"/>
        </w:rPr>
        <w:t>et al</w:t>
      </w:r>
      <w:r>
        <w:rPr>
          <w:highlight w:val="white"/>
        </w:rPr>
        <w:t>., 2025)</w:t>
      </w:r>
      <w:r>
        <w:t xml:space="preserve">. It is unlike traditional narrative reviews, as the systematic approach minimises selection bias by following the predefined search procedures and the eligibility criteria. It helps in enhancing the reliability and credibility of the findings. </w:t>
      </w:r>
    </w:p>
    <w:p w:rsidR="007E7629" w:rsidRDefault="003E360F">
      <w:r>
        <w:t>The review is underpinned by the choice of an interpretivist philosophical standpoint that has recognised that knowledge can be generated through the integration of diverse forms of evidence or addressing the practical research problems. The choice of interpretivism is mainly applicable as the study aims at synthesising the findings from the qualitative studies for understanding the ESG initiatives and their influence on customer trust levels and their purchase intentions (</w:t>
      </w:r>
      <w:r>
        <w:rPr>
          <w:highlight w:val="white"/>
        </w:rPr>
        <w:t>Fischer, 2025)</w:t>
      </w:r>
      <w:r>
        <w:t xml:space="preserve">. It is rather than adhering to the positivist assumptions, the choice of interpretivist perspective facilitates a comprehensive understanding of the relationships, organisational challenges and the practical implications associated with the implementation of ESG in the food industry. </w:t>
      </w:r>
    </w:p>
    <w:p w:rsidR="007E7629" w:rsidRDefault="003E360F">
      <w:pPr>
        <w:pStyle w:val="Heading3"/>
        <w:shd w:val="clear" w:color="auto" w:fill="auto"/>
      </w:pPr>
      <w:bookmarkStart w:id="25" w:name="_Toc238235500"/>
      <w:r>
        <w:t>2.2.2 Review scope</w:t>
      </w:r>
      <w:bookmarkEnd w:id="25"/>
      <w:r>
        <w:t xml:space="preserve"> </w:t>
      </w:r>
    </w:p>
    <w:p w:rsidR="007E7629" w:rsidRDefault="003E360F">
      <w:r>
        <w:t xml:space="preserve">The review has focused on the scholarly literature investigating the relationship between the Environmental, Social and Governance (ESG) initiatives and customer trust in the overall food industry. The scope of the study includes studies examining sustainability practices like environmental protection, corporate governance, ethical sourcing, waste reduction, transparency, green marketing and responsible supply chain management alongside their influence on customer trust and the credibility of the brand, along with the purchasing behaviour. </w:t>
      </w:r>
    </w:p>
    <w:p w:rsidR="007E7629" w:rsidRDefault="003E360F">
      <w:r>
        <w:lastRenderedPageBreak/>
        <w:t xml:space="preserve">The review includes peer-reviewed journal articles that have been published between the years 2021 and 2026. It has helped ensure that the findings are based on the current trends in ESG practices and customers’ behavior. These papers have been sourced from reputable online libraries such as ScienceDirect and Sage Journals. The review has been conducted with sources that are published in English. The studies have been ensured to be focused on the food industry and the role of ESG in driving perceptions and trust among consumers. The methodological quality has been maintained in the study by incorporating peer-reviewed articles in the review and analysis. </w:t>
      </w:r>
    </w:p>
    <w:p w:rsidR="007E7629" w:rsidRDefault="003E360F">
      <w:pPr>
        <w:pStyle w:val="Heading3"/>
        <w:shd w:val="clear" w:color="auto" w:fill="auto"/>
      </w:pPr>
      <w:bookmarkStart w:id="26" w:name="_Toc238235501"/>
      <w:r>
        <w:t>2.2.3 Methodological Focus</w:t>
      </w:r>
      <w:bookmarkEnd w:id="26"/>
      <w:r>
        <w:t xml:space="preserve"> </w:t>
      </w:r>
    </w:p>
    <w:p w:rsidR="007E7629" w:rsidRDefault="003E360F">
      <w:r>
        <w:t xml:space="preserve">The literature review has employed a qualitative systematic literature review methodology. This choice is completely based on the selection of secondary data (Cheong </w:t>
      </w:r>
      <w:r>
        <w:rPr>
          <w:i/>
          <w:iCs/>
        </w:rPr>
        <w:t>et al</w:t>
      </w:r>
      <w:r>
        <w:t xml:space="preserve">., 2023). The methodological focus of the study is identifying the appropriate sources, critically evaluating them and synthesising the empirical findings from the previously published research that is related to the ESG initiatives and the customer trust in the food industry. </w:t>
      </w:r>
    </w:p>
    <w:p w:rsidR="007E7629" w:rsidRDefault="003E360F">
      <w:r>
        <w:t>The search strategy has been developed using the predefined keywords that include ESG initiatives, customer trust, food industry, greenwashing and sustainability. Boolean operators like AND and OR have been applied to refine the database searches along with improving the retrieval accuracy. The literature selection process has followed the explicit inclusion and exclusion criteria. This has ensured the relevance, consistency and transparency within the study. The selected studies have been analysed using thematic synthesis (</w:t>
      </w:r>
      <w:r>
        <w:rPr>
          <w:highlight w:val="white"/>
        </w:rPr>
        <w:t>Braun and Clarke, 2021)</w:t>
      </w:r>
      <w:r>
        <w:t xml:space="preserve">. The thematic analysis has been done with the application of the recurring concepts, researching the themes, relationships, organisational challenges and the gaps in knowledge that have been identified. The methodological approach has provided a comprehensive understanding of the current evidence while it has also highlighted the areas that require further research. </w:t>
      </w:r>
    </w:p>
    <w:p w:rsidR="007E7629" w:rsidRDefault="003E360F">
      <w:pPr>
        <w:pStyle w:val="Heading3"/>
        <w:shd w:val="clear" w:color="auto" w:fill="auto"/>
      </w:pPr>
      <w:bookmarkStart w:id="27" w:name="_Toc238235502"/>
      <w:r>
        <w:t>2.2.4 Time Horizon</w:t>
      </w:r>
      <w:bookmarkEnd w:id="27"/>
      <w:r>
        <w:t xml:space="preserve"> </w:t>
      </w:r>
    </w:p>
    <w:p w:rsidR="007E7629" w:rsidRDefault="003E360F">
      <w:r>
        <w:t>The review has been executed with the choice of a cross-sectional time horizon as it has synthesised the evidence that is published during the defined period rather than examining changes over time in the case of the food industry. The literature search has been restricted to studies published between 2021 and 2026, that is reflected the rapid development in ESG policies while reporting on sustainability frameworks and even changing the expectations of consumers in the post-pandemic food industry (</w:t>
      </w:r>
      <w:r>
        <w:rPr>
          <w:highlight w:val="white"/>
        </w:rPr>
        <w:t>Aboussalah, Xu and Lee, 2022)</w:t>
      </w:r>
      <w:r>
        <w:t xml:space="preserve">. </w:t>
      </w:r>
    </w:p>
    <w:p w:rsidR="007E7629" w:rsidRDefault="003E360F">
      <w:r>
        <w:t xml:space="preserve">The choice of selecting the five-year period has also ensured the study reviews and captures the most recent academic evidence regarding the implementation of ESG, customer trust, </w:t>
      </w:r>
      <w:r>
        <w:lastRenderedPageBreak/>
        <w:t xml:space="preserve">greenwashing, sustainability practices and transparency. Limiting the review to recent literature has enhanced the relevance to the findings of contemporary business practices and guides policymaking to ensure alignment with current ESG standards along with the trends of consumer behaviour. </w:t>
      </w:r>
    </w:p>
    <w:p w:rsidR="007E7629" w:rsidRDefault="003E360F">
      <w:r>
        <w:t xml:space="preserve">The time horizon has been selected in the case of this research for collecting the secondary data within a single span of time. This has guided the accuracy of the data along with maintaining the ethical approach of the study. </w:t>
      </w:r>
    </w:p>
    <w:p w:rsidR="007E7629" w:rsidRDefault="003E360F">
      <w:pPr>
        <w:pStyle w:val="Heading2"/>
        <w:shd w:val="clear" w:color="auto" w:fill="auto"/>
      </w:pPr>
      <w:bookmarkStart w:id="28" w:name="_Toc238235503"/>
      <w:r>
        <w:t>2.3 Collection of sources</w:t>
      </w:r>
      <w:bookmarkEnd w:id="28"/>
    </w:p>
    <w:p w:rsidR="007E7629" w:rsidRDefault="003E360F">
      <w:pPr>
        <w:shd w:val="clear" w:color="auto" w:fill="auto"/>
        <w:rPr>
          <w:color w:val="000000"/>
        </w:rPr>
      </w:pPr>
      <w:r>
        <w:rPr>
          <w:color w:val="000000"/>
        </w:rPr>
        <w:t xml:space="preserve">The choice of sources is systematic and organised in order to guarantee the selection of the pertinent, credible and up-to-date literature that can touch on the impact of Environmental, Social and Governance (ESG) initiatives on customer trust in the UK food sector. They are chosen based on the fact that academic databases, including ScienceDirect and SAGE Journals, offer a large number of peer-reviewed business, sustainability, marketing and consumer behaviour publications. In order to enhance the relevance and quality of the review, predefined search terms, Boolean operators and filtering criteria are used throughout all databases. Peer-reviewed journal articles published in English between 2021 to 26 only are taken into account. This methodology contributed to the transparency, reproducibility, and completeness of the literature search and made sure the chosen studies are relevant to the research objectives and research questions. </w:t>
      </w:r>
    </w:p>
    <w:p w:rsidR="007E7629" w:rsidRDefault="003E360F">
      <w:pPr>
        <w:pStyle w:val="Heading3"/>
        <w:shd w:val="clear" w:color="auto" w:fill="auto"/>
      </w:pPr>
      <w:bookmarkStart w:id="29" w:name="_Toc238235504"/>
      <w:r>
        <w:t>2.3.1 Search sentence</w:t>
      </w:r>
      <w:bookmarkEnd w:id="29"/>
    </w:p>
    <w:p w:rsidR="007E7629" w:rsidRDefault="003E360F">
      <w:pPr>
        <w:shd w:val="clear" w:color="auto" w:fill="auto"/>
        <w:rPr>
          <w:color w:val="000000"/>
        </w:rPr>
      </w:pPr>
      <w:r>
        <w:rPr>
          <w:color w:val="000000"/>
        </w:rPr>
        <w:t>The search strategy is formulated based on the PICO framework and applied using Boolean operators to systematically identify related studies. The keywords denoting the concepts of the research are joined with the operators AND and OR.</w:t>
      </w:r>
    </w:p>
    <w:p w:rsidR="007E7629" w:rsidRDefault="003E360F">
      <w:pPr>
        <w:shd w:val="clear" w:color="auto" w:fill="auto"/>
        <w:rPr>
          <w:color w:val="000000"/>
        </w:rPr>
      </w:pPr>
      <w:r>
        <w:rPr>
          <w:color w:val="000000"/>
        </w:rPr>
        <w:t>(“Environmental, Social and Governance” OR ESG)</w:t>
      </w:r>
    </w:p>
    <w:p w:rsidR="007E7629" w:rsidRDefault="003E360F">
      <w:pPr>
        <w:shd w:val="clear" w:color="auto" w:fill="auto"/>
        <w:rPr>
          <w:color w:val="000000"/>
        </w:rPr>
      </w:pPr>
      <w:r>
        <w:rPr>
          <w:color w:val="000000"/>
        </w:rPr>
        <w:t xml:space="preserve">AND </w:t>
      </w:r>
    </w:p>
    <w:p w:rsidR="007E7629" w:rsidRDefault="003E360F">
      <w:pPr>
        <w:shd w:val="clear" w:color="auto" w:fill="auto"/>
        <w:rPr>
          <w:color w:val="000000"/>
        </w:rPr>
      </w:pPr>
      <w:r>
        <w:rPr>
          <w:color w:val="000000"/>
        </w:rPr>
        <w:t>(“customer trust" OR "consumer trust” OR “brand trust”)</w:t>
      </w:r>
    </w:p>
    <w:p w:rsidR="007E7629" w:rsidRDefault="003E360F">
      <w:pPr>
        <w:shd w:val="clear" w:color="auto" w:fill="auto"/>
        <w:rPr>
          <w:color w:val="000000"/>
        </w:rPr>
      </w:pPr>
      <w:r>
        <w:rPr>
          <w:color w:val="000000"/>
        </w:rPr>
        <w:t>AND</w:t>
      </w:r>
    </w:p>
    <w:p w:rsidR="007E7629" w:rsidRDefault="003E360F">
      <w:pPr>
        <w:shd w:val="clear" w:color="auto" w:fill="auto"/>
        <w:rPr>
          <w:color w:val="000000"/>
        </w:rPr>
      </w:pPr>
      <w:r>
        <w:rPr>
          <w:color w:val="000000"/>
        </w:rPr>
        <w:t>(“food industry” OR “food sector” OR “food retail”)</w:t>
      </w:r>
    </w:p>
    <w:p w:rsidR="007E7629" w:rsidRDefault="003E360F">
      <w:pPr>
        <w:shd w:val="clear" w:color="auto" w:fill="auto"/>
        <w:rPr>
          <w:color w:val="000000"/>
        </w:rPr>
      </w:pPr>
      <w:r>
        <w:rPr>
          <w:color w:val="000000"/>
        </w:rPr>
        <w:t xml:space="preserve">AND </w:t>
      </w:r>
    </w:p>
    <w:p w:rsidR="007E7629" w:rsidRDefault="003E360F">
      <w:pPr>
        <w:shd w:val="clear" w:color="auto" w:fill="auto"/>
        <w:rPr>
          <w:color w:val="000000"/>
        </w:rPr>
      </w:pPr>
      <w:r>
        <w:rPr>
          <w:color w:val="000000"/>
        </w:rPr>
        <w:t>(“United Kingdom” OR UK)</w:t>
      </w:r>
    </w:p>
    <w:p w:rsidR="007E7629" w:rsidRDefault="003E360F">
      <w:pPr>
        <w:shd w:val="clear" w:color="auto" w:fill="auto"/>
        <w:rPr>
          <w:color w:val="000000"/>
        </w:rPr>
      </w:pPr>
      <w:r>
        <w:rPr>
          <w:color w:val="000000"/>
        </w:rPr>
        <w:t>Other search terms like ‘greenwashing’, ‘sustainable food brands’, ‘consumer perception’, ‘traceability’ and ‘sustainability’ are also used to find the studies that cover the organisational factors that affect customer trust. The filters used in databases are publication years from 2021 to 2026, peer-reviewed articles and English-language articles.</w:t>
      </w:r>
    </w:p>
    <w:p w:rsidR="007E7629" w:rsidRDefault="003E360F">
      <w:pPr>
        <w:pStyle w:val="Heading3"/>
        <w:shd w:val="clear" w:color="auto" w:fill="auto"/>
      </w:pPr>
      <w:bookmarkStart w:id="30" w:name="_Toc238235505"/>
      <w:r>
        <w:lastRenderedPageBreak/>
        <w:t>2.3.2 Sampling strategy</w:t>
      </w:r>
      <w:bookmarkEnd w:id="30"/>
    </w:p>
    <w:p w:rsidR="007E7629" w:rsidRDefault="003E360F">
      <w:pPr>
        <w:shd w:val="clear" w:color="auto" w:fill="auto"/>
        <w:rPr>
          <w:color w:val="000000"/>
        </w:rPr>
      </w:pPr>
      <w:r>
        <w:rPr>
          <w:color w:val="000000"/>
        </w:rPr>
        <w:t xml:space="preserve">A purposive sampling methodology is considered, whereby studies that are directly related to the research objectives are identified (Ahmad and Wilkins, 2025). As opposed to picking studies randomly, purposive sampling allowed including articles that research ESG initiatives, sustainability practices, customer trust and consumer behaviour in the food industry. After the database search, the titles and abstracts are filtered against the inclusion criteria and then full-text assessment is done. Duplicate records and studies that are not related to the research focus are not considered. The ultimate sample is </w:t>
      </w:r>
      <w:r w:rsidR="000830DC">
        <w:rPr>
          <w:color w:val="000000"/>
        </w:rPr>
        <w:t>5</w:t>
      </w:r>
      <w:r>
        <w:rPr>
          <w:color w:val="000000"/>
        </w:rPr>
        <w:t xml:space="preserve">0 high-quality peer-reviewed journal articles that together offered both empirical and conceptual evidence on the relationship between ESG initiatives and customer trust and the organisational factors influencing this relationship. </w:t>
      </w:r>
    </w:p>
    <w:p w:rsidR="007E7629" w:rsidRDefault="003E360F">
      <w:pPr>
        <w:pStyle w:val="Heading3"/>
        <w:shd w:val="clear" w:color="auto" w:fill="auto"/>
      </w:pPr>
      <w:bookmarkStart w:id="31" w:name="_Toc238235506"/>
      <w:r>
        <w:t>2.3.3 Inclusion and exclusion criteria</w:t>
      </w:r>
      <w:bookmarkEnd w:id="31"/>
      <w:r>
        <w:t xml:space="preserve"> </w:t>
      </w:r>
    </w:p>
    <w:p w:rsidR="007E7629" w:rsidRDefault="003E360F">
      <w:pPr>
        <w:shd w:val="clear" w:color="auto" w:fill="auto"/>
        <w:rPr>
          <w:color w:val="000000"/>
        </w:rPr>
      </w:pPr>
      <w:r>
        <w:rPr>
          <w:color w:val="000000"/>
        </w:rPr>
        <w:t>To maintain consistency and minimise selection bias during the literature search, the inclusion and exclusion criteria are set ahead of the literature search.</w:t>
      </w:r>
    </w:p>
    <w:tbl>
      <w:tblPr>
        <w:tblStyle w:val="a9"/>
        <w:tblW w:w="9015" w:type="dxa"/>
        <w:tblBorders>
          <w:top w:val="nil"/>
          <w:left w:val="nil"/>
          <w:bottom w:val="nil"/>
          <w:right w:val="nil"/>
          <w:insideH w:val="nil"/>
          <w:insideV w:val="nil"/>
        </w:tblBorders>
        <w:tblLayout w:type="fixed"/>
        <w:tblLook w:val="0600" w:firstRow="0" w:lastRow="0" w:firstColumn="0" w:lastColumn="0" w:noHBand="1" w:noVBand="1"/>
      </w:tblPr>
      <w:tblGrid>
        <w:gridCol w:w="4530"/>
        <w:gridCol w:w="4485"/>
      </w:tblGrid>
      <w:tr w:rsidR="007E7629">
        <w:trPr>
          <w:trHeight w:val="500"/>
        </w:trPr>
        <w:tc>
          <w:tcPr>
            <w:tcW w:w="4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jc w:val="center"/>
              <w:rPr>
                <w:b/>
                <w:bCs/>
                <w:i/>
                <w:iCs/>
                <w:color w:val="000000"/>
              </w:rPr>
            </w:pPr>
            <w:r>
              <w:rPr>
                <w:b/>
                <w:bCs/>
                <w:i/>
                <w:iCs/>
                <w:color w:val="000000"/>
              </w:rPr>
              <w:t>Inclusion Criteria</w:t>
            </w:r>
          </w:p>
        </w:tc>
        <w:tc>
          <w:tcPr>
            <w:tcW w:w="4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jc w:val="center"/>
              <w:rPr>
                <w:b/>
                <w:bCs/>
                <w:i/>
                <w:iCs/>
                <w:color w:val="000000"/>
              </w:rPr>
            </w:pPr>
            <w:r>
              <w:rPr>
                <w:b/>
                <w:bCs/>
                <w:i/>
                <w:iCs/>
                <w:color w:val="000000"/>
              </w:rPr>
              <w:t>Exclusion Criteria</w:t>
            </w:r>
          </w:p>
        </w:tc>
      </w:tr>
      <w:tr w:rsidR="007E7629">
        <w:trPr>
          <w:trHeight w:val="770"/>
        </w:trPr>
        <w:tc>
          <w:tcPr>
            <w:tcW w:w="4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Peer-reviewed journal articles</w:t>
            </w:r>
          </w:p>
        </w:tc>
        <w:tc>
          <w:tcPr>
            <w:tcW w:w="4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 xml:space="preserve">Non-peer-reviewed journals </w:t>
            </w:r>
          </w:p>
        </w:tc>
      </w:tr>
      <w:tr w:rsidR="007E7629">
        <w:trPr>
          <w:trHeight w:val="500"/>
        </w:trPr>
        <w:tc>
          <w:tcPr>
            <w:tcW w:w="4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Published between 2021 and 2026</w:t>
            </w:r>
          </w:p>
        </w:tc>
        <w:tc>
          <w:tcPr>
            <w:tcW w:w="4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Studies published before 2021</w:t>
            </w:r>
          </w:p>
        </w:tc>
      </w:tr>
      <w:tr w:rsidR="007E7629">
        <w:trPr>
          <w:trHeight w:val="500"/>
        </w:trPr>
        <w:tc>
          <w:tcPr>
            <w:tcW w:w="4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English language publications</w:t>
            </w:r>
          </w:p>
        </w:tc>
        <w:tc>
          <w:tcPr>
            <w:tcW w:w="4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Non-English publications</w:t>
            </w:r>
          </w:p>
        </w:tc>
      </w:tr>
      <w:tr w:rsidR="007E7629">
        <w:trPr>
          <w:trHeight w:val="1040"/>
        </w:trPr>
        <w:tc>
          <w:tcPr>
            <w:tcW w:w="4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Studies researching ESG, sustainability or corporate responsibility to customer trust</w:t>
            </w:r>
          </w:p>
        </w:tc>
        <w:tc>
          <w:tcPr>
            <w:tcW w:w="4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Studies focusing solely on financial performance or investor behaviour</w:t>
            </w:r>
          </w:p>
        </w:tc>
      </w:tr>
      <w:tr w:rsidR="007E7629">
        <w:trPr>
          <w:trHeight w:val="770"/>
        </w:trPr>
        <w:tc>
          <w:tcPr>
            <w:tcW w:w="4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Food industry or closely related consumer food contexts</w:t>
            </w:r>
          </w:p>
        </w:tc>
        <w:tc>
          <w:tcPr>
            <w:tcW w:w="4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Studies unrelated to the food industry</w:t>
            </w:r>
          </w:p>
        </w:tc>
      </w:tr>
      <w:tr w:rsidR="007E7629">
        <w:trPr>
          <w:trHeight w:val="500"/>
        </w:trPr>
        <w:tc>
          <w:tcPr>
            <w:tcW w:w="45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Full-text accessible articles</w:t>
            </w:r>
          </w:p>
        </w:tc>
        <w:tc>
          <w:tcPr>
            <w:tcW w:w="44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rsidR="007E7629" w:rsidRDefault="003E360F">
            <w:pPr>
              <w:shd w:val="clear" w:color="auto" w:fill="auto"/>
              <w:rPr>
                <w:color w:val="000000"/>
              </w:rPr>
            </w:pPr>
            <w:r>
              <w:rPr>
                <w:color w:val="000000"/>
              </w:rPr>
              <w:t>Abstract-only publications</w:t>
            </w:r>
          </w:p>
        </w:tc>
      </w:tr>
    </w:tbl>
    <w:p w:rsidR="007E7629" w:rsidRDefault="00B02212" w:rsidP="00B02212">
      <w:pPr>
        <w:pStyle w:val="Caption"/>
        <w:jc w:val="center"/>
      </w:pPr>
      <w:bookmarkStart w:id="32" w:name="_heading=h.5thjiueym166" w:colFirst="0" w:colLast="0"/>
      <w:bookmarkStart w:id="33" w:name="_Toc237861953"/>
      <w:bookmarkEnd w:id="32"/>
      <w:r>
        <w:t xml:space="preserve">Table </w:t>
      </w:r>
      <w:r w:rsidR="00FB5D41">
        <w:fldChar w:fldCharType="begin"/>
      </w:r>
      <w:r w:rsidR="00FB5D41">
        <w:instrText xml:space="preserve"> SEQ Table \* ARABIC </w:instrText>
      </w:r>
      <w:r w:rsidR="00FB5D41">
        <w:fldChar w:fldCharType="separate"/>
      </w:r>
      <w:r>
        <w:rPr>
          <w:noProof/>
        </w:rPr>
        <w:t>2</w:t>
      </w:r>
      <w:r w:rsidR="00FB5D41">
        <w:rPr>
          <w:noProof/>
        </w:rPr>
        <w:fldChar w:fldCharType="end"/>
      </w:r>
      <w:r>
        <w:t xml:space="preserve">: </w:t>
      </w:r>
      <w:r w:rsidRPr="002E5FD0">
        <w:t>Inclusion and Exclusion Criteria</w:t>
      </w:r>
      <w:bookmarkEnd w:id="33"/>
    </w:p>
    <w:p w:rsidR="007E7629" w:rsidRDefault="003E360F">
      <w:pPr>
        <w:shd w:val="clear" w:color="auto" w:fill="auto"/>
        <w:jc w:val="center"/>
        <w:rPr>
          <w:color w:val="000000"/>
        </w:rPr>
      </w:pPr>
      <w:r>
        <w:rPr>
          <w:color w:val="000000"/>
        </w:rPr>
        <w:t>(Source: Self-Created)</w:t>
      </w:r>
    </w:p>
    <w:p w:rsidR="007E7629" w:rsidRDefault="003E360F">
      <w:pPr>
        <w:shd w:val="clear" w:color="auto" w:fill="auto"/>
        <w:rPr>
          <w:color w:val="000000"/>
        </w:rPr>
      </w:pPr>
      <w:r>
        <w:rPr>
          <w:color w:val="000000"/>
        </w:rPr>
        <w:t xml:space="preserve">The criteria are used to make sure that only recent and academically sound studies that are relevant to ESG initiatives and customer trust are included. The peer-reviewed journal articles are restricted, which certainly helps to improve the credibility of the findings (Lozada-Martinez </w:t>
      </w:r>
      <w:r>
        <w:rPr>
          <w:i/>
          <w:iCs/>
          <w:color w:val="000000"/>
        </w:rPr>
        <w:t xml:space="preserve">et al., </w:t>
      </w:r>
      <w:r>
        <w:rPr>
          <w:color w:val="000000"/>
        </w:rPr>
        <w:t xml:space="preserve">2025). Whereas the timeframe restricted between 2021 and 2026 allowed keeping the </w:t>
      </w:r>
      <w:r>
        <w:rPr>
          <w:color w:val="000000"/>
        </w:rPr>
        <w:lastRenderedPageBreak/>
        <w:t xml:space="preserve">review up-to-date with recent trends in ESG practices. Even though the main focus is the food industry in the UK, related international research is also stored, which offers transferable information on ESG implementation and consumer trust. </w:t>
      </w:r>
    </w:p>
    <w:p w:rsidR="007E7629" w:rsidRDefault="003E360F">
      <w:pPr>
        <w:pStyle w:val="Heading3"/>
        <w:shd w:val="clear" w:color="auto" w:fill="auto"/>
      </w:pPr>
      <w:bookmarkStart w:id="34" w:name="_Toc238235507"/>
      <w:r>
        <w:t>2.3.4 Approach to evaluation and appraisal of sources</w:t>
      </w:r>
      <w:bookmarkEnd w:id="34"/>
    </w:p>
    <w:p w:rsidR="007E7629" w:rsidRDefault="003E360F">
      <w:pPr>
        <w:shd w:val="clear" w:color="auto" w:fill="auto"/>
        <w:rPr>
          <w:color w:val="000000"/>
        </w:rPr>
      </w:pPr>
      <w:r>
        <w:rPr>
          <w:color w:val="000000"/>
        </w:rPr>
        <w:t xml:space="preserve">After selection of the studies, the quality and relevance of the studies included is assessed using the Critical Appraisal Skills Programme (CASP) checklist. The appraisal is ensured by considering the clarity of research objectives, methodological suitability, data collection processes, analytical processes, validity of the findings and contribution to the research topic. The articles are evaluated to see whether they present plausible evidence on ESG initiatives and customer trust. In research such as the one discussed here, synthesis is emphasized in selecting research papers that have good designs and methodology and support their findings (Coatsworth-Puspoky et al., 2025). Furthermore, the usefulness of every article to the research objectives and PICO framework is taken into account to maintain consistency in the review process. The use of a systematic appraisal process increased the quality of the systematic literature review by minimising the number of included low-quality evidence and facilitating a transparent and replicable review of the chosen literature. </w:t>
      </w:r>
    </w:p>
    <w:p w:rsidR="007E7629" w:rsidRDefault="003E360F">
      <w:pPr>
        <w:pStyle w:val="Heading3"/>
        <w:shd w:val="clear" w:color="auto" w:fill="auto"/>
      </w:pPr>
      <w:bookmarkStart w:id="35" w:name="_Toc238235508"/>
      <w:r>
        <w:t>2.3.5 CASP Quality Assessment</w:t>
      </w:r>
      <w:bookmarkEnd w:id="35"/>
      <w:r>
        <w:t xml:space="preserve"> </w:t>
      </w:r>
    </w:p>
    <w:p w:rsidR="007E7629" w:rsidRDefault="003E360F">
      <w:pPr>
        <w:rPr>
          <w:color w:val="FF0000"/>
        </w:rPr>
      </w:pPr>
      <w:r>
        <w:rPr>
          <w:color w:val="000000"/>
        </w:rPr>
        <w:t>CASP checklists were applied to the review according to methodological design of the included studies, and not to all the sources. This procedure enabled qualitative and quantitative studies to be evaluated by using the corresponding CASP criteria without losing uniformity in determining the quality of methods, plausibility and applicability to the research question. These studies were evaluated based on the applicable CASP criteria, including methodological rigour, research design clarity, data collection, data analysis, research credibility and relevance with the research question. Nevertheless, 405 articles were filtered out in the abstract/full-text screening due to irrelevancy or not meeting the predetermined eligibility conditions. Generally, the CASP appraisal revealed that the studies included had a sufficient methodological foundation of the review, and strengths and limitations were identified in the interpretation and synthesis of findings.</w:t>
      </w:r>
    </w:p>
    <w:p w:rsidR="007E7629" w:rsidRDefault="003E360F">
      <w:pPr>
        <w:pStyle w:val="Heading2"/>
        <w:shd w:val="clear" w:color="auto" w:fill="auto"/>
      </w:pPr>
      <w:bookmarkStart w:id="36" w:name="_Toc238235509"/>
      <w:r>
        <w:t>2.4 Analysis tools and techniques</w:t>
      </w:r>
      <w:bookmarkEnd w:id="36"/>
    </w:p>
    <w:p w:rsidR="007E7629" w:rsidRDefault="003E360F">
      <w:pPr>
        <w:shd w:val="clear" w:color="auto" w:fill="auto"/>
      </w:pPr>
      <w:r>
        <w:rPr>
          <w:color w:val="000000"/>
        </w:rPr>
        <w:t xml:space="preserve">Thematic analysis is used to analyse the selected literature, according to the six-step method suggested by Braun and Clarke (2021). Firstly, these papers are repeatedly read to get familiar with the findings. The most relevant information regarding ESG practices, customer trust, organizational barriers, and enabling factors are selected and compiled using Microsoft Excel. Open coding is undertaken with the aim of coming up with recurrent concepts across the studies </w:t>
      </w:r>
      <w:r>
        <w:rPr>
          <w:color w:val="000000"/>
        </w:rPr>
        <w:lastRenderedPageBreak/>
        <w:t xml:space="preserve">that have been selected. Codes are clustered around larger themes that present shared patterns in the literature. These themes are revisited, polished and deduced to respond to the research questions and objectives. The thematic analysis is chosen due to its ability to help synthesise qualitative evidence from numerous studies in a systematic way and enable the identification of similarities, differences and research gaps (Naeem </w:t>
      </w:r>
      <w:r>
        <w:rPr>
          <w:i/>
          <w:iCs/>
          <w:color w:val="000000"/>
        </w:rPr>
        <w:t xml:space="preserve">et al., </w:t>
      </w:r>
      <w:r>
        <w:rPr>
          <w:color w:val="000000"/>
        </w:rPr>
        <w:t xml:space="preserve">2023). This analytical method therefore gave a holistic perspective of the impact of the ESG initiatives on customer trust in the food industry. </w:t>
      </w:r>
    </w:p>
    <w:p w:rsidR="007E7629" w:rsidRDefault="003E360F">
      <w:pPr>
        <w:pStyle w:val="Heading2"/>
      </w:pPr>
      <w:bookmarkStart w:id="37" w:name="_Toc238235510"/>
      <w:r>
        <w:t>2.5 Literature search summary</w:t>
      </w:r>
      <w:bookmarkEnd w:id="37"/>
    </w:p>
    <w:p w:rsidR="007E7629" w:rsidRDefault="003E360F">
      <w:r>
        <w:t xml:space="preserve">The total number of articles that have been selected from both databases collectively is 58,100. The number of articles from ScienceDirect is 49,606, and the number of articles from Sage Journals is 8,494. The articles have been collected in complete alignment with the inclusion-exclusion criteria for narrowing the rate of appropriate articles as per relevance. </w:t>
      </w:r>
    </w:p>
    <w:p w:rsidR="007E7629" w:rsidRDefault="003E360F">
      <w:r>
        <w:t xml:space="preserve">The overall literature search has been based on the prospect of the PICO framework that has helped in segmenting the study topic appropriately. The population [P] of the topic are the consumers, the intervention [I] is the implementation and communication of environmental, social and governance (ESG) initiatives. Comparison [C] is of the food companies having weak or limited ESG initiatives and outcomes (O) of increased customer trust and purchase intentions. </w:t>
      </w:r>
    </w:p>
    <w:tbl>
      <w:tblPr>
        <w:tblStyle w:val="a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35"/>
        <w:gridCol w:w="2565"/>
        <w:gridCol w:w="3000"/>
      </w:tblGrid>
      <w:tr w:rsidR="007E7629">
        <w:trPr>
          <w:jc w:val="center"/>
        </w:trPr>
        <w:tc>
          <w:tcPr>
            <w:tcW w:w="3435"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Customer/consumer </w:t>
            </w:r>
          </w:p>
        </w:tc>
        <w:tc>
          <w:tcPr>
            <w:tcW w:w="2565"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Sustainability </w:t>
            </w:r>
          </w:p>
        </w:tc>
        <w:tc>
          <w:tcPr>
            <w:tcW w:w="3000"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Food products </w:t>
            </w:r>
          </w:p>
        </w:tc>
      </w:tr>
      <w:tr w:rsidR="007E7629">
        <w:trPr>
          <w:jc w:val="center"/>
        </w:trPr>
        <w:tc>
          <w:tcPr>
            <w:tcW w:w="3435"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Customer trust/consumer trust </w:t>
            </w:r>
          </w:p>
        </w:tc>
        <w:tc>
          <w:tcPr>
            <w:tcW w:w="2565"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Green practices </w:t>
            </w:r>
          </w:p>
        </w:tc>
        <w:tc>
          <w:tcPr>
            <w:tcW w:w="3000"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Eco-friendly food </w:t>
            </w:r>
          </w:p>
        </w:tc>
      </w:tr>
      <w:tr w:rsidR="007E7629">
        <w:trPr>
          <w:jc w:val="center"/>
        </w:trPr>
        <w:tc>
          <w:tcPr>
            <w:tcW w:w="3435"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Environmental, Social, Governance (ESG)</w:t>
            </w:r>
          </w:p>
        </w:tc>
        <w:tc>
          <w:tcPr>
            <w:tcW w:w="2565"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Food brand </w:t>
            </w:r>
          </w:p>
        </w:tc>
        <w:tc>
          <w:tcPr>
            <w:tcW w:w="3000"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purchase/buying behaviour </w:t>
            </w:r>
          </w:p>
        </w:tc>
      </w:tr>
    </w:tbl>
    <w:p w:rsidR="007E7629" w:rsidRDefault="00B02212" w:rsidP="00B02212">
      <w:pPr>
        <w:pStyle w:val="Caption"/>
        <w:jc w:val="center"/>
      </w:pPr>
      <w:bookmarkStart w:id="38" w:name="_heading=h.b27e0a20mo8x" w:colFirst="0" w:colLast="0"/>
      <w:bookmarkStart w:id="39" w:name="_Toc237861954"/>
      <w:bookmarkEnd w:id="38"/>
      <w:r>
        <w:t xml:space="preserve">Table </w:t>
      </w:r>
      <w:r w:rsidR="00FB5D41">
        <w:fldChar w:fldCharType="begin"/>
      </w:r>
      <w:r w:rsidR="00FB5D41">
        <w:instrText xml:space="preserve"> SEQ Table \* ARABIC </w:instrText>
      </w:r>
      <w:r w:rsidR="00FB5D41">
        <w:fldChar w:fldCharType="separate"/>
      </w:r>
      <w:r>
        <w:rPr>
          <w:noProof/>
        </w:rPr>
        <w:t>3</w:t>
      </w:r>
      <w:r w:rsidR="00FB5D41">
        <w:rPr>
          <w:noProof/>
        </w:rPr>
        <w:fldChar w:fldCharType="end"/>
      </w:r>
      <w:r>
        <w:t xml:space="preserve">: </w:t>
      </w:r>
      <w:r w:rsidRPr="00F61F24">
        <w:t>Keywords used in search strings</w:t>
      </w:r>
      <w:bookmarkEnd w:id="39"/>
    </w:p>
    <w:p w:rsidR="007E7629" w:rsidRDefault="003E360F">
      <w:pPr>
        <w:shd w:val="clear" w:color="auto" w:fill="auto"/>
        <w:jc w:val="center"/>
      </w:pPr>
      <w:r>
        <w:rPr>
          <w:color w:val="000000"/>
        </w:rPr>
        <w:t>(Source: Self-Created)</w:t>
      </w:r>
    </w:p>
    <w:p w:rsidR="007E7629" w:rsidRDefault="003E360F">
      <w:r>
        <w:t>The PRISMA diagram presented below provides an overview of the narrowing down of the results to eventually incorporate the relevant sources for the review.</w:t>
      </w:r>
    </w:p>
    <w:p w:rsidR="007E7629" w:rsidRDefault="003E360F">
      <w:pPr>
        <w:jc w:val="center"/>
      </w:pPr>
      <w:r>
        <w:rPr>
          <w:noProof/>
        </w:rPr>
        <w:lastRenderedPageBreak/>
        <w:drawing>
          <wp:inline distT="114300" distB="114300" distL="114300" distR="114300">
            <wp:extent cx="5731200" cy="37465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746500"/>
                    </a:xfrm>
                    <a:prstGeom prst="rect">
                      <a:avLst/>
                    </a:prstGeom>
                    <a:ln/>
                  </pic:spPr>
                </pic:pic>
              </a:graphicData>
            </a:graphic>
          </wp:inline>
        </w:drawing>
      </w:r>
      <w:r>
        <w:t xml:space="preserve"> </w:t>
      </w:r>
    </w:p>
    <w:p w:rsidR="007E7629" w:rsidRDefault="00B02212" w:rsidP="00B02212">
      <w:pPr>
        <w:pStyle w:val="Caption"/>
        <w:jc w:val="center"/>
      </w:pPr>
      <w:bookmarkStart w:id="40" w:name="_heading=h.vdvfqohjtokz" w:colFirst="0" w:colLast="0"/>
      <w:bookmarkStart w:id="41" w:name="_Toc237861941"/>
      <w:bookmarkEnd w:id="40"/>
      <w:r>
        <w:t xml:space="preserve">Figure </w:t>
      </w:r>
      <w:r w:rsidR="00FB5D41">
        <w:fldChar w:fldCharType="begin"/>
      </w:r>
      <w:r w:rsidR="00FB5D41">
        <w:instrText xml:space="preserve"> SEQ Figure \* ARABIC </w:instrText>
      </w:r>
      <w:r w:rsidR="00FB5D41">
        <w:fldChar w:fldCharType="separate"/>
      </w:r>
      <w:r>
        <w:rPr>
          <w:noProof/>
        </w:rPr>
        <w:t>2</w:t>
      </w:r>
      <w:r w:rsidR="00FB5D41">
        <w:rPr>
          <w:noProof/>
        </w:rPr>
        <w:fldChar w:fldCharType="end"/>
      </w:r>
      <w:r>
        <w:t xml:space="preserve">: </w:t>
      </w:r>
      <w:r w:rsidRPr="00BE324A">
        <w:t>PRISMA Flowchart representing selection of the sources for the final review</w:t>
      </w:r>
      <w:bookmarkEnd w:id="41"/>
    </w:p>
    <w:p w:rsidR="007E7629" w:rsidRDefault="003E360F">
      <w:pPr>
        <w:jc w:val="center"/>
      </w:pPr>
      <w:r>
        <w:t>(Self-created)</w:t>
      </w:r>
    </w:p>
    <w:p w:rsidR="007E7629" w:rsidRDefault="003E360F">
      <w:r>
        <w:t xml:space="preserve">The PRISMA screening process has demonstrated a rigorous and systematic approach for identifying the relevant literature for the SLR. Initially, a total of 58,100 records were identified from the databases ScienceDirect and Sage Journals. The application of the filter 2021 to 2026 has reduced the records to 30,118. Further application of the filter for peer-reviewed and English-language publications has narrowed the database to 23,480, from which 10,080 duplicates have been removed, resulting in the remaining 13,400 unique records. Subsequently, the non-open-access articles have been excluded, retaining only accessible literature, leaving around 9,987 records for screening. The titles have been screened that led to the exclusion of 9,532 records that were not directly relevant to the topic of the study. The resulting number of studies is 455 that are eligible for full-text assessment. A detailed evaluation of the abstracts has been conducted along with the full-text articles in alignment with the inclusion and exclusion criteria. This resulted in the exclusion of 405 studies due to limited relevance or failure to meet the overall eligibility requirements. Ultimately, 50 high-quality studies have been selected to be included in the final SLR. The structured selection process has enhanced the transparency and credibility of the review, ensuring that the final evidence base is relevant and has a robust methodology. </w:t>
      </w:r>
    </w:p>
    <w:p w:rsidR="007E7629" w:rsidRDefault="003E360F">
      <w:pPr>
        <w:pStyle w:val="Heading2"/>
        <w:shd w:val="clear" w:color="auto" w:fill="auto"/>
      </w:pPr>
      <w:bookmarkStart w:id="42" w:name="_Toc238235511"/>
      <w:r>
        <w:lastRenderedPageBreak/>
        <w:t>2.6 Review limitations</w:t>
      </w:r>
      <w:bookmarkEnd w:id="42"/>
    </w:p>
    <w:p w:rsidR="007E7629" w:rsidRDefault="003E360F">
      <w:pPr>
        <w:shd w:val="clear" w:color="auto" w:fill="auto"/>
        <w:rPr>
          <w:color w:val="000000"/>
        </w:rPr>
      </w:pPr>
      <w:r>
        <w:rPr>
          <w:color w:val="000000"/>
        </w:rPr>
        <w:t xml:space="preserve">Even though the systematic literature review is based on a structured and transparent approach, there are several limitations, which should be recognised. The review did not consider all peer-reviewed journal articles that are published in the last 2 years, 2021 to 2026, and this might have left out studies in other languages or published during another period. Second, although the review targeted the food industry in the UK, there is insufficient UK-specific research to include. Therefore, it is necessary to include research across different countries that could have similar contexts, which in turn could limit the direct applicability of some results. Third, the use of thematic data limited the analysis to the available evidence and did not allow exploring the current consumer perceptions with the help of primary research (Mogaji, Balakrishnan and Kieu, 2021). There can also be publication bias since the studies that present strong or positive results will be published more than those with inconclusive results. Nonetheless, the nature of predetermined inclusion criteria, systematic search methods, PRISMA guidelines and quality appraisal enhanced the credibility, transparency and reliability of the review results. </w:t>
      </w:r>
    </w:p>
    <w:p w:rsidR="007E7629" w:rsidRDefault="003E360F">
      <w:pPr>
        <w:pStyle w:val="Heading2"/>
        <w:shd w:val="clear" w:color="auto" w:fill="auto"/>
      </w:pPr>
      <w:bookmarkStart w:id="43" w:name="_Toc238235512"/>
      <w:r>
        <w:t>2.7 Chapter conclusion</w:t>
      </w:r>
      <w:bookmarkEnd w:id="43"/>
      <w:r>
        <w:t xml:space="preserve"> </w:t>
      </w:r>
    </w:p>
    <w:p w:rsidR="007E7629" w:rsidRDefault="003E360F">
      <w:pPr>
        <w:shd w:val="clear" w:color="auto" w:fill="auto"/>
        <w:rPr>
          <w:highlight w:val="yellow"/>
        </w:rPr>
      </w:pPr>
      <w:r>
        <w:rPr>
          <w:color w:val="000000"/>
        </w:rPr>
        <w:t xml:space="preserve">This chapter has described the systematic review approach that is used to explore the effects that ESG initiatives have on customer trust in the UK food industry. It outlined the research design, strategy of literature search, source selection, quality appraisal and thematic analysis process, which offered a clear and rigorous methodological basis to the findings and discussion in the next chapter. </w:t>
      </w:r>
    </w:p>
    <w:p w:rsidR="007E7629" w:rsidRDefault="003E360F">
      <w:pPr>
        <w:shd w:val="clear" w:color="auto" w:fill="auto"/>
        <w:rPr>
          <w:highlight w:val="yellow"/>
        </w:rPr>
      </w:pPr>
      <w:r>
        <w:br w:type="page"/>
      </w:r>
    </w:p>
    <w:p w:rsidR="007E7629" w:rsidRDefault="003E360F">
      <w:pPr>
        <w:pStyle w:val="Heading1"/>
      </w:pPr>
      <w:bookmarkStart w:id="44" w:name="_Toc238235513"/>
      <w:r>
        <w:lastRenderedPageBreak/>
        <w:t>Chapter 3: Literature Findings, Analysis and Discussion</w:t>
      </w:r>
      <w:bookmarkEnd w:id="44"/>
    </w:p>
    <w:p w:rsidR="007E7629" w:rsidRDefault="003E360F">
      <w:pPr>
        <w:pStyle w:val="Heading2"/>
        <w:shd w:val="clear" w:color="auto" w:fill="auto"/>
      </w:pPr>
      <w:bookmarkStart w:id="45" w:name="_Toc238235514"/>
      <w:r>
        <w:t>3.1 Introduction</w:t>
      </w:r>
      <w:bookmarkEnd w:id="45"/>
    </w:p>
    <w:p w:rsidR="007E7629" w:rsidRDefault="003E360F">
      <w:r>
        <w:t xml:space="preserve">This chapter has presented the findings, analysis and discussion of the systematic literature review through the thematic synthesis of the recent studies examining customer trust in the ESG initiatives within the food industry. The analysis is based on the peer-reviewed articles that were published between 2021 and 2025 and identified the four overarching themes that address the research objectives. The chapter has considered the strategic importance of ESG strategies in creating sustainability before considering the trustworthy ESG practices that affect the behavioral results by influencing the trust of the customers. The next part considers critically the organizational barriers that lead to mistrust, especially transparency and greenwashing problems. The chapter concludes with a discussion of strategies that strengthen authentic ESG implementation. Throughout the chapter, the similarities, contradictions, and research gaps within the existing literature have been critically analysed. This has provided a comprehensive understanding of the ESG-driven customer trust in the food industry operating on a global scale and even in the UK. </w:t>
      </w:r>
    </w:p>
    <w:p w:rsidR="007E7629" w:rsidRDefault="007E7629"/>
    <w:p w:rsidR="007E7629" w:rsidRDefault="003E360F">
      <w:pPr>
        <w:pStyle w:val="Heading2"/>
        <w:shd w:val="clear" w:color="auto" w:fill="auto"/>
        <w:rPr>
          <w:color w:val="000000"/>
        </w:rPr>
      </w:pPr>
      <w:bookmarkStart w:id="46" w:name="_Toc238235515"/>
      <w:r>
        <w:t>3.2 Sample Overview</w:t>
      </w:r>
      <w:bookmarkEnd w:id="46"/>
      <w:r>
        <w:t xml:space="preserve"> </w:t>
      </w:r>
    </w:p>
    <w:tbl>
      <w:tblPr>
        <w:tblStyle w:val="ab"/>
        <w:tblW w:w="89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1740"/>
        <w:gridCol w:w="5364"/>
      </w:tblGrid>
      <w:tr w:rsidR="007E7629">
        <w:tc>
          <w:tcPr>
            <w:tcW w:w="1830" w:type="dxa"/>
            <w:shd w:val="clear" w:color="auto" w:fill="auto"/>
            <w:tcMar>
              <w:top w:w="100" w:type="dxa"/>
              <w:left w:w="100" w:type="dxa"/>
              <w:bottom w:w="100" w:type="dxa"/>
              <w:right w:w="100" w:type="dxa"/>
            </w:tcMar>
          </w:tcPr>
          <w:p w:rsidR="007E7629" w:rsidRDefault="003E360F">
            <w:pPr>
              <w:shd w:val="clear" w:color="auto" w:fill="auto"/>
              <w:rPr>
                <w:b/>
                <w:bCs/>
                <w:color w:val="000000"/>
              </w:rPr>
            </w:pPr>
            <w:r>
              <w:rPr>
                <w:b/>
                <w:bCs/>
                <w:color w:val="000000"/>
              </w:rPr>
              <w:t xml:space="preserve">Themes </w:t>
            </w:r>
          </w:p>
        </w:tc>
        <w:tc>
          <w:tcPr>
            <w:tcW w:w="1740" w:type="dxa"/>
            <w:shd w:val="clear" w:color="auto" w:fill="auto"/>
            <w:tcMar>
              <w:top w:w="100" w:type="dxa"/>
              <w:left w:w="100" w:type="dxa"/>
              <w:bottom w:w="100" w:type="dxa"/>
              <w:right w:w="100" w:type="dxa"/>
            </w:tcMar>
          </w:tcPr>
          <w:p w:rsidR="007E7629" w:rsidRDefault="003E360F">
            <w:pPr>
              <w:widowControl w:val="0"/>
              <w:shd w:val="clear" w:color="auto" w:fill="auto"/>
              <w:jc w:val="left"/>
              <w:rPr>
                <w:b/>
                <w:bCs/>
                <w:color w:val="000000"/>
              </w:rPr>
            </w:pPr>
            <w:r>
              <w:rPr>
                <w:b/>
                <w:bCs/>
                <w:color w:val="000000"/>
              </w:rPr>
              <w:t xml:space="preserve">Subthemes </w:t>
            </w:r>
          </w:p>
        </w:tc>
        <w:tc>
          <w:tcPr>
            <w:tcW w:w="5364" w:type="dxa"/>
            <w:shd w:val="clear" w:color="auto" w:fill="auto"/>
            <w:tcMar>
              <w:top w:w="100" w:type="dxa"/>
              <w:left w:w="100" w:type="dxa"/>
              <w:bottom w:w="100" w:type="dxa"/>
              <w:right w:w="100" w:type="dxa"/>
            </w:tcMar>
          </w:tcPr>
          <w:p w:rsidR="007E7629" w:rsidRDefault="003E360F">
            <w:pPr>
              <w:widowControl w:val="0"/>
              <w:shd w:val="clear" w:color="auto" w:fill="auto"/>
              <w:jc w:val="left"/>
              <w:rPr>
                <w:b/>
                <w:bCs/>
                <w:color w:val="000000"/>
              </w:rPr>
            </w:pPr>
            <w:r>
              <w:rPr>
                <w:b/>
                <w:bCs/>
                <w:color w:val="000000"/>
              </w:rPr>
              <w:t>Authors and Year</w:t>
            </w:r>
          </w:p>
        </w:tc>
      </w:tr>
      <w:tr w:rsidR="007E7629">
        <w:tc>
          <w:tcPr>
            <w:tcW w:w="1830" w:type="dxa"/>
            <w:shd w:val="clear" w:color="auto" w:fill="auto"/>
            <w:tcMar>
              <w:top w:w="100" w:type="dxa"/>
              <w:left w:w="100" w:type="dxa"/>
              <w:bottom w:w="100" w:type="dxa"/>
              <w:right w:w="100" w:type="dxa"/>
            </w:tcMar>
          </w:tcPr>
          <w:p w:rsidR="007E7629" w:rsidRDefault="003E360F">
            <w:pPr>
              <w:jc w:val="left"/>
            </w:pPr>
            <w:r>
              <w:t xml:space="preserve">Theme 1: ESG initiatives have become a strategic priority for promoting sustainability in the food industry </w:t>
            </w:r>
          </w:p>
        </w:tc>
        <w:tc>
          <w:tcPr>
            <w:tcW w:w="1740" w:type="dxa"/>
            <w:shd w:val="clear" w:color="auto" w:fill="auto"/>
            <w:tcMar>
              <w:top w:w="100" w:type="dxa"/>
              <w:left w:w="100" w:type="dxa"/>
              <w:bottom w:w="100" w:type="dxa"/>
              <w:right w:w="100" w:type="dxa"/>
            </w:tcMar>
          </w:tcPr>
          <w:p w:rsidR="007E7629" w:rsidRDefault="003E360F">
            <w:pPr>
              <w:jc w:val="left"/>
            </w:pPr>
            <w:r>
              <w:t xml:space="preserve">1.1  Environmental sustainability practices demonstrate organisations’ commitment to responsible resource management </w:t>
            </w: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7E7629">
            <w:pPr>
              <w:jc w:val="left"/>
            </w:pPr>
          </w:p>
          <w:p w:rsidR="007E7629" w:rsidRDefault="003E360F">
            <w:pPr>
              <w:jc w:val="left"/>
            </w:pPr>
            <w:r>
              <w:t xml:space="preserve">1.2 Social and governance initiatives strengthen ethical business practices across the food supply chain </w:t>
            </w:r>
          </w:p>
        </w:tc>
        <w:tc>
          <w:tcPr>
            <w:tcW w:w="5364" w:type="dxa"/>
            <w:shd w:val="clear" w:color="auto" w:fill="auto"/>
            <w:tcMar>
              <w:top w:w="100" w:type="dxa"/>
              <w:left w:w="100" w:type="dxa"/>
              <w:bottom w:w="100" w:type="dxa"/>
              <w:right w:w="100" w:type="dxa"/>
            </w:tcMar>
          </w:tcPr>
          <w:p w:rsidR="007E7629" w:rsidRDefault="003E360F">
            <w:pPr>
              <w:numPr>
                <w:ilvl w:val="0"/>
                <w:numId w:val="11"/>
              </w:numPr>
            </w:pPr>
            <w:r>
              <w:lastRenderedPageBreak/>
              <w:t>Said, Z., Vigneshwaran, P., Shaik, S., Rauf, A., and Ahmad, Z. (2025)</w:t>
            </w:r>
          </w:p>
          <w:p w:rsidR="007E7629" w:rsidRDefault="003E360F">
            <w:pPr>
              <w:numPr>
                <w:ilvl w:val="0"/>
                <w:numId w:val="11"/>
              </w:numPr>
            </w:pPr>
            <w:r>
              <w:t>Ungemach, C., Astvansh, V., Bedi, S., Puranam, D., Cuenca, A. S. D. T., Sheldon, T. L., Blanco, C. C., Constantino, S. M., Markov, T., Miller, S., Ozturk, O. C., Reibstein, D., and Hardisty, D. J. (2026)</w:t>
            </w:r>
          </w:p>
          <w:p w:rsidR="007E7629" w:rsidRDefault="003E360F">
            <w:pPr>
              <w:numPr>
                <w:ilvl w:val="0"/>
                <w:numId w:val="11"/>
              </w:numPr>
            </w:pPr>
            <w:r>
              <w:t xml:space="preserve">Kapoor, D., Shields, K., Reynolds, C., Del Valle Menendez, M., and Jaacks, L. M. (2025) </w:t>
            </w:r>
          </w:p>
          <w:p w:rsidR="007E7629" w:rsidRDefault="003E360F">
            <w:pPr>
              <w:numPr>
                <w:ilvl w:val="0"/>
                <w:numId w:val="11"/>
              </w:numPr>
            </w:pPr>
            <w:r>
              <w:t xml:space="preserve">Osei, M. B., Papadopoulos, T., Acquaye, A., and Stamati, T. (2023). </w:t>
            </w:r>
          </w:p>
          <w:p w:rsidR="007E7629" w:rsidRDefault="003E360F">
            <w:pPr>
              <w:numPr>
                <w:ilvl w:val="0"/>
                <w:numId w:val="11"/>
              </w:numPr>
            </w:pPr>
            <w:r>
              <w:t>Saha, A., Raut, R. D., Kumar, M., Paul, S. K., Shi, Y., Shah, B., and Ghoshal, S. (2025)</w:t>
            </w:r>
          </w:p>
          <w:p w:rsidR="007E7629" w:rsidRDefault="003E360F">
            <w:pPr>
              <w:numPr>
                <w:ilvl w:val="0"/>
                <w:numId w:val="11"/>
              </w:numPr>
            </w:pPr>
            <w:r>
              <w:lastRenderedPageBreak/>
              <w:t xml:space="preserve">Lehtokunnas, T., Mattila, M., Närvänen, E., and Mesiranta, N. (2022) </w:t>
            </w:r>
          </w:p>
          <w:p w:rsidR="007E7629" w:rsidRDefault="003E360F">
            <w:pPr>
              <w:numPr>
                <w:ilvl w:val="0"/>
                <w:numId w:val="11"/>
              </w:numPr>
            </w:pPr>
            <w:r>
              <w:t xml:space="preserve">Deprá, M. C., Dias, R. R., Zepka, L. Q., and Jacob-Lopes, E. (2022) </w:t>
            </w:r>
          </w:p>
          <w:p w:rsidR="007E7629" w:rsidRDefault="003E360F">
            <w:pPr>
              <w:numPr>
                <w:ilvl w:val="0"/>
                <w:numId w:val="11"/>
              </w:numPr>
            </w:pPr>
            <w:r>
              <w:t>Conversano, E., Samoggia, A., and Benussi, C. (2026)</w:t>
            </w:r>
          </w:p>
          <w:p w:rsidR="007E7629" w:rsidRDefault="003E360F">
            <w:pPr>
              <w:numPr>
                <w:ilvl w:val="0"/>
                <w:numId w:val="11"/>
              </w:numPr>
            </w:pPr>
            <w:r>
              <w:t>Sneideriene, A., and Legenzova, R. (2025)</w:t>
            </w: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3E360F">
            <w:pPr>
              <w:numPr>
                <w:ilvl w:val="0"/>
                <w:numId w:val="11"/>
              </w:numPr>
            </w:pPr>
            <w:r>
              <w:t xml:space="preserve">Zong, W., Tu, H., Luo, F., Junejo, I., Din, A. U., Zhou, D., Luo, A., &amp; He, H. (2024) </w:t>
            </w:r>
          </w:p>
          <w:p w:rsidR="007E7629" w:rsidRDefault="003E360F">
            <w:pPr>
              <w:numPr>
                <w:ilvl w:val="0"/>
                <w:numId w:val="11"/>
              </w:numPr>
            </w:pPr>
            <w:r>
              <w:t xml:space="preserve">Manning, L., Brewer, S., Craigon, P. J., Frey, J., Gutierrez, A., Jacobs, N., Kanza, S., Munday, S., Sacks, J., and Pearson, S. (2022) </w:t>
            </w:r>
          </w:p>
          <w:p w:rsidR="007E7629" w:rsidRDefault="003E360F">
            <w:pPr>
              <w:numPr>
                <w:ilvl w:val="0"/>
                <w:numId w:val="11"/>
              </w:numPr>
            </w:pPr>
            <w:r>
              <w:t xml:space="preserve">Lee, C., and Hammant, C. (2023) </w:t>
            </w:r>
          </w:p>
          <w:p w:rsidR="007E7629" w:rsidRDefault="003E360F">
            <w:pPr>
              <w:numPr>
                <w:ilvl w:val="0"/>
                <w:numId w:val="11"/>
              </w:numPr>
            </w:pPr>
            <w:r>
              <w:t xml:space="preserve">Dhaigude, A. S., Chatterjee, D., and Kamath, G. B. (2025) </w:t>
            </w:r>
          </w:p>
          <w:p w:rsidR="007E7629" w:rsidRDefault="003E360F">
            <w:pPr>
              <w:numPr>
                <w:ilvl w:val="0"/>
                <w:numId w:val="11"/>
              </w:numPr>
            </w:pPr>
            <w:r>
              <w:t xml:space="preserve">Truant, E., Borlatto, E., Crocco, E., and Sahore, N. (2023) </w:t>
            </w:r>
          </w:p>
          <w:p w:rsidR="007E7629" w:rsidRDefault="003E360F">
            <w:pPr>
              <w:numPr>
                <w:ilvl w:val="0"/>
                <w:numId w:val="11"/>
              </w:numPr>
            </w:pPr>
            <w:r>
              <w:t xml:space="preserve">Zeng, L., and Wan, J. (2024) </w:t>
            </w:r>
          </w:p>
          <w:p w:rsidR="007E7629" w:rsidRDefault="003E360F">
            <w:pPr>
              <w:numPr>
                <w:ilvl w:val="0"/>
                <w:numId w:val="11"/>
              </w:numPr>
            </w:pPr>
            <w:r>
              <w:t xml:space="preserve">Wu, Q., Zhu, J., and Cheng, Y. (2022) </w:t>
            </w:r>
          </w:p>
          <w:p w:rsidR="007E7629" w:rsidRDefault="003E360F">
            <w:pPr>
              <w:numPr>
                <w:ilvl w:val="0"/>
                <w:numId w:val="11"/>
              </w:numPr>
            </w:pPr>
            <w:r>
              <w:t xml:space="preserve">Shi, W., Zhou, C., and Wang, X. (2026) </w:t>
            </w:r>
          </w:p>
          <w:p w:rsidR="007E7629" w:rsidRDefault="007E7629">
            <w:pPr>
              <w:widowControl w:val="0"/>
              <w:shd w:val="clear" w:color="auto" w:fill="auto"/>
              <w:jc w:val="left"/>
              <w:rPr>
                <w:color w:val="000000"/>
              </w:rPr>
            </w:pPr>
          </w:p>
        </w:tc>
      </w:tr>
      <w:tr w:rsidR="007E7629">
        <w:tc>
          <w:tcPr>
            <w:tcW w:w="1830" w:type="dxa"/>
            <w:shd w:val="clear" w:color="auto" w:fill="auto"/>
            <w:tcMar>
              <w:top w:w="100" w:type="dxa"/>
              <w:left w:w="100" w:type="dxa"/>
              <w:bottom w:w="100" w:type="dxa"/>
              <w:right w:w="100" w:type="dxa"/>
            </w:tcMar>
          </w:tcPr>
          <w:p w:rsidR="007E7629" w:rsidRDefault="003E360F">
            <w:pPr>
              <w:shd w:val="clear" w:color="auto" w:fill="auto"/>
              <w:jc w:val="left"/>
              <w:rPr>
                <w:color w:val="000000"/>
              </w:rPr>
            </w:pPr>
            <w:r>
              <w:rPr>
                <w:color w:val="000000"/>
              </w:rPr>
              <w:lastRenderedPageBreak/>
              <w:t xml:space="preserve">Theme 2: Effective initiatives of ESG positively influence customer trust in the food industry  </w:t>
            </w:r>
          </w:p>
        </w:tc>
        <w:tc>
          <w:tcPr>
            <w:tcW w:w="1740" w:type="dxa"/>
            <w:shd w:val="clear" w:color="auto" w:fill="auto"/>
            <w:tcMar>
              <w:top w:w="100" w:type="dxa"/>
              <w:left w:w="100" w:type="dxa"/>
              <w:bottom w:w="100" w:type="dxa"/>
              <w:right w:w="100" w:type="dxa"/>
            </w:tcMar>
          </w:tcPr>
          <w:p w:rsidR="007E7629" w:rsidRDefault="003E360F">
            <w:pPr>
              <w:widowControl w:val="0"/>
              <w:shd w:val="clear" w:color="auto" w:fill="auto"/>
              <w:jc w:val="left"/>
              <w:rPr>
                <w:color w:val="000000"/>
              </w:rPr>
            </w:pPr>
            <w:r>
              <w:rPr>
                <w:color w:val="000000"/>
              </w:rPr>
              <w:t>2.1 Consumers attain positive perceptions when organisations implement credible ESG initiatives</w:t>
            </w: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3E360F">
            <w:pPr>
              <w:widowControl w:val="0"/>
              <w:shd w:val="clear" w:color="auto" w:fill="auto"/>
              <w:jc w:val="left"/>
              <w:rPr>
                <w:color w:val="000000"/>
              </w:rPr>
            </w:pPr>
            <w:r>
              <w:rPr>
                <w:color w:val="000000"/>
              </w:rPr>
              <w:t xml:space="preserve">2.2 Customer trust impacts positive behaviour  towards food brands </w:t>
            </w:r>
          </w:p>
        </w:tc>
        <w:tc>
          <w:tcPr>
            <w:tcW w:w="5364" w:type="dxa"/>
            <w:shd w:val="clear" w:color="auto" w:fill="auto"/>
            <w:tcMar>
              <w:top w:w="100" w:type="dxa"/>
              <w:left w:w="100" w:type="dxa"/>
              <w:bottom w:w="100" w:type="dxa"/>
              <w:right w:w="100" w:type="dxa"/>
            </w:tcMar>
          </w:tcPr>
          <w:p w:rsidR="007E7629" w:rsidRDefault="003E360F">
            <w:pPr>
              <w:widowControl w:val="0"/>
              <w:numPr>
                <w:ilvl w:val="0"/>
                <w:numId w:val="1"/>
              </w:numPr>
              <w:shd w:val="clear" w:color="auto" w:fill="auto"/>
              <w:jc w:val="left"/>
            </w:pPr>
            <w:r>
              <w:rPr>
                <w:color w:val="000000"/>
              </w:rPr>
              <w:lastRenderedPageBreak/>
              <w:t>Lee, S. E., Young, C. W., and Barkemeyer, R. (2025)</w:t>
            </w:r>
          </w:p>
          <w:p w:rsidR="007E7629" w:rsidRDefault="003E360F">
            <w:pPr>
              <w:widowControl w:val="0"/>
              <w:numPr>
                <w:ilvl w:val="0"/>
                <w:numId w:val="1"/>
              </w:numPr>
              <w:shd w:val="clear" w:color="auto" w:fill="auto"/>
              <w:jc w:val="left"/>
              <w:rPr>
                <w:color w:val="000000"/>
              </w:rPr>
            </w:pPr>
            <w:r>
              <w:rPr>
                <w:color w:val="000000"/>
              </w:rPr>
              <w:t xml:space="preserve">Truong, D. D., Mai, N. T., Tam, D. D., and Huan, L. H. (2026) </w:t>
            </w:r>
          </w:p>
          <w:p w:rsidR="007E7629" w:rsidRDefault="003E360F">
            <w:pPr>
              <w:widowControl w:val="0"/>
              <w:numPr>
                <w:ilvl w:val="0"/>
                <w:numId w:val="1"/>
              </w:numPr>
              <w:shd w:val="clear" w:color="auto" w:fill="auto"/>
              <w:jc w:val="left"/>
              <w:rPr>
                <w:color w:val="000000"/>
              </w:rPr>
            </w:pPr>
            <w:r>
              <w:rPr>
                <w:color w:val="000000"/>
              </w:rPr>
              <w:t xml:space="preserve">Ruan, L., Yang, L., and Dong, K. (2024) </w:t>
            </w:r>
          </w:p>
          <w:p w:rsidR="007E7629" w:rsidRDefault="003E360F">
            <w:pPr>
              <w:widowControl w:val="0"/>
              <w:numPr>
                <w:ilvl w:val="0"/>
                <w:numId w:val="1"/>
              </w:numPr>
              <w:shd w:val="clear" w:color="auto" w:fill="auto"/>
              <w:jc w:val="left"/>
              <w:rPr>
                <w:color w:val="000000"/>
              </w:rPr>
            </w:pPr>
            <w:r>
              <w:rPr>
                <w:color w:val="000000"/>
              </w:rPr>
              <w:t xml:space="preserve">Phan, T. M., Le, T. D. M., Nguyen, L. T. H., Pham, H. X., and Duong, N. (2026) </w:t>
            </w:r>
          </w:p>
          <w:p w:rsidR="007E7629" w:rsidRDefault="003E360F">
            <w:pPr>
              <w:widowControl w:val="0"/>
              <w:numPr>
                <w:ilvl w:val="0"/>
                <w:numId w:val="1"/>
              </w:numPr>
              <w:shd w:val="clear" w:color="auto" w:fill="auto"/>
              <w:jc w:val="left"/>
              <w:rPr>
                <w:color w:val="000000"/>
              </w:rPr>
            </w:pPr>
            <w:r>
              <w:rPr>
                <w:color w:val="000000"/>
              </w:rPr>
              <w:t xml:space="preserve">Duckworth, J. J., Randle, M., McGale, L. S., Jones, A., Doherty, B., Halford, J. C., and </w:t>
            </w:r>
            <w:r>
              <w:rPr>
                <w:color w:val="000000"/>
              </w:rPr>
              <w:lastRenderedPageBreak/>
              <w:t xml:space="preserve">Christiansen, P. (2022) </w:t>
            </w:r>
          </w:p>
          <w:p w:rsidR="007E7629" w:rsidRDefault="003E360F">
            <w:pPr>
              <w:widowControl w:val="0"/>
              <w:numPr>
                <w:ilvl w:val="0"/>
                <w:numId w:val="1"/>
              </w:numPr>
              <w:shd w:val="clear" w:color="auto" w:fill="auto"/>
              <w:jc w:val="left"/>
              <w:rPr>
                <w:color w:val="000000"/>
              </w:rPr>
            </w:pPr>
            <w:r>
              <w:rPr>
                <w:color w:val="000000"/>
              </w:rPr>
              <w:t xml:space="preserve">Keaney, M., Jones, A., Pettigrew, S., Seferidi, P., Ni Mhurchu, C., and Barrett, E. M. (2026) </w:t>
            </w:r>
          </w:p>
          <w:p w:rsidR="007E7629" w:rsidRDefault="003E360F">
            <w:pPr>
              <w:widowControl w:val="0"/>
              <w:numPr>
                <w:ilvl w:val="0"/>
                <w:numId w:val="1"/>
              </w:numPr>
              <w:shd w:val="clear" w:color="auto" w:fill="auto"/>
              <w:jc w:val="left"/>
              <w:rPr>
                <w:color w:val="000000"/>
              </w:rPr>
            </w:pPr>
            <w:r>
              <w:rPr>
                <w:color w:val="000000"/>
              </w:rPr>
              <w:t xml:space="preserve">Hashim, S., Tan, Q. L., and Zheng, Z. (2025) </w:t>
            </w:r>
          </w:p>
          <w:p w:rsidR="007E7629" w:rsidRDefault="003E360F">
            <w:pPr>
              <w:widowControl w:val="0"/>
              <w:numPr>
                <w:ilvl w:val="0"/>
                <w:numId w:val="1"/>
              </w:numPr>
              <w:shd w:val="clear" w:color="auto" w:fill="auto"/>
              <w:jc w:val="left"/>
              <w:rPr>
                <w:color w:val="000000"/>
              </w:rPr>
            </w:pPr>
            <w:r>
              <w:rPr>
                <w:color w:val="000000"/>
              </w:rPr>
              <w:t xml:space="preserve">Ketkaew, C., and Komsing, Y. (2025) </w:t>
            </w: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3E360F">
            <w:pPr>
              <w:numPr>
                <w:ilvl w:val="0"/>
                <w:numId w:val="1"/>
              </w:numPr>
            </w:pPr>
            <w:r>
              <w:t>Ngo, T. T. A., Le, T. N. T., Phan, T. Y. N., and Le, T. B. N. (2026)</w:t>
            </w:r>
          </w:p>
          <w:p w:rsidR="007E7629" w:rsidRDefault="003E360F">
            <w:pPr>
              <w:numPr>
                <w:ilvl w:val="0"/>
                <w:numId w:val="1"/>
              </w:numPr>
            </w:pPr>
            <w:r>
              <w:t xml:space="preserve">Macready, A. L., Hieke, S., Klimczuk-Kochańska, M., Szumiał, S., Wachter, K., Arnoult, M. H., Vranken, L., and Grunert, K. G. (2025) </w:t>
            </w:r>
          </w:p>
          <w:p w:rsidR="007E7629" w:rsidRDefault="003E360F">
            <w:pPr>
              <w:numPr>
                <w:ilvl w:val="0"/>
                <w:numId w:val="1"/>
              </w:numPr>
            </w:pPr>
            <w:r>
              <w:t>Doanh, D. C., Tram, T. B., Vu, P. Q., Linh, L. T. N., and Huong, N. T. T. (2025)</w:t>
            </w:r>
          </w:p>
          <w:p w:rsidR="007E7629" w:rsidRDefault="003E360F">
            <w:pPr>
              <w:numPr>
                <w:ilvl w:val="0"/>
                <w:numId w:val="1"/>
              </w:numPr>
            </w:pPr>
            <w:r>
              <w:t>Sañosa, A. R., Gumacial, D., and Yamagishi, K. (2026)</w:t>
            </w:r>
          </w:p>
          <w:p w:rsidR="007E7629" w:rsidRDefault="007E7629">
            <w:pPr>
              <w:widowControl w:val="0"/>
              <w:shd w:val="clear" w:color="auto" w:fill="auto"/>
              <w:jc w:val="left"/>
              <w:rPr>
                <w:color w:val="000000"/>
              </w:rPr>
            </w:pPr>
          </w:p>
        </w:tc>
      </w:tr>
      <w:tr w:rsidR="007E7629">
        <w:tc>
          <w:tcPr>
            <w:tcW w:w="1830" w:type="dxa"/>
            <w:shd w:val="clear" w:color="auto" w:fill="auto"/>
            <w:tcMar>
              <w:top w:w="100" w:type="dxa"/>
              <w:left w:w="100" w:type="dxa"/>
              <w:bottom w:w="100" w:type="dxa"/>
              <w:right w:w="100" w:type="dxa"/>
            </w:tcMar>
          </w:tcPr>
          <w:p w:rsidR="007E7629" w:rsidRDefault="003E360F">
            <w:pPr>
              <w:spacing w:line="240" w:lineRule="auto"/>
            </w:pPr>
            <w:r>
              <w:lastRenderedPageBreak/>
              <w:t xml:space="preserve">Theme 3: Challenges in the ESG initiatives in limit the development of customer trust </w:t>
            </w:r>
          </w:p>
        </w:tc>
        <w:tc>
          <w:tcPr>
            <w:tcW w:w="1740" w:type="dxa"/>
            <w:shd w:val="clear" w:color="auto" w:fill="auto"/>
            <w:tcMar>
              <w:top w:w="100" w:type="dxa"/>
              <w:left w:w="100" w:type="dxa"/>
              <w:bottom w:w="100" w:type="dxa"/>
              <w:right w:w="100" w:type="dxa"/>
            </w:tcMar>
          </w:tcPr>
          <w:p w:rsidR="007E7629" w:rsidRDefault="003E360F">
            <w:pPr>
              <w:widowControl w:val="0"/>
              <w:shd w:val="clear" w:color="auto" w:fill="auto"/>
              <w:jc w:val="left"/>
              <w:rPr>
                <w:color w:val="000000"/>
              </w:rPr>
            </w:pPr>
            <w:r>
              <w:rPr>
                <w:color w:val="000000"/>
              </w:rPr>
              <w:t xml:space="preserve">3.1 Consumer trust and confidence is strengthened by transparent ESG communication </w:t>
            </w: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3E360F">
            <w:pPr>
              <w:widowControl w:val="0"/>
              <w:shd w:val="clear" w:color="auto" w:fill="auto"/>
              <w:jc w:val="left"/>
              <w:rPr>
                <w:color w:val="000000"/>
              </w:rPr>
            </w:pPr>
            <w:r>
              <w:rPr>
                <w:color w:val="000000"/>
              </w:rPr>
              <w:t xml:space="preserve">3.2 Consumer scepticism increases due to greenwashing and misleading sustainability claims  </w:t>
            </w:r>
          </w:p>
        </w:tc>
        <w:tc>
          <w:tcPr>
            <w:tcW w:w="5364" w:type="dxa"/>
            <w:shd w:val="clear" w:color="auto" w:fill="auto"/>
            <w:tcMar>
              <w:top w:w="100" w:type="dxa"/>
              <w:left w:w="100" w:type="dxa"/>
              <w:bottom w:w="100" w:type="dxa"/>
              <w:right w:w="100" w:type="dxa"/>
            </w:tcMar>
          </w:tcPr>
          <w:p w:rsidR="007E7629" w:rsidRDefault="003E360F">
            <w:pPr>
              <w:numPr>
                <w:ilvl w:val="0"/>
                <w:numId w:val="9"/>
              </w:numPr>
            </w:pPr>
            <w:r>
              <w:lastRenderedPageBreak/>
              <w:t>Patel, S., Dora, M., Hahladakis, J. N., and Iacovidou, E. (2021)</w:t>
            </w:r>
          </w:p>
          <w:p w:rsidR="007E7629" w:rsidRDefault="003E360F">
            <w:pPr>
              <w:numPr>
                <w:ilvl w:val="0"/>
                <w:numId w:val="9"/>
              </w:numPr>
            </w:pPr>
            <w:r>
              <w:t>Gerassimidou, S., Lovat, E., Ebner, N., You, W., Giakoumis, T., Martin, O. V., and Iacovidou, E. (2022)</w:t>
            </w:r>
          </w:p>
          <w:p w:rsidR="007E7629" w:rsidRDefault="003E360F">
            <w:pPr>
              <w:numPr>
                <w:ilvl w:val="0"/>
                <w:numId w:val="9"/>
              </w:numPr>
            </w:pPr>
            <w:r>
              <w:t>Rana, M. S., Sharmin, S., Amin, M. B., Mishad, N., and Oláh, J. (2026)</w:t>
            </w:r>
          </w:p>
          <w:p w:rsidR="007E7629" w:rsidRDefault="003E360F">
            <w:pPr>
              <w:numPr>
                <w:ilvl w:val="0"/>
                <w:numId w:val="9"/>
              </w:numPr>
            </w:pPr>
            <w:r>
              <w:t xml:space="preserve">Boller, M. L., Grabinger, T., Zurwehme, A., and Krupitzer, C. (2026) </w:t>
            </w:r>
          </w:p>
          <w:p w:rsidR="007E7629" w:rsidRDefault="003E360F">
            <w:pPr>
              <w:numPr>
                <w:ilvl w:val="0"/>
                <w:numId w:val="9"/>
              </w:numPr>
            </w:pPr>
            <w:r>
              <w:t xml:space="preserve">Nazari, J. A., and Poursoleyman, E. (2025) </w:t>
            </w:r>
          </w:p>
          <w:p w:rsidR="007E7629" w:rsidRDefault="007E7629"/>
          <w:p w:rsidR="007E7629" w:rsidRDefault="007E7629"/>
          <w:p w:rsidR="007E7629" w:rsidRDefault="003E360F">
            <w:pPr>
              <w:numPr>
                <w:ilvl w:val="0"/>
                <w:numId w:val="9"/>
              </w:numPr>
            </w:pPr>
            <w:r>
              <w:lastRenderedPageBreak/>
              <w:t>Wahyuningrum, I. F. S., Sani, M. T., Puspita, A. S., Djajadikerta, H. G., Trireksani, T., and Budihardjo, M. A. (2025)</w:t>
            </w:r>
          </w:p>
          <w:p w:rsidR="007E7629" w:rsidRDefault="003E360F">
            <w:pPr>
              <w:widowControl w:val="0"/>
              <w:numPr>
                <w:ilvl w:val="0"/>
                <w:numId w:val="9"/>
              </w:numPr>
              <w:shd w:val="clear" w:color="auto" w:fill="auto"/>
              <w:rPr>
                <w:color w:val="000000"/>
              </w:rPr>
            </w:pPr>
            <w:r>
              <w:rPr>
                <w:color w:val="000000"/>
              </w:rPr>
              <w:t xml:space="preserve">Nugraha, W. S., Szakos, D., Süth, M., and Kasza, G. (2024) </w:t>
            </w:r>
          </w:p>
          <w:p w:rsidR="007E7629" w:rsidRDefault="003E360F">
            <w:pPr>
              <w:widowControl w:val="0"/>
              <w:numPr>
                <w:ilvl w:val="0"/>
                <w:numId w:val="9"/>
              </w:numPr>
              <w:shd w:val="clear" w:color="auto" w:fill="auto"/>
              <w:rPr>
                <w:color w:val="000000"/>
              </w:rPr>
            </w:pPr>
            <w:r>
              <w:rPr>
                <w:color w:val="000000"/>
              </w:rPr>
              <w:t xml:space="preserve">Vangeli, A., Małecka, A., Mitręga, M., and Pfajfar, G. (2023) </w:t>
            </w:r>
          </w:p>
          <w:p w:rsidR="007E7629" w:rsidRDefault="003E360F">
            <w:pPr>
              <w:widowControl w:val="0"/>
              <w:numPr>
                <w:ilvl w:val="0"/>
                <w:numId w:val="9"/>
              </w:numPr>
              <w:shd w:val="clear" w:color="auto" w:fill="auto"/>
              <w:rPr>
                <w:color w:val="000000"/>
              </w:rPr>
            </w:pPr>
            <w:r>
              <w:rPr>
                <w:color w:val="000000"/>
              </w:rPr>
              <w:t xml:space="preserve">Inês, A., Diniz, A., and Moreira, A. C. (2023) </w:t>
            </w:r>
          </w:p>
          <w:p w:rsidR="007E7629" w:rsidRDefault="003E360F">
            <w:pPr>
              <w:widowControl w:val="0"/>
              <w:numPr>
                <w:ilvl w:val="0"/>
                <w:numId w:val="9"/>
              </w:numPr>
              <w:shd w:val="clear" w:color="auto" w:fill="auto"/>
              <w:rPr>
                <w:color w:val="000000"/>
              </w:rPr>
            </w:pPr>
            <w:r>
              <w:rPr>
                <w:color w:val="000000"/>
              </w:rPr>
              <w:t xml:space="preserve">Foden, M., Head, E., Katz-Gerro, T., and Martens, L. (2022) </w:t>
            </w:r>
          </w:p>
          <w:p w:rsidR="007E7629" w:rsidRDefault="003E360F">
            <w:pPr>
              <w:widowControl w:val="0"/>
              <w:numPr>
                <w:ilvl w:val="0"/>
                <w:numId w:val="9"/>
              </w:numPr>
              <w:shd w:val="clear" w:color="auto" w:fill="auto"/>
              <w:rPr>
                <w:color w:val="000000"/>
              </w:rPr>
            </w:pPr>
            <w:r>
              <w:rPr>
                <w:color w:val="000000"/>
              </w:rPr>
              <w:t xml:space="preserve">Rossi, C., and Rivetti, F. (2022) </w:t>
            </w:r>
          </w:p>
          <w:p w:rsidR="007E7629" w:rsidRDefault="007E7629">
            <w:pPr>
              <w:rPr>
                <w:color w:val="000000"/>
              </w:rPr>
            </w:pPr>
          </w:p>
        </w:tc>
      </w:tr>
      <w:tr w:rsidR="007E7629">
        <w:tc>
          <w:tcPr>
            <w:tcW w:w="1830" w:type="dxa"/>
            <w:shd w:val="clear" w:color="auto" w:fill="auto"/>
            <w:tcMar>
              <w:top w:w="100" w:type="dxa"/>
              <w:left w:w="100" w:type="dxa"/>
              <w:bottom w:w="100" w:type="dxa"/>
              <w:right w:w="100" w:type="dxa"/>
            </w:tcMar>
          </w:tcPr>
          <w:p w:rsidR="007E7629" w:rsidRDefault="003E360F">
            <w:pPr>
              <w:shd w:val="clear" w:color="auto" w:fill="auto"/>
              <w:jc w:val="left"/>
              <w:rPr>
                <w:color w:val="000000"/>
              </w:rPr>
            </w:pPr>
            <w:r>
              <w:rPr>
                <w:color w:val="000000"/>
              </w:rPr>
              <w:lastRenderedPageBreak/>
              <w:t xml:space="preserve">Theme 4: Organisational commitment and stakeholder engagement strengthen ESG implementation </w:t>
            </w:r>
          </w:p>
        </w:tc>
        <w:tc>
          <w:tcPr>
            <w:tcW w:w="1740" w:type="dxa"/>
            <w:shd w:val="clear" w:color="auto" w:fill="auto"/>
            <w:tcMar>
              <w:top w:w="100" w:type="dxa"/>
              <w:left w:w="100" w:type="dxa"/>
              <w:bottom w:w="100" w:type="dxa"/>
              <w:right w:w="100" w:type="dxa"/>
            </w:tcMar>
          </w:tcPr>
          <w:p w:rsidR="007E7629" w:rsidRDefault="003E360F">
            <w:pPr>
              <w:widowControl w:val="0"/>
              <w:shd w:val="clear" w:color="auto" w:fill="auto"/>
              <w:jc w:val="left"/>
              <w:rPr>
                <w:color w:val="000000"/>
              </w:rPr>
            </w:pPr>
            <w:r>
              <w:rPr>
                <w:color w:val="000000"/>
              </w:rPr>
              <w:t xml:space="preserve">4.1 Organisational credibility and trustworthiness is reinforced with ESG implementation   </w:t>
            </w: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7E7629">
            <w:pPr>
              <w:widowControl w:val="0"/>
              <w:shd w:val="clear" w:color="auto" w:fill="auto"/>
              <w:jc w:val="left"/>
              <w:rPr>
                <w:color w:val="000000"/>
              </w:rPr>
            </w:pPr>
          </w:p>
          <w:p w:rsidR="007E7629" w:rsidRDefault="003E360F">
            <w:pPr>
              <w:widowControl w:val="0"/>
              <w:shd w:val="clear" w:color="auto" w:fill="auto"/>
              <w:jc w:val="left"/>
              <w:rPr>
                <w:color w:val="000000"/>
              </w:rPr>
            </w:pPr>
            <w:r>
              <w:rPr>
                <w:color w:val="000000"/>
              </w:rPr>
              <w:t xml:space="preserve">4.2 ESG initiatives are trusted by customer engagement and supportive governance  </w:t>
            </w:r>
          </w:p>
        </w:tc>
        <w:tc>
          <w:tcPr>
            <w:tcW w:w="5364" w:type="dxa"/>
            <w:shd w:val="clear" w:color="auto" w:fill="auto"/>
            <w:tcMar>
              <w:top w:w="100" w:type="dxa"/>
              <w:left w:w="100" w:type="dxa"/>
              <w:bottom w:w="100" w:type="dxa"/>
              <w:right w:w="100" w:type="dxa"/>
            </w:tcMar>
          </w:tcPr>
          <w:p w:rsidR="007E7629" w:rsidRDefault="003E360F">
            <w:pPr>
              <w:widowControl w:val="0"/>
              <w:numPr>
                <w:ilvl w:val="0"/>
                <w:numId w:val="8"/>
              </w:numPr>
              <w:shd w:val="clear" w:color="auto" w:fill="auto"/>
            </w:pPr>
            <w:r>
              <w:rPr>
                <w:color w:val="000000"/>
              </w:rPr>
              <w:t>Van Quang, B., and Thi Van, N. (2025)</w:t>
            </w:r>
          </w:p>
          <w:p w:rsidR="007E7629" w:rsidRDefault="003E360F">
            <w:pPr>
              <w:widowControl w:val="0"/>
              <w:numPr>
                <w:ilvl w:val="0"/>
                <w:numId w:val="8"/>
              </w:numPr>
              <w:shd w:val="clear" w:color="auto" w:fill="auto"/>
              <w:rPr>
                <w:color w:val="000000"/>
              </w:rPr>
            </w:pPr>
            <w:r>
              <w:rPr>
                <w:color w:val="000000"/>
              </w:rPr>
              <w:t xml:space="preserve">St. Clair, R., and Sharmina, M. (2026) </w:t>
            </w:r>
          </w:p>
          <w:p w:rsidR="007E7629" w:rsidRDefault="003E360F">
            <w:pPr>
              <w:widowControl w:val="0"/>
              <w:numPr>
                <w:ilvl w:val="0"/>
                <w:numId w:val="8"/>
              </w:numPr>
              <w:shd w:val="clear" w:color="auto" w:fill="auto"/>
              <w:rPr>
                <w:color w:val="000000"/>
              </w:rPr>
            </w:pPr>
            <w:r>
              <w:rPr>
                <w:color w:val="000000"/>
              </w:rPr>
              <w:t xml:space="preserve">Agarwal, S., Kweh, Q. L., Goh, K. W., and Wider, W. (2025) </w:t>
            </w:r>
          </w:p>
          <w:p w:rsidR="007E7629" w:rsidRDefault="003E360F">
            <w:pPr>
              <w:widowControl w:val="0"/>
              <w:numPr>
                <w:ilvl w:val="0"/>
                <w:numId w:val="8"/>
              </w:numPr>
              <w:shd w:val="clear" w:color="auto" w:fill="auto"/>
              <w:rPr>
                <w:color w:val="000000"/>
              </w:rPr>
            </w:pPr>
            <w:r>
              <w:rPr>
                <w:color w:val="000000"/>
              </w:rPr>
              <w:t xml:space="preserve">McGrath, P., McCarthy, L., Marshall, D., and Rehme, J. (2021) </w:t>
            </w:r>
          </w:p>
          <w:p w:rsidR="007E7629" w:rsidRDefault="003E360F">
            <w:pPr>
              <w:widowControl w:val="0"/>
              <w:numPr>
                <w:ilvl w:val="0"/>
                <w:numId w:val="8"/>
              </w:numPr>
              <w:shd w:val="clear" w:color="auto" w:fill="auto"/>
              <w:rPr>
                <w:color w:val="000000"/>
              </w:rPr>
            </w:pPr>
            <w:r>
              <w:rPr>
                <w:color w:val="000000"/>
              </w:rPr>
              <w:t xml:space="preserve">Kim, J., and Kim, D. (2026) </w:t>
            </w:r>
          </w:p>
          <w:p w:rsidR="007E7629" w:rsidRDefault="007E7629">
            <w:pPr>
              <w:widowControl w:val="0"/>
              <w:shd w:val="clear" w:color="auto" w:fill="auto"/>
              <w:rPr>
                <w:color w:val="000000"/>
              </w:rPr>
            </w:pPr>
          </w:p>
          <w:p w:rsidR="007E7629" w:rsidRDefault="007E7629">
            <w:pPr>
              <w:widowControl w:val="0"/>
              <w:shd w:val="clear" w:color="auto" w:fill="auto"/>
              <w:rPr>
                <w:color w:val="000000"/>
              </w:rPr>
            </w:pPr>
          </w:p>
          <w:p w:rsidR="007E7629" w:rsidRDefault="003E360F">
            <w:pPr>
              <w:widowControl w:val="0"/>
              <w:numPr>
                <w:ilvl w:val="0"/>
                <w:numId w:val="8"/>
              </w:numPr>
              <w:shd w:val="clear" w:color="auto" w:fill="auto"/>
              <w:jc w:val="left"/>
              <w:rPr>
                <w:color w:val="000000"/>
              </w:rPr>
            </w:pPr>
            <w:r>
              <w:rPr>
                <w:color w:val="000000"/>
              </w:rPr>
              <w:t xml:space="preserve">Khamisu, M. S., and Paluri, R. A. (2024) </w:t>
            </w:r>
          </w:p>
          <w:p w:rsidR="007E7629" w:rsidRDefault="003E360F">
            <w:pPr>
              <w:widowControl w:val="0"/>
              <w:numPr>
                <w:ilvl w:val="0"/>
                <w:numId w:val="8"/>
              </w:numPr>
              <w:shd w:val="clear" w:color="auto" w:fill="auto"/>
              <w:jc w:val="left"/>
              <w:rPr>
                <w:color w:val="000000"/>
              </w:rPr>
            </w:pPr>
            <w:r>
              <w:rPr>
                <w:color w:val="000000"/>
              </w:rPr>
              <w:t>Abdulaziz Alhumud, A., Leonidou, L. C., Alarfaj, W., and Ioannidis, A. (2024)</w:t>
            </w:r>
          </w:p>
          <w:p w:rsidR="007E7629" w:rsidRDefault="003E360F">
            <w:pPr>
              <w:widowControl w:val="0"/>
              <w:numPr>
                <w:ilvl w:val="0"/>
                <w:numId w:val="8"/>
              </w:numPr>
              <w:shd w:val="clear" w:color="auto" w:fill="auto"/>
              <w:jc w:val="left"/>
              <w:rPr>
                <w:color w:val="000000"/>
              </w:rPr>
            </w:pPr>
            <w:r>
              <w:rPr>
                <w:color w:val="000000"/>
              </w:rPr>
              <w:t xml:space="preserve">Anisimova, T., and Vrontis, D. (2024) </w:t>
            </w:r>
          </w:p>
          <w:p w:rsidR="007E7629" w:rsidRDefault="003E360F">
            <w:pPr>
              <w:widowControl w:val="0"/>
              <w:numPr>
                <w:ilvl w:val="0"/>
                <w:numId w:val="8"/>
              </w:numPr>
              <w:shd w:val="clear" w:color="auto" w:fill="auto"/>
              <w:jc w:val="left"/>
              <w:rPr>
                <w:color w:val="000000"/>
              </w:rPr>
            </w:pPr>
            <w:r>
              <w:rPr>
                <w:color w:val="000000"/>
              </w:rPr>
              <w:t>Wang, Y., Marhfor, A., and M'zali, B. (2025)</w:t>
            </w:r>
          </w:p>
          <w:p w:rsidR="007E7629" w:rsidRDefault="003E360F">
            <w:pPr>
              <w:widowControl w:val="0"/>
              <w:numPr>
                <w:ilvl w:val="0"/>
                <w:numId w:val="8"/>
              </w:numPr>
              <w:shd w:val="clear" w:color="auto" w:fill="auto"/>
              <w:jc w:val="left"/>
              <w:rPr>
                <w:color w:val="000000"/>
              </w:rPr>
            </w:pPr>
            <w:r>
              <w:rPr>
                <w:color w:val="000000"/>
              </w:rPr>
              <w:t>Yáñez Serrano, P., Argüelles Ramos, L., and Prause, L. (2026)</w:t>
            </w:r>
          </w:p>
        </w:tc>
      </w:tr>
    </w:tbl>
    <w:p w:rsidR="007E7629" w:rsidRDefault="00B02212" w:rsidP="00B02212">
      <w:pPr>
        <w:pStyle w:val="Caption"/>
        <w:jc w:val="center"/>
      </w:pPr>
      <w:bookmarkStart w:id="47" w:name="_heading=h.yvoghr6yvcn1" w:colFirst="0" w:colLast="0"/>
      <w:bookmarkStart w:id="48" w:name="_Toc237861955"/>
      <w:bookmarkEnd w:id="47"/>
      <w:r>
        <w:t xml:space="preserve">Table </w:t>
      </w:r>
      <w:r w:rsidR="00FB5D41">
        <w:fldChar w:fldCharType="begin"/>
      </w:r>
      <w:r w:rsidR="00FB5D41">
        <w:instrText xml:space="preserve"> SEQ Table \* ARABIC </w:instrText>
      </w:r>
      <w:r w:rsidR="00FB5D41">
        <w:fldChar w:fldCharType="separate"/>
      </w:r>
      <w:r>
        <w:rPr>
          <w:noProof/>
        </w:rPr>
        <w:t>4</w:t>
      </w:r>
      <w:r w:rsidR="00FB5D41">
        <w:rPr>
          <w:noProof/>
        </w:rPr>
        <w:fldChar w:fldCharType="end"/>
      </w:r>
      <w:r>
        <w:t xml:space="preserve">: </w:t>
      </w:r>
      <w:r w:rsidRPr="00CC764B">
        <w:t>Sample overview of the selected sources</w:t>
      </w:r>
      <w:bookmarkEnd w:id="48"/>
    </w:p>
    <w:p w:rsidR="007E7629" w:rsidRDefault="003E360F">
      <w:pPr>
        <w:shd w:val="clear" w:color="auto" w:fill="auto"/>
        <w:jc w:val="center"/>
        <w:rPr>
          <w:color w:val="000000"/>
        </w:rPr>
      </w:pPr>
      <w:r>
        <w:rPr>
          <w:color w:val="000000"/>
        </w:rPr>
        <w:t>(Source: Self-Created)</w:t>
      </w:r>
    </w:p>
    <w:p w:rsidR="007E7629" w:rsidRDefault="003E360F">
      <w:r>
        <w:lastRenderedPageBreak/>
        <w:t xml:space="preserve">Note: While the most of the included studies are from international contexts, their findings remain relevant and transferable to the UK food industry. </w:t>
      </w:r>
    </w:p>
    <w:p w:rsidR="007E7629" w:rsidRDefault="003E360F">
      <w:pPr>
        <w:pStyle w:val="Heading2"/>
        <w:shd w:val="clear" w:color="auto" w:fill="auto"/>
        <w:rPr>
          <w:highlight w:val="yellow"/>
        </w:rPr>
      </w:pPr>
      <w:bookmarkStart w:id="49" w:name="_Toc238235516"/>
      <w:r>
        <w:t>3.3 Findings and Discussion</w:t>
      </w:r>
      <w:bookmarkEnd w:id="49"/>
      <w:r>
        <w:t xml:space="preserve">           </w:t>
      </w:r>
    </w:p>
    <w:p w:rsidR="007E7629" w:rsidRDefault="003E360F">
      <w:pPr>
        <w:pStyle w:val="Heading3"/>
      </w:pPr>
      <w:bookmarkStart w:id="50" w:name="_Toc238235517"/>
      <w:r>
        <w:t>Theme 1: ESG initiatives have become a strategic priority for promoting sustainability in the food industry</w:t>
      </w:r>
      <w:bookmarkEnd w:id="50"/>
      <w:r>
        <w:t xml:space="preserve"> </w:t>
      </w:r>
    </w:p>
    <w:p w:rsidR="007E7629" w:rsidRDefault="003E360F">
      <w:r>
        <w:rPr>
          <w:u w:val="single"/>
        </w:rPr>
        <w:t>1.1: Environmental sustainability practices demonstrate organisations’ commitment to responsible resource management</w:t>
      </w:r>
    </w:p>
    <w:p w:rsidR="007E7629" w:rsidRDefault="003E360F">
      <w:r>
        <w:t xml:space="preserve">Environmental sustainability has emerged as a central component of the Environmental, Social and Governance (ESG) strategies in the global food industry as organisations seek to reduce their environmental footprint while responding to the increasing stakeholder expectations. This theme can thus be supported by the knowledge from Said </w:t>
      </w:r>
      <w:r>
        <w:rPr>
          <w:i/>
          <w:iCs/>
        </w:rPr>
        <w:t>et al</w:t>
      </w:r>
      <w:r>
        <w:t xml:space="preserve">., (2025) and Ungemach </w:t>
      </w:r>
      <w:r>
        <w:rPr>
          <w:i/>
          <w:iCs/>
        </w:rPr>
        <w:t>et al</w:t>
      </w:r>
      <w:r>
        <w:t xml:space="preserve">., (2026), who highlight that food production contributes substantially to greenhouse gas emissions, excessive water consumption, loss of biodiversity and packaging waste. This makes environmental stewardship a strategic necessity rather than a voluntary corporate activity. Consequently, Kapoor </w:t>
      </w:r>
      <w:r>
        <w:rPr>
          <w:i/>
          <w:iCs/>
        </w:rPr>
        <w:t>et al</w:t>
      </w:r>
      <w:r>
        <w:t xml:space="preserve">., (2025) have highlighted that food manufacturers and retailers, mainly in the UK, have eventually integrated initiatives like sustainable sourcing, carbon reduction, renewable energy adoption, circular packaging systems and food waste minimisation into their ESG frameworks for strengthening long-term sustainability and organisational legitimacy. So far, the evidence suggests that the initiatives are deeply embedded in the corporate strategy, as they enhance operational resilience alongside environmental performance. </w:t>
      </w:r>
    </w:p>
    <w:p w:rsidR="007E7629" w:rsidRDefault="003E360F">
      <w:r>
        <w:t xml:space="preserve">Furthermore, the current literature argues that responsible resource management tends to provide firms with opportunities to improve both environmental and competitive performance. As a matter of fact, as shown by Osei et al., (2023) and Saha et al., (2025), the integration that results from utilizing the concept of sustainability may result in efficiency reduction through better cooperation with the suppliers and customers; on the other hand, the organizational culture may serve as a tool for maintaining the sustainability of sustainability. Likewise, according to Lehtokunnas et al., (2022), the circular economy, sustainable design of products, and environmental marketing are the most important tools for reaching ESG objectives. Generally speaking, these references indicate that environmental actions are more than just compliance with regulations; they are a valuable asset for the organization. </w:t>
      </w:r>
    </w:p>
    <w:p w:rsidR="007E7629" w:rsidRDefault="003E360F">
      <w:r>
        <w:t xml:space="preserve">However, the literature further presents an opposite view with regard to the impact of environmental ESG practices. Although these companies claim that they have been successful with regard to sustainable packaging, carbon neutrality, and waste management, some authors, </w:t>
      </w:r>
      <w:r>
        <w:lastRenderedPageBreak/>
        <w:t xml:space="preserve">such as Deprá et al., (2022) and Conversano, Samoggia, and Benussi (2026), suggest that merely being environmentally responsible is not enough to build trust among stakeholders. Consumers now judge whether or not efforts are sustainable based on the presence of transparency. As seen in the research by Sneideriene and Legenzova (2025) conducted on British consumers, digital disclosure of environmentally responsible practices positively impacts consumer trust only if the disclosure is perceived to be credible and detailed enough. </w:t>
      </w:r>
    </w:p>
    <w:p w:rsidR="007E7629" w:rsidRDefault="003E360F">
      <w:r>
        <w:t xml:space="preserve">Consequently, it could be interpreted from the current knowledge that environmental initiatives require robust communication along with measurable outcomes for achieving their intended strategic value. The existing research has indicated the continuation of ESG practices despite the challenges across the food supply chain in the UK and on a global scale. The studies have also examined organisational sustainability performance, while there remains a significant research gap concerning the mechanisms through which the environmental resource management practices translate into sustainable consumer trust within the food industry. </w:t>
      </w:r>
    </w:p>
    <w:p w:rsidR="007E7629" w:rsidRDefault="003E360F">
      <w:pPr>
        <w:rPr>
          <w:color w:val="000000"/>
        </w:rPr>
      </w:pPr>
      <w:r>
        <w:rPr>
          <w:color w:val="000000"/>
        </w:rPr>
        <w:t xml:space="preserve">The results suggest that environmental ESG practices are no longer considered as isolated sustainability practices but are more integrated in the operations of the food-sector. The evidence, however, must not be construed to prove that environmental action is a sure way of instilling customer trust. </w:t>
      </w:r>
    </w:p>
    <w:p w:rsidR="007E7629" w:rsidRDefault="003E360F">
      <w:pPr>
        <w:rPr>
          <w:color w:val="000000"/>
        </w:rPr>
      </w:pPr>
      <w:r>
        <w:rPr>
          <w:color w:val="000000"/>
        </w:rPr>
        <w:t xml:space="preserve">Instead, synthesis by Alkandi (2025) implies that the credibility and demonstrability of environmental performance are in the sense of whether such initiatives gain strategic value in the perspective of a stakeholder. This is concurring to broader studies carried out by Daou </w:t>
      </w:r>
      <w:r>
        <w:rPr>
          <w:i/>
          <w:iCs/>
          <w:color w:val="000000"/>
        </w:rPr>
        <w:t>et al.,</w:t>
      </w:r>
      <w:r>
        <w:rPr>
          <w:color w:val="000000"/>
        </w:rPr>
        <w:t xml:space="preserve"> (2025) that indicated a decrease in trust where greenwashing, low levels of transparency and ambiguous environmental statements may undermine trust even in circumstances where organisations are proactive in conveying sustainability promises. A systematic review of greenwashing in the food industry has found transparency, information availability, consumer knowledge and trust as intertwined variables making a difference in perceptions of the environmental claims.</w:t>
      </w:r>
    </w:p>
    <w:p w:rsidR="007E7629" w:rsidRDefault="003E360F">
      <w:pPr>
        <w:rPr>
          <w:color w:val="000000"/>
        </w:rPr>
      </w:pPr>
      <w:r>
        <w:rPr>
          <w:color w:val="000000"/>
        </w:rPr>
        <w:t xml:space="preserve">On the other hand, according to Al Amosh and Khatib (2025), visual representations of organisational commitment could be provided by the implementation of the above-mentioned environmental efforts such as waste reduction, sustainable supply and carbon management. Nevertheless, on the other hand, according to Kinnunen et al. (2022), consumers are unable to distinguish real changes from the environmental issues from greenwashing, which is done successfully. Moreover, recent research in the restaurant business field shows that bad environmental communication may influence consumers' perceptions negatively (Alyahia et al., 2024; Azazz et al., 2024). Thus, the current results imply that implementation is an </w:t>
      </w:r>
      <w:r>
        <w:rPr>
          <w:color w:val="000000"/>
        </w:rPr>
        <w:lastRenderedPageBreak/>
        <w:t>imperfect measure of ESG effectiveness. The thing is the connection between actual environmental performance, and communication and the possibility of the customer to test the statement.</w:t>
      </w:r>
    </w:p>
    <w:p w:rsidR="007E7629" w:rsidRDefault="003E360F">
      <w:pPr>
        <w:rPr>
          <w:color w:val="000000"/>
        </w:rPr>
      </w:pPr>
      <w:r>
        <w:rPr>
          <w:color w:val="000000"/>
        </w:rPr>
        <w:t xml:space="preserve">This argument is especially important since environmental sustainability is usually conveyed with the help of simplistic marketing. The recent findings of greenwashing in the food industry by Vukasović </w:t>
      </w:r>
      <w:r>
        <w:rPr>
          <w:i/>
          <w:iCs/>
          <w:color w:val="000000"/>
        </w:rPr>
        <w:t xml:space="preserve">et al., </w:t>
      </w:r>
      <w:r>
        <w:rPr>
          <w:color w:val="000000"/>
        </w:rPr>
        <w:t>(2026) and Şenyapar (2024) suggest that consumers are capable of negatively reacting to greenwashing, and environmental awareness consequently heightens the capability of consumers to identify potentially deceitful sustainability activities. As a result, organisations should not count on the increased visibility of ESG initiatives as the means of increasing trust. Actually, the spread of more communication with lack of evidence can put organisations in a higher level of doubt. This implies that having environmental ESG is a two sided trust game whereby when the environmental action is credible, the perceptions of responsibility are reinforced, and where unsupported or overstated claims are made, the trust that the ESG communication is meant to foster is actually undermined (Bo, 2025).</w:t>
      </w:r>
    </w:p>
    <w:p w:rsidR="007E7629" w:rsidRDefault="003E360F">
      <w:pPr>
        <w:rPr>
          <w:color w:val="000000"/>
        </w:rPr>
      </w:pPr>
      <w:r>
        <w:rPr>
          <w:color w:val="000000"/>
        </w:rPr>
        <w:t xml:space="preserve">Synthesis thus results in a more critical interpretation of the environmental ESG implementation. These initiatives should not be considered important strategically based on the amount of sustainability practices embraced, but on whether organisations will be able to realise significant environmental impacts and communicate them in a transparent manner. It also implies that there is no direct relation between the environmental performance and the customer trust and credibility is an important intervening situation. </w:t>
      </w:r>
    </w:p>
    <w:p w:rsidR="007E7629" w:rsidRDefault="003E360F">
      <w:r>
        <w:rPr>
          <w:color w:val="000000"/>
        </w:rPr>
        <w:t>The literature that is currently available provides an abundance of data on environmental practices and greenwashing conducted by Isac et al., (2025) and Tikkha et al., (2024) even though very little is written about the translation of certain environmental practices into customer loyalty within the food sector. This is a significant gap and supports the necessity to consider ESG implementation both in the organisational and customer-based approach. The discussion directly relates to the objective of the research and is chiefly covered by RO1, while providing the answer to RQ that the literature implies the association of environmental ESG and customer trust by stating that actions of the organisation are credible, demonstrable and transparently reported.</w:t>
      </w:r>
    </w:p>
    <w:p w:rsidR="007E7629" w:rsidRDefault="007E7629"/>
    <w:p w:rsidR="007E7629" w:rsidRDefault="003E360F">
      <w:r>
        <w:rPr>
          <w:u w:val="single"/>
        </w:rPr>
        <w:t>1.2 Social and governance initiatives strengthen ethical business practices across the food supply chain</w:t>
      </w:r>
    </w:p>
    <w:p w:rsidR="007E7629" w:rsidRDefault="003E360F">
      <w:r>
        <w:t xml:space="preserve">The social governance dimensions of ESG have become highly essential for strengthening ethical business practices throughout the global food supply chain. In research work done by </w:t>
      </w:r>
      <w:r>
        <w:lastRenderedPageBreak/>
        <w:t xml:space="preserve">Zong et al., (2024) and Manning et al. (2022), for instance, it has been found that other than environmental sustainability, there should be proper management of labor, sourcing ethics, governance, stakeholders’ responsibility, and human rights as well in the case of the food industry organizations. Complementing this, the knowledge provided by Lee and Hammant (2023) can be incorporated, which highlights that in the UK food industry, the increased regulatory requirements and consumer expectations have encouraged organisations to embed social responsibility along with governance mechanisms into the corporate strategy. </w:t>
      </w:r>
    </w:p>
    <w:p w:rsidR="007E7629" w:rsidRDefault="003E360F">
      <w:r>
        <w:t xml:space="preserve">This has clearly reflected the sense of recognition that sustainable food systems depend on ethical relationships between the suppliers, employees and communities rather than environmental initiatives alone. The current literature also highlights that ethical sourcing and responsible governance are strategic capabilities that tend to improve the overall sustainability performance. In support of this, Dhaigude, Chatterjee and Kamath (2025) have found that organisational culture and supply chain integration enable food manufacturers globally to strengthen their sustainability performance through collaboration with suppliers, internal governance mechanisms and knowledge sharing. This is also maintained by businesses operating in the UK. </w:t>
      </w:r>
    </w:p>
    <w:p w:rsidR="007E7629" w:rsidRDefault="003E360F">
      <w:pPr>
        <w:shd w:val="clear" w:color="auto" w:fill="auto"/>
        <w:rPr>
          <w:color w:val="000000"/>
        </w:rPr>
      </w:pPr>
      <w:r>
        <w:rPr>
          <w:color w:val="000000"/>
        </w:rPr>
        <w:t>The results imply that social and governance aspects of ESG are important, as they expand the organisational accountability beyond environmental performance to the treatment of people by food businesses, their suppliers and accountability. From the literature reviewed by Sridharan (2025), it has been noted that 82% of the companies are strictly maintaining their ethical policy documents which does not just mean that ethical conduct is certainly intrinsic to their supply chains. This is significant as the food supply chain is complex which can involve many different suppliers, locations and relationships in various geographical and organisational contexts. Some recent literature reviews related to the topic of supplier codes of conduct in manufacturing companies (food sector included) are provided by Schrobback et al., (2023) and Khan (2025).</w:t>
      </w:r>
    </w:p>
    <w:p w:rsidR="007E7629" w:rsidRDefault="007E7629">
      <w:pPr>
        <w:shd w:val="clear" w:color="auto" w:fill="auto"/>
      </w:pPr>
    </w:p>
    <w:p w:rsidR="007E7629" w:rsidRDefault="003E360F">
      <w:r>
        <w:t xml:space="preserve">Likewise, Truant et al., (2023) have pointed out that ESG disclosure has turned into a strategic governance practice rather than a simple reporting one. The use of the ESG approach has been focused on the elimination of ESG washing, alongside with the promotion of technology transparency, cooperation among companies, and the development of ESG metrics for improving accountability along the supply chains. These results have obviously illustrated the government structure that is aimed at ensuring ethical decision-making and increasing organisational legitimacy, while also promoting responsible behaviour of supply chains. This </w:t>
      </w:r>
      <w:r>
        <w:lastRenderedPageBreak/>
        <w:t>is a problem that is supported by more extensive evidence. Some recent literature reviews about the disclosure of social responsibility include the work of Singh (2024) and She (2022), which clearly shows that both supply chain practices and the disclosure practices themselves may be influenced by the act of disclosure; however, the structure of disclosure influences the effectiveness of the disclosure practice.</w:t>
      </w:r>
      <w:r>
        <w:rPr>
          <w:color w:val="000000"/>
        </w:rPr>
        <w:t xml:space="preserve"> The studies on sustainable food supply chains indicate that consumers need the information associated with the quality, safety, origin and sustainability of the product, implying that transparency is helpful provided the information they obtain is substantial, but not just extensive.</w:t>
      </w:r>
    </w:p>
    <w:p w:rsidR="007E7629" w:rsidRDefault="003E360F">
      <w:r>
        <w:t xml:space="preserve">Despite the advantages, the literature presents conflicting evidence regarding the practical implementation of the social and governance initiatives. There is the claim by various scholars, such as Zeng and Wan (2024) and Wu, Zhu, and Cheng (2022), that the efficiency of governance depends on the interaction of contractual control and relational governance. The researchers further provided an understanding that the excessive reliance on compliance mechanisms might encourage superficial conformity instead of genuine ethical collaborations among the suppliers from geographically diverse locations. </w:t>
      </w:r>
      <w:r>
        <w:rPr>
          <w:color w:val="000000"/>
        </w:rPr>
        <w:t>This argument is especially compelling as over-reliance on formal compliance can also motivate suppliers to comply with the minimum requirements without the need to build real ethical commitment (De Souza and De Souza, 2024; Perkiss</w:t>
      </w:r>
      <w:r>
        <w:rPr>
          <w:i/>
          <w:iCs/>
          <w:color w:val="000000"/>
        </w:rPr>
        <w:t xml:space="preserve"> et al.,</w:t>
      </w:r>
      <w:r>
        <w:rPr>
          <w:color w:val="000000"/>
        </w:rPr>
        <w:t xml:space="preserve"> 2025). Thus, the existence of governance processes cannot be viewed as the automatic indication of responsible organisation behaviour. Rather, accountability, cooperation and constant oversight seem to be the key to the functioning of good governance.</w:t>
      </w:r>
    </w:p>
    <w:p w:rsidR="007E7629" w:rsidRDefault="003E360F">
      <w:r>
        <w:t xml:space="preserve">Consequently, the governance practices should balance regulatory compliance with trust-based relationships to ensure long-term sustainability. Several scholars like Shi, Zhou and Wang (2026) have questioned whether governance disclosures are able to reflect organisational behaviour accurately. This is because while companies highly publish ESG reports, the inconsistency in reporting standards and selective disclosure continue to reduce the confidence of stakeholders, along with consumer perceptions. The empirical research has constantly focused on the predominance of organisational performance outcomes rather than examining the influence of ethical governance on consumer trust. There is yet the gap in the current research regarding the mechanisms through which social responsibility, governance practices and ethical sourcing collectively shape the trust of consumers towards food brands, highlighting the need for greater integration among supply chain governance and consumer behaviour research. </w:t>
      </w:r>
    </w:p>
    <w:p w:rsidR="007E7629" w:rsidRDefault="003E360F">
      <w:pPr>
        <w:shd w:val="clear" w:color="auto" w:fill="auto"/>
        <w:rPr>
          <w:color w:val="000000"/>
        </w:rPr>
      </w:pPr>
      <w:r>
        <w:rPr>
          <w:color w:val="000000"/>
        </w:rPr>
        <w:lastRenderedPageBreak/>
        <w:t xml:space="preserve">This results in a critical argument that the practice of social and governance ESG impacts trust based on the credibility of organisational relationships and information as opposed to policy adoption. As supported by Taiwo </w:t>
      </w:r>
      <w:r>
        <w:rPr>
          <w:i/>
          <w:iCs/>
          <w:color w:val="000000"/>
        </w:rPr>
        <w:t>et al.,</w:t>
      </w:r>
      <w:r>
        <w:rPr>
          <w:color w:val="000000"/>
        </w:rPr>
        <w:t xml:space="preserve"> (2023) and Gutierrez-Huerter </w:t>
      </w:r>
      <w:r>
        <w:rPr>
          <w:i/>
          <w:iCs/>
          <w:color w:val="000000"/>
        </w:rPr>
        <w:t>et al.,</w:t>
      </w:r>
      <w:r>
        <w:rPr>
          <w:color w:val="000000"/>
        </w:rPr>
        <w:t xml:space="preserve"> (2023) believed that responsibility can be exhibited through ethical sourcing, fair labour practices and mechanisms of governance through consumer-packaged goods (CPG) supply chain or even data analytics like blockchain. Yet these practices are unlikely to be assessed by the customer, as most of the activity is behind the supply chain. In turn, traceability, credible disclosure and accountability come into the limelight as the potential means of making otherwise invisible organisational behaviour visible to consumers. This interpretation is supported by the evidence of research in food traceability by Reitano</w:t>
      </w:r>
      <w:r>
        <w:rPr>
          <w:i/>
          <w:iCs/>
          <w:color w:val="000000"/>
        </w:rPr>
        <w:t xml:space="preserve"> et al., </w:t>
      </w:r>
      <w:r>
        <w:rPr>
          <w:color w:val="000000"/>
        </w:rPr>
        <w:t>(2024), which reveals that the perceived risk can be minimized by transparency and data integrity and increase consumer trust.</w:t>
      </w:r>
    </w:p>
    <w:p w:rsidR="007E7629" w:rsidRDefault="003E360F">
      <w:pPr>
        <w:shd w:val="clear" w:color="auto" w:fill="auto"/>
      </w:pPr>
      <w:r>
        <w:rPr>
          <w:color w:val="000000"/>
        </w:rPr>
        <w:t xml:space="preserve">However, there is also evidence to the effect that increased disclosure may not necessarily translate into increased trust. The success of any social and governance programmes relies on the credibility of information, its ability to be comprehended and backed through real organisational behaviour (Moussa </w:t>
      </w:r>
      <w:r>
        <w:rPr>
          <w:i/>
          <w:iCs/>
          <w:color w:val="000000"/>
        </w:rPr>
        <w:t xml:space="preserve">et al., </w:t>
      </w:r>
      <w:r>
        <w:rPr>
          <w:color w:val="000000"/>
        </w:rPr>
        <w:t>2024). Therefore, the best interpretation based on the literature is the establishment of the context of trust by ESG governance and not the establishment of trust. It also reveals a research gap; the literature often focuses on supply-chain performance, on governance mechanisms or disclosure as individual factors, it is also described how these social and governance practices involve consumers in developing trust in food brands. This discussion will apply to the research objective and will mainly consider RO1 and also consider RQ, as it will show that such initiatives are important to customer trust when they are backed by credible governance, transparency and accountability.</w:t>
      </w:r>
    </w:p>
    <w:p w:rsidR="007E7629" w:rsidRDefault="007E7629"/>
    <w:p w:rsidR="007E7629" w:rsidRDefault="003E360F">
      <w:pPr>
        <w:pStyle w:val="Heading3"/>
      </w:pPr>
      <w:bookmarkStart w:id="51" w:name="_Toc238235518"/>
      <w:r>
        <w:t>Theme 2: Effective initiatives of ESG positively influence customer trust in the food industry</w:t>
      </w:r>
      <w:bookmarkEnd w:id="51"/>
    </w:p>
    <w:p w:rsidR="007E7629" w:rsidRDefault="003E360F">
      <w:pPr>
        <w:rPr>
          <w:u w:val="single"/>
        </w:rPr>
      </w:pPr>
      <w:r>
        <w:rPr>
          <w:u w:val="single"/>
        </w:rPr>
        <w:t xml:space="preserve">2.1 Consumers attain positive perceptions when organisations implement credible ESG initiatives </w:t>
      </w:r>
    </w:p>
    <w:p w:rsidR="007E7629" w:rsidRDefault="003E360F">
      <w:pPr>
        <w:widowControl w:val="0"/>
        <w:shd w:val="clear" w:color="auto" w:fill="auto"/>
        <w:rPr>
          <w:color w:val="000000"/>
        </w:rPr>
      </w:pPr>
      <w:r>
        <w:rPr>
          <w:color w:val="000000"/>
        </w:rPr>
        <w:t xml:space="preserve">The growing adoption of ESG initiatives has fundamentally changed how consumers evaluate food companies, with credible sustainability practices increasingly shaping the perceptions of consumers and their trust. In the context of the global food industry and mainly within that of the UK, Lee, Young and Barkemeyer (2025) highlight that consumers have become highly conscious of the environment and the welfare of society. They have thus started expecting organisations to demonstrate authentic commitments to sustainability rather than relying on promotional claims. Consequently, it could be argued that the research by Truong </w:t>
      </w:r>
      <w:r>
        <w:rPr>
          <w:i/>
          <w:iCs/>
          <w:color w:val="000000"/>
        </w:rPr>
        <w:t>et al</w:t>
      </w:r>
      <w:r>
        <w:rPr>
          <w:color w:val="000000"/>
        </w:rPr>
        <w:t xml:space="preserve">., (2026) has provided an outlook that ESG has evolved from a compliance mechanism into a more </w:t>
      </w:r>
      <w:r>
        <w:rPr>
          <w:color w:val="000000"/>
        </w:rPr>
        <w:lastRenderedPageBreak/>
        <w:t>strategic marketing and relationship-building tool that influences consumer evaluations before making purchase decisions. Both studies demonstrate that consumers tend to think that companies practicing transparency of ESG initiatives appear to be more responsible, ethical and even credible making brand perception more favourable.</w:t>
      </w:r>
    </w:p>
    <w:p w:rsidR="007E7629" w:rsidRDefault="003E360F">
      <w:pPr>
        <w:widowControl w:val="0"/>
        <w:shd w:val="clear" w:color="auto" w:fill="auto"/>
        <w:rPr>
          <w:color w:val="000000"/>
        </w:rPr>
      </w:pPr>
      <w:r>
        <w:rPr>
          <w:color w:val="000000"/>
        </w:rPr>
        <w:t xml:space="preserve">The literature has proven that credibility of ESG practices has more impact on customers' perception than their existence itself. Studies of ESG communications such as Ruan, Yang and Dong (2024), Phan et al., (2026), showed that ESG information which is transparent and of good quality significantly improves the brand perception and its performance. This subsequently improves the purchase intentions of the consumers. Rather than responding solely to the sustainability claims, consumers tend to evaluate the reliability and completeness of ESG disclosures when forming the perceptions of organisational integrity. Similarly, Duckworth </w:t>
      </w:r>
      <w:r>
        <w:rPr>
          <w:i/>
          <w:iCs/>
          <w:color w:val="000000"/>
        </w:rPr>
        <w:t>et al</w:t>
      </w:r>
      <w:r>
        <w:rPr>
          <w:color w:val="000000"/>
        </w:rPr>
        <w:t xml:space="preserve">., (2022) have highlighted, with the response from surveying UK consumers, that sustainability awareness has increased along with consumers possessing varied interpretations of environmentally, socially and economically sustainable food. </w:t>
      </w:r>
    </w:p>
    <w:p w:rsidR="007E7629" w:rsidRDefault="003E360F">
      <w:pPr>
        <w:widowControl w:val="0"/>
        <w:shd w:val="clear" w:color="auto" w:fill="auto"/>
        <w:rPr>
          <w:color w:val="000000"/>
        </w:rPr>
      </w:pPr>
      <w:r>
        <w:rPr>
          <w:color w:val="000000"/>
        </w:rPr>
        <w:t>This clearly indicates that organisations must communicate ESG initiatives to reduce ambiguity and even strengthen positive consumer perceptions. The results indicate that the perception of consumers of food organisations by credible ESG implementation may be enhanced, but they do not underpin a mere hypothesis that sustainability activity will automatically lead to trust. Nevertheless, it is clear that the results of the research by Koh et al., (2022) and Gazzola et al., (2026) demonstrate the importance of credibility in forming the consumer perceptions owing to the connection between it and ESG performance. This is in accordance with the research focused on consumer trust where labelling, certification, traceability and claims about the products were found to be among main ways of analyzing less obvious characteristics of food products and increasing consumer confidence in food companies. Thus, consumers do not necessarily assess ESG practices per se, instead, they employ the evidence they have to determine whether an organisation is trustworthy.</w:t>
      </w:r>
    </w:p>
    <w:p w:rsidR="007E7629" w:rsidRDefault="003E360F">
      <w:pPr>
        <w:widowControl w:val="0"/>
        <w:shd w:val="clear" w:color="auto" w:fill="auto"/>
        <w:rPr>
          <w:color w:val="000000"/>
        </w:rPr>
      </w:pPr>
      <w:r>
        <w:rPr>
          <w:color w:val="000000"/>
        </w:rPr>
        <w:t xml:space="preserve">Furthermore, studies like Keaney </w:t>
      </w:r>
      <w:r>
        <w:rPr>
          <w:i/>
          <w:iCs/>
          <w:color w:val="000000"/>
        </w:rPr>
        <w:t>et al</w:t>
      </w:r>
      <w:r>
        <w:rPr>
          <w:color w:val="000000"/>
        </w:rPr>
        <w:t xml:space="preserve">., (2026). and Hashim, Tan and Zheng (2025), there is contradicting evidence about the efficacy of ESG communication. Though the transparency of disclosure helps consumers form better evaluation of the company, the sustainability claims do not help to generate any positive behavioural impact. In addition, Ketkaew and Komsing (2025) state that sustainability claims have little impact on consumers who are also evaluating external variables such as eco-labels for food products. These existing studies clearly challenge the assumptions that ESG communication enhances trust among consumers automatically. This indicates the increasing approach of consumers to verify sustainability claims using diverse </w:t>
      </w:r>
      <w:r>
        <w:rPr>
          <w:color w:val="000000"/>
        </w:rPr>
        <w:lastRenderedPageBreak/>
        <w:t xml:space="preserve">information sources before forming favourable perceptions. </w:t>
      </w:r>
    </w:p>
    <w:p w:rsidR="007E7629" w:rsidRDefault="003E360F">
      <w:pPr>
        <w:widowControl w:val="0"/>
        <w:shd w:val="clear" w:color="auto" w:fill="auto"/>
        <w:rPr>
          <w:color w:val="000000"/>
        </w:rPr>
      </w:pPr>
      <w:r>
        <w:rPr>
          <w:color w:val="000000"/>
        </w:rPr>
        <w:t xml:space="preserve">The systematic review of greenwashing in the food industry has highlighted the increasing awareness of consumers that has made it easier for them to identify misleading environmental claims. The findings have also highlighted that consumers perceive food products to be environmentally responsible when the sustainability information is credible and believable. Nevertheless, most of the existing literature focuses on behavioural intentions rather than long-term customer trust, while the UK-specific empirical evidence examining credible ESG implementation to elevate consumer trust is limited. This requires further research on credible ESG practices shaping sustained consumer trust within the UK food industry. </w:t>
      </w:r>
    </w:p>
    <w:p w:rsidR="007E7629" w:rsidRDefault="003E360F">
      <w:pPr>
        <w:shd w:val="clear" w:color="auto" w:fill="auto"/>
        <w:rPr>
          <w:color w:val="000000"/>
        </w:rPr>
      </w:pPr>
      <w:r>
        <w:rPr>
          <w:color w:val="000000"/>
        </w:rPr>
        <w:t xml:space="preserve">As for the Stakeholder Theory, the usefulness of ESG lies in the fact that the companies are sincere in meeting the expectations of stakeholders, and ESG itself is perceived as compliance (Talan et al., 2024). According to Ahn and Lee (2024), consumers are stakeholders whose perception determines buying behavior, reputation and relationship. However, it is not only about communication but about actions that demonstrate that certain actions are done due to the specific values held by companies. In case of Consumer Trust Theory, consumers give out trust signals when it is impossible to observe ESG attributes (Jaffari et al., 2026). As such, genuine ESG reporting can enhance trust and corporate image, whilst greenwashing can destroy trust, especially among those consumers who are environmentally conscious. ESG therefore is more effective where organisations show a genuine concern as opposed to communicating sustainability messages. </w:t>
      </w:r>
    </w:p>
    <w:p w:rsidR="007E7629" w:rsidRDefault="003E360F">
      <w:pPr>
        <w:shd w:val="clear" w:color="auto" w:fill="auto"/>
        <w:rPr>
          <w:color w:val="000000"/>
        </w:rPr>
      </w:pPr>
      <w:r>
        <w:rPr>
          <w:color w:val="000000"/>
        </w:rPr>
        <w:t>The conclusion is thus critical to the evidence. Park (2026) and Amaral (2026) argued that effective ESG practices may reinforce positive consumer attitudes, however, credibility is a precondition but not an outcome of communication. Organisations should not believe that a greater extent of ESG disclosure will inevitably result in greater trust. Instead, the ESG information should be aligned to visible, consistent and genuine organisational behaviour. The results also indicate a gap since a significant portion of the current literature focuses on purchase intention and immediate consumer reactions, whereas relatively little focus is placed on how plausible ESG practices foster a long-term customer trust, especially in the context of the UK food market. The discussion adds to the research objective and can mainly address RO2 while answering the research question by proving that ESG can positively affect consumer trust and perceptions, but mostly when perceived as credible, authentic and backed up by compelling evidence.</w:t>
      </w:r>
    </w:p>
    <w:p w:rsidR="007E7629" w:rsidRDefault="007E7629">
      <w:pPr>
        <w:widowControl w:val="0"/>
        <w:shd w:val="clear" w:color="auto" w:fill="auto"/>
        <w:jc w:val="left"/>
        <w:rPr>
          <w:color w:val="000000"/>
        </w:rPr>
      </w:pPr>
    </w:p>
    <w:p w:rsidR="007E7629" w:rsidRDefault="003E360F">
      <w:pPr>
        <w:widowControl w:val="0"/>
        <w:shd w:val="clear" w:color="auto" w:fill="auto"/>
        <w:jc w:val="left"/>
        <w:rPr>
          <w:color w:val="000000"/>
          <w:u w:val="single"/>
        </w:rPr>
      </w:pPr>
      <w:r>
        <w:rPr>
          <w:color w:val="000000"/>
          <w:u w:val="single"/>
        </w:rPr>
        <w:t xml:space="preserve">2.2 Customer trust impacts positive behaviour  towards food brands </w:t>
      </w:r>
    </w:p>
    <w:p w:rsidR="007E7629" w:rsidRDefault="003E360F">
      <w:r>
        <w:lastRenderedPageBreak/>
        <w:t xml:space="preserve">Customer trust has emerged as a fundamental mechanism through which ESG initiatives influence consumer behaviour in the food industry. Based on the outlook provided by Ngo </w:t>
      </w:r>
      <w:r>
        <w:rPr>
          <w:i/>
          <w:iCs/>
        </w:rPr>
        <w:t>et al</w:t>
      </w:r>
      <w:r>
        <w:t xml:space="preserve">., (2026) on the Gen Z group of customers, it is evident that they rely intensively on the aspect of environmental sustainability of the product before purchase. Consumer trust enables organisations to reduce the perceived risks that are associated with sustainable food products. The article further emphasises that food brands across the world and even in the UK that implement credible sustainability practices have fostered positive behavioural outcomes that include stronger purchase intentions, consumer loyalty, positive word-of-mouth and long-term brand relationships. </w:t>
      </w:r>
    </w:p>
    <w:p w:rsidR="007E7629" w:rsidRDefault="003E360F">
      <w:r>
        <w:t xml:space="preserve">Furthermore, Macready </w:t>
      </w:r>
      <w:r>
        <w:rPr>
          <w:i/>
          <w:iCs/>
        </w:rPr>
        <w:t>et al</w:t>
      </w:r>
      <w:r>
        <w:t xml:space="preserve">., using data from over 25,000 consumers across thirteen European country included UK, have found that trust in farmers and food retailers high strengthen the relationship between consumers’ sustainability motivations and their intentions to purchase sustainable food products. The study has further argued that trust cannot compensate for weak environmental motivation but amplifies the existing sustainability preferences into actual behavioural intentions. These evidence clearly suggest that trust functions as the psychological facilitator along with the behavioural catalyst within the sustainable food market. It can be further understood that trust should not be understood as an independent trigger to ensure sustainable consumption, but rather as a mechanism that converts positive sustainable attitudes into more actionable consumer responses (Syed </w:t>
      </w:r>
      <w:r>
        <w:rPr>
          <w:i/>
          <w:iCs/>
        </w:rPr>
        <w:t>et al</w:t>
      </w:r>
      <w:r>
        <w:t xml:space="preserve">., 2024). </w:t>
      </w:r>
    </w:p>
    <w:p w:rsidR="007E7629" w:rsidRDefault="003E360F">
      <w:r>
        <w:t>This interpretation is highly relevant in the context of UK where the consumers confidence in the wider food system remains essential while not being universal. The Food Standards Agency’s 2025 Food and You 2 Wave 10 survey has found that 77% of the respondents have confidence in the food supply chain, while 86% were confident that the information on food labels was accurate (Shillitoe</w:t>
      </w:r>
      <w:r>
        <w:rPr>
          <w:i/>
          <w:iCs/>
        </w:rPr>
        <w:t xml:space="preserve"> et al</w:t>
      </w:r>
      <w:r>
        <w:t xml:space="preserve">., 2025). The latest evidence provided by FAO.org (2026), highlights the consistency of framing food trust around safety, authenticity, information accuracy and sustainability. Thus, in the case of London and other highly competitive UK food markets, ESG claims are more likely to generate behavioural benefits when consumers can verify them through credible labels, traceability and transparent evidence rather than simply through promotional communication. </w:t>
      </w:r>
    </w:p>
    <w:p w:rsidR="007E7629" w:rsidRDefault="003E360F">
      <w:r>
        <w:t xml:space="preserve">Although a number of studies have established trust as an important determinant of purchase intentions, the behaviour is nevertheless affected by other environmental variables such as price sensitivity, product availability, and even perceived quality. According to the research conducted by Doanh et al., (2025) regarding the use of blockchain technology in enhancing traceability of food products, digital traceability system helps build customer confidence thus </w:t>
      </w:r>
      <w:r>
        <w:lastRenderedPageBreak/>
        <w:t xml:space="preserve">enabling them to buy organic food. The study has also found that it depends on the ability of consumers to be able to find and analyse the sustainability information to attain the brand image towards environmental consciousness. </w:t>
      </w:r>
    </w:p>
    <w:p w:rsidR="007E7629" w:rsidRDefault="003E360F">
      <w:r>
        <w:t xml:space="preserve">This indicates that even technological innovation alone is insufficient to guarantee behavioural change. Furthermore, evidence from Sañosa, Gumacial and Yamagishi (2026), suggests that trust enhances the behavioural outcomes only when the ESG initiatives are perceived to be credible. Eco-labels and sustainability certifications are significant factors that positively influence purchase intentions while reducing uncertainty and even increasing the perceived product credibility. </w:t>
      </w:r>
    </w:p>
    <w:p w:rsidR="007E7629" w:rsidRDefault="003E360F">
      <w:r>
        <w:t xml:space="preserve">The results obtained in the previous studies can be attributed to stakeholder theory, in the sense that ESG efforts are essentially a strategic effort by the organizations to meet the requirements of their stakeholders as well as to ensure their legitimacy (Sulemana et al., 2025). In this context, ESG credibility can strengthen attitudes towards sustainable food, while trust reduces uncertainty surrounding the decisions. Price and product availability might constrain the perceived behavioural control. This is further relevant in Britain because the FSA reported in 2025 that around 91% of consumers have identified rising food prices as a concern. A similar global consumer survey conducted by PwC revealed that consumers are prepared to pay a 9.7% sustainability premium (ESG News, 2024). </w:t>
      </w:r>
    </w:p>
    <w:p w:rsidR="007E7629" w:rsidRDefault="003E360F">
      <w:r>
        <w:t>This demonstrates that sustainability preferences can coexist with strong affordability constraints. Thus, in alignment with research objective 2, it could be interpreted that trust is most likely to generate actual behavioural outcomes when sustainable food products are simultaneously credible, accessible and affordable. Overall, the evidence supports the trust-intention-behaviour pathway, providing a clear response to the research question. Despite growing evidence linking trust with behavioural outcomes, most of the research is focused on conducting cross-sectional studies and measures the behavioural intentions of the consumers rather than emphasising their actual purchase behaviour. There is also a limitation on UK-specific longitudinal studies examining the role of ESG-driven trust in sustaining customer loyalty. This again provides the scope for further research to establish the evolution of trust over time, along with authentic ESG implementation that can create enduring behavioural commitment towards food brands in a highly competitive market.</w:t>
      </w:r>
    </w:p>
    <w:p w:rsidR="007E7629" w:rsidRDefault="007E7629"/>
    <w:p w:rsidR="007E7629" w:rsidRDefault="003E360F">
      <w:pPr>
        <w:pStyle w:val="Heading3"/>
      </w:pPr>
      <w:bookmarkStart w:id="52" w:name="_Toc238235519"/>
      <w:r>
        <w:t>Theme 3:  Challenges in the ESG initiatives in limit the development of customer trust</w:t>
      </w:r>
      <w:bookmarkEnd w:id="52"/>
    </w:p>
    <w:p w:rsidR="007E7629" w:rsidRDefault="003E360F">
      <w:pPr>
        <w:widowControl w:val="0"/>
        <w:shd w:val="clear" w:color="auto" w:fill="auto"/>
        <w:jc w:val="left"/>
        <w:rPr>
          <w:color w:val="000000"/>
          <w:u w:val="single"/>
        </w:rPr>
      </w:pPr>
      <w:r>
        <w:rPr>
          <w:color w:val="000000"/>
          <w:u w:val="single"/>
        </w:rPr>
        <w:t>3.1 Consumer trust and confidence is strengthened by transparent ESG communication</w:t>
      </w:r>
    </w:p>
    <w:p w:rsidR="007E7629" w:rsidRDefault="003E360F">
      <w:r>
        <w:lastRenderedPageBreak/>
        <w:t xml:space="preserve">This theme has given reference to the outlook of transparent ESG communication emerging as highly essential in strengthening customer trust and confidence within the global food industry. Patel </w:t>
      </w:r>
      <w:r>
        <w:rPr>
          <w:i/>
          <w:iCs/>
        </w:rPr>
        <w:t>et al</w:t>
      </w:r>
      <w:r>
        <w:t>., (2021) have highlighted that with consumers being more aware of sustainability, ethical sourcing and environmental impacts, they have eventually expected the food companies to provide information regarding ESG performance that is accurate, verifiable and accessible. This can be backed up by the interpretation that ESG performance is a very credence quality of products in the food industry since the consumers are not able to check independently many aspects such as carbon footprint, ethics in sourcing, and the sustainability of the supply chain just from consumption of the product (Guo, 2026). So, extensive sustainability reports, traceability data, and independently verified certifications can serve as credible signals whereas environmental jargon serves as a comparatively weaker one.</w:t>
      </w:r>
    </w:p>
    <w:p w:rsidR="007E7629" w:rsidRDefault="003E360F">
      <w:r>
        <w:t>As far as the food industry in the UK is concerned, as pointed out by Gerassimidou et al., (2022), transparency has emerged to be an imperative aspect that is crucial for legitimization and establishing consumers' trust. The article has emphasised the current challenges of extensive use of plastic packaging by the currently operating businesses. Consequently, effective ESG communication is now considered to be a critical organisational capability that influences the ability of consumers to evaluate the authenticity and sustainability initiatives, along with the trustworthiness of food brands. A number of studies, such as those conducted by Rana et al., (2026) and Boller et al., (2026), have found that transparency in ESG disclosures has helped build up consumer trust by reducing information asymmetry.</w:t>
      </w:r>
    </w:p>
    <w:p w:rsidR="007E7629" w:rsidRDefault="003E360F">
      <w:r>
        <w:t xml:space="preserve">It has also been found in the articles that high-quality ESG disclosures have significantly improved brand credibility and even consumer trust, as they provide clear evidence on the sustainability performance of the organisations rather than relying on promotional claims. The recent UK research provides empirical support for this distinction. A preregistered study of UK consumers found that the sustainability labels have substantially raised product choice. The labelled products are selected more frequently than products without such labels. It is also evident that information can influence consumer evaluation without necessarily eliminating economic considerations. This suggests that transparent communication is capable of strengthening consumer responses, while the effect depends on whether the information is sufficiently meaningful and actionable. </w:t>
      </w:r>
    </w:p>
    <w:p w:rsidR="007E7629" w:rsidRDefault="003E360F">
      <w:r>
        <w:t xml:space="preserve">The current literature has also presented essential contradictions regarding the effectiveness of ESG communication. It has also been found so far that transparency generally strengthens trust. However, authors like Nazari and Poursoleyman (2025) have argued that disclosure alone is insufficient if communication lacks credibility or independent verification. The article also </w:t>
      </w:r>
      <w:r>
        <w:lastRenderedPageBreak/>
        <w:t xml:space="preserve">provides the knowledge that financial constraints of brands can also limit their investment in sustainability practices. It is also relevant to the agricultural sector that Wahyuningrum </w:t>
      </w:r>
      <w:r>
        <w:rPr>
          <w:i/>
          <w:iCs/>
        </w:rPr>
        <w:t>et al</w:t>
      </w:r>
      <w:r>
        <w:t xml:space="preserve">., (2025) have identified the lack of efficient disclosure on water sustainability. The article provides an outlook on the intensive issues that are faced with water management, along with a lack of reliable disclosure of sustainable agricultural practices that affects food security amid the issues of climate change and population growth. </w:t>
      </w:r>
    </w:p>
    <w:p w:rsidR="007E7629" w:rsidRDefault="003E360F">
      <w:r>
        <w:t xml:space="preserve">It gives us an explicit notion that firms can provide plenty of information on their sustainability without increasing consumer trust, which means that the process of transparency should be complemented by clearness, comparability and facts in order to achieve the trust result. This is crucial because the concept of transparency should not be associated with the volume of information. The amount of fragmented or complicated information may lead to the overload of the consumer, who would not be able to differentiate between ESG performance and marketing (Vukasović, Trglavčnik and Faganel, 2025). Thus, effective transparency requires relevance, comparability, accessibility and independent verification rather than simply greater disclosure volume. </w:t>
      </w:r>
    </w:p>
    <w:p w:rsidR="007E7629" w:rsidRDefault="003E360F">
      <w:r>
        <w:t>It is fair to interpret that the UK regulatory environment reinforces this interpretation. The Competition and Markets Authority (CMA) states that the environmental claims must be truthful, clear, unambiguous and substantiated, while the material information must not be omitted in ways that can create a misleading overall impression (Flynn, 2026). The CMA’s Green Claims Code further indicates the environmental claims that can appear on packaging, advertising, branding, logos and other consumer communications (GOV.UK, 2021). This demonstrates that ESG communication has moved beyond reputational management towards an issue of consumer protection and organisational accountability in the UK and Britain.</w:t>
      </w:r>
    </w:p>
    <w:p w:rsidR="007E7629" w:rsidRDefault="003E360F">
      <w:r>
        <w:t xml:space="preserve">Moreover, the CMA’s 2026 supply-chain guidance has explicitly recognised the responsibility for environmental claims that can extend across retailers, brands, manufacturers and suppliers, making supply-chain transparency essential for food businesses (GOV.UK, 2026). This is especially relevant in the UK context where food retailing is characterised by dense supermarket, convenience, restaurant and digitally mediated food markets. The inconsistent claims across suppliers and retailers can make comparison more difficult while increasing the importance of standard evidence. </w:t>
      </w:r>
    </w:p>
    <w:p w:rsidR="007E7629" w:rsidRDefault="003E360F">
      <w:r>
        <w:t xml:space="preserve">It is from an information-asymmetry perspective, transparent ESG communication thus reduces the knowledge gap between food companies and consumers, but only when information possesses sufficient credibility to function as evidence. From a legitimacy perspective, it can be interpreted that transparency disclosure also allows organisations to demonstrate that </w:t>
      </w:r>
      <w:r>
        <w:lastRenderedPageBreak/>
        <w:t xml:space="preserve">corporate sustainability claims are consistent with actual organisational practices. As per the understanding of stakeholder theory, legitimacy can be protected by complying with the increasing scrutiny of stakeholders regarding ESG performance (Lee and Raschke, 2023). Conversely, it is also evident that misleading or selective communication can create a legitimacy gap while the public sustainability identity of the organisation conflicts with stakeholder perceptions. </w:t>
      </w:r>
    </w:p>
    <w:p w:rsidR="007E7629" w:rsidRDefault="003E360F">
      <w:r>
        <w:t xml:space="preserve">Critically, most of the existing literature is focused on organisational disclosure practices rather than examining the consumer interpretation and response to ESG communications over time. There is a significant limitation in the aspect of the UK food industry, with the investigation being focused on relationships between transparent ESG communication and sustained customer confidence. This provides the scope for further research to understand the ways in which transparency, communication quality and independent verification influence long-term customer trust and brand loyalty in the food market that is highly sustainability-oriented at present. The findings at present directly address research objective 3 by identifying inadequate transparency, weak verification, information complexity and potentially misleading communication as organisational challenges that reduce the effectiveness of ESG initiatives in building consumer trust. They also contribute directly to the research question by demonstrating that the existing literature associates ESG initiatives with customer trust only when organisations communicate the sustainability performance clearly, credibly and accountably. </w:t>
      </w:r>
    </w:p>
    <w:p w:rsidR="007E7629" w:rsidRDefault="007E7629"/>
    <w:p w:rsidR="007E7629" w:rsidRDefault="003E360F">
      <w:pPr>
        <w:widowControl w:val="0"/>
        <w:shd w:val="clear" w:color="auto" w:fill="auto"/>
        <w:jc w:val="left"/>
        <w:rPr>
          <w:color w:val="000000"/>
          <w:u w:val="single"/>
        </w:rPr>
      </w:pPr>
      <w:r>
        <w:rPr>
          <w:color w:val="000000"/>
          <w:u w:val="single"/>
        </w:rPr>
        <w:t xml:space="preserve">3.2 Consumer scepticm increases due to greenwashing and misleading sustainability claims </w:t>
      </w:r>
    </w:p>
    <w:p w:rsidR="007E7629" w:rsidRDefault="003E360F">
      <w:pPr>
        <w:widowControl w:val="0"/>
        <w:shd w:val="clear" w:color="auto" w:fill="auto"/>
        <w:rPr>
          <w:color w:val="000000"/>
        </w:rPr>
      </w:pPr>
      <w:r>
        <w:rPr>
          <w:color w:val="000000"/>
        </w:rPr>
        <w:t xml:space="preserve">It is over time that greenwashing has emerged as a significant barrier to the effectiveness of ESG initiatives in the food industry. This subtheme can be further justified with the knowledge provided by Nugraha </w:t>
      </w:r>
      <w:r>
        <w:rPr>
          <w:i/>
          <w:iCs/>
          <w:color w:val="000000"/>
        </w:rPr>
        <w:t>et al</w:t>
      </w:r>
      <w:r>
        <w:rPr>
          <w:color w:val="000000"/>
        </w:rPr>
        <w:t xml:space="preserve">., (2024) that misleading sustainability claims tend to undermine consumer confidence while weakening their trust levels towards genuinely responsible organisations as well. Over 53% of the green claims contain information that is ambiguous, inaccurate and misleading. The article has further emphasised the aspect that the prospect of false sustainability claims has also emerged from the increased demands from consumers. As a result of this, the food companies have expanded the use of eco-labels, ESG disclosures and sustainability certifications. </w:t>
      </w:r>
    </w:p>
    <w:p w:rsidR="007E7629" w:rsidRDefault="003E360F">
      <w:pPr>
        <w:widowControl w:val="0"/>
        <w:shd w:val="clear" w:color="auto" w:fill="auto"/>
        <w:rPr>
          <w:color w:val="000000"/>
        </w:rPr>
      </w:pPr>
      <w:r>
        <w:rPr>
          <w:color w:val="000000"/>
        </w:rPr>
        <w:t xml:space="preserve">Nevertheless, modern studies such as Vangeli et al., (2023) point out that sustainability marketing has also resulted in the emergence of additional options for firms to overstate or even manipulate regarding their environmental performance. The food industry is identified as </w:t>
      </w:r>
      <w:r>
        <w:rPr>
          <w:color w:val="000000"/>
        </w:rPr>
        <w:lastRenderedPageBreak/>
        <w:t xml:space="preserve">one of the significant sectors that is often associated with the highest rate of greenwashing, mainly because of the high demand from consumers for sustainable products. This also results in the inconsistency of eco-labelling standards along with limited regulatory verifications. </w:t>
      </w:r>
    </w:p>
    <w:p w:rsidR="007E7629" w:rsidRDefault="003E360F">
      <w:pPr>
        <w:widowControl w:val="0"/>
        <w:shd w:val="clear" w:color="auto" w:fill="auto"/>
        <w:rPr>
          <w:color w:val="000000"/>
        </w:rPr>
      </w:pPr>
      <w:r>
        <w:rPr>
          <w:color w:val="000000"/>
        </w:rPr>
        <w:t xml:space="preserve">The scale of challenges is particularly essential in Britain because green claims are increasingly subjected to consumer-protection scrutiny. The UK Competition and Markets Authority (CMA) has identified vague terms such as ‘green’, ‘eco-friendly’, ‘sustainable’ and ‘natural’ unsupported by environmental logos and the omission of relevant environmental information to be potential forms of misleading practice (CMA, 2021). A global review coordinated through CMA has also found that around 40% of websites examined have appeared to use potentially misleading green claims (CMA, 2021). </w:t>
      </w:r>
    </w:p>
    <w:p w:rsidR="007E7629" w:rsidRDefault="003E360F">
      <w:pPr>
        <w:widowControl w:val="0"/>
        <w:shd w:val="clear" w:color="auto" w:fill="auto"/>
        <w:rPr>
          <w:color w:val="000000"/>
        </w:rPr>
      </w:pPr>
      <w:r>
        <w:rPr>
          <w:color w:val="000000"/>
        </w:rPr>
        <w:t xml:space="preserve">Although this statistic is not specific to food brands and even UK, it demonstrates the wider information environment within which UK consumers encounter sustainability claims. The CMA has extended the scrutiny to fast-moving consumer goods, mainly including food and drink, as consumers might otherwise be misled into believing that the products are more environmentally responsible than they actually are. From this evidence, it can thus be interpreted that increasing consumer demand for sustainable products creates commercial incentives for the firms to communicate environmental benefits selectively. </w:t>
      </w:r>
    </w:p>
    <w:p w:rsidR="007E7629" w:rsidRDefault="003E360F">
      <w:pPr>
        <w:widowControl w:val="0"/>
        <w:shd w:val="clear" w:color="auto" w:fill="auto"/>
        <w:rPr>
          <w:color w:val="000000"/>
        </w:rPr>
      </w:pPr>
      <w:r>
        <w:rPr>
          <w:color w:val="000000"/>
        </w:rPr>
        <w:t xml:space="preserve">Misleading sustainability communication highly increases the scepticism of consumers and even reduces the credibility of ESG initiatives as a whole. Inês, Diniz and Moreira (2023), have identified that product labelling and packaging are the primary channels through which greenwashing occurs in the food sector. Furthermore, Foden </w:t>
      </w:r>
      <w:r>
        <w:rPr>
          <w:i/>
          <w:iCs/>
          <w:color w:val="000000"/>
        </w:rPr>
        <w:t>et al</w:t>
      </w:r>
      <w:r>
        <w:rPr>
          <w:color w:val="000000"/>
        </w:rPr>
        <w:t xml:space="preserve">., (2022) demonstrate in the context of the UK that although environmental concerns are growing, purchasing decisions of consumers are yet continuing to be strongly influenced by the factors of affordability along with ethical consciousness. This suggests that consumers require credible evidence rather than promotional sustainability messages before they can modify their purchasing behaviour. </w:t>
      </w:r>
    </w:p>
    <w:p w:rsidR="007E7629" w:rsidRDefault="003E360F">
      <w:pPr>
        <w:widowControl w:val="0"/>
        <w:shd w:val="clear" w:color="auto" w:fill="auto"/>
        <w:rPr>
          <w:color w:val="000000"/>
        </w:rPr>
      </w:pPr>
      <w:r>
        <w:rPr>
          <w:color w:val="000000"/>
        </w:rPr>
        <w:t>Again, Rossi and Rivetti (2022), provide a contrasting perspective regarding the role of sustainability labels. While the eco-labels are intended to reduce asymmetry in the information and strengthen trust levels, it is argued to proliferation of self-declared labels has produced the opposite effect. The relationship between greenwashing and scepticism can be further explained through the consumer trust model, mainly the dimensions of perceived credibility, reliability and integrity. When consumers encounter a sustainability claim, they assess whether the organisation is sufficiently credible to deliver what it has promised (</w:t>
      </w:r>
      <w:r>
        <w:t>Van Hummel and Russell-Bennett, 2026)</w:t>
      </w:r>
      <w:r>
        <w:rPr>
          <w:color w:val="000000"/>
        </w:rPr>
        <w:t xml:space="preserve">. The greenwash occurs when there is a gap between the ESG message conveyed and the organisational behaviour perceived (or real) (Zervoudi, Moschos and </w:t>
      </w:r>
      <w:r>
        <w:rPr>
          <w:color w:val="000000"/>
        </w:rPr>
        <w:lastRenderedPageBreak/>
        <w:t xml:space="preserve">Christopoulos, 2025). Such a discrepancy can negatively affect the perception of both integrity and reliability and, thus, consumer trust. Once trust is weakened, consumers might become more sceptical not only towards the individual brand but also towards similar sustainability claims made by competing food businesses. </w:t>
      </w:r>
    </w:p>
    <w:p w:rsidR="007E7629" w:rsidRDefault="003E360F">
      <w:pPr>
        <w:widowControl w:val="0"/>
        <w:shd w:val="clear" w:color="auto" w:fill="auto"/>
        <w:rPr>
          <w:color w:val="000000"/>
        </w:rPr>
      </w:pPr>
      <w:r>
        <w:rPr>
          <w:color w:val="000000"/>
        </w:rPr>
        <w:t xml:space="preserve">This creates a spillover problem in which irresponsible communication by one organisation could potentially undermine the confidence of the wider sustainable food market. It is also the UK regulatory response that has further demonstrated that greenwashing has become an organisational governance challenge rather than being a marketing issue. The CMA requires environmental claims to be truthful, clear, substantiated and not misleading through omission. The 2026 guidance places a high responsibility on the retailers, brands, manufacturers and even suppliers within the supply chain </w:t>
      </w:r>
      <w:r>
        <w:t>(GOV.UK, 2026)</w:t>
      </w:r>
      <w:r>
        <w:rPr>
          <w:color w:val="000000"/>
        </w:rPr>
        <w:t xml:space="preserve">. This is significant for food businesses because sustainability information frequently originates upstream from farmers, manufacturers and packaging suppliers but is communicated to the consumers by retailers or brands. Weaknesses in the verification at any stage can thus undermine the credibility of the final ESG claim. </w:t>
      </w:r>
    </w:p>
    <w:p w:rsidR="007E7629" w:rsidRDefault="003E360F">
      <w:pPr>
        <w:widowControl w:val="0"/>
        <w:shd w:val="clear" w:color="auto" w:fill="auto"/>
        <w:rPr>
          <w:color w:val="000000"/>
        </w:rPr>
      </w:pPr>
      <w:r>
        <w:rPr>
          <w:color w:val="000000"/>
        </w:rPr>
        <w:t xml:space="preserve">This directly contributes to research objective 3 by identifying misleading claims, inconsistent labelling, weak verification and insufficient traceability as the organisational practices that can undermine ESG effectiveness. It has also answered the research question by demonstrating that ESG initiatives are unlikely to strengthen customer trust merely through sustainability communication. Despite the growing scholarly attention, there is yet existence of vital research gap. The existing studies have highly examined consumers’ intentions and perceptions towards greenwashing rather than investigating the repeated exposure to the misleading ESG claims that affect long-term trust and loyalty within the food industry of the UK. </w:t>
      </w:r>
    </w:p>
    <w:p w:rsidR="007E7629" w:rsidRDefault="003E360F">
      <w:pPr>
        <w:widowControl w:val="0"/>
        <w:shd w:val="clear" w:color="auto" w:fill="auto"/>
        <w:rPr>
          <w:color w:val="000000"/>
        </w:rPr>
      </w:pPr>
      <w:r>
        <w:rPr>
          <w:color w:val="000000"/>
        </w:rPr>
        <w:t xml:space="preserve">Most of the empirical evidence is focused on environmental labelling with limited attention to misleading social and governance claims. This highlights the scope for extensive research on the need for businesses to improve transparency, strengthen third-party verification, enhance traceability, and even establish standardised ESG reporting frameworks emphasising their importance to reduce consumer scepticism. The knowledge needs to be attained and analysed to interpret the importance of restoring confidence in the sustainability initiative across the food supply chain on a global scale. </w:t>
      </w:r>
    </w:p>
    <w:p w:rsidR="007E7629" w:rsidRDefault="007E7629"/>
    <w:p w:rsidR="007E7629" w:rsidRDefault="003E360F">
      <w:pPr>
        <w:pStyle w:val="Heading3"/>
      </w:pPr>
      <w:bookmarkStart w:id="53" w:name="_Toc238235520"/>
      <w:r>
        <w:t>Theme 4: Organisational commitment and stakeholder engagement strengthen ESG implementation</w:t>
      </w:r>
      <w:bookmarkEnd w:id="53"/>
    </w:p>
    <w:p w:rsidR="007E7629" w:rsidRDefault="003E360F">
      <w:pPr>
        <w:widowControl w:val="0"/>
        <w:shd w:val="clear" w:color="auto" w:fill="auto"/>
        <w:jc w:val="left"/>
        <w:rPr>
          <w:color w:val="000000"/>
          <w:u w:val="single"/>
        </w:rPr>
      </w:pPr>
      <w:r>
        <w:rPr>
          <w:color w:val="000000"/>
          <w:u w:val="single"/>
        </w:rPr>
        <w:t>4.1 Organisational credibility and trustworthiness is reinforced with ESG implementation</w:t>
      </w:r>
    </w:p>
    <w:p w:rsidR="007E7629" w:rsidRDefault="003E360F">
      <w:pPr>
        <w:widowControl w:val="0"/>
        <w:shd w:val="clear" w:color="auto" w:fill="auto"/>
        <w:rPr>
          <w:color w:val="000000"/>
        </w:rPr>
      </w:pPr>
      <w:r>
        <w:rPr>
          <w:color w:val="000000"/>
        </w:rPr>
        <w:lastRenderedPageBreak/>
        <w:t xml:space="preserve">Authentic ESG implementation has emerged as a fundamental determinant of organisational credibility and consumer trust within the global food industry. Van Quang and Thi Van (2025) note that greater consumer awareness in regards to sustainability has resulted in increased demand for ESG on the part of consumers in terms of actions as opposed to merely symbolic messages showing the commitment of the organization to sustainability and ethical practices. Concerning the food industry in the UK, St. Clair and Sharmina (2026) have pointed out that consumers carefully evaluate any claims related to sustainability. </w:t>
      </w:r>
    </w:p>
    <w:p w:rsidR="007E7629" w:rsidRDefault="003E360F">
      <w:pPr>
        <w:widowControl w:val="0"/>
        <w:shd w:val="clear" w:color="auto" w:fill="auto"/>
        <w:rPr>
          <w:color w:val="000000"/>
        </w:rPr>
      </w:pPr>
      <w:r>
        <w:rPr>
          <w:color w:val="000000"/>
        </w:rPr>
        <w:t xml:space="preserve">Consequently, authentic ESG implementation has emerged as a strategic capability that strengthens organisational legitimacy. It is considered to be vital for enhancing stakeholder relationships along with supporting long-term business resilience. Recent studies also indicate the need to develop credibility through ESG performance supported by transparent governance, measurable sustainability outcomes, and independent verification rather than promotional sustainability messaging. Such a finding could be elaborated from the perspective of stakeholder theory, which maintains that firms can sustainably generate value if they pay attention not only to the interests of their shareholders but also to the interests of other stakeholders (Awa, Etim and Ogbonda, 2024). </w:t>
      </w:r>
    </w:p>
    <w:p w:rsidR="007E7629" w:rsidRDefault="003E360F">
      <w:pPr>
        <w:widowControl w:val="0"/>
        <w:shd w:val="clear" w:color="auto" w:fill="auto"/>
        <w:rPr>
          <w:color w:val="000000"/>
        </w:rPr>
      </w:pPr>
      <w:r>
        <w:rPr>
          <w:color w:val="000000"/>
        </w:rPr>
        <w:t xml:space="preserve">It is within the food industry that authenticity thus depends on whether the ESG commitments are reflected across relationships with the consumers, employees, farmers, suppliers, communities, regulators and investors. It is clearly understood that organisations that communicate sustainability externally while refraining from embedding the equivalent practices within procurement, employment, production and distribution might create an inconsistency between the expectations of the stakeholders and the organisational behaviour. Consequently, authenticity represents a form of organisational consistency on the promises of the company, its sustainability implementation and the stakeholder experience that needs to be aligned. </w:t>
      </w:r>
    </w:p>
    <w:p w:rsidR="007E7629" w:rsidRDefault="003E360F">
      <w:pPr>
        <w:widowControl w:val="0"/>
        <w:shd w:val="clear" w:color="auto" w:fill="auto"/>
        <w:rPr>
          <w:color w:val="000000"/>
        </w:rPr>
      </w:pPr>
      <w:r>
        <w:rPr>
          <w:color w:val="000000"/>
        </w:rPr>
        <w:t>The existing literature strongly demonstrates that authentic ESG implementation enhances organisational trustworthiness by reducing information asymmetry between the firms and stakeholders. It can be seen from literature such as Agarwal et al., (2025) that organisations include the use of ESG in their decision-making process, which guarantees that higher levels of confidence among stakeholders would be ensured due to the adoption of sustainability goals in practice and not just compliance. Furthermore, research conducted by authors like McGrath et al., (2021) indicate that along with adopting sustainable sourcing and resource circulation in organisations, they also set science-based carbon emissions reduction targets.</w:t>
      </w:r>
    </w:p>
    <w:p w:rsidR="007E7629" w:rsidRDefault="003E360F">
      <w:pPr>
        <w:widowControl w:val="0"/>
        <w:shd w:val="clear" w:color="auto" w:fill="auto"/>
        <w:rPr>
          <w:color w:val="000000"/>
        </w:rPr>
      </w:pPr>
      <w:r>
        <w:rPr>
          <w:color w:val="000000"/>
        </w:rPr>
        <w:t xml:space="preserve">This issue has been addressed in the article specifically in relation to the UK food industry </w:t>
      </w:r>
      <w:r>
        <w:rPr>
          <w:color w:val="000000"/>
        </w:rPr>
        <w:lastRenderedPageBreak/>
        <w:t>where retailers extensively use technologies and third-party sustainability certifications for supply chain traceability. These existing knowledge collectively suggest that authenticity is achieved by brands when the ESG commitments are supported by measurable organisational actions instead of aspirational sustainability narratives. Scholars like Kim and Kim (2026) argue that authentic ESG implementation is difficult to achieve despite the widespread organisational commitment.</w:t>
      </w:r>
    </w:p>
    <w:p w:rsidR="007E7629" w:rsidRDefault="003E360F">
      <w:pPr>
        <w:widowControl w:val="0"/>
        <w:shd w:val="clear" w:color="auto" w:fill="auto"/>
        <w:rPr>
          <w:color w:val="000000"/>
        </w:rPr>
      </w:pPr>
      <w:r>
        <w:rPr>
          <w:color w:val="000000"/>
        </w:rPr>
        <w:t xml:space="preserve">While companies highly publish sustainability reports and establish ESG governance structured the empirical evidence tends to indicate the variance of implementation quality across the overall food supply chain. The fragmented supplier networks, inconsistent sustainability standards and limited monitoring capabilities reduce the effectiveness of responsible sourcing initiatives in the case of food businesses. The findings thus challenge the assumption that ESG adoption automatically enhances the credibility of the organisation, suggesting its dependence on consistent implementation rather than the existence of the sustainability policies alone. </w:t>
      </w:r>
    </w:p>
    <w:p w:rsidR="007E7629" w:rsidRDefault="003E360F">
      <w:pPr>
        <w:widowControl w:val="0"/>
        <w:shd w:val="clear" w:color="auto" w:fill="auto"/>
        <w:rPr>
          <w:color w:val="000000"/>
        </w:rPr>
      </w:pPr>
      <w:r>
        <w:rPr>
          <w:color w:val="000000"/>
        </w:rPr>
        <w:t xml:space="preserve">The distinction between commitment and implementation is mainly essential in the UK because consumers are highly expecting businesses to make sustainable choices easier rather than transferring responsibility to individuals. Consumers in the UK expect sustainable products and services from companies, as insufficient information is regarded as an obstacle to sustainable consumption (GOV.UK, 2022). It can be concluded that the concept of organisational authenticity goes beyond setting ESG goals. Businesses are expected to operationalise those objectives through accessible products, responsible sourcing and even practical changes across the value chain. This clearly strengthens the argument that ESG needs to become embedded within strategic decision-making rather than functioning as a separate reputational activity. </w:t>
      </w:r>
    </w:p>
    <w:p w:rsidR="007E7629" w:rsidRDefault="003E360F">
      <w:pPr>
        <w:widowControl w:val="0"/>
        <w:shd w:val="clear" w:color="auto" w:fill="auto"/>
        <w:rPr>
          <w:color w:val="000000"/>
        </w:rPr>
      </w:pPr>
      <w:r>
        <w:rPr>
          <w:color w:val="000000"/>
        </w:rPr>
        <w:t xml:space="preserve">The UK food system has demonstrated the importance of collective implementation. WRAP’s Courtauld approach brought together businesses, trade organisations, local authorities and other stakeholders for addressing resource efficiency and food wastage across the supply chain. It has been shown how complicated the sustainability problems within the food industry are and the need for collaboration instead of organizational efforts alone (Greenwood and Reynolds, 2024). For the food businesses operating in the UK, this suggests that authentic ESG implementation highly depends on supplier cooperation, shared standards, measurement and even continuous monitoring. A retailer might therefore have strong internal sustainability policies but still struggle to demonstrate authenticity if upstream suppliers are able to provide reliable evidence of environmental or social performance. </w:t>
      </w:r>
    </w:p>
    <w:p w:rsidR="007E7629" w:rsidRDefault="003E360F">
      <w:pPr>
        <w:rPr>
          <w:color w:val="000000"/>
        </w:rPr>
      </w:pPr>
      <w:r>
        <w:rPr>
          <w:color w:val="000000"/>
        </w:rPr>
        <w:lastRenderedPageBreak/>
        <w:t xml:space="preserve">The overall integrated evidence indicates the value of authentic ESG implementation that is highly understood as a continuous organisational process rather than a one-off sustainability programme. In relation to the consumer trust framework context, one may suggest that consumer trust is generated based on the perceptions of credibility, reliability, integrity, and benevolence of the organization (Van Hummel and Russell-Bennett, 2026). Therefore, authentic ESG practices are understood to strengthen trust when organisational actions consistently correspond with sustainability commitments. This directly supports research objective 4 that seeks to recommend the factors that strengthen consumer trust through ESG initiatives. </w:t>
      </w:r>
    </w:p>
    <w:p w:rsidR="007E7629" w:rsidRDefault="003E360F">
      <w:pPr>
        <w:widowControl w:val="0"/>
        <w:shd w:val="clear" w:color="auto" w:fill="auto"/>
        <w:rPr>
          <w:color w:val="000000"/>
        </w:rPr>
      </w:pPr>
      <w:r>
        <w:rPr>
          <w:color w:val="000000"/>
        </w:rPr>
        <w:t xml:space="preserve">It also contributes to the research question by demonstrating ESG initiatives strengthen customer trust most efficiently when customers are able to perceive consistency between ESG commitments and the actual practices. The evidence has clearly demonstrated the perceptions of stakeholders on authenticity highly depend on transparency, accountability and even independent verification. It is evident from the findings that collaborative stakeholder engagement, ethical leadership and constant sustainability assessment strengthen the overall organisational legitimacy by ensuring that the ESG initiatives reflect genuine organisational values rather than fulfilling the reputational objectives. Longitudinal research is scarce within the food industry in the UK, which reflects the gap and the need for further research on authentic ESG implementation for sustaining organisational credibility and enduring customer trust. </w:t>
      </w:r>
    </w:p>
    <w:p w:rsidR="007E7629" w:rsidRDefault="007E7629">
      <w:pPr>
        <w:widowControl w:val="0"/>
        <w:shd w:val="clear" w:color="auto" w:fill="auto"/>
        <w:rPr>
          <w:color w:val="000000"/>
        </w:rPr>
      </w:pPr>
    </w:p>
    <w:p w:rsidR="007E7629" w:rsidRDefault="003E360F">
      <w:pPr>
        <w:widowControl w:val="0"/>
        <w:shd w:val="clear" w:color="auto" w:fill="auto"/>
        <w:jc w:val="left"/>
        <w:rPr>
          <w:color w:val="000000"/>
          <w:u w:val="single"/>
        </w:rPr>
      </w:pPr>
      <w:r>
        <w:rPr>
          <w:color w:val="000000"/>
          <w:u w:val="single"/>
        </w:rPr>
        <w:t xml:space="preserve">4.2 ESG initiatives are trusted by customer engagement and supportive governance </w:t>
      </w:r>
    </w:p>
    <w:p w:rsidR="007E7629" w:rsidRDefault="003E360F">
      <w:pPr>
        <w:widowControl w:val="0"/>
        <w:shd w:val="clear" w:color="auto" w:fill="auto"/>
        <w:rPr>
          <w:color w:val="000000"/>
        </w:rPr>
      </w:pPr>
      <w:r>
        <w:rPr>
          <w:color w:val="000000"/>
        </w:rPr>
        <w:t xml:space="preserve">Customer engagement and supportive governance are crucial mechanisms that help in strengthening trust in the ESG initiatives within the global food industry. With customers highly demanding transparency, ethical sourcing, and sustainable production, that the organisational are expected to engage stakeholders throughout the ESG implementation process rather than relying on sustainability reporting. It is with reference to the UK food industry that Khamisu and Paluri (2024), have stated that organisations are expected to increase awareness among consumers, along with digital communication platforms encouraging organisations to adopt participatory governance approaches that facilitate dialogue with customers, suppliers and regulators. </w:t>
      </w:r>
    </w:p>
    <w:p w:rsidR="007E7629" w:rsidRDefault="003E360F">
      <w:pPr>
        <w:widowControl w:val="0"/>
        <w:shd w:val="clear" w:color="auto" w:fill="auto"/>
        <w:rPr>
          <w:color w:val="000000"/>
        </w:rPr>
      </w:pPr>
      <w:r>
        <w:rPr>
          <w:color w:val="000000"/>
        </w:rPr>
        <w:t xml:space="preserve">Consequently, stakeholder engagement has also evolved from a communication function into a strategic capability that enhances the legitimacy of the organisation. It also helps in reinforcing consumer trust through greater accountability and shared value creation. Again, </w:t>
      </w:r>
      <w:r>
        <w:rPr>
          <w:color w:val="000000"/>
        </w:rPr>
        <w:lastRenderedPageBreak/>
        <w:t>literature consistently demonstrates that customer engagement positively influences trust when supported with transparent governance structures. In Abdulaziz Alhumud et al., (2024), it is seen that the disclosure of CSR actions in terms of environmental protection, employees, consumers and communities through digital media strongly increases consumer trust, which in turn increases consumer engagement. It is said in the study that it helps to assess the responsibilities of an organization more effectively.</w:t>
      </w:r>
    </w:p>
    <w:p w:rsidR="007E7629" w:rsidRDefault="003E360F">
      <w:pPr>
        <w:widowControl w:val="0"/>
        <w:shd w:val="clear" w:color="auto" w:fill="auto"/>
        <w:rPr>
          <w:color w:val="000000"/>
        </w:rPr>
      </w:pPr>
      <w:r>
        <w:rPr>
          <w:color w:val="000000"/>
        </w:rPr>
        <w:t xml:space="preserve">It has also been shown by Anisimova and Vrontis (2024), that the trust in the food chain, mostly from farmers and retailers, helps in creating a strong link between the sustainability motive of consumers and their intentions to buy sustainable food products. Existing research shows that consumer engagement strategies work effectively with trustworthy relations between consumers and food supply chains. It is clear that consumer engagement and governance operate synergistically, with trustworthy institutions increasing consumers’ confidence in sustainable food choices, highlighting the importance of collaborative governance involving producers, retailers and policymakers in strengthening ESG credibility. </w:t>
      </w:r>
    </w:p>
    <w:p w:rsidR="007E7629" w:rsidRDefault="003E360F">
      <w:pPr>
        <w:widowControl w:val="0"/>
        <w:shd w:val="clear" w:color="auto" w:fill="auto"/>
        <w:rPr>
          <w:color w:val="000000"/>
        </w:rPr>
      </w:pPr>
      <w:r>
        <w:rPr>
          <w:color w:val="000000"/>
        </w:rPr>
        <w:t xml:space="preserve">This relationship is relevant to the UK because governance can determine whether customer participation produces meaningful organisational accountability or remains symbolic. The Food Data Transparency Partnership of the UK government has brought together government, industry, academics and civil society for improving the availability and consistency of information about the food system (GOV.UK, 2022). Such multi-stakeholder arrangements demonstrate that effective ESG governance increasingly requires consumers and wider stakeholders to have opportunities to influence how the sustainability information is generated and assessed, rather than simply receiving the completed corporate claims. This strengthens the interpretation that engagement can improve trust when participation is connected to observable organisational responsiveness. </w:t>
      </w:r>
    </w:p>
    <w:p w:rsidR="007E7629" w:rsidRDefault="003E360F">
      <w:pPr>
        <w:widowControl w:val="0"/>
        <w:shd w:val="clear" w:color="auto" w:fill="auto"/>
        <w:rPr>
          <w:color w:val="000000"/>
        </w:rPr>
      </w:pPr>
      <w:r>
        <w:rPr>
          <w:color w:val="000000"/>
        </w:rPr>
        <w:t xml:space="preserve">Literature like that by Wang, Marhfor and M'zali (2025) has given context regarding the challenges and the overall efficiency of customer engagement strategies. While businesses highly encourage stakeholder participation through sustainability campaigns, digital platforms and ESG disclosures, engagement of the consumers does not necessarily translate into trust when the governance mechanisms lack transparency and consistency. The research by Yáñez Serrano, Argüelles Ramos and Prause (2026), on consumer intentions for purchasing sustainable food clearly demonstrates that epistemic trust depends highly on the perceived credibility of scientific evidence and the transparency of the business, while scepticism about climate change weakens the confidence of consumers and their purchase intentions. </w:t>
      </w:r>
    </w:p>
    <w:p w:rsidR="007E7629" w:rsidRDefault="003E360F">
      <w:pPr>
        <w:widowControl w:val="0"/>
        <w:shd w:val="clear" w:color="auto" w:fill="auto"/>
        <w:rPr>
          <w:color w:val="000000"/>
        </w:rPr>
      </w:pPr>
      <w:r>
        <w:rPr>
          <w:color w:val="000000"/>
        </w:rPr>
        <w:t xml:space="preserve">The evidence from existing studies suggest that consumer engagement is insufficient for </w:t>
      </w:r>
      <w:r>
        <w:rPr>
          <w:color w:val="000000"/>
        </w:rPr>
        <w:lastRenderedPageBreak/>
        <w:t xml:space="preserve">overcoming distrust if governance systems fail to provide credible sustainability information based on evidence. The consumer trust model could be further applied to draw a more appropriate context for this finding because customer engagement is incapable of creating trust automatically (Tuti and Sulistia, 2022). It strengthens trust when the organisational behaviour tends to demonstrate credibility, reliability, integrity and responsiveness. Customer participation can provide opportunities for consumers to question the ESG claims and observe the organisational responses. Again, supportive governance provides the institutional mechanisms through which the responses can be verified. Consequently, governance acts as the structural foundation while engagement provides the relational mechanism through which trust is developed and maintained.  </w:t>
      </w:r>
    </w:p>
    <w:p w:rsidR="007E7629" w:rsidRDefault="007E7629">
      <w:pPr>
        <w:widowControl w:val="0"/>
        <w:shd w:val="clear" w:color="auto" w:fill="auto"/>
        <w:rPr>
          <w:color w:val="000000"/>
        </w:rPr>
      </w:pPr>
    </w:p>
    <w:p w:rsidR="007E7629" w:rsidRDefault="003E360F">
      <w:pPr>
        <w:widowControl w:val="0"/>
        <w:shd w:val="clear" w:color="auto" w:fill="auto"/>
        <w:rPr>
          <w:color w:val="000000"/>
        </w:rPr>
      </w:pPr>
      <w:r>
        <w:rPr>
          <w:color w:val="000000"/>
        </w:rPr>
        <w:t xml:space="preserve">The scholars have argued that supportive governance extends beyond organisational communication to include independent oversight, stakeholder participation and standardised ESG reporting. Reviewing the evidence from the studies has identified the limited empirical evidence from the UK food industry on the role of governance quality in shaping long-term customer relationships. Although customer engagement and supportive governance are recognised to be vital drivers of ESG trustworthiness, it is still essential for longitudinal and sector-specific research to determine the role of participatory governance and continuous stakeholder collaborating contributing to sustain customer trust towards the food brands. Therefore, the subtheme directly supports research objective 4 by identifying meaningful customer participation, responsive governance, independent oversight and evidence-based decision-making. It also contributes to the research question by demonstrating that ESG initiatives are more likely to generate sustained customer trust with active engagement and governance.  </w:t>
      </w:r>
    </w:p>
    <w:p w:rsidR="007E7629" w:rsidRDefault="007E7629"/>
    <w:p w:rsidR="007E7629" w:rsidRDefault="003E360F">
      <w:pPr>
        <w:pStyle w:val="Heading2"/>
      </w:pPr>
      <w:bookmarkStart w:id="54" w:name="_Toc238235521"/>
      <w:r>
        <w:t>3.4 Relations to literature</w:t>
      </w:r>
      <w:bookmarkEnd w:id="54"/>
    </w:p>
    <w:p w:rsidR="007E7629" w:rsidRDefault="003E360F">
      <w:r>
        <w:t xml:space="preserve">The findings and discussion have clearly demonstrated strong alignment with the existing literature on ESG implementation along with customer trust in the food industry. Consistent with recent studies between 2021 and 2026, the findings and discussion confirm that authentic ESG initiatives positively influence organisational credibility, consumer trust and sustainable purchasing behaviour. The evidence reveals the contradictions within the literature mainly regarding the effectiveness of ESG communication along with sustainability reporting. </w:t>
      </w:r>
    </w:p>
    <w:p w:rsidR="007E7629" w:rsidRDefault="003E360F">
      <w:r>
        <w:t xml:space="preserve">While transparent disclosures enhance trust, inconsistent reporting standards along with greenwashing reduce the confidence of consumers. Furthermore, the evidence identifies the </w:t>
      </w:r>
      <w:r>
        <w:lastRenderedPageBreak/>
        <w:t xml:space="preserve">growing consensus that stakeholder engagement, governance quality and even third-party verification are vital for transforming ESG commitments into long-term customer trust within the UK and the global food industry.  </w:t>
      </w:r>
    </w:p>
    <w:p w:rsidR="007E7629" w:rsidRDefault="003E360F">
      <w:pPr>
        <w:pStyle w:val="Heading2"/>
      </w:pPr>
      <w:bookmarkStart w:id="55" w:name="_Toc238235522"/>
      <w:r>
        <w:t>3.5 Conceptual framework</w:t>
      </w:r>
      <w:bookmarkEnd w:id="55"/>
    </w:p>
    <w:p w:rsidR="007E7629" w:rsidRDefault="003E360F" w:rsidP="00B02212">
      <w:pPr>
        <w:jc w:val="center"/>
      </w:pPr>
      <w:r>
        <w:rPr>
          <w:noProof/>
        </w:rPr>
        <w:drawing>
          <wp:inline distT="114300" distB="114300" distL="114300" distR="114300">
            <wp:extent cx="5178263" cy="5289081"/>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178263" cy="5289081"/>
                    </a:xfrm>
                    <a:prstGeom prst="rect">
                      <a:avLst/>
                    </a:prstGeom>
                    <a:ln/>
                  </pic:spPr>
                </pic:pic>
              </a:graphicData>
            </a:graphic>
          </wp:inline>
        </w:drawing>
      </w:r>
      <w:bookmarkStart w:id="56" w:name="_heading=h.707l71g31lbi" w:colFirst="0" w:colLast="0"/>
      <w:bookmarkEnd w:id="56"/>
    </w:p>
    <w:p w:rsidR="00B02212" w:rsidRDefault="00B02212" w:rsidP="00B02212">
      <w:pPr>
        <w:pStyle w:val="Caption"/>
        <w:jc w:val="center"/>
      </w:pPr>
      <w:bookmarkStart w:id="57" w:name="_Toc237861942"/>
      <w:r>
        <w:t xml:space="preserve">Figure </w:t>
      </w:r>
      <w:r w:rsidR="00FB5D41">
        <w:fldChar w:fldCharType="begin"/>
      </w:r>
      <w:r w:rsidR="00FB5D41">
        <w:instrText xml:space="preserve"> SEQ Figure \* ARABIC </w:instrText>
      </w:r>
      <w:r w:rsidR="00FB5D41">
        <w:fldChar w:fldCharType="separate"/>
      </w:r>
      <w:r>
        <w:rPr>
          <w:noProof/>
        </w:rPr>
        <w:t>3</w:t>
      </w:r>
      <w:r w:rsidR="00FB5D41">
        <w:rPr>
          <w:noProof/>
        </w:rPr>
        <w:fldChar w:fldCharType="end"/>
      </w:r>
      <w:r>
        <w:t xml:space="preserve">: </w:t>
      </w:r>
      <w:r w:rsidRPr="00002177">
        <w:t>Conceptual Framework</w:t>
      </w:r>
      <w:bookmarkEnd w:id="57"/>
    </w:p>
    <w:p w:rsidR="007E7629" w:rsidRDefault="003E360F">
      <w:pPr>
        <w:jc w:val="center"/>
      </w:pPr>
      <w:r>
        <w:t>(Self-created)</w:t>
      </w:r>
    </w:p>
    <w:p w:rsidR="007E7629" w:rsidRDefault="003E360F">
      <w:r>
        <w:t xml:space="preserve">The conceptual framework has been framed based on the evidence from the selected sources. The framework has reflected the findings of the review, where the ESG initiatives are the independent variable, and ESG credibility, transparency, stakeholder engagement, organisational credibility, consumer perceptions and organisational challenges such as greenwashing and insufficient transparency function as mediating variables. Customer trust is the dependent variable, along with the expected outcomes enhancing purchase intention, loyalty, customer satisfaction and brand reputation with positive promotions and long-term </w:t>
      </w:r>
      <w:r>
        <w:lastRenderedPageBreak/>
        <w:t xml:space="preserve">relationships. The conceptual framework is appropriate for guiding the overall outlook of the study along with reflecting the knowledge from the evidence. </w:t>
      </w:r>
    </w:p>
    <w:p w:rsidR="007E7629" w:rsidRDefault="007E7629">
      <w:pPr>
        <w:jc w:val="left"/>
      </w:pPr>
    </w:p>
    <w:p w:rsidR="007E7629" w:rsidRDefault="003E360F">
      <w:pPr>
        <w:pStyle w:val="Heading2"/>
      </w:pPr>
      <w:bookmarkStart w:id="58" w:name="_Toc238235523"/>
      <w:r>
        <w:t>3.6 Marginal implications</w:t>
      </w:r>
      <w:bookmarkEnd w:id="58"/>
    </w:p>
    <w:p w:rsidR="007E7629" w:rsidRDefault="003E360F">
      <w:pPr>
        <w:rPr>
          <w:color w:val="FF0000"/>
          <w:highlight w:val="yellow"/>
        </w:rPr>
      </w:pPr>
      <w:r>
        <w:rPr>
          <w:color w:val="000000"/>
        </w:rPr>
        <w:t xml:space="preserve">The evidence has clearly suggested managerial implications in the case of the food industry that require prioritising authentic ESG implementation rather than relying on symbolic sustainability claims. Organisations need to strengthen transparency by standardising ESG reporting, independent verification, along with digital traceability systems for improving customer confidence. It is evident from the knowledge provided by Alhumud </w:t>
      </w:r>
      <w:r>
        <w:rPr>
          <w:i/>
          <w:iCs/>
          <w:color w:val="000000"/>
        </w:rPr>
        <w:t>et al</w:t>
      </w:r>
      <w:r>
        <w:rPr>
          <w:color w:val="000000"/>
        </w:rPr>
        <w:t xml:space="preserve">., (2024) and Anisimova and Vrontis (2024) that managers need to integrate the ESG objectives into strategic decision-making while engaging the consumers, suppliers and regulatory stakeholders throughout the value chain. Sustainable packaging and responsible governance need to be supported by efficient investment to ensure greater organisational credibility and consumer trust. </w:t>
      </w:r>
    </w:p>
    <w:p w:rsidR="007E7629" w:rsidRDefault="007E7629">
      <w:pPr>
        <w:rPr>
          <w:color w:val="000000"/>
        </w:rPr>
      </w:pPr>
    </w:p>
    <w:p w:rsidR="007E7629" w:rsidRDefault="003E360F">
      <w:pPr>
        <w:pStyle w:val="Heading2"/>
      </w:pPr>
      <w:bookmarkStart w:id="59" w:name="_Toc238235524"/>
      <w:r>
        <w:t>3.7 Evidence synthesis</w:t>
      </w:r>
      <w:bookmarkEnd w:id="59"/>
      <w:r>
        <w:t xml:space="preserve"> </w:t>
      </w:r>
    </w:p>
    <w:tbl>
      <w:tblPr>
        <w:tblStyle w:val="ac"/>
        <w:tblW w:w="89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6"/>
        <w:gridCol w:w="2490"/>
        <w:gridCol w:w="1865"/>
        <w:gridCol w:w="2934"/>
      </w:tblGrid>
      <w:tr w:rsidR="007E7629">
        <w:trPr>
          <w:jc w:val="center"/>
        </w:trPr>
        <w:tc>
          <w:tcPr>
            <w:tcW w:w="1696"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rPr>
                <w:b/>
                <w:bCs/>
              </w:rPr>
            </w:pPr>
            <w:r>
              <w:rPr>
                <w:b/>
                <w:bCs/>
              </w:rPr>
              <w:t xml:space="preserve">Themes </w:t>
            </w:r>
          </w:p>
        </w:tc>
        <w:tc>
          <w:tcPr>
            <w:tcW w:w="2490"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rPr>
                <w:b/>
                <w:bCs/>
              </w:rPr>
            </w:pPr>
            <w:r>
              <w:rPr>
                <w:b/>
                <w:bCs/>
              </w:rPr>
              <w:t xml:space="preserve">Studies supporting the findings </w:t>
            </w:r>
          </w:p>
        </w:tc>
        <w:tc>
          <w:tcPr>
            <w:tcW w:w="1865"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rPr>
                <w:b/>
                <w:bCs/>
              </w:rPr>
            </w:pPr>
            <w:r>
              <w:rPr>
                <w:b/>
                <w:bCs/>
              </w:rPr>
              <w:t xml:space="preserve">Contradictory/qualifying evidence </w:t>
            </w:r>
          </w:p>
        </w:tc>
        <w:tc>
          <w:tcPr>
            <w:tcW w:w="2934"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rPr>
                <w:b/>
                <w:bCs/>
              </w:rPr>
            </w:pPr>
            <w:r>
              <w:rPr>
                <w:b/>
                <w:bCs/>
              </w:rPr>
              <w:t xml:space="preserve">Overall synthesis </w:t>
            </w:r>
          </w:p>
        </w:tc>
      </w:tr>
      <w:tr w:rsidR="007E7629">
        <w:trPr>
          <w:jc w:val="center"/>
        </w:trPr>
        <w:tc>
          <w:tcPr>
            <w:tcW w:w="1696" w:type="dxa"/>
            <w:shd w:val="clear" w:color="auto" w:fill="auto"/>
            <w:tcMar>
              <w:top w:w="100" w:type="dxa"/>
              <w:left w:w="100" w:type="dxa"/>
              <w:bottom w:w="100" w:type="dxa"/>
              <w:right w:w="100" w:type="dxa"/>
            </w:tcMar>
          </w:tcPr>
          <w:p w:rsidR="007E7629" w:rsidRDefault="003E360F">
            <w:pPr>
              <w:jc w:val="left"/>
            </w:pPr>
            <w:r>
              <w:t xml:space="preserve">Theme 1: ESG initiatives have become a strategic priority for promoting sustainability in the food industry </w:t>
            </w:r>
          </w:p>
        </w:tc>
        <w:tc>
          <w:tcPr>
            <w:tcW w:w="2490"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Said </w:t>
            </w:r>
            <w:r>
              <w:rPr>
                <w:i/>
                <w:iCs/>
              </w:rPr>
              <w:t>et al</w:t>
            </w:r>
            <w:r>
              <w:t xml:space="preserve">., (2025); Ungemach </w:t>
            </w:r>
            <w:r>
              <w:rPr>
                <w:i/>
                <w:iCs/>
              </w:rPr>
              <w:t>et al</w:t>
            </w:r>
            <w:r>
              <w:t xml:space="preserve">., (2026); Osei </w:t>
            </w:r>
            <w:r>
              <w:rPr>
                <w:i/>
                <w:iCs/>
              </w:rPr>
              <w:t>et al</w:t>
            </w:r>
            <w:r>
              <w:t xml:space="preserve">., (2023); Saha </w:t>
            </w:r>
            <w:r>
              <w:rPr>
                <w:i/>
                <w:iCs/>
              </w:rPr>
              <w:t>et al</w:t>
            </w:r>
            <w:r>
              <w:t xml:space="preserve">., (2025); Deprá </w:t>
            </w:r>
            <w:r>
              <w:rPr>
                <w:i/>
                <w:iCs/>
              </w:rPr>
              <w:t>et al</w:t>
            </w:r>
            <w:r>
              <w:t xml:space="preserve">., (2022); Lehtokunnas </w:t>
            </w:r>
            <w:r>
              <w:rPr>
                <w:i/>
                <w:iCs/>
              </w:rPr>
              <w:t>et al</w:t>
            </w:r>
            <w:r>
              <w:t xml:space="preserve">., (2022); Truant </w:t>
            </w:r>
            <w:r>
              <w:rPr>
                <w:i/>
                <w:iCs/>
              </w:rPr>
              <w:t>et al</w:t>
            </w:r>
            <w:r>
              <w:t xml:space="preserve">., (2023); Lee and Hammant (2023); Dhaigude, Chatterjee and Kamath, (2025); Manning </w:t>
            </w:r>
            <w:r>
              <w:rPr>
                <w:i/>
                <w:iCs/>
              </w:rPr>
              <w:t>et al</w:t>
            </w:r>
            <w:r>
              <w:t xml:space="preserve">., (2022); Zong </w:t>
            </w:r>
            <w:r>
              <w:rPr>
                <w:i/>
                <w:iCs/>
              </w:rPr>
              <w:t>et al</w:t>
            </w:r>
            <w:r>
              <w:t xml:space="preserve">., (2024) </w:t>
            </w:r>
          </w:p>
        </w:tc>
        <w:tc>
          <w:tcPr>
            <w:tcW w:w="1865"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Kapoor et al. (2025); Conversano, Samoggia and Benussi (2026); Sneideriene and Legenzova (2025); Zeng and Wan (2024); Wu, Zhu and Cheng (2022); Shi, W., Zhou, C., and Wang, X. (2026)</w:t>
            </w:r>
          </w:p>
        </w:tc>
        <w:tc>
          <w:tcPr>
            <w:tcW w:w="2934"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Value of ESG has moved beyond a narrow CSR orientation towards a broader strategic concern while demonstrating strategic implementation depends on organisational governance </w:t>
            </w:r>
          </w:p>
        </w:tc>
      </w:tr>
      <w:tr w:rsidR="007E7629">
        <w:trPr>
          <w:jc w:val="center"/>
        </w:trPr>
        <w:tc>
          <w:tcPr>
            <w:tcW w:w="1696" w:type="dxa"/>
            <w:shd w:val="clear" w:color="auto" w:fill="auto"/>
            <w:tcMar>
              <w:top w:w="100" w:type="dxa"/>
              <w:left w:w="100" w:type="dxa"/>
              <w:bottom w:w="100" w:type="dxa"/>
              <w:right w:w="100" w:type="dxa"/>
            </w:tcMar>
          </w:tcPr>
          <w:p w:rsidR="007E7629" w:rsidRDefault="003E360F">
            <w:pPr>
              <w:shd w:val="clear" w:color="auto" w:fill="auto"/>
              <w:jc w:val="left"/>
              <w:rPr>
                <w:color w:val="000000"/>
              </w:rPr>
            </w:pPr>
            <w:r>
              <w:rPr>
                <w:color w:val="000000"/>
              </w:rPr>
              <w:t xml:space="preserve">Theme 2: Effective initiatives of ESG positively </w:t>
            </w:r>
            <w:r>
              <w:rPr>
                <w:color w:val="000000"/>
              </w:rPr>
              <w:lastRenderedPageBreak/>
              <w:t xml:space="preserve">influence customer trust in the food industry  </w:t>
            </w:r>
          </w:p>
        </w:tc>
        <w:tc>
          <w:tcPr>
            <w:tcW w:w="2490"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lastRenderedPageBreak/>
              <w:t xml:space="preserve">Duckworth </w:t>
            </w:r>
            <w:r>
              <w:rPr>
                <w:i/>
                <w:iCs/>
              </w:rPr>
              <w:t>et al</w:t>
            </w:r>
            <w:r>
              <w:t xml:space="preserve">., (2022); Macready </w:t>
            </w:r>
            <w:r>
              <w:rPr>
                <w:i/>
                <w:iCs/>
              </w:rPr>
              <w:t>et al</w:t>
            </w:r>
            <w:r>
              <w:t xml:space="preserve">., (2025); Ngo </w:t>
            </w:r>
            <w:r>
              <w:rPr>
                <w:i/>
                <w:iCs/>
              </w:rPr>
              <w:t>et al</w:t>
            </w:r>
            <w:r>
              <w:t xml:space="preserve">., (2026);  Phan </w:t>
            </w:r>
            <w:r>
              <w:rPr>
                <w:i/>
                <w:iCs/>
              </w:rPr>
              <w:t>et al</w:t>
            </w:r>
            <w:r>
              <w:t xml:space="preserve">., (2026); Doanh </w:t>
            </w:r>
            <w:r>
              <w:rPr>
                <w:i/>
                <w:iCs/>
              </w:rPr>
              <w:t>et al</w:t>
            </w:r>
            <w:r>
              <w:t xml:space="preserve">., (2025); Truong </w:t>
            </w:r>
            <w:r>
              <w:rPr>
                <w:i/>
                <w:iCs/>
              </w:rPr>
              <w:t>et al</w:t>
            </w:r>
            <w:r>
              <w:t xml:space="preserve">., (2026); Ketkaew and </w:t>
            </w:r>
            <w:r>
              <w:lastRenderedPageBreak/>
              <w:t xml:space="preserve">Komsing (2025); </w:t>
            </w:r>
            <w:r>
              <w:rPr>
                <w:color w:val="000000"/>
              </w:rPr>
              <w:t xml:space="preserve">Hashim, Tan and Zheng (2025); </w:t>
            </w:r>
            <w:r>
              <w:t xml:space="preserve">Sañosa, Gumacial and Yamagishi (2026); </w:t>
            </w:r>
            <w:r>
              <w:rPr>
                <w:color w:val="000000"/>
              </w:rPr>
              <w:t>Ruan, Yang and Dong (2024)</w:t>
            </w:r>
          </w:p>
        </w:tc>
        <w:tc>
          <w:tcPr>
            <w:tcW w:w="1865" w:type="dxa"/>
            <w:shd w:val="clear" w:color="auto" w:fill="auto"/>
            <w:tcMar>
              <w:top w:w="100" w:type="dxa"/>
              <w:left w:w="100" w:type="dxa"/>
              <w:bottom w:w="100" w:type="dxa"/>
              <w:right w:w="100" w:type="dxa"/>
            </w:tcMar>
          </w:tcPr>
          <w:p w:rsidR="007E7629" w:rsidRDefault="003E360F">
            <w:pPr>
              <w:widowControl w:val="0"/>
              <w:shd w:val="clear" w:color="auto" w:fill="auto"/>
              <w:jc w:val="left"/>
            </w:pPr>
            <w:r>
              <w:rPr>
                <w:color w:val="000000"/>
              </w:rPr>
              <w:lastRenderedPageBreak/>
              <w:t xml:space="preserve">Lee, Young and Barkemeyer (2025); Keaney </w:t>
            </w:r>
            <w:r>
              <w:rPr>
                <w:i/>
                <w:iCs/>
                <w:color w:val="000000"/>
              </w:rPr>
              <w:t>et al</w:t>
            </w:r>
            <w:r>
              <w:rPr>
                <w:color w:val="000000"/>
              </w:rPr>
              <w:t xml:space="preserve">., (2026) </w:t>
            </w:r>
          </w:p>
        </w:tc>
        <w:tc>
          <w:tcPr>
            <w:tcW w:w="2934"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Effective ESG initiatives strengthen customer trust when sustainability claims are credible, information and verifiable, but affordability, knowledge and actual environmental </w:t>
            </w:r>
            <w:r>
              <w:lastRenderedPageBreak/>
              <w:t xml:space="preserve">performance condition behavioural outcomes </w:t>
            </w:r>
          </w:p>
        </w:tc>
      </w:tr>
      <w:tr w:rsidR="007E7629">
        <w:trPr>
          <w:jc w:val="center"/>
        </w:trPr>
        <w:tc>
          <w:tcPr>
            <w:tcW w:w="1696" w:type="dxa"/>
            <w:shd w:val="clear" w:color="auto" w:fill="auto"/>
            <w:tcMar>
              <w:top w:w="100" w:type="dxa"/>
              <w:left w:w="100" w:type="dxa"/>
              <w:bottom w:w="100" w:type="dxa"/>
              <w:right w:w="100" w:type="dxa"/>
            </w:tcMar>
          </w:tcPr>
          <w:p w:rsidR="007E7629" w:rsidRDefault="003E360F">
            <w:pPr>
              <w:spacing w:line="240" w:lineRule="auto"/>
            </w:pPr>
            <w:r>
              <w:lastRenderedPageBreak/>
              <w:t>Theme 3: Challenges in the ESG initiatives in limit the development of customer trust</w:t>
            </w:r>
          </w:p>
        </w:tc>
        <w:tc>
          <w:tcPr>
            <w:tcW w:w="2490"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Patel </w:t>
            </w:r>
            <w:r>
              <w:rPr>
                <w:i/>
                <w:iCs/>
              </w:rPr>
              <w:t>et al</w:t>
            </w:r>
            <w:r>
              <w:t xml:space="preserve">., (2021); Gerassimidou </w:t>
            </w:r>
            <w:r>
              <w:rPr>
                <w:i/>
                <w:iCs/>
              </w:rPr>
              <w:t>et al</w:t>
            </w:r>
            <w:r>
              <w:t xml:space="preserve">., (2022); Rana </w:t>
            </w:r>
            <w:r>
              <w:rPr>
                <w:i/>
                <w:iCs/>
              </w:rPr>
              <w:t>et al</w:t>
            </w:r>
            <w:r>
              <w:t xml:space="preserve">., (2026); Boller </w:t>
            </w:r>
            <w:r>
              <w:rPr>
                <w:i/>
                <w:iCs/>
              </w:rPr>
              <w:t>et al</w:t>
            </w:r>
            <w:r>
              <w:t xml:space="preserve">., (2026); Nugraha </w:t>
            </w:r>
            <w:r>
              <w:rPr>
                <w:i/>
                <w:iCs/>
              </w:rPr>
              <w:t>et al</w:t>
            </w:r>
            <w:r>
              <w:t xml:space="preserve">., (2024); Vangeli </w:t>
            </w:r>
            <w:r>
              <w:rPr>
                <w:i/>
                <w:iCs/>
              </w:rPr>
              <w:t>et al</w:t>
            </w:r>
            <w:r>
              <w:t xml:space="preserve">., (2023); Inês, </w:t>
            </w:r>
            <w:r>
              <w:rPr>
                <w:color w:val="000000"/>
              </w:rPr>
              <w:t>Diniz and Moreira,</w:t>
            </w:r>
            <w:r>
              <w:t xml:space="preserve"> (2023); Foden </w:t>
            </w:r>
            <w:r>
              <w:rPr>
                <w:i/>
                <w:iCs/>
              </w:rPr>
              <w:t>et al</w:t>
            </w:r>
            <w:r>
              <w:t xml:space="preserve">., (2022); Rossi and Rivetti (2022) </w:t>
            </w:r>
          </w:p>
        </w:tc>
        <w:tc>
          <w:tcPr>
            <w:tcW w:w="1865"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Nazari and Poursoleyman (2025); Wahyuningrum </w:t>
            </w:r>
            <w:r>
              <w:rPr>
                <w:i/>
                <w:iCs/>
              </w:rPr>
              <w:t>et al</w:t>
            </w:r>
            <w:r>
              <w:t xml:space="preserve">., (2025) </w:t>
            </w:r>
          </w:p>
        </w:tc>
        <w:tc>
          <w:tcPr>
            <w:tcW w:w="2934"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Organisational fragmentation, greenwashing, weak disclosure, inconsistent certification and economic constraints can undermine ESG credibility, while verified information and effective governance can reduce consumer scepticism and strengthen trust </w:t>
            </w:r>
          </w:p>
        </w:tc>
      </w:tr>
      <w:tr w:rsidR="007E7629">
        <w:trPr>
          <w:jc w:val="center"/>
        </w:trPr>
        <w:tc>
          <w:tcPr>
            <w:tcW w:w="1696" w:type="dxa"/>
            <w:shd w:val="clear" w:color="auto" w:fill="auto"/>
            <w:tcMar>
              <w:top w:w="100" w:type="dxa"/>
              <w:left w:w="100" w:type="dxa"/>
              <w:bottom w:w="100" w:type="dxa"/>
              <w:right w:w="100" w:type="dxa"/>
            </w:tcMar>
          </w:tcPr>
          <w:p w:rsidR="007E7629" w:rsidRDefault="003E360F">
            <w:pPr>
              <w:shd w:val="clear" w:color="auto" w:fill="auto"/>
              <w:jc w:val="left"/>
              <w:rPr>
                <w:color w:val="000000"/>
              </w:rPr>
            </w:pPr>
            <w:r>
              <w:rPr>
                <w:color w:val="000000"/>
              </w:rPr>
              <w:t xml:space="preserve">Theme 4: Strengthening ESG implementation requires authentic organisational commitment and stakeholder engagement </w:t>
            </w:r>
          </w:p>
        </w:tc>
        <w:tc>
          <w:tcPr>
            <w:tcW w:w="2490"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 xml:space="preserve">Van Quang and Thi Van (2025); St. Clair and Sharmina (2026); Agarwal et al. (2025); McGrath </w:t>
            </w:r>
            <w:r>
              <w:rPr>
                <w:i/>
                <w:iCs/>
              </w:rPr>
              <w:t>et al</w:t>
            </w:r>
            <w:r>
              <w:t xml:space="preserve">., (2021); Kim and Kim (2026); Khamisu and Paluri (2024); Abdulaziz Alhumud </w:t>
            </w:r>
            <w:r>
              <w:rPr>
                <w:i/>
                <w:iCs/>
              </w:rPr>
              <w:t>et al</w:t>
            </w:r>
            <w:r>
              <w:t xml:space="preserve">., (2024); Anisimova and Vrontis (2024) </w:t>
            </w:r>
          </w:p>
        </w:tc>
        <w:tc>
          <w:tcPr>
            <w:tcW w:w="1865" w:type="dxa"/>
            <w:shd w:val="clear" w:color="auto" w:fill="auto"/>
            <w:tcMar>
              <w:top w:w="100" w:type="dxa"/>
              <w:left w:w="100" w:type="dxa"/>
              <w:bottom w:w="100" w:type="dxa"/>
              <w:right w:w="100" w:type="dxa"/>
            </w:tcMar>
          </w:tcPr>
          <w:p w:rsidR="007E7629" w:rsidRDefault="003E360F">
            <w:pPr>
              <w:widowControl w:val="0"/>
              <w:shd w:val="clear" w:color="auto" w:fill="auto"/>
              <w:jc w:val="left"/>
            </w:pPr>
            <w:r>
              <w:rPr>
                <w:color w:val="000000"/>
              </w:rPr>
              <w:t>Wang, Marhfor and M'zali (2025); Yáñez Serrano, Argüelles Ramos and Prause (2026)</w:t>
            </w:r>
          </w:p>
        </w:tc>
        <w:tc>
          <w:tcPr>
            <w:tcW w:w="2934" w:type="dxa"/>
            <w:shd w:val="clear" w:color="auto" w:fill="auto"/>
            <w:tcMar>
              <w:top w:w="100" w:type="dxa"/>
              <w:left w:w="100" w:type="dxa"/>
              <w:bottom w:w="100" w:type="dxa"/>
              <w:right w:w="100" w:type="dxa"/>
            </w:tcMar>
          </w:tcPr>
          <w:p w:rsidR="007E7629" w:rsidRDefault="003E360F">
            <w:pPr>
              <w:widowControl w:val="0"/>
              <w:pBdr>
                <w:top w:val="nil"/>
                <w:left w:val="nil"/>
                <w:bottom w:val="nil"/>
                <w:right w:val="nil"/>
                <w:between w:val="nil"/>
              </w:pBdr>
              <w:shd w:val="clear" w:color="auto" w:fill="auto"/>
              <w:spacing w:line="240" w:lineRule="auto"/>
              <w:jc w:val="left"/>
            </w:pPr>
            <w:r>
              <w:t>Authentic ESG implementation strengthens trust when organisational commitment, transparent governance, stakeholder engagement and supply-chain integration produce credible and consistent demonstration of sustainable performance</w:t>
            </w:r>
          </w:p>
        </w:tc>
      </w:tr>
    </w:tbl>
    <w:p w:rsidR="007E7629" w:rsidRDefault="00B02212" w:rsidP="00B02212">
      <w:pPr>
        <w:pStyle w:val="Caption"/>
        <w:jc w:val="center"/>
      </w:pPr>
      <w:bookmarkStart w:id="60" w:name="_heading=h.776n2eqy9wy5" w:colFirst="0" w:colLast="0"/>
      <w:bookmarkStart w:id="61" w:name="_Toc237861956"/>
      <w:bookmarkEnd w:id="60"/>
      <w:r>
        <w:t xml:space="preserve">Table </w:t>
      </w:r>
      <w:r w:rsidR="00FB5D41">
        <w:fldChar w:fldCharType="begin"/>
      </w:r>
      <w:r w:rsidR="00FB5D41">
        <w:instrText xml:space="preserve"> SEQ Table \* ARABIC </w:instrText>
      </w:r>
      <w:r w:rsidR="00FB5D41">
        <w:fldChar w:fldCharType="separate"/>
      </w:r>
      <w:r>
        <w:rPr>
          <w:noProof/>
        </w:rPr>
        <w:t>5</w:t>
      </w:r>
      <w:r w:rsidR="00FB5D41">
        <w:rPr>
          <w:noProof/>
        </w:rPr>
        <w:fldChar w:fldCharType="end"/>
      </w:r>
      <w:r>
        <w:t xml:space="preserve">: </w:t>
      </w:r>
      <w:r w:rsidRPr="001A0AB9">
        <w:t>Synthesis of findings across the selected studies</w:t>
      </w:r>
      <w:bookmarkEnd w:id="61"/>
    </w:p>
    <w:p w:rsidR="007E7629" w:rsidRDefault="003E360F">
      <w:pPr>
        <w:shd w:val="clear" w:color="auto" w:fill="auto"/>
        <w:jc w:val="center"/>
        <w:rPr>
          <w:color w:val="000000"/>
        </w:rPr>
      </w:pPr>
      <w:r>
        <w:rPr>
          <w:color w:val="000000"/>
        </w:rPr>
        <w:t>(Source: Self-Created)</w:t>
      </w:r>
    </w:p>
    <w:p w:rsidR="007E7629" w:rsidRDefault="007E7629">
      <w:pPr>
        <w:shd w:val="clear" w:color="auto" w:fill="auto"/>
        <w:jc w:val="left"/>
        <w:rPr>
          <w:color w:val="000000"/>
        </w:rPr>
      </w:pPr>
    </w:p>
    <w:p w:rsidR="007E7629" w:rsidRDefault="003E360F">
      <w:pPr>
        <w:pStyle w:val="Heading2"/>
      </w:pPr>
      <w:bookmarkStart w:id="62" w:name="_Toc238235525"/>
      <w:r>
        <w:t>3.8 Chapter summary</w:t>
      </w:r>
      <w:bookmarkEnd w:id="62"/>
    </w:p>
    <w:p w:rsidR="007E7629" w:rsidRDefault="003E360F">
      <w:pPr>
        <w:shd w:val="clear" w:color="auto" w:fill="auto"/>
      </w:pPr>
      <w:r>
        <w:t xml:space="preserve">The chapter has critically synthesised the contemporary literature on consumer trust in ESG initiatives within the food industry through four interconnected themes. The findings and discussion have demonstrated that ESG initiatives have become a strategic priority for promoting environmental sustainability, responsible governance and ethical business practices among businesses in the </w:t>
      </w:r>
      <w:r w:rsidR="00C90FE3">
        <w:t>UK</w:t>
      </w:r>
      <w:r>
        <w:t xml:space="preserve"> food industry. The review has further established credible ESG </w:t>
      </w:r>
      <w:r>
        <w:lastRenderedPageBreak/>
        <w:t xml:space="preserve">implementation to positively influence consumer trust in shaping favourable perceptions of consumers, along with encouraging behavioural outcomes like purchase intention and loyalty. Despite the efficient scholarly attention, there are significant gaps that remain in the existing study regarding the longitudinal evidence and the UK-specific research on interpreting the long-term relationships between authentic ESG implementation and customer trust. The evidence </w:t>
      </w:r>
      <w:r w:rsidR="00C90FE3">
        <w:t>has</w:t>
      </w:r>
      <w:r>
        <w:t xml:space="preserve"> provided a foundation for guiding the overall research to address the set objectives and respond to the research questions. </w:t>
      </w:r>
      <w:r>
        <w:br w:type="page"/>
      </w:r>
    </w:p>
    <w:p w:rsidR="007E7629" w:rsidRDefault="003E360F">
      <w:pPr>
        <w:pStyle w:val="Heading1"/>
      </w:pPr>
      <w:bookmarkStart w:id="63" w:name="_Toc238235526"/>
      <w:r>
        <w:lastRenderedPageBreak/>
        <w:t>Chapter 5: Conclusions And Recommendations</w:t>
      </w:r>
      <w:bookmarkEnd w:id="63"/>
    </w:p>
    <w:p w:rsidR="007E7629" w:rsidRDefault="003E360F">
      <w:pPr>
        <w:pStyle w:val="Heading2"/>
        <w:shd w:val="clear" w:color="auto" w:fill="auto"/>
        <w:rPr>
          <w:color w:val="000000"/>
        </w:rPr>
      </w:pPr>
      <w:bookmarkStart w:id="64" w:name="_Toc238235527"/>
      <w:r>
        <w:rPr>
          <w:color w:val="000000"/>
        </w:rPr>
        <w:t>5.1 Summary of main findings</w:t>
      </w:r>
      <w:bookmarkEnd w:id="64"/>
    </w:p>
    <w:p w:rsidR="007E7629" w:rsidRDefault="003E360F">
      <w:pPr>
        <w:rPr>
          <w:color w:val="000000"/>
        </w:rPr>
      </w:pPr>
      <w:r>
        <w:rPr>
          <w:color w:val="000000"/>
        </w:rPr>
        <w:t>Theme 1 provides the organisational and strategic background of the ESG implementation in food organisations, whereas Theme 2 describes the key linkage between the ESG initiatives and customer trust. Theme 3 establishes the challenges in organisation and communication, poor transparency and weak governance, that can undermine this relationship, and Theme 4 identifies the mechanisms, including authenticity, stakeholder engagement, traceability, transparent reporting and independent verification, that can strengthen it. The four themes thus have a mutual explanatory power of how ESG initiatives can affect customer trust; Theme 1 defines the organisational ground, Theme 2 defines the core relationship, Theme 3 defines what undermines that relationship, and Theme 4 defines what reinforces such a relationship. The themes offer a systematic answer to the research question and suggest that customer trust is most likely to be improved through the implementation of ESG initiatives when organisational promises are plausible, transparent, authentic and backed by verifiable evidence.</w:t>
      </w:r>
    </w:p>
    <w:p w:rsidR="007E7629" w:rsidRDefault="003E360F">
      <w:pPr>
        <w:shd w:val="clear" w:color="auto" w:fill="auto"/>
        <w:rPr>
          <w:color w:val="000000"/>
        </w:rPr>
      </w:pPr>
      <w:r>
        <w:rPr>
          <w:b/>
          <w:bCs/>
          <w:i/>
          <w:iCs/>
          <w:color w:val="000000"/>
        </w:rPr>
        <w:t>RO1: To critically evaluate the implementation and significance of ESG initiatives within the food industry</w:t>
      </w:r>
    </w:p>
    <w:p w:rsidR="007E7629" w:rsidRDefault="003E360F">
      <w:pPr>
        <w:shd w:val="clear" w:color="auto" w:fill="auto"/>
        <w:rPr>
          <w:color w:val="000000"/>
        </w:rPr>
      </w:pPr>
      <w:r>
        <w:rPr>
          <w:color w:val="000000"/>
        </w:rPr>
        <w:t>Theme 1 mostly deals with the first objective, as it critically examines the practice and value of the ESG practices in the food industry. The results show that the environment practices, such as sustainable sourcing, waste minimization and resource management are progressively combined with social and governance practices, such as ethical sourcing, labour responsibility and supply-chain accountability. But the review shows that the ESG significance lies in meaningful organisational integration as opposed to the presence of policies alone. Thus, Theme 1 sets the organisational and strategic base on which the trust of the customers may grow.</w:t>
      </w:r>
    </w:p>
    <w:p w:rsidR="007E7629" w:rsidRDefault="003E360F">
      <w:pPr>
        <w:shd w:val="clear" w:color="auto" w:fill="auto"/>
        <w:rPr>
          <w:b/>
          <w:bCs/>
          <w:i/>
          <w:iCs/>
          <w:color w:val="000000"/>
        </w:rPr>
      </w:pPr>
      <w:r>
        <w:rPr>
          <w:b/>
          <w:bCs/>
          <w:i/>
          <w:iCs/>
          <w:color w:val="000000"/>
        </w:rPr>
        <w:t xml:space="preserve">RO2: To examine the relationship between ESG initiatives and customer trust </w:t>
      </w:r>
    </w:p>
    <w:p w:rsidR="007E7629" w:rsidRDefault="003E360F">
      <w:pPr>
        <w:shd w:val="clear" w:color="auto" w:fill="auto"/>
        <w:rPr>
          <w:color w:val="000000"/>
        </w:rPr>
      </w:pPr>
      <w:r>
        <w:rPr>
          <w:color w:val="000000"/>
        </w:rPr>
        <w:t>Theme 2 is a direct response to the second objective, as it gets to know the connection between ESG initiatives and customer trust. The data indicate that plausible ESG practices can create a positive consumer image and build trust. However, this is not an automatic relationship, but one that is conditional. ESG activities can be viewed as real organisational commitment by consumers depending on transparency, credibility and authenticity. Theme 2 hence presents the best justification of the main relationship that has been investigated by the study.</w:t>
      </w:r>
    </w:p>
    <w:p w:rsidR="007E7629" w:rsidRDefault="003E360F">
      <w:pPr>
        <w:shd w:val="clear" w:color="auto" w:fill="auto"/>
        <w:rPr>
          <w:color w:val="000000"/>
        </w:rPr>
      </w:pPr>
      <w:r>
        <w:rPr>
          <w:b/>
          <w:bCs/>
          <w:i/>
          <w:iCs/>
          <w:color w:val="000000"/>
        </w:rPr>
        <w:t>RO3: To identify the challenges related to ESG dimensions and organisational practices that impact customer trust</w:t>
      </w:r>
    </w:p>
    <w:p w:rsidR="007E7629" w:rsidRDefault="003E360F">
      <w:pPr>
        <w:shd w:val="clear" w:color="auto" w:fill="auto"/>
        <w:rPr>
          <w:color w:val="000000"/>
        </w:rPr>
      </w:pPr>
      <w:r>
        <w:rPr>
          <w:color w:val="000000"/>
        </w:rPr>
        <w:lastRenderedPageBreak/>
        <w:t>Theme 3 discusses research objective 3 by defining the issues associated with the ESG dimensions and organisational practices to influence customer trust. The review found greenwashing, inconsistent reporting, poor governance, poor transparency and challenges in checking the supply-chain practices as significant hindrances. These obstacles prove that ESG initiatives may have the potential to drive adverse trust effects in cases where organisational assertions are seen as distorted, partial or not backed up by facts.</w:t>
      </w:r>
    </w:p>
    <w:p w:rsidR="007E7629" w:rsidRDefault="003E360F">
      <w:pPr>
        <w:shd w:val="clear" w:color="auto" w:fill="auto"/>
        <w:rPr>
          <w:color w:val="000000"/>
        </w:rPr>
      </w:pPr>
      <w:r>
        <w:rPr>
          <w:b/>
          <w:bCs/>
          <w:i/>
          <w:iCs/>
          <w:color w:val="000000"/>
        </w:rPr>
        <w:t>RO4: To recommend the factors that strengthen customer trust through ESG initiatives</w:t>
      </w:r>
    </w:p>
    <w:p w:rsidR="007E7629" w:rsidRDefault="003E360F">
      <w:pPr>
        <w:shd w:val="clear" w:color="auto" w:fill="auto"/>
        <w:rPr>
          <w:color w:val="000000"/>
        </w:rPr>
      </w:pPr>
      <w:r>
        <w:rPr>
          <w:color w:val="000000"/>
        </w:rPr>
        <w:t>Theme 4 mainly deals with the final objective of this study, as it proposes the essential aspects that enhance customer trust due to ESG actions. The synthesis recognises such key trust-building mechanisms as authentic implementation, stakeholder engagement, transparent communication, standardised reporting, traceability and independent verification. Instead of considering these as individual suggestions, the results show that they ought to work together to enhance ESG credibility.</w:t>
      </w:r>
    </w:p>
    <w:p w:rsidR="007E7629" w:rsidRDefault="003E360F">
      <w:pPr>
        <w:shd w:val="clear" w:color="auto" w:fill="auto"/>
        <w:rPr>
          <w:color w:val="000000"/>
        </w:rPr>
      </w:pPr>
      <w:r>
        <w:rPr>
          <w:color w:val="000000"/>
        </w:rPr>
        <w:t>Overall, theme 1 defines what ESG implementation is to food organisations, theme 2 describes how it correlates to customer trust. Additionally, theme 3 determines what can lead to the weakening of that correlation while theme 4 determines what can lead to its enhancement. All the themes offer a systematic response to the research question and prove that the concept of ESG can be used to improve customer trust in case organisational commitments are credible, transparent and performed in a genuine manner.</w:t>
      </w:r>
    </w:p>
    <w:p w:rsidR="007E7629" w:rsidRDefault="003E360F">
      <w:pPr>
        <w:pStyle w:val="Heading2"/>
        <w:shd w:val="clear" w:color="auto" w:fill="auto"/>
        <w:rPr>
          <w:color w:val="000000"/>
        </w:rPr>
      </w:pPr>
      <w:bookmarkStart w:id="65" w:name="_Toc238235528"/>
      <w:r>
        <w:rPr>
          <w:color w:val="000000"/>
        </w:rPr>
        <w:t>5.2 Conclusion based on the research question</w:t>
      </w:r>
      <w:bookmarkEnd w:id="65"/>
    </w:p>
    <w:p w:rsidR="007E7629" w:rsidRDefault="003E360F">
      <w:pPr>
        <w:shd w:val="clear" w:color="auto" w:fill="auto"/>
        <w:rPr>
          <w:b/>
          <w:bCs/>
          <w:i/>
          <w:iCs/>
          <w:color w:val="000000"/>
        </w:rPr>
      </w:pPr>
      <w:r>
        <w:rPr>
          <w:b/>
          <w:bCs/>
          <w:i/>
          <w:iCs/>
          <w:color w:val="000000"/>
        </w:rPr>
        <w:t xml:space="preserve">RQ1: What does the existing academic literature report about the influence of ESG initiatives on customer trust in the food industry? </w:t>
      </w:r>
    </w:p>
    <w:p w:rsidR="007E7629" w:rsidRDefault="003E360F">
      <w:pPr>
        <w:shd w:val="clear" w:color="auto" w:fill="auto"/>
        <w:rPr>
          <w:color w:val="000000"/>
        </w:rPr>
      </w:pPr>
      <w:r>
        <w:rPr>
          <w:color w:val="000000"/>
        </w:rPr>
        <w:t>The systematic review suggests that ESG initiatives have the potential to affect customer trust positively, and the relationships are not automatic and uniform. The key finding is the value of ESG in terms of customer trust is conditional on the customer perceptions of the organisational commitments as authentic, credible, transparent and supported by evidence. Implementation of ESG is thus the initial point and not the ultimate determinant of trust.</w:t>
      </w:r>
    </w:p>
    <w:p w:rsidR="007E7629" w:rsidRDefault="003E360F">
      <w:pPr>
        <w:shd w:val="clear" w:color="auto" w:fill="auto"/>
        <w:rPr>
          <w:color w:val="000000"/>
        </w:rPr>
      </w:pPr>
      <w:r>
        <w:rPr>
          <w:color w:val="000000"/>
        </w:rPr>
        <w:t xml:space="preserve">The results can be explained in the context of the Stakeholder Theory that places consumers as key stakeholders whose expectations organisations have to address through meaningful as opposed to symbolic practices. The review shows that stakeholder engagement is especially beneficial when organisations engage consumers, suppliers, regulators and other stakeholders in decision making and responsibility of ESG. Meanwhile, the Consumer Trust Theory can be used to understand why transparency and credibility are critical. Many of the organisational ESG activities, including responsible sourcing, labour conditions or carbon-management </w:t>
      </w:r>
      <w:r>
        <w:rPr>
          <w:color w:val="000000"/>
        </w:rPr>
        <w:lastRenderedPageBreak/>
        <w:t>processes, cannot be directly observed by consumers. They, therefore, rely on information, disclosures, certification, traceability and other signs to determine the reliability of organisational claims.</w:t>
      </w:r>
    </w:p>
    <w:p w:rsidR="007E7629" w:rsidRDefault="003E360F">
      <w:pPr>
        <w:shd w:val="clear" w:color="auto" w:fill="auto"/>
        <w:rPr>
          <w:color w:val="000000"/>
        </w:rPr>
      </w:pPr>
      <w:r>
        <w:rPr>
          <w:color w:val="000000"/>
        </w:rPr>
        <w:t>The research thus finds a more subtle association between ESG implementation, credibility and transparency, positive consumer perceptions and customer trust. On the other hand, relationship between weak implementation, greenwashing or lack of transparency, scepticism and less trust are also evident. This interpretation is in line with the conceptual framework that has been formed out of the findings.</w:t>
      </w:r>
    </w:p>
    <w:p w:rsidR="007E7629" w:rsidRDefault="003E360F">
      <w:pPr>
        <w:shd w:val="clear" w:color="auto" w:fill="auto"/>
        <w:rPr>
          <w:color w:val="000000"/>
        </w:rPr>
      </w:pPr>
      <w:r>
        <w:rPr>
          <w:color w:val="000000"/>
        </w:rPr>
        <w:t>It also concludes that the current literature is still more robust in looking at instantaneous consumer performance, organisational sustainability performance and purchase intentions compared to interpreting long-term customer trust especially in the UK food industry. The evidence therefore confirms the promising outlook of ESG although there is need to conduct further empirical studies in order to determine how trust is formed and how it can be sustained in the long run.</w:t>
      </w:r>
    </w:p>
    <w:p w:rsidR="007E7629" w:rsidRDefault="003E360F">
      <w:pPr>
        <w:pStyle w:val="Heading2"/>
      </w:pPr>
      <w:bookmarkStart w:id="66" w:name="_Toc238235529"/>
      <w:r>
        <w:t>5.3 Recommendations</w:t>
      </w:r>
      <w:bookmarkEnd w:id="66"/>
    </w:p>
    <w:p w:rsidR="007E7629" w:rsidRDefault="003E360F">
      <w:pPr>
        <w:pStyle w:val="Heading3"/>
      </w:pPr>
      <w:bookmarkStart w:id="67" w:name="_Toc238235530"/>
      <w:r>
        <w:t>5.3.1 Practical recommendations</w:t>
      </w:r>
      <w:bookmarkEnd w:id="67"/>
    </w:p>
    <w:p w:rsidR="007E7629" w:rsidRDefault="003E360F">
      <w:r>
        <w:t xml:space="preserve">It is based on the findings and discussion of the existing literature that it can be interpreted that the food organisations need to integrate ESG objectives into their core strategies and overall operational decisions. This is beneficial mainly for procurement, supplier management, production, packaging and distribution rather than treating ESG as a separate CSR activity. Third-party certification and independent verification should also be expanded to validate the environmental and social claims while reducing consumer uncertainty. Organisations should also establish measurable ESG performance indicators and even regular progress reviews, enabling customers and stakeholders to assess whether sustainability commitments are being achieved. </w:t>
      </w:r>
    </w:p>
    <w:p w:rsidR="007E7629" w:rsidRDefault="003E360F">
      <w:r>
        <w:t xml:space="preserve">In addition to this, it could also be interpreted from the findings that the businesses also need to develop structured customer-engagement mechanisms. This could be digital feedback platforms, stakeholder consultations and even sustainability-focused communication. This will allow the consumers to participate in the overall ESG improvements.  These measures are highly relevant for addressing the fragmented implementation and the governance challenges that are identified across the existing literature. </w:t>
      </w:r>
    </w:p>
    <w:p w:rsidR="007E7629" w:rsidRDefault="003E360F">
      <w:pPr>
        <w:pStyle w:val="Heading3"/>
      </w:pPr>
      <w:bookmarkStart w:id="68" w:name="_Toc238235531"/>
      <w:r>
        <w:t>5.3.2 Theoretical recommendations</w:t>
      </w:r>
      <w:bookmarkEnd w:id="68"/>
    </w:p>
    <w:p w:rsidR="007E7629" w:rsidRDefault="003E360F">
      <w:r>
        <w:t xml:space="preserve">The findings have further supported the application of the consumer trust model to ESG search. There is ample scope for future studies to thus examine the perceived credibility, reliability, </w:t>
      </w:r>
      <w:r>
        <w:lastRenderedPageBreak/>
        <w:t xml:space="preserve">integrity and organisational responsiveness that influence the trust of the customers when the customers evaluate ESG initiatives. The model should also be extended by incorporating the overall stakeholder engagement, independent verification and even perceived authenticity as potential trust-building mechanisms within the business practices. </w:t>
      </w:r>
    </w:p>
    <w:p w:rsidR="007E7629" w:rsidRDefault="003E360F">
      <w:r>
        <w:t xml:space="preserve">Future research should use a longitudinal research design with the focus being on the UK food sector for examining whether authentic ESG implementation produces sustained customer trust and loyalty over time. This would address the identified gap in the current evidence regarding the long-term relationships between ESG implementation and customer trust. </w:t>
      </w:r>
    </w:p>
    <w:p w:rsidR="007E7629" w:rsidRDefault="003E360F">
      <w:pPr>
        <w:pStyle w:val="Heading2"/>
        <w:shd w:val="clear" w:color="auto" w:fill="auto"/>
        <w:rPr>
          <w:color w:val="000000"/>
        </w:rPr>
      </w:pPr>
      <w:bookmarkStart w:id="69" w:name="_Toc238235532"/>
      <w:r>
        <w:rPr>
          <w:color w:val="000000"/>
        </w:rPr>
        <w:t>5.4 Limitations of the research</w:t>
      </w:r>
      <w:bookmarkEnd w:id="69"/>
    </w:p>
    <w:p w:rsidR="007E7629" w:rsidRDefault="003E360F">
      <w:pPr>
        <w:shd w:val="clear" w:color="auto" w:fill="auto"/>
        <w:rPr>
          <w:color w:val="000000"/>
        </w:rPr>
      </w:pPr>
      <w:r>
        <w:rPr>
          <w:color w:val="000000"/>
        </w:rPr>
        <w:t>There are a number of limitations to be noted. First, the research is founded completely on secondary scholarly evidence and thus lacks any direct measurement of the attitudes of existing consumers of the food-industry. The results are an overview of the available literature and not the raw data of the customers in the UK.</w:t>
      </w:r>
    </w:p>
    <w:p w:rsidR="007E7629" w:rsidRDefault="003E360F">
      <w:pPr>
        <w:shd w:val="clear" w:color="auto" w:fill="auto"/>
        <w:rPr>
          <w:color w:val="000000"/>
        </w:rPr>
      </w:pPr>
      <w:r>
        <w:rPr>
          <w:color w:val="000000"/>
        </w:rPr>
        <w:t>Second, despite the study being the UK based food industry, the review found no adequate evidence on the topic in the UK and thus included international studies. Although this resulted in the widening of the evidence base, variations in consumer behaviour, regulatory frameworks and structures of food industries could restrain the direct applicability of some results in the UK context.</w:t>
      </w:r>
    </w:p>
    <w:p w:rsidR="007E7629" w:rsidRDefault="003E360F">
      <w:pPr>
        <w:shd w:val="clear" w:color="auto" w:fill="auto"/>
        <w:rPr>
          <w:color w:val="000000"/>
        </w:rPr>
      </w:pPr>
      <w:r>
        <w:rPr>
          <w:color w:val="000000"/>
        </w:rPr>
        <w:t>Third, the review was limited due to the inclusion criteria such as period of publication and English-language criterion. As a result, there is a possibility of missing the relevant studies that have been published in other languages or not within the chosen time frame. Lastly, it is impossible to remove publication bias since the research that presents more robust or meaningful results might be more expected to be published in the academic literature.</w:t>
      </w:r>
    </w:p>
    <w:p w:rsidR="007E7629" w:rsidRDefault="003E360F">
      <w:pPr>
        <w:shd w:val="clear" w:color="auto" w:fill="auto"/>
        <w:rPr>
          <w:color w:val="000000"/>
        </w:rPr>
      </w:pPr>
      <w:r>
        <w:rPr>
          <w:color w:val="000000"/>
        </w:rPr>
        <w:t>These restrictions do not nullify the results, but imply that the conclusions are to be construed as an overview of the currently available evidence instead of a solid causal argument.</w:t>
      </w:r>
    </w:p>
    <w:p w:rsidR="007E7629" w:rsidRDefault="003E360F">
      <w:pPr>
        <w:pStyle w:val="Heading2"/>
        <w:shd w:val="clear" w:color="auto" w:fill="auto"/>
        <w:rPr>
          <w:color w:val="000000"/>
        </w:rPr>
      </w:pPr>
      <w:bookmarkStart w:id="70" w:name="_Toc238235533"/>
      <w:r>
        <w:rPr>
          <w:color w:val="000000"/>
        </w:rPr>
        <w:t>5.5 Recommendations for future work</w:t>
      </w:r>
      <w:bookmarkEnd w:id="70"/>
    </w:p>
    <w:p w:rsidR="007E7629" w:rsidRDefault="003E360F">
      <w:pPr>
        <w:shd w:val="clear" w:color="auto" w:fill="auto"/>
        <w:rPr>
          <w:color w:val="000000"/>
        </w:rPr>
      </w:pPr>
      <w:r>
        <w:rPr>
          <w:color w:val="000000"/>
        </w:rPr>
        <w:t>The first step to be taken by future research is to conduct primary empirical research of UK food consumers to determine whether the relationships found in this systematic review are reflected in the UK market. Quantitative surveys may research the connection between ESG credibility, transparency and customer trust and interviews may give more insight into how consumers may evaluate ESG claims.</w:t>
      </w:r>
    </w:p>
    <w:p w:rsidR="007E7629" w:rsidRDefault="003E360F">
      <w:pPr>
        <w:shd w:val="clear" w:color="auto" w:fill="auto"/>
        <w:rPr>
          <w:color w:val="000000"/>
        </w:rPr>
      </w:pPr>
      <w:r>
        <w:rPr>
          <w:color w:val="000000"/>
        </w:rPr>
        <w:t xml:space="preserve">Second, to understand whether ESG initiatives can lead to sustained customer trust or are mostly associated with short-term perceptions and intentions to buy, longitudinal research is </w:t>
      </w:r>
      <w:r>
        <w:rPr>
          <w:color w:val="000000"/>
        </w:rPr>
        <w:lastRenderedPageBreak/>
        <w:t>suggested. This is especially necessary, as the existing literature has little evidence in regard to long-term relationships.</w:t>
      </w:r>
    </w:p>
    <w:p w:rsidR="007E7629" w:rsidRDefault="003E360F">
      <w:pPr>
        <w:shd w:val="clear" w:color="auto" w:fill="auto"/>
        <w:rPr>
          <w:color w:val="000000"/>
        </w:rPr>
      </w:pPr>
      <w:r>
        <w:rPr>
          <w:color w:val="000000"/>
        </w:rPr>
        <w:t>Third, it is recommended that future research undertaking a comparative study be carried out in various industries of the food industry, including supermarkets, food manufacturers, restaurants and food-delivery establishments. This may determine whether the significance of specific ESG dimensions is different depending on the form of organisation and consumer engagement.</w:t>
      </w:r>
    </w:p>
    <w:p w:rsidR="007E7629" w:rsidRDefault="003E360F">
      <w:pPr>
        <w:shd w:val="clear" w:color="auto" w:fill="auto"/>
        <w:rPr>
          <w:color w:val="000000"/>
        </w:rPr>
      </w:pPr>
      <w:r>
        <w:rPr>
          <w:color w:val="000000"/>
        </w:rPr>
        <w:t>Lastly, the conceptual framework that has been developed in this study should be empirically tested in future studies. Specifically, the scholars need to focus on the question of whether ESG credibility, transparency, stakeholder engagement and organisational credibility provide a mediating effect between ESG initiatives and customer trust. Experimental studies might also contrast consumer reactions to typical ESG assertions, verifiably assertions and traceable ESG data. This type of research would help give more compelling evidence regarding what mechanisms are the most effective ones in transforming the ESG commitments into long-term customer trust.</w:t>
      </w:r>
    </w:p>
    <w:p w:rsidR="007E7629" w:rsidRDefault="003E360F">
      <w:pPr>
        <w:pStyle w:val="Heading1"/>
      </w:pPr>
      <w:bookmarkStart w:id="71" w:name="_heading=h.enrur3elsns2" w:colFirst="0" w:colLast="0"/>
      <w:bookmarkEnd w:id="71"/>
      <w:r>
        <w:br w:type="page"/>
      </w:r>
    </w:p>
    <w:p w:rsidR="007E7629" w:rsidRDefault="003E360F">
      <w:pPr>
        <w:pStyle w:val="Heading1"/>
      </w:pPr>
      <w:r>
        <w:lastRenderedPageBreak/>
        <w:t xml:space="preserve"> </w:t>
      </w:r>
      <w:bookmarkStart w:id="72" w:name="_Toc238235534"/>
      <w:r>
        <w:t>References</w:t>
      </w:r>
      <w:bookmarkEnd w:id="72"/>
    </w:p>
    <w:p w:rsidR="007E7629" w:rsidRDefault="003E360F">
      <w:pPr>
        <w:widowControl w:val="0"/>
        <w:shd w:val="clear" w:color="auto" w:fill="auto"/>
        <w:jc w:val="left"/>
        <w:rPr>
          <w:color w:val="000000"/>
        </w:rPr>
      </w:pPr>
      <w:r>
        <w:rPr>
          <w:color w:val="000000"/>
        </w:rPr>
        <w:t xml:space="preserve">Abdulaziz Alhumud, A., Leonidou, L. C., Alarfaj, W., and Ioannidis, A. (2024). The impact of digital CSR disclosure on customer trust and Engagement: The moderating role of consumer deontology and law obedience. </w:t>
      </w:r>
      <w:r>
        <w:rPr>
          <w:i/>
          <w:iCs/>
          <w:color w:val="000000"/>
        </w:rPr>
        <w:t>Journal of Business Research</w:t>
      </w:r>
      <w:r>
        <w:rPr>
          <w:color w:val="000000"/>
        </w:rPr>
        <w:t xml:space="preserve">, </w:t>
      </w:r>
      <w:r>
        <w:rPr>
          <w:i/>
          <w:iCs/>
          <w:color w:val="000000"/>
        </w:rPr>
        <w:t>186</w:t>
      </w:r>
      <w:r>
        <w:rPr>
          <w:color w:val="000000"/>
        </w:rPr>
        <w:t xml:space="preserve">, 115035. </w:t>
      </w:r>
      <w:hyperlink r:id="rId13">
        <w:r>
          <w:rPr>
            <w:color w:val="1155CC"/>
            <w:u w:val="single"/>
          </w:rPr>
          <w:t>https://doi.org/10.1016/j.jbusres.2024.115035</w:t>
        </w:r>
      </w:hyperlink>
      <w:r>
        <w:rPr>
          <w:color w:val="1155CC"/>
          <w:u w:val="single"/>
        </w:rPr>
        <w:t>.</w:t>
      </w:r>
    </w:p>
    <w:p w:rsidR="007E7629" w:rsidRDefault="003E360F">
      <w:r>
        <w:rPr>
          <w:highlight w:val="white"/>
        </w:rPr>
        <w:t xml:space="preserve">Aboussalah, A.M., Xu, Z. and Lee, C.G., (2022). What is the value of the cross-sectional approach to deep reinforcement learning?. </w:t>
      </w:r>
      <w:r>
        <w:rPr>
          <w:i/>
          <w:iCs/>
          <w:highlight w:val="white"/>
        </w:rPr>
        <w:t>Quantitative Finance</w:t>
      </w:r>
      <w:r>
        <w:rPr>
          <w:highlight w:val="white"/>
        </w:rPr>
        <w:t xml:space="preserve">, </w:t>
      </w:r>
      <w:r>
        <w:rPr>
          <w:i/>
          <w:iCs/>
          <w:highlight w:val="white"/>
        </w:rPr>
        <w:t>22</w:t>
      </w:r>
      <w:r>
        <w:rPr>
          <w:highlight w:val="white"/>
        </w:rPr>
        <w:t xml:space="preserve">(6), pp.1091-1111. </w:t>
      </w:r>
      <w:hyperlink r:id="rId14">
        <w:r>
          <w:rPr>
            <w:color w:val="1155CC"/>
            <w:highlight w:val="white"/>
            <w:u w:val="single"/>
          </w:rPr>
          <w:t>https://papers.ssrn.com/sol3/Delivery.cfm?abstractid=3748130</w:t>
        </w:r>
      </w:hyperlink>
      <w:r>
        <w:t>.</w:t>
      </w:r>
    </w:p>
    <w:p w:rsidR="007E7629" w:rsidRDefault="003E360F">
      <w:r>
        <w:t xml:space="preserve">Abusaada, H., and Elshater, A. (2024). Beyond Keywords: Effective Strategies for Building Consistent Reference Lists in Scientific Research. </w:t>
      </w:r>
      <w:r>
        <w:rPr>
          <w:i/>
          <w:iCs/>
        </w:rPr>
        <w:t>Publications</w:t>
      </w:r>
      <w:r>
        <w:t xml:space="preserve">, </w:t>
      </w:r>
      <w:r>
        <w:rPr>
          <w:i/>
          <w:iCs/>
        </w:rPr>
        <w:t>12</w:t>
      </w:r>
      <w:r>
        <w:t xml:space="preserve">(3), 25. </w:t>
      </w:r>
      <w:hyperlink r:id="rId15">
        <w:r>
          <w:rPr>
            <w:color w:val="1155CC"/>
            <w:u w:val="single"/>
          </w:rPr>
          <w:t>https://doi.org/10.3390/publications12030025</w:t>
        </w:r>
      </w:hyperlink>
      <w:r>
        <w:rPr>
          <w:color w:val="1155CC"/>
          <w:u w:val="single"/>
        </w:rPr>
        <w:t>.</w:t>
      </w:r>
    </w:p>
    <w:p w:rsidR="007E7629" w:rsidRDefault="003E360F">
      <w:pPr>
        <w:widowControl w:val="0"/>
        <w:shd w:val="clear" w:color="auto" w:fill="auto"/>
        <w:rPr>
          <w:color w:val="000000"/>
        </w:rPr>
      </w:pPr>
      <w:r>
        <w:rPr>
          <w:color w:val="000000"/>
        </w:rPr>
        <w:t xml:space="preserve">Agarwal, S., Kweh, Q. L., Goh, K. W., and Wider, W. (2025). Redefining marketing strategies through sustainability: Influencing consumer behavior in the circular economy: A systematic review and future research roadmap. </w:t>
      </w:r>
      <w:r>
        <w:rPr>
          <w:i/>
          <w:iCs/>
          <w:color w:val="000000"/>
        </w:rPr>
        <w:t>Cleaner and Responsible Consumption</w:t>
      </w:r>
      <w:r>
        <w:rPr>
          <w:color w:val="000000"/>
        </w:rPr>
        <w:t xml:space="preserve">, </w:t>
      </w:r>
      <w:r>
        <w:rPr>
          <w:i/>
          <w:iCs/>
          <w:color w:val="000000"/>
        </w:rPr>
        <w:t>18</w:t>
      </w:r>
      <w:r>
        <w:rPr>
          <w:color w:val="000000"/>
        </w:rPr>
        <w:t xml:space="preserve">, 100298. </w:t>
      </w:r>
      <w:hyperlink r:id="rId16">
        <w:r>
          <w:rPr>
            <w:color w:val="1155CC"/>
            <w:u w:val="single"/>
          </w:rPr>
          <w:t>https://doi.org/10.1016/j.clrc.2025.100298</w:t>
        </w:r>
      </w:hyperlink>
      <w:r>
        <w:rPr>
          <w:color w:val="000000"/>
        </w:rPr>
        <w:t>.</w:t>
      </w:r>
    </w:p>
    <w:p w:rsidR="007E7629" w:rsidRDefault="003E360F">
      <w:pPr>
        <w:shd w:val="clear" w:color="auto" w:fill="auto"/>
        <w:rPr>
          <w:color w:val="000000"/>
        </w:rPr>
      </w:pPr>
      <w:r>
        <w:rPr>
          <w:highlight w:val="white"/>
        </w:rPr>
        <w:t xml:space="preserve">Ahmad, M. and Wilkins, S., (2025). Purposive sampling in qualitative research: A framework for the entire journey. </w:t>
      </w:r>
      <w:r>
        <w:rPr>
          <w:i/>
          <w:iCs/>
          <w:highlight w:val="white"/>
        </w:rPr>
        <w:t>Quality &amp; Quantity</w:t>
      </w:r>
      <w:r>
        <w:rPr>
          <w:highlight w:val="white"/>
        </w:rPr>
        <w:t xml:space="preserve">, </w:t>
      </w:r>
      <w:r>
        <w:rPr>
          <w:i/>
          <w:iCs/>
          <w:highlight w:val="white"/>
        </w:rPr>
        <w:t>59</w:t>
      </w:r>
      <w:r>
        <w:rPr>
          <w:highlight w:val="white"/>
        </w:rPr>
        <w:t>(2), pp.1461-1479.</w:t>
      </w:r>
      <w:hyperlink r:id="rId17">
        <w:r>
          <w:rPr>
            <w:color w:val="1155CC"/>
            <w:highlight w:val="white"/>
            <w:u w:val="single"/>
          </w:rPr>
          <w:t>https://doi.org/10.1007/s11135-024-02022-5</w:t>
        </w:r>
      </w:hyperlink>
      <w:r>
        <w:rPr>
          <w:color w:val="000000"/>
        </w:rPr>
        <w:t>.</w:t>
      </w:r>
    </w:p>
    <w:p w:rsidR="007E7629" w:rsidRDefault="003E360F">
      <w:pPr>
        <w:shd w:val="clear" w:color="auto" w:fill="auto"/>
        <w:spacing w:before="240" w:after="240"/>
        <w:rPr>
          <w:color w:val="000000"/>
        </w:rPr>
      </w:pPr>
      <w:r>
        <w:t xml:space="preserve">Ahn, Y. and Lee, J., (2024). The impact of online reviews on consumers’ purchase intentions: Examining the social influence of online reviews, group similarity, and self-construal. </w:t>
      </w:r>
      <w:r>
        <w:rPr>
          <w:i/>
          <w:iCs/>
        </w:rPr>
        <w:t>Journal of Theoretical and Applied Electronic Commerce Research</w:t>
      </w:r>
      <w:r>
        <w:t xml:space="preserve">, </w:t>
      </w:r>
      <w:r>
        <w:rPr>
          <w:i/>
          <w:iCs/>
        </w:rPr>
        <w:t>19</w:t>
      </w:r>
      <w:r>
        <w:t>(2), pp.1060-1078.</w:t>
      </w:r>
      <w:hyperlink r:id="rId18">
        <w:r>
          <w:rPr>
            <w:color w:val="1155CC"/>
            <w:u w:val="single"/>
          </w:rPr>
          <w:t>https://doi.org/10.3390/jtaer19020055</w:t>
        </w:r>
      </w:hyperlink>
      <w:r>
        <w:rPr>
          <w:color w:val="000000"/>
        </w:rPr>
        <w:t>.</w:t>
      </w:r>
    </w:p>
    <w:p w:rsidR="007E7629" w:rsidRDefault="003E360F">
      <w:r>
        <w:t xml:space="preserve">Al Amosh, H. and Khatib, S.F., (2025). Environmental innovation and carbon emissions reduction in European healthcare: the moderating role of environmental monitoring practices. </w:t>
      </w:r>
      <w:r>
        <w:rPr>
          <w:i/>
          <w:iCs/>
        </w:rPr>
        <w:t>Cleaner and Responsible Consumption</w:t>
      </w:r>
      <w:r>
        <w:t xml:space="preserve">, </w:t>
      </w:r>
      <w:r>
        <w:rPr>
          <w:i/>
          <w:iCs/>
        </w:rPr>
        <w:t>16</w:t>
      </w:r>
      <w:r>
        <w:t>, p.100255.</w:t>
      </w:r>
      <w:hyperlink r:id="rId19">
        <w:r>
          <w:rPr>
            <w:color w:val="1155CC"/>
            <w:u w:val="single"/>
          </w:rPr>
          <w:t>https://doi.org/10.1016/j.clrc.2025.100255</w:t>
        </w:r>
      </w:hyperlink>
      <w:r>
        <w:t>.</w:t>
      </w:r>
    </w:p>
    <w:p w:rsidR="007E7629" w:rsidRDefault="003E360F">
      <w:r>
        <w:t xml:space="preserve">Alkandi, I., (2025). Green Supply Chain Management and Sustainable Performance: The Mediating Roles of Corporate Social Responsibility and Intellectual Capital in Saudi Arabia’s Drilling Sector—A Resource-Based View and Stakeholder Theory Perspective. </w:t>
      </w:r>
      <w:r>
        <w:rPr>
          <w:i/>
          <w:iCs/>
        </w:rPr>
        <w:t>Sustainability</w:t>
      </w:r>
      <w:r>
        <w:t xml:space="preserve">, </w:t>
      </w:r>
      <w:r>
        <w:rPr>
          <w:i/>
          <w:iCs/>
        </w:rPr>
        <w:t>17</w:t>
      </w:r>
      <w:r>
        <w:t>(24), p.11015.</w:t>
      </w:r>
      <w:hyperlink r:id="rId20">
        <w:r>
          <w:rPr>
            <w:color w:val="1155CC"/>
            <w:u w:val="single"/>
          </w:rPr>
          <w:t>https://doi.org/10.3390/su172411015</w:t>
        </w:r>
      </w:hyperlink>
      <w:r>
        <w:t>.</w:t>
      </w:r>
    </w:p>
    <w:p w:rsidR="007E7629" w:rsidRDefault="003E360F">
      <w:r>
        <w:lastRenderedPageBreak/>
        <w:t xml:space="preserve">Alyahia, M., Azazz, A.M., Fayyad, S., Elshaer, I.A. and Mohammad, A.A., (2024). Greenwashing behavior in hotels industry: The role of green transparency and green authenticity. </w:t>
      </w:r>
      <w:r>
        <w:rPr>
          <w:i/>
          <w:iCs/>
        </w:rPr>
        <w:t>Sustainability</w:t>
      </w:r>
      <w:r>
        <w:t xml:space="preserve">, </w:t>
      </w:r>
      <w:r>
        <w:rPr>
          <w:i/>
          <w:iCs/>
        </w:rPr>
        <w:t>16</w:t>
      </w:r>
      <w:r>
        <w:t>(3), p.1050.</w:t>
      </w:r>
      <w:hyperlink r:id="rId21">
        <w:r>
          <w:rPr>
            <w:color w:val="1155CC"/>
            <w:u w:val="single"/>
          </w:rPr>
          <w:t>https://doi.org/10.3390/su16031050</w:t>
        </w:r>
      </w:hyperlink>
      <w:r>
        <w:t>.</w:t>
      </w:r>
    </w:p>
    <w:p w:rsidR="007E7629" w:rsidRDefault="003E360F">
      <w:pPr>
        <w:shd w:val="clear" w:color="auto" w:fill="auto"/>
        <w:spacing w:before="240" w:after="240"/>
      </w:pPr>
      <w:r>
        <w:t>Amaral, A.F.V., (2026). Exploring B2b buyers perceptions of Esg communication In the automotive industry with focus on trust signalling and greenwashing risks.</w:t>
      </w:r>
      <w:hyperlink r:id="rId22">
        <w:r>
          <w:rPr>
            <w:color w:val="1155CC"/>
            <w:u w:val="single"/>
          </w:rPr>
          <w:t>https://doi.org/10.5281/zenodo.21271931</w:t>
        </w:r>
      </w:hyperlink>
      <w:r>
        <w:rPr>
          <w:color w:val="000000"/>
        </w:rPr>
        <w:t>.</w:t>
      </w:r>
    </w:p>
    <w:p w:rsidR="007E7629" w:rsidRDefault="003E360F">
      <w:pPr>
        <w:widowControl w:val="0"/>
        <w:shd w:val="clear" w:color="auto" w:fill="auto"/>
        <w:jc w:val="left"/>
        <w:rPr>
          <w:color w:val="000000"/>
        </w:rPr>
      </w:pPr>
      <w:r>
        <w:rPr>
          <w:color w:val="000000"/>
        </w:rPr>
        <w:t xml:space="preserve">Anisimova, T., and Vrontis, D. (2024). The food you can trust: The moderating role of age in the relationship between consumer values and organic food trust. </w:t>
      </w:r>
      <w:r>
        <w:rPr>
          <w:i/>
          <w:iCs/>
          <w:color w:val="000000"/>
        </w:rPr>
        <w:t>Journal of Business Research</w:t>
      </w:r>
      <w:r>
        <w:rPr>
          <w:color w:val="000000"/>
        </w:rPr>
        <w:t xml:space="preserve">, </w:t>
      </w:r>
      <w:r>
        <w:rPr>
          <w:i/>
          <w:iCs/>
          <w:color w:val="000000"/>
        </w:rPr>
        <w:t>182</w:t>
      </w:r>
      <w:r>
        <w:rPr>
          <w:color w:val="000000"/>
        </w:rPr>
        <w:t xml:space="preserve">, 114803. </w:t>
      </w:r>
      <w:hyperlink r:id="rId23">
        <w:r>
          <w:rPr>
            <w:color w:val="1155CC"/>
            <w:u w:val="single"/>
          </w:rPr>
          <w:t>https://doi.org/10.1016/j.jbusres.2024.114803</w:t>
        </w:r>
      </w:hyperlink>
      <w:r>
        <w:rPr>
          <w:color w:val="000000"/>
        </w:rPr>
        <w:t>.</w:t>
      </w:r>
    </w:p>
    <w:p w:rsidR="007E7629" w:rsidRDefault="003E360F">
      <w:pPr>
        <w:widowControl w:val="0"/>
        <w:shd w:val="clear" w:color="auto" w:fill="auto"/>
        <w:rPr>
          <w:color w:val="000000"/>
        </w:rPr>
      </w:pPr>
      <w:r>
        <w:t xml:space="preserve">Awa, H.O., Etim, W. and Ogbonda, E., 2024. Stakeholders, stakeholder theory and corporate social responsibility (CSR). </w:t>
      </w:r>
      <w:r>
        <w:rPr>
          <w:i/>
          <w:iCs/>
        </w:rPr>
        <w:t>International journal of corporate social responsibility</w:t>
      </w:r>
      <w:r>
        <w:t xml:space="preserve">, </w:t>
      </w:r>
      <w:r>
        <w:rPr>
          <w:i/>
          <w:iCs/>
        </w:rPr>
        <w:t>9</w:t>
      </w:r>
      <w:r>
        <w:t>(1), p.11.</w:t>
      </w:r>
      <w:r>
        <w:rPr>
          <w:color w:val="000000"/>
        </w:rPr>
        <w:t xml:space="preserve"> </w:t>
      </w:r>
      <w:hyperlink r:id="rId24">
        <w:r>
          <w:rPr>
            <w:color w:val="1155CC"/>
            <w:u w:val="single"/>
          </w:rPr>
          <w:t>https://link.springer.com/article/10.1186/s40991-024-00094-y</w:t>
        </w:r>
      </w:hyperlink>
      <w:r>
        <w:rPr>
          <w:color w:val="000000"/>
        </w:rPr>
        <w:t>.</w:t>
      </w:r>
    </w:p>
    <w:p w:rsidR="007E7629" w:rsidRDefault="003E360F">
      <w:r>
        <w:t xml:space="preserve">Azazz, A.M., Elshaer, I.A., Thani, A.A., Algezawy, M., Mahrous, A.A., Mansour, M.A., Abdel Moneim, A. and Fayyad, S., (2024). The influence of green demarketing on brand credibility, green authenticity, and greenwashing in the food industry. </w:t>
      </w:r>
      <w:r>
        <w:rPr>
          <w:i/>
          <w:iCs/>
        </w:rPr>
        <w:t>Sustainability</w:t>
      </w:r>
      <w:r>
        <w:t xml:space="preserve">, </w:t>
      </w:r>
      <w:r>
        <w:rPr>
          <w:i/>
          <w:iCs/>
        </w:rPr>
        <w:t>16</w:t>
      </w:r>
      <w:r>
        <w:t>(21), p.9215.</w:t>
      </w:r>
      <w:hyperlink r:id="rId25">
        <w:r>
          <w:rPr>
            <w:color w:val="1155CC"/>
            <w:u w:val="single"/>
          </w:rPr>
          <w:t>https://doi.org/10.3390/su16219215</w:t>
        </w:r>
      </w:hyperlink>
      <w:r>
        <w:t>.</w:t>
      </w:r>
    </w:p>
    <w:p w:rsidR="007E7629" w:rsidRDefault="003E360F">
      <w:r>
        <w:t>Bo, S., (2025). BETWEEN WORDS AND DEEDS: INVESTIGATING CORPORATE GREENWASHING IN THE AGE OF ESG.</w:t>
      </w:r>
      <w:hyperlink r:id="rId26">
        <w:r>
          <w:rPr>
            <w:color w:val="1155CC"/>
            <w:u w:val="single"/>
          </w:rPr>
          <w:t>https://tesidottorato.depositolegale.it/bitstream/20.500.14242/312550/1/Thesis_Shaocong%20BO_FV.pdf</w:t>
        </w:r>
      </w:hyperlink>
      <w:r>
        <w:t>.</w:t>
      </w:r>
    </w:p>
    <w:p w:rsidR="007E7629" w:rsidRDefault="003E360F">
      <w:r>
        <w:t xml:space="preserve">Boller, M. L., Grabinger, T., Zurwehme, A., and Krupitzer, C. (2026). Sustainability certification in the digital era: A qualitative analysis of sustainability reports across product categories. </w:t>
      </w:r>
      <w:r>
        <w:rPr>
          <w:i/>
          <w:iCs/>
        </w:rPr>
        <w:t>Future Foods</w:t>
      </w:r>
      <w:r>
        <w:t xml:space="preserve">, </w:t>
      </w:r>
      <w:r>
        <w:rPr>
          <w:i/>
          <w:iCs/>
        </w:rPr>
        <w:t>13</w:t>
      </w:r>
      <w:r>
        <w:t xml:space="preserve">, 100881. </w:t>
      </w:r>
      <w:hyperlink r:id="rId27">
        <w:r>
          <w:rPr>
            <w:color w:val="1155CC"/>
            <w:u w:val="single"/>
          </w:rPr>
          <w:t>https://doi.org/10.1016/j.fufo.2025.100881</w:t>
        </w:r>
      </w:hyperlink>
      <w:r>
        <w:t>.</w:t>
      </w:r>
    </w:p>
    <w:p w:rsidR="007E7629" w:rsidRDefault="003E360F">
      <w:pPr>
        <w:shd w:val="clear" w:color="auto" w:fill="auto"/>
        <w:rPr>
          <w:highlight w:val="white"/>
        </w:rPr>
      </w:pPr>
      <w:r>
        <w:rPr>
          <w:highlight w:val="white"/>
        </w:rPr>
        <w:t xml:space="preserve">Braun, V. and Clarke, V., (2021). One size fits all? What counts as quality practice in (reflexive) thematic analysis?. </w:t>
      </w:r>
      <w:r>
        <w:rPr>
          <w:i/>
          <w:iCs/>
          <w:highlight w:val="white"/>
        </w:rPr>
        <w:t>Qualitative research in psychology</w:t>
      </w:r>
      <w:r>
        <w:rPr>
          <w:highlight w:val="white"/>
        </w:rPr>
        <w:t xml:space="preserve">, </w:t>
      </w:r>
      <w:r>
        <w:rPr>
          <w:i/>
          <w:iCs/>
          <w:highlight w:val="white"/>
        </w:rPr>
        <w:t>18</w:t>
      </w:r>
      <w:r>
        <w:rPr>
          <w:highlight w:val="white"/>
        </w:rPr>
        <w:t>(3), pp.328-352.</w:t>
      </w:r>
      <w:hyperlink r:id="rId28">
        <w:r>
          <w:rPr>
            <w:color w:val="1155CC"/>
            <w:highlight w:val="white"/>
            <w:u w:val="single"/>
          </w:rPr>
          <w:t>https://www.researchgate.net/profile/Nur-Afifah-Binti-Abas/post/How_many_interviews_are_needed_in_a_qualitative_research_Is_there_any_rule_or_popular_practice/attachment/66265a7653d234443fee0400/AS%3A11431281237994675%401713789399766/download/One+size+fits+all+-++What+counts+as+quality+practice+in+%28reflexive%29+thematic+analysis+%281%29.pdf</w:t>
        </w:r>
      </w:hyperlink>
      <w:r>
        <w:rPr>
          <w:highlight w:val="white"/>
        </w:rPr>
        <w:t>.</w:t>
      </w:r>
    </w:p>
    <w:p w:rsidR="007E7629" w:rsidRDefault="003E360F">
      <w:r>
        <w:lastRenderedPageBreak/>
        <w:t xml:space="preserve">Braun, V., and Clarke, V. (2022). Toward good practice in thematic analysis: Avoiding common problems and be(com)ing a knowing researcher. </w:t>
      </w:r>
      <w:r>
        <w:rPr>
          <w:i/>
          <w:iCs/>
        </w:rPr>
        <w:t>International Journal of Transgender Health</w:t>
      </w:r>
      <w:r>
        <w:t xml:space="preserve">, </w:t>
      </w:r>
      <w:r>
        <w:rPr>
          <w:i/>
          <w:iCs/>
        </w:rPr>
        <w:t>24</w:t>
      </w:r>
      <w:r>
        <w:t xml:space="preserve">(1), 1. </w:t>
      </w:r>
      <w:hyperlink r:id="rId29">
        <w:r>
          <w:rPr>
            <w:color w:val="1155CC"/>
            <w:u w:val="single"/>
          </w:rPr>
          <w:t>https://doi.org/10.1080/26895269.2022.2129597</w:t>
        </w:r>
      </w:hyperlink>
      <w:r>
        <w:rPr>
          <w:color w:val="1155CC"/>
          <w:u w:val="single"/>
        </w:rPr>
        <w:t>.</w:t>
      </w:r>
      <w:r>
        <w:t xml:space="preserve"> </w:t>
      </w:r>
    </w:p>
    <w:p w:rsidR="007E7629" w:rsidRDefault="003E360F">
      <w:r>
        <w:t xml:space="preserve">Cheong, H. I., Lyons, A., Houghton, R., and Majumdar, A. (2023). Secondary Qualitative Research Methodology Using Online Data within the Context of Social Sciences. </w:t>
      </w:r>
      <w:r>
        <w:rPr>
          <w:i/>
          <w:iCs/>
        </w:rPr>
        <w:t>International Journal of Qualitative Methods</w:t>
      </w:r>
      <w:r>
        <w:t xml:space="preserve">. </w:t>
      </w:r>
      <w:hyperlink r:id="rId30">
        <w:r>
          <w:rPr>
            <w:color w:val="1155CC"/>
            <w:u w:val="single"/>
          </w:rPr>
          <w:t>https://doi.org/10.1177_16094069231180160</w:t>
        </w:r>
      </w:hyperlink>
      <w:r>
        <w:t>.</w:t>
      </w:r>
    </w:p>
    <w:p w:rsidR="007E7629" w:rsidRDefault="003E360F">
      <w:pPr>
        <w:widowControl w:val="0"/>
        <w:shd w:val="clear" w:color="auto" w:fill="auto"/>
        <w:spacing w:after="240"/>
        <w:rPr>
          <w:color w:val="000000"/>
        </w:rPr>
      </w:pPr>
      <w:r>
        <w:rPr>
          <w:color w:val="000000"/>
        </w:rPr>
        <w:t xml:space="preserve">CMA., 2021. CMA guidance on environmental claims on goods and services helping businesses comply with their consumer protection law obligations. [online] Available at: </w:t>
      </w:r>
      <w:hyperlink r:id="rId31">
        <w:r>
          <w:rPr>
            <w:color w:val="1155CC"/>
            <w:u w:val="single"/>
          </w:rPr>
          <w:t>https://assets.publishing.service.gov.uk/media/61482fd4e90e070433f6c3ea/Guidance_for_businesses_on_making_environmental_claims_.pdf</w:t>
        </w:r>
      </w:hyperlink>
      <w:r>
        <w:rPr>
          <w:color w:val="1155CC"/>
          <w:u w:val="single"/>
        </w:rPr>
        <w:t>.</w:t>
      </w:r>
    </w:p>
    <w:p w:rsidR="007E7629" w:rsidRDefault="003E360F">
      <w:pPr>
        <w:widowControl w:val="0"/>
        <w:shd w:val="clear" w:color="auto" w:fill="auto"/>
        <w:spacing w:after="240"/>
        <w:rPr>
          <w:color w:val="000000"/>
        </w:rPr>
      </w:pPr>
      <w:r>
        <w:rPr>
          <w:color w:val="000000"/>
        </w:rPr>
        <w:t xml:space="preserve">CMA., 2021. </w:t>
      </w:r>
      <w:r>
        <w:rPr>
          <w:i/>
          <w:iCs/>
          <w:color w:val="000000"/>
        </w:rPr>
        <w:t>Global sweep finds 40% of firms’ green claims could be misleading</w:t>
      </w:r>
      <w:r>
        <w:rPr>
          <w:color w:val="000000"/>
        </w:rPr>
        <w:t xml:space="preserve">. [online] </w:t>
      </w:r>
      <w:r>
        <w:rPr>
          <w:i/>
          <w:iCs/>
          <w:color w:val="000000"/>
        </w:rPr>
        <w:t>GOV.UK</w:t>
      </w:r>
      <w:r>
        <w:rPr>
          <w:color w:val="000000"/>
        </w:rPr>
        <w:t xml:space="preserve">. Available at: </w:t>
      </w:r>
      <w:hyperlink r:id="rId32">
        <w:r>
          <w:rPr>
            <w:color w:val="1155CC"/>
            <w:u w:val="single"/>
          </w:rPr>
          <w:t>https://www.gov.uk/government/news/global-sweep-finds-40-of-firms-green-claims-could-be-misleading</w:t>
        </w:r>
      </w:hyperlink>
      <w:r>
        <w:rPr>
          <w:color w:val="000000"/>
        </w:rPr>
        <w:t>.</w:t>
      </w:r>
    </w:p>
    <w:p w:rsidR="007E7629" w:rsidRDefault="003E360F">
      <w:pPr>
        <w:shd w:val="clear" w:color="auto" w:fill="auto"/>
        <w:rPr>
          <w:highlight w:val="white"/>
        </w:rPr>
      </w:pPr>
      <w:r>
        <w:rPr>
          <w:highlight w:val="white"/>
        </w:rPr>
        <w:t xml:space="preserve">Coatsworth-Puspoky, R., Duggleby, W., Dahlke, S. and Hunter, K.F., (2025). Prioritizing qualitative meta-synthesis findings in a mixed methods systematic review study: A description of the method. </w:t>
      </w:r>
      <w:r>
        <w:rPr>
          <w:i/>
          <w:iCs/>
          <w:highlight w:val="white"/>
        </w:rPr>
        <w:t>Research Synthesis Methods</w:t>
      </w:r>
      <w:r>
        <w:rPr>
          <w:highlight w:val="white"/>
        </w:rPr>
        <w:t xml:space="preserve">, </w:t>
      </w:r>
      <w:r>
        <w:rPr>
          <w:i/>
          <w:iCs/>
          <w:highlight w:val="white"/>
        </w:rPr>
        <w:t>16</w:t>
      </w:r>
      <w:r>
        <w:rPr>
          <w:highlight w:val="white"/>
        </w:rPr>
        <w:t>(1), pp.123-138.</w:t>
      </w:r>
      <w:hyperlink r:id="rId33">
        <w:r>
          <w:rPr>
            <w:color w:val="1155CC"/>
            <w:highlight w:val="white"/>
            <w:u w:val="single"/>
          </w:rPr>
          <w:t>https://www.cambridge.org/core/services/aop-cambridge-core/content/view/3F8A7BF4C22A4CF75B72487A27B6A6CE/S1759287924000085a.pdf/prioritizing_qualitative_metasynthesis_findings_in_a_mixed_methods_systematic_review_study_a_description_of_the_method.pdf</w:t>
        </w:r>
      </w:hyperlink>
      <w:r>
        <w:rPr>
          <w:highlight w:val="white"/>
        </w:rPr>
        <w:t>.</w:t>
      </w:r>
    </w:p>
    <w:p w:rsidR="007E7629" w:rsidRDefault="003E360F">
      <w:bookmarkStart w:id="73" w:name="_heading=h.i4pnp1o91mth" w:colFirst="0" w:colLast="0"/>
      <w:bookmarkEnd w:id="73"/>
      <w:r>
        <w:t xml:space="preserve">Consultancy UK (2026). </w:t>
      </w:r>
      <w:r>
        <w:rPr>
          <w:i/>
          <w:iCs/>
        </w:rPr>
        <w:t>Paying sustainability premiums remains sticking point for UK consumers</w:t>
      </w:r>
      <w:r>
        <w:t xml:space="preserve">. [online] Consultancy.uk. Available at: </w:t>
      </w:r>
      <w:hyperlink r:id="rId34">
        <w:r>
          <w:rPr>
            <w:color w:val="0000FF"/>
            <w:u w:val="single"/>
          </w:rPr>
          <w:t>https://www.consultancy.uk/news/43589/paying-sustainability-premiums-remains-sticking-point-for-uk-consumers</w:t>
        </w:r>
      </w:hyperlink>
      <w:r>
        <w:t>.</w:t>
      </w:r>
    </w:p>
    <w:p w:rsidR="007E7629" w:rsidRDefault="003E360F">
      <w:r>
        <w:t xml:space="preserve">Conversano, E., Samoggia, A., and Benussi, C. (2026). Applying Q methodology to explore food system stakeholders’ perspectives on the marketability of alternative protein products. </w:t>
      </w:r>
      <w:r>
        <w:rPr>
          <w:i/>
          <w:iCs/>
        </w:rPr>
        <w:t>Sustainable Futures</w:t>
      </w:r>
      <w:r>
        <w:t xml:space="preserve">, </w:t>
      </w:r>
      <w:r>
        <w:rPr>
          <w:i/>
          <w:iCs/>
        </w:rPr>
        <w:t>12</w:t>
      </w:r>
      <w:r>
        <w:t xml:space="preserve">, 102008. </w:t>
      </w:r>
      <w:hyperlink r:id="rId35">
        <w:r>
          <w:rPr>
            <w:color w:val="1155CC"/>
            <w:u w:val="single"/>
          </w:rPr>
          <w:t>https://doi.org/10.1016/j.sftr.2026.102008</w:t>
        </w:r>
      </w:hyperlink>
      <w:r>
        <w:t>.</w:t>
      </w:r>
    </w:p>
    <w:p w:rsidR="007E7629" w:rsidRDefault="003E360F">
      <w:r>
        <w:t xml:space="preserve">Daou, L., Sayegh, E., Atallah, E., Jabbour Al Maalouf, N. and Sarkis, N., (2025). Greenwashing as a barrier to sustainable marketing: Expectation disconfirmation, confusion, and brand–consumer relationships. </w:t>
      </w:r>
      <w:r>
        <w:rPr>
          <w:i/>
          <w:iCs/>
        </w:rPr>
        <w:t>Sustainability</w:t>
      </w:r>
      <w:r>
        <w:t xml:space="preserve">, </w:t>
      </w:r>
      <w:r>
        <w:rPr>
          <w:i/>
          <w:iCs/>
        </w:rPr>
        <w:t>17</w:t>
      </w:r>
      <w:r>
        <w:t>(22), p.9979.</w:t>
      </w:r>
      <w:hyperlink r:id="rId36">
        <w:r>
          <w:rPr>
            <w:color w:val="1155CC"/>
            <w:u w:val="single"/>
          </w:rPr>
          <w:t>https://doi.org/10.3390/su17229979</w:t>
        </w:r>
      </w:hyperlink>
      <w:r>
        <w:t>.</w:t>
      </w:r>
    </w:p>
    <w:p w:rsidR="007E7629" w:rsidRDefault="003E360F">
      <w:r>
        <w:lastRenderedPageBreak/>
        <w:t xml:space="preserve">De Souza, M.C.S. and De Souza, R.S., (2024). Law enforcement, social demands and reputation risks as drivers of compliance functions: a comparative analysis of the largest banks’ disclosures in the UK and Brazil. </w:t>
      </w:r>
      <w:r>
        <w:rPr>
          <w:i/>
          <w:iCs/>
        </w:rPr>
        <w:t>Crime, Law and Social Change</w:t>
      </w:r>
      <w:r>
        <w:t xml:space="preserve">, </w:t>
      </w:r>
      <w:r>
        <w:rPr>
          <w:i/>
          <w:iCs/>
        </w:rPr>
        <w:t>81</w:t>
      </w:r>
      <w:r>
        <w:t>(3), pp.255-280.</w:t>
      </w:r>
      <w:hyperlink r:id="rId37">
        <w:r>
          <w:rPr>
            <w:color w:val="1155CC"/>
            <w:u w:val="single"/>
          </w:rPr>
          <w:t>https://doi.org/10.1007/s10611-023-10116-8</w:t>
        </w:r>
      </w:hyperlink>
      <w:r>
        <w:t>.</w:t>
      </w:r>
    </w:p>
    <w:p w:rsidR="007E7629" w:rsidRDefault="003E360F">
      <w:r>
        <w:t xml:space="preserve">Deprá, M. C., Dias, R. R., Zepka, L. Q., and Jacob-Lopes, E. (2022). Building cleaner production: How to anchor sustainability in the food production chain? </w:t>
      </w:r>
      <w:r>
        <w:rPr>
          <w:i/>
          <w:iCs/>
        </w:rPr>
        <w:t>Environmental Advances</w:t>
      </w:r>
      <w:r>
        <w:t xml:space="preserve">, </w:t>
      </w:r>
      <w:r>
        <w:rPr>
          <w:i/>
          <w:iCs/>
        </w:rPr>
        <w:t>9</w:t>
      </w:r>
      <w:r>
        <w:t xml:space="preserve">, 100295. </w:t>
      </w:r>
      <w:hyperlink r:id="rId38">
        <w:r>
          <w:rPr>
            <w:color w:val="1155CC"/>
            <w:u w:val="single"/>
          </w:rPr>
          <w:t>https://doi.org/10.1016/j.envadv.2022.100295</w:t>
        </w:r>
      </w:hyperlink>
      <w:r>
        <w:t>.</w:t>
      </w:r>
    </w:p>
    <w:p w:rsidR="007E7629" w:rsidRDefault="003E360F">
      <w:r>
        <w:t xml:space="preserve">Dhaigude, A. S., Chatterjee, D., and Kamath, G. B. (2025). Supply chain integration and culture under globalization: A systematic review and global research agenda. </w:t>
      </w:r>
      <w:r>
        <w:rPr>
          <w:i/>
          <w:iCs/>
        </w:rPr>
        <w:t>Research in Globalization</w:t>
      </w:r>
      <w:r>
        <w:t xml:space="preserve">, </w:t>
      </w:r>
      <w:r>
        <w:rPr>
          <w:i/>
          <w:iCs/>
        </w:rPr>
        <w:t>11</w:t>
      </w:r>
      <w:r>
        <w:t xml:space="preserve">, 100293. </w:t>
      </w:r>
      <w:hyperlink r:id="rId39">
        <w:r>
          <w:rPr>
            <w:color w:val="1155CC"/>
            <w:u w:val="single"/>
          </w:rPr>
          <w:t>https://doi.org/10.1016/j.resglo.2025.100293</w:t>
        </w:r>
      </w:hyperlink>
      <w:r>
        <w:t>.</w:t>
      </w:r>
    </w:p>
    <w:p w:rsidR="007E7629" w:rsidRDefault="003E360F">
      <w:r>
        <w:t xml:space="preserve">Doanh, D. C., Tram, T. B., Vu, P. Q., Linh, L. T. N., and Huong, N. T. T. (2025). Blockchain-based food traceability system and green brand image: Enhancing product trust and purchase intentions for online agricultural products. </w:t>
      </w:r>
      <w:r>
        <w:rPr>
          <w:i/>
          <w:iCs/>
        </w:rPr>
        <w:t>Cleaner and Responsible Consumption</w:t>
      </w:r>
      <w:r>
        <w:t xml:space="preserve">, </w:t>
      </w:r>
      <w:r>
        <w:rPr>
          <w:i/>
          <w:iCs/>
        </w:rPr>
        <w:t>20</w:t>
      </w:r>
      <w:r>
        <w:t xml:space="preserve">, 100368. </w:t>
      </w:r>
      <w:hyperlink r:id="rId40">
        <w:r>
          <w:rPr>
            <w:color w:val="1155CC"/>
            <w:u w:val="single"/>
          </w:rPr>
          <w:t>https://doi.org/10.1016/j.clrc.2025.100368</w:t>
        </w:r>
      </w:hyperlink>
      <w:r>
        <w:rPr>
          <w:color w:val="1155CC"/>
          <w:u w:val="single"/>
        </w:rPr>
        <w:t>.</w:t>
      </w:r>
    </w:p>
    <w:p w:rsidR="007E7629" w:rsidRDefault="003E360F">
      <w:pPr>
        <w:widowControl w:val="0"/>
        <w:shd w:val="clear" w:color="auto" w:fill="auto"/>
        <w:jc w:val="left"/>
        <w:rPr>
          <w:color w:val="000000"/>
        </w:rPr>
      </w:pPr>
      <w:r>
        <w:rPr>
          <w:color w:val="000000"/>
        </w:rPr>
        <w:t xml:space="preserve">Duckworth, J. J., Randle, M., McGale, L. S., Jones, A., Doherty, B., Halford, J. C., and Christiansen, P. (2022). Do front-of-pack ‘green labels’ increase sustainable food choice and willingness-to-pay in U.K. Consumers? </w:t>
      </w:r>
      <w:r>
        <w:rPr>
          <w:i/>
          <w:iCs/>
          <w:color w:val="000000"/>
        </w:rPr>
        <w:t>Journal of Cleaner Production</w:t>
      </w:r>
      <w:r>
        <w:rPr>
          <w:color w:val="000000"/>
        </w:rPr>
        <w:t xml:space="preserve">, </w:t>
      </w:r>
      <w:r>
        <w:rPr>
          <w:i/>
          <w:iCs/>
          <w:color w:val="000000"/>
        </w:rPr>
        <w:t>371</w:t>
      </w:r>
      <w:r>
        <w:rPr>
          <w:color w:val="000000"/>
        </w:rPr>
        <w:t xml:space="preserve">, 133466. </w:t>
      </w:r>
      <w:hyperlink r:id="rId41">
        <w:r>
          <w:rPr>
            <w:color w:val="1155CC"/>
            <w:u w:val="single"/>
          </w:rPr>
          <w:t>https://doi.org/10.1016/j.jclepro.2022.133466</w:t>
        </w:r>
      </w:hyperlink>
      <w:r>
        <w:rPr>
          <w:color w:val="000000"/>
        </w:rPr>
        <w:t>.</w:t>
      </w:r>
    </w:p>
    <w:p w:rsidR="007E7629" w:rsidRDefault="003E360F">
      <w:pPr>
        <w:spacing w:after="240"/>
      </w:pPr>
      <w:r>
        <w:t xml:space="preserve">ESG News., 2024. </w:t>
      </w:r>
      <w:r>
        <w:rPr>
          <w:i/>
          <w:iCs/>
        </w:rPr>
        <w:t>Consumers willing to pay average of 9.7% more for sustainable goods: PwC survey</w:t>
      </w:r>
      <w:r>
        <w:t xml:space="preserve">. [online] </w:t>
      </w:r>
      <w:r>
        <w:rPr>
          <w:i/>
          <w:iCs/>
        </w:rPr>
        <w:t>ESG News</w:t>
      </w:r>
      <w:r>
        <w:t xml:space="preserve">. Available at: </w:t>
      </w:r>
      <w:hyperlink r:id="rId42">
        <w:r>
          <w:rPr>
            <w:color w:val="1155CC"/>
            <w:u w:val="single"/>
          </w:rPr>
          <w:t>https://esgnews.com/consumers-willing-to-pay-average-of-9-7-more-for-sustainable-goods-pwc-survey/</w:t>
        </w:r>
      </w:hyperlink>
      <w:r>
        <w:t>.</w:t>
      </w:r>
    </w:p>
    <w:p w:rsidR="007E7629" w:rsidRDefault="00FB5D41">
      <w:pPr>
        <w:spacing w:after="240"/>
      </w:pPr>
      <w:hyperlink r:id="rId43">
        <w:r w:rsidR="003E360F">
          <w:rPr>
            <w:color w:val="1155CC"/>
            <w:u w:val="single"/>
          </w:rPr>
          <w:t>FAO.org</w:t>
        </w:r>
      </w:hyperlink>
      <w:r w:rsidR="003E360F">
        <w:t xml:space="preserve">., 2026. </w:t>
      </w:r>
      <w:r w:rsidR="003E360F">
        <w:rPr>
          <w:i/>
          <w:iCs/>
        </w:rPr>
        <w:t>World food safety day 2026: Turning evidence into action for safer food</w:t>
      </w:r>
      <w:r w:rsidR="003E360F">
        <w:t xml:space="preserve">. [online] FoodSafetyQuality. Available at: </w:t>
      </w:r>
      <w:hyperlink r:id="rId44">
        <w:r w:rsidR="003E360F">
          <w:rPr>
            <w:color w:val="1155CC"/>
            <w:u w:val="single"/>
          </w:rPr>
          <w:t>https://www.fao.org/food-safety/world-food-safety-day-2026-materials/world-food-safety-day-2026--turning-evidence-into-action-for-safer-food/en</w:t>
        </w:r>
      </w:hyperlink>
      <w:r w:rsidR="003E360F">
        <w:t>.</w:t>
      </w:r>
    </w:p>
    <w:p w:rsidR="007E7629" w:rsidRDefault="003E360F">
      <w:r>
        <w:rPr>
          <w:highlight w:val="white"/>
        </w:rPr>
        <w:t xml:space="preserve">Fischer, F., 2025. Interpretivism vs. positivism in policy studies: Is there common ground?. </w:t>
      </w:r>
      <w:r>
        <w:rPr>
          <w:i/>
          <w:iCs/>
          <w:highlight w:val="white"/>
        </w:rPr>
        <w:t>Critical Policy Studies</w:t>
      </w:r>
      <w:r>
        <w:rPr>
          <w:highlight w:val="white"/>
        </w:rPr>
        <w:t xml:space="preserve">, </w:t>
      </w:r>
      <w:r>
        <w:rPr>
          <w:i/>
          <w:iCs/>
          <w:highlight w:val="white"/>
        </w:rPr>
        <w:t>19</w:t>
      </w:r>
      <w:r>
        <w:rPr>
          <w:highlight w:val="white"/>
        </w:rPr>
        <w:t xml:space="preserve">(3), pp.371-376. </w:t>
      </w:r>
      <w:hyperlink r:id="rId45">
        <w:r>
          <w:rPr>
            <w:color w:val="1155CC"/>
            <w:highlight w:val="white"/>
            <w:u w:val="single"/>
          </w:rPr>
          <w:t>https://www.tandfonline.com/doi/full/10.1080/19460171.2025.2536645</w:t>
        </w:r>
      </w:hyperlink>
      <w:r>
        <w:t>.</w:t>
      </w:r>
    </w:p>
    <w:p w:rsidR="007E7629" w:rsidRDefault="003E360F">
      <w:pPr>
        <w:spacing w:after="240"/>
      </w:pPr>
      <w:r>
        <w:t xml:space="preserve">Flynn, A., 2026. </w:t>
      </w:r>
      <w:r>
        <w:rPr>
          <w:i/>
          <w:iCs/>
        </w:rPr>
        <w:t>What the CMA’s new green claims guidance mean for businesses</w:t>
      </w:r>
      <w:r>
        <w:t xml:space="preserve">. [online] </w:t>
      </w:r>
      <w:r>
        <w:rPr>
          <w:i/>
          <w:iCs/>
        </w:rPr>
        <w:t>Brc.org.uk</w:t>
      </w:r>
      <w:r>
        <w:t xml:space="preserve">. Available at: </w:t>
      </w:r>
      <w:hyperlink r:id="rId46">
        <w:r>
          <w:rPr>
            <w:color w:val="1155CC"/>
            <w:u w:val="single"/>
          </w:rPr>
          <w:t>https://brc.org.uk/news-and-events/news/associate-insight/2026/what-the-cma-s-new-green-claims-guidance-mean-for-businesses/</w:t>
        </w:r>
      </w:hyperlink>
      <w:r>
        <w:t>.</w:t>
      </w:r>
    </w:p>
    <w:p w:rsidR="007E7629" w:rsidRDefault="003E360F">
      <w:pPr>
        <w:widowControl w:val="0"/>
        <w:shd w:val="clear" w:color="auto" w:fill="auto"/>
        <w:rPr>
          <w:color w:val="000000"/>
        </w:rPr>
      </w:pPr>
      <w:r>
        <w:rPr>
          <w:color w:val="000000"/>
        </w:rPr>
        <w:t xml:space="preserve">Foden, M., Head, E., Katz-Gerro, T., and Martens, L. (2022). Environment or Economy? Food </w:t>
      </w:r>
      <w:r>
        <w:rPr>
          <w:color w:val="000000"/>
        </w:rPr>
        <w:lastRenderedPageBreak/>
        <w:t xml:space="preserve">Concerns and Sustainable Food Transitions in the UK. </w:t>
      </w:r>
      <w:r>
        <w:rPr>
          <w:i/>
          <w:iCs/>
          <w:color w:val="000000"/>
        </w:rPr>
        <w:t>Sociology</w:t>
      </w:r>
      <w:r>
        <w:rPr>
          <w:color w:val="000000"/>
        </w:rPr>
        <w:t xml:space="preserve">. </w:t>
      </w:r>
      <w:hyperlink r:id="rId47">
        <w:r>
          <w:rPr>
            <w:color w:val="1155CC"/>
            <w:u w:val="single"/>
          </w:rPr>
          <w:t>https://doi.org/10.1177/00380385211043679</w:t>
        </w:r>
      </w:hyperlink>
      <w:r>
        <w:rPr>
          <w:color w:val="000000"/>
        </w:rPr>
        <w:t>.</w:t>
      </w:r>
    </w:p>
    <w:p w:rsidR="007E7629" w:rsidRDefault="003E360F">
      <w:pPr>
        <w:spacing w:after="240"/>
      </w:pPr>
      <w:r>
        <w:t xml:space="preserve">FSA., 2025. Consumer insights tracker (july 2025 – september 2025). </w:t>
      </w:r>
      <w:r>
        <w:rPr>
          <w:i/>
          <w:iCs/>
        </w:rPr>
        <w:t>FSA Research and Evidence</w:t>
      </w:r>
      <w:r>
        <w:t>. doi:</w:t>
      </w:r>
      <w:hyperlink r:id="rId48">
        <w:r>
          <w:rPr>
            <w:color w:val="1155CC"/>
            <w:u w:val="single"/>
          </w:rPr>
          <w:t>https://doi.org/10.46756/001c.145735</w:t>
        </w:r>
      </w:hyperlink>
      <w:r>
        <w:t>.</w:t>
      </w:r>
    </w:p>
    <w:p w:rsidR="007E7629" w:rsidRDefault="003E360F">
      <w:pPr>
        <w:shd w:val="clear" w:color="auto" w:fill="auto"/>
        <w:spacing w:before="240" w:after="240"/>
        <w:rPr>
          <w:color w:val="000000"/>
        </w:rPr>
      </w:pPr>
      <w:r>
        <w:t xml:space="preserve">Gazzola, P., Amelio, S. and Vota, V., (2026). When Does ESG Create Value? A Literature Review on Benefits, Credibility, and Enabling Factors. </w:t>
      </w:r>
      <w:r>
        <w:rPr>
          <w:i/>
          <w:iCs/>
        </w:rPr>
        <w:t>Journal of Risk and Financial Management</w:t>
      </w:r>
      <w:r>
        <w:t xml:space="preserve">, </w:t>
      </w:r>
      <w:r>
        <w:rPr>
          <w:i/>
          <w:iCs/>
        </w:rPr>
        <w:t>19</w:t>
      </w:r>
      <w:r>
        <w:t>(5), p.360.</w:t>
      </w:r>
      <w:hyperlink r:id="rId49">
        <w:r>
          <w:rPr>
            <w:color w:val="1155CC"/>
            <w:u w:val="single"/>
          </w:rPr>
          <w:t>https://doi.org/10.3390/jrfm19050360</w:t>
        </w:r>
      </w:hyperlink>
      <w:r>
        <w:rPr>
          <w:color w:val="000000"/>
        </w:rPr>
        <w:t>.</w:t>
      </w:r>
    </w:p>
    <w:p w:rsidR="007E7629" w:rsidRDefault="003E360F">
      <w:r>
        <w:t xml:space="preserve">Gerassimidou, S., Lovat, E., Ebner, N., You, W., Giakoumis, T., Martin, O. V., and Iacovidou, E. (2022). Unpacking the complexity of the UK plastic packaging value chain: A stakeholder perspective. </w:t>
      </w:r>
      <w:r>
        <w:rPr>
          <w:i/>
          <w:iCs/>
        </w:rPr>
        <w:t>Sustainable Production and Consumption</w:t>
      </w:r>
      <w:r>
        <w:t xml:space="preserve">, </w:t>
      </w:r>
      <w:r>
        <w:rPr>
          <w:i/>
          <w:iCs/>
        </w:rPr>
        <w:t>30</w:t>
      </w:r>
      <w:r>
        <w:t xml:space="preserve">, 657-673. </w:t>
      </w:r>
      <w:hyperlink r:id="rId50">
        <w:r>
          <w:rPr>
            <w:color w:val="1155CC"/>
            <w:u w:val="single"/>
          </w:rPr>
          <w:t>https://doi.org/10.1016/j.spc.2021.11.005</w:t>
        </w:r>
      </w:hyperlink>
      <w:r>
        <w:rPr>
          <w:color w:val="1155CC"/>
          <w:u w:val="single"/>
        </w:rPr>
        <w:t>.</w:t>
      </w:r>
    </w:p>
    <w:p w:rsidR="007E7629" w:rsidRDefault="00FB5D41">
      <w:pPr>
        <w:spacing w:after="240"/>
      </w:pPr>
      <w:hyperlink r:id="rId51">
        <w:r w:rsidR="003E360F">
          <w:rPr>
            <w:color w:val="1155CC"/>
            <w:u w:val="single"/>
          </w:rPr>
          <w:t>GOV.UK</w:t>
        </w:r>
      </w:hyperlink>
      <w:r w:rsidR="003E360F">
        <w:t xml:space="preserve">., 2021. </w:t>
      </w:r>
      <w:r w:rsidR="003E360F">
        <w:rPr>
          <w:i/>
          <w:iCs/>
        </w:rPr>
        <w:t>Making environmental claims on goods and services</w:t>
      </w:r>
      <w:r w:rsidR="003E360F">
        <w:t xml:space="preserve">. [online] </w:t>
      </w:r>
      <w:r w:rsidR="003E360F">
        <w:rPr>
          <w:i/>
          <w:iCs/>
        </w:rPr>
        <w:t>GOV.UK</w:t>
      </w:r>
      <w:r w:rsidR="003E360F">
        <w:t xml:space="preserve">. Available at: </w:t>
      </w:r>
      <w:hyperlink r:id="rId52">
        <w:r w:rsidR="003E360F">
          <w:rPr>
            <w:color w:val="1155CC"/>
            <w:u w:val="single"/>
          </w:rPr>
          <w:t>https://www.gov.uk/government/publications/green-claims-code-making-environmental-claims/environmental-claims-on-goods-and-services</w:t>
        </w:r>
      </w:hyperlink>
      <w:r w:rsidR="003E360F">
        <w:t>.</w:t>
      </w:r>
    </w:p>
    <w:p w:rsidR="007E7629" w:rsidRDefault="00FB5D41">
      <w:pPr>
        <w:widowControl w:val="0"/>
        <w:shd w:val="clear" w:color="auto" w:fill="auto"/>
        <w:spacing w:after="240"/>
      </w:pPr>
      <w:hyperlink r:id="rId53">
        <w:r w:rsidR="003E360F">
          <w:rPr>
            <w:color w:val="1155CC"/>
            <w:u w:val="single"/>
          </w:rPr>
          <w:t>GOV.UK</w:t>
        </w:r>
      </w:hyperlink>
      <w:r w:rsidR="003E360F">
        <w:rPr>
          <w:color w:val="000000"/>
        </w:rPr>
        <w:t xml:space="preserve">., 2022. </w:t>
      </w:r>
      <w:r w:rsidR="003E360F">
        <w:rPr>
          <w:i/>
          <w:iCs/>
          <w:color w:val="000000"/>
        </w:rPr>
        <w:t>Environmental sustainability and the UK competition and consumer regimes: CMA advice to the government</w:t>
      </w:r>
      <w:r w:rsidR="003E360F">
        <w:rPr>
          <w:color w:val="000000"/>
        </w:rPr>
        <w:t xml:space="preserve">. [online] </w:t>
      </w:r>
      <w:r w:rsidR="003E360F">
        <w:rPr>
          <w:i/>
          <w:iCs/>
          <w:color w:val="000000"/>
        </w:rPr>
        <w:t>GOV.UK</w:t>
      </w:r>
      <w:r w:rsidR="003E360F">
        <w:rPr>
          <w:color w:val="000000"/>
        </w:rPr>
        <w:t xml:space="preserve">. Available at: </w:t>
      </w:r>
      <w:hyperlink r:id="rId54">
        <w:r w:rsidR="003E360F">
          <w:rPr>
            <w:color w:val="1155CC"/>
            <w:u w:val="single"/>
          </w:rPr>
          <w:t>https://www.gov.uk/government/publications/environmental-sustainability-and-the-uk-competition-and-consumer-regimes-cma-advice-to-the-government/environmental-sustainability-and-the-uk-competition-and-consumer-regimes-cma-advice-to-the-government</w:t>
        </w:r>
      </w:hyperlink>
      <w:r w:rsidR="003E360F">
        <w:rPr>
          <w:color w:val="000000"/>
        </w:rPr>
        <w:t>.</w:t>
      </w:r>
    </w:p>
    <w:p w:rsidR="007E7629" w:rsidRDefault="00FB5D41">
      <w:pPr>
        <w:widowControl w:val="0"/>
        <w:shd w:val="clear" w:color="auto" w:fill="auto"/>
        <w:spacing w:after="240"/>
        <w:rPr>
          <w:color w:val="000000"/>
        </w:rPr>
      </w:pPr>
      <w:hyperlink r:id="rId55">
        <w:r w:rsidR="003E360F">
          <w:rPr>
            <w:color w:val="1155CC"/>
            <w:u w:val="single"/>
          </w:rPr>
          <w:t>GOV.UK</w:t>
        </w:r>
      </w:hyperlink>
      <w:r w:rsidR="003E360F">
        <w:rPr>
          <w:color w:val="000000"/>
        </w:rPr>
        <w:t xml:space="preserve">., 2024. </w:t>
      </w:r>
      <w:r w:rsidR="003E360F">
        <w:rPr>
          <w:i/>
          <w:iCs/>
          <w:color w:val="000000"/>
        </w:rPr>
        <w:t>FDTP: Towards consistent, accurate and accessible environmental impact quantification for the agri-food industry</w:t>
      </w:r>
      <w:r w:rsidR="003E360F">
        <w:rPr>
          <w:color w:val="000000"/>
        </w:rPr>
        <w:t xml:space="preserve">. [online] </w:t>
      </w:r>
      <w:r w:rsidR="003E360F">
        <w:rPr>
          <w:i/>
          <w:iCs/>
          <w:color w:val="000000"/>
        </w:rPr>
        <w:t>GOV.UK</w:t>
      </w:r>
      <w:r w:rsidR="003E360F">
        <w:rPr>
          <w:color w:val="000000"/>
        </w:rPr>
        <w:t xml:space="preserve">. Available at: </w:t>
      </w:r>
      <w:hyperlink r:id="rId56">
        <w:r w:rsidR="003E360F">
          <w:rPr>
            <w:color w:val="1155CC"/>
            <w:u w:val="single"/>
          </w:rPr>
          <w:t>https://www.gov.uk/government/publications/food-data-transparency-partnership-agri-food-environmental-data/fdtp-towards-consistent-accurate-and-accessible-environmental-impact-quantification-for-the-agri-food-industry</w:t>
        </w:r>
      </w:hyperlink>
      <w:r w:rsidR="003E360F">
        <w:rPr>
          <w:color w:val="1155CC"/>
          <w:u w:val="single"/>
        </w:rPr>
        <w:t>.</w:t>
      </w:r>
    </w:p>
    <w:p w:rsidR="007E7629" w:rsidRDefault="00FB5D41">
      <w:pPr>
        <w:spacing w:after="240"/>
      </w:pPr>
      <w:hyperlink r:id="rId57">
        <w:r w:rsidR="003E360F">
          <w:rPr>
            <w:color w:val="1155CC"/>
            <w:u w:val="single"/>
          </w:rPr>
          <w:t>GOV.UK</w:t>
        </w:r>
      </w:hyperlink>
      <w:r w:rsidR="003E360F">
        <w:t xml:space="preserve">., 2026. </w:t>
      </w:r>
      <w:r w:rsidR="003E360F">
        <w:rPr>
          <w:i/>
          <w:iCs/>
        </w:rPr>
        <w:t>Making green claims: Getting it right, across the supply chain</w:t>
      </w:r>
      <w:r w:rsidR="003E360F">
        <w:t xml:space="preserve">. [online] </w:t>
      </w:r>
      <w:r w:rsidR="003E360F">
        <w:rPr>
          <w:i/>
          <w:iCs/>
        </w:rPr>
        <w:t>GOV.UK</w:t>
      </w:r>
      <w:r w:rsidR="003E360F">
        <w:t xml:space="preserve">. Available at: </w:t>
      </w:r>
      <w:hyperlink r:id="rId58">
        <w:r w:rsidR="003E360F">
          <w:rPr>
            <w:color w:val="1155CC"/>
            <w:u w:val="single"/>
          </w:rPr>
          <w:t>https://www.gov.uk/government/publications/making-green-claims-getting-it-right-across-the-supply-chain/making-green-claims-getting-it-right-across-the-supply-chain</w:t>
        </w:r>
      </w:hyperlink>
      <w:r w:rsidR="003E360F">
        <w:t>.</w:t>
      </w:r>
    </w:p>
    <w:p w:rsidR="007E7629" w:rsidRDefault="003E360F">
      <w:pPr>
        <w:widowControl w:val="0"/>
        <w:shd w:val="clear" w:color="auto" w:fill="auto"/>
        <w:rPr>
          <w:color w:val="000000"/>
        </w:rPr>
      </w:pPr>
      <w:r>
        <w:t xml:space="preserve">Greenwood, S. and Reynolds, C., 2024. Fresh produce on the loose: examining the coherence between plastic packaging and food waste policy using the case study of fruit and vegetables </w:t>
      </w:r>
      <w:r>
        <w:lastRenderedPageBreak/>
        <w:t xml:space="preserve">in the UK. </w:t>
      </w:r>
      <w:r>
        <w:rPr>
          <w:i/>
          <w:iCs/>
        </w:rPr>
        <w:t>Environmental Research: Food Systems</w:t>
      </w:r>
      <w:r>
        <w:t xml:space="preserve">, </w:t>
      </w:r>
      <w:r>
        <w:rPr>
          <w:i/>
          <w:iCs/>
        </w:rPr>
        <w:t>1</w:t>
      </w:r>
      <w:r>
        <w:t>(2), p.025008.</w:t>
      </w:r>
      <w:r>
        <w:rPr>
          <w:color w:val="000000"/>
        </w:rPr>
        <w:t xml:space="preserve"> </w:t>
      </w:r>
      <w:hyperlink r:id="rId59">
        <w:r>
          <w:rPr>
            <w:color w:val="1155CC"/>
            <w:u w:val="single"/>
          </w:rPr>
          <w:t>https://iopscience.iop.org/article/10.1088/2976-601X/ad7ff3</w:t>
        </w:r>
      </w:hyperlink>
      <w:r>
        <w:rPr>
          <w:color w:val="000000"/>
        </w:rPr>
        <w:t>.</w:t>
      </w:r>
    </w:p>
    <w:p w:rsidR="007E7629" w:rsidRDefault="003E360F">
      <w:r>
        <w:t xml:space="preserve">Guo, J., 2026. ESG disclosure and price premiums in sustainable pet food markets: The mediating role of value chain signals and consumer trust. </w:t>
      </w:r>
      <w:r>
        <w:rPr>
          <w:i/>
          <w:iCs/>
        </w:rPr>
        <w:t>Frontiers in Sustainable Food Systems</w:t>
      </w:r>
      <w:r>
        <w:t xml:space="preserve">, </w:t>
      </w:r>
      <w:r>
        <w:rPr>
          <w:i/>
          <w:iCs/>
        </w:rPr>
        <w:t>10</w:t>
      </w:r>
      <w:r>
        <w:t xml:space="preserve">, 1835925. </w:t>
      </w:r>
      <w:hyperlink r:id="rId60">
        <w:r>
          <w:rPr>
            <w:color w:val="1155CC"/>
            <w:u w:val="single"/>
          </w:rPr>
          <w:t>https://doi.org/10.3389/fsufs.2026.1835925</w:t>
        </w:r>
      </w:hyperlink>
      <w:r>
        <w:t>.</w:t>
      </w:r>
    </w:p>
    <w:p w:rsidR="007E7629" w:rsidRDefault="003E360F">
      <w:r>
        <w:t xml:space="preserve">Gutierrez-Huerter O, G., Gold, S. and Trautrims, A., (2023). Change in rhetoric but not in action? Framing of the ethical issue of modern slavery in a UK sector at high risk of labor exploitation. </w:t>
      </w:r>
      <w:r>
        <w:rPr>
          <w:i/>
          <w:iCs/>
        </w:rPr>
        <w:t>Journal of business ethics</w:t>
      </w:r>
      <w:r>
        <w:t xml:space="preserve">, </w:t>
      </w:r>
      <w:r>
        <w:rPr>
          <w:i/>
          <w:iCs/>
        </w:rPr>
        <w:t>182</w:t>
      </w:r>
      <w:r>
        <w:t>(1), pp.35-58.</w:t>
      </w:r>
      <w:hyperlink r:id="rId61">
        <w:r>
          <w:rPr>
            <w:color w:val="1155CC"/>
            <w:u w:val="single"/>
          </w:rPr>
          <w:t>https://doi.org/10.1007/s10551-021-05013-w</w:t>
        </w:r>
      </w:hyperlink>
      <w:r>
        <w:t>.</w:t>
      </w:r>
    </w:p>
    <w:p w:rsidR="007E7629" w:rsidRDefault="003E360F">
      <w:pPr>
        <w:widowControl w:val="0"/>
        <w:shd w:val="clear" w:color="auto" w:fill="auto"/>
        <w:jc w:val="left"/>
        <w:rPr>
          <w:color w:val="000000"/>
        </w:rPr>
      </w:pPr>
      <w:r>
        <w:rPr>
          <w:color w:val="000000"/>
        </w:rPr>
        <w:t xml:space="preserve">Hashim, S., Tan, Q. L., and Zheng, Z. (2025). From Awareness to Engagement: A Systematic Review of Sustainability Campaigns and Consumer Response. </w:t>
      </w:r>
      <w:r>
        <w:rPr>
          <w:i/>
          <w:iCs/>
          <w:color w:val="000000"/>
        </w:rPr>
        <w:t>Sage Open</w:t>
      </w:r>
      <w:r>
        <w:rPr>
          <w:color w:val="000000"/>
        </w:rPr>
        <w:t xml:space="preserve">. </w:t>
      </w:r>
      <w:hyperlink r:id="rId62">
        <w:r>
          <w:rPr>
            <w:color w:val="1155CC"/>
            <w:u w:val="single"/>
          </w:rPr>
          <w:t>https://doi.org/10.1177/21582440251404749</w:t>
        </w:r>
      </w:hyperlink>
      <w:r>
        <w:rPr>
          <w:color w:val="000000"/>
        </w:rPr>
        <w:t>.</w:t>
      </w:r>
    </w:p>
    <w:p w:rsidR="007E7629" w:rsidRDefault="003E360F">
      <w:r>
        <w:t xml:space="preserve">Hemachandra, S. and Pettigrew, S., (2025). Sustainability Implications of Changes in Types and Variability of Yoghurt Packaging Solutions over a Decade. </w:t>
      </w:r>
      <w:r>
        <w:rPr>
          <w:i/>
          <w:iCs/>
        </w:rPr>
        <w:t>Sustainability</w:t>
      </w:r>
      <w:r>
        <w:t xml:space="preserve">, </w:t>
      </w:r>
      <w:r>
        <w:rPr>
          <w:i/>
          <w:iCs/>
        </w:rPr>
        <w:t>17</w:t>
      </w:r>
      <w:r>
        <w:t>(18), p.8273.</w:t>
      </w:r>
      <w:hyperlink r:id="rId63">
        <w:r>
          <w:rPr>
            <w:color w:val="0000FF"/>
            <w:u w:val="single"/>
          </w:rPr>
          <w:t>https://doi.org/10.3390/su17188273</w:t>
        </w:r>
      </w:hyperlink>
      <w:r>
        <w:t>.</w:t>
      </w:r>
    </w:p>
    <w:p w:rsidR="007E7629" w:rsidRDefault="003E360F">
      <w:pPr>
        <w:widowControl w:val="0"/>
        <w:shd w:val="clear" w:color="auto" w:fill="auto"/>
        <w:rPr>
          <w:color w:val="000000"/>
        </w:rPr>
      </w:pPr>
      <w:r>
        <w:rPr>
          <w:color w:val="000000"/>
        </w:rPr>
        <w:t xml:space="preserve">Inês, A., Diniz, A., and Moreira, A. C. (2023). A review of greenwashing and supply chain management: Challenges ahead. </w:t>
      </w:r>
      <w:r>
        <w:rPr>
          <w:i/>
          <w:iCs/>
          <w:color w:val="000000"/>
        </w:rPr>
        <w:t>Cleaner Environmental Systems</w:t>
      </w:r>
      <w:r>
        <w:rPr>
          <w:color w:val="000000"/>
        </w:rPr>
        <w:t xml:space="preserve">, </w:t>
      </w:r>
      <w:r>
        <w:rPr>
          <w:i/>
          <w:iCs/>
          <w:color w:val="000000"/>
        </w:rPr>
        <w:t>11</w:t>
      </w:r>
      <w:r>
        <w:rPr>
          <w:color w:val="000000"/>
        </w:rPr>
        <w:t xml:space="preserve">, 100136. </w:t>
      </w:r>
      <w:hyperlink r:id="rId64">
        <w:r>
          <w:rPr>
            <w:color w:val="1155CC"/>
            <w:u w:val="single"/>
          </w:rPr>
          <w:t>https://doi.org/10.1016/j.cesys.2023.100136</w:t>
        </w:r>
      </w:hyperlink>
      <w:r>
        <w:rPr>
          <w:color w:val="000000"/>
        </w:rPr>
        <w:t>.</w:t>
      </w:r>
    </w:p>
    <w:p w:rsidR="007E7629" w:rsidRDefault="003E360F">
      <w:r>
        <w:t xml:space="preserve">Isac, N., Javed, A., Radulescu, M., Cismasu, I.D.L., Yousaf, Z. and Serbu, R.S., (2025). Is greenwashing impacting on green brand trust and purchase intentions? Mediating role of environmental knowledge. </w:t>
      </w:r>
      <w:r>
        <w:rPr>
          <w:i/>
          <w:iCs/>
        </w:rPr>
        <w:t>Environment, Development and Sustainability</w:t>
      </w:r>
      <w:r>
        <w:t xml:space="preserve">, </w:t>
      </w:r>
      <w:r>
        <w:rPr>
          <w:i/>
          <w:iCs/>
        </w:rPr>
        <w:t>27</w:t>
      </w:r>
      <w:r>
        <w:t>(9), pp.21329-21346.</w:t>
      </w:r>
      <w:hyperlink r:id="rId65">
        <w:r>
          <w:rPr>
            <w:color w:val="1155CC"/>
            <w:u w:val="single"/>
          </w:rPr>
          <w:t>https://doi.org/10.1007/s10668-023-04352-0</w:t>
        </w:r>
      </w:hyperlink>
      <w:r>
        <w:t>.</w:t>
      </w:r>
    </w:p>
    <w:p w:rsidR="007E7629" w:rsidRDefault="003E360F">
      <w:pPr>
        <w:shd w:val="clear" w:color="auto" w:fill="auto"/>
        <w:spacing w:before="240" w:after="240"/>
        <w:rPr>
          <w:color w:val="000000"/>
        </w:rPr>
      </w:pPr>
      <w:r>
        <w:t xml:space="preserve">Jaffari, A.A., Gupta, H., Muzaffar, A., Madawala, K. and Wajid, N., (2026). Trust in the digital marketplace: exploring ethical information strategies through the ESG framework. </w:t>
      </w:r>
      <w:r>
        <w:rPr>
          <w:i/>
          <w:iCs/>
        </w:rPr>
        <w:t>Behaviour &amp; Information Technology</w:t>
      </w:r>
      <w:r>
        <w:t>, pp.1-14.</w:t>
      </w:r>
      <w:hyperlink r:id="rId66">
        <w:r>
          <w:rPr>
            <w:color w:val="1155CC"/>
            <w:u w:val="single"/>
          </w:rPr>
          <w:t>https://doi.org/10.1080/0144929X.2026.2655870</w:t>
        </w:r>
      </w:hyperlink>
      <w:r>
        <w:rPr>
          <w:color w:val="000000"/>
        </w:rPr>
        <w:t>.</w:t>
      </w:r>
    </w:p>
    <w:p w:rsidR="007E7629" w:rsidRDefault="003E360F">
      <w:r>
        <w:t>Jamil, N.N. and Wahyuni, E.T., (2024). Unveiling greenwashing: Risks in sustainability and ESG reporting.</w:t>
      </w:r>
      <w:hyperlink r:id="rId67">
        <w:r>
          <w:rPr>
            <w:color w:val="0000FF"/>
            <w:u w:val="single"/>
          </w:rPr>
          <w:t>https://www.researchgate.net/profile/Nurul-Jamil-6/publication/385297441_Unveiling_greenwashing_Risks_in_sustainability_and_ESG_reporting/links/671f36d255a5271cdeded013/Unveiling-greenwashing-Risks-in-sustainability-and-ESG-reporting.pdf</w:t>
        </w:r>
      </w:hyperlink>
      <w:r>
        <w:t>.</w:t>
      </w:r>
    </w:p>
    <w:p w:rsidR="007E7629" w:rsidRDefault="003E360F">
      <w:r>
        <w:t xml:space="preserve">Kapoor, D., Shields, K., Reynolds, C., Del Valle Menendez, M., and Jaacks, L. M. (2025). The UK Food Environment: A Systematic Review of Domains, Methodologies, and Outcomes. </w:t>
      </w:r>
      <w:r>
        <w:rPr>
          <w:i/>
          <w:iCs/>
        </w:rPr>
        <w:lastRenderedPageBreak/>
        <w:t>Current Developments in Nutrition</w:t>
      </w:r>
      <w:r>
        <w:t xml:space="preserve">, </w:t>
      </w:r>
      <w:r>
        <w:rPr>
          <w:i/>
          <w:iCs/>
        </w:rPr>
        <w:t>9</w:t>
      </w:r>
      <w:r>
        <w:t xml:space="preserve">(11), 107573. </w:t>
      </w:r>
      <w:hyperlink r:id="rId68">
        <w:r>
          <w:rPr>
            <w:color w:val="1155CC"/>
            <w:u w:val="single"/>
          </w:rPr>
          <w:t>https://doi.org/10.1016/j.cdnut.2025.107573</w:t>
        </w:r>
      </w:hyperlink>
      <w:r>
        <w:rPr>
          <w:color w:val="1155CC"/>
          <w:u w:val="single"/>
        </w:rPr>
        <w:t>.</w:t>
      </w:r>
    </w:p>
    <w:p w:rsidR="007E7629" w:rsidRDefault="003E360F">
      <w:pPr>
        <w:widowControl w:val="0"/>
        <w:shd w:val="clear" w:color="auto" w:fill="auto"/>
        <w:jc w:val="left"/>
        <w:rPr>
          <w:color w:val="000000"/>
        </w:rPr>
      </w:pPr>
      <w:r>
        <w:rPr>
          <w:color w:val="000000"/>
        </w:rPr>
        <w:t xml:space="preserve">Keaney, M., Jones, A., Pettigrew, S., Seferidi, P., Ni Mhurchu, C., and Barrett, E. M. (2026). Do foods that display sustainability claims have a lower carbon footprint than their unlabelled counterparts? </w:t>
      </w:r>
      <w:r>
        <w:rPr>
          <w:i/>
          <w:iCs/>
          <w:color w:val="000000"/>
        </w:rPr>
        <w:t>Cleaner and Responsible Consumption</w:t>
      </w:r>
      <w:r>
        <w:rPr>
          <w:color w:val="000000"/>
        </w:rPr>
        <w:t xml:space="preserve">, </w:t>
      </w:r>
      <w:r>
        <w:rPr>
          <w:i/>
          <w:iCs/>
          <w:color w:val="000000"/>
        </w:rPr>
        <w:t>22</w:t>
      </w:r>
      <w:r>
        <w:rPr>
          <w:color w:val="000000"/>
        </w:rPr>
        <w:t xml:space="preserve">, 100433. </w:t>
      </w:r>
      <w:hyperlink r:id="rId69">
        <w:r>
          <w:rPr>
            <w:color w:val="1155CC"/>
            <w:u w:val="single"/>
          </w:rPr>
          <w:t>https://doi.org/10.1016/j.clrc.2026.100433</w:t>
        </w:r>
      </w:hyperlink>
      <w:r>
        <w:rPr>
          <w:color w:val="000000"/>
        </w:rPr>
        <w:t>.</w:t>
      </w:r>
    </w:p>
    <w:p w:rsidR="007E7629" w:rsidRDefault="003E360F">
      <w:pPr>
        <w:widowControl w:val="0"/>
        <w:shd w:val="clear" w:color="auto" w:fill="auto"/>
        <w:jc w:val="left"/>
        <w:rPr>
          <w:color w:val="000000"/>
        </w:rPr>
      </w:pPr>
      <w:r>
        <w:rPr>
          <w:color w:val="000000"/>
        </w:rPr>
        <w:t xml:space="preserve">Ketkaew, C., and Komsing, Y. (2025). How health, ethical, and environmental claims shape sustainable food consumption: The role of eco-labeling information quality in retail food markets. </w:t>
      </w:r>
      <w:r>
        <w:rPr>
          <w:i/>
          <w:iCs/>
          <w:color w:val="000000"/>
        </w:rPr>
        <w:t>Future Foods</w:t>
      </w:r>
      <w:r>
        <w:rPr>
          <w:color w:val="000000"/>
        </w:rPr>
        <w:t xml:space="preserve">, </w:t>
      </w:r>
      <w:r>
        <w:rPr>
          <w:i/>
          <w:iCs/>
          <w:color w:val="000000"/>
        </w:rPr>
        <w:t>12</w:t>
      </w:r>
      <w:r>
        <w:rPr>
          <w:color w:val="000000"/>
        </w:rPr>
        <w:t xml:space="preserve">, 100831. </w:t>
      </w:r>
      <w:hyperlink r:id="rId70">
        <w:r>
          <w:rPr>
            <w:color w:val="1155CC"/>
            <w:u w:val="single"/>
          </w:rPr>
          <w:t>https://doi.org/10.1016/j.fufo.2025.100831</w:t>
        </w:r>
      </w:hyperlink>
      <w:r>
        <w:rPr>
          <w:color w:val="000000"/>
        </w:rPr>
        <w:t>.</w:t>
      </w:r>
    </w:p>
    <w:p w:rsidR="007E7629" w:rsidRDefault="003E360F">
      <w:pPr>
        <w:widowControl w:val="0"/>
        <w:shd w:val="clear" w:color="auto" w:fill="auto"/>
        <w:jc w:val="left"/>
        <w:rPr>
          <w:color w:val="000000"/>
        </w:rPr>
      </w:pPr>
      <w:r>
        <w:rPr>
          <w:color w:val="000000"/>
        </w:rPr>
        <w:t xml:space="preserve">Khamisu, M. S., and Paluri, R. A. (2024). Emerging trends of environmental social and governance (ESG) disclosure research. </w:t>
      </w:r>
      <w:r>
        <w:rPr>
          <w:i/>
          <w:iCs/>
          <w:color w:val="000000"/>
        </w:rPr>
        <w:t>Cleaner Production Letters</w:t>
      </w:r>
      <w:r>
        <w:rPr>
          <w:color w:val="000000"/>
        </w:rPr>
        <w:t xml:space="preserve">, </w:t>
      </w:r>
      <w:r>
        <w:rPr>
          <w:i/>
          <w:iCs/>
          <w:color w:val="000000"/>
        </w:rPr>
        <w:t>7</w:t>
      </w:r>
      <w:r>
        <w:rPr>
          <w:color w:val="000000"/>
        </w:rPr>
        <w:t xml:space="preserve">, 100079. </w:t>
      </w:r>
      <w:hyperlink r:id="rId71">
        <w:r>
          <w:rPr>
            <w:color w:val="1155CC"/>
            <w:u w:val="single"/>
          </w:rPr>
          <w:t>https://doi.org/10.1016/j.clpl.2024.100079</w:t>
        </w:r>
      </w:hyperlink>
      <w:r>
        <w:rPr>
          <w:color w:val="000000"/>
        </w:rPr>
        <w:t>.</w:t>
      </w:r>
    </w:p>
    <w:p w:rsidR="007E7629" w:rsidRDefault="003E360F">
      <w:r>
        <w:t xml:space="preserve">Khamisu, M. S., and Paluri, R. A., (2024). Emerging trends of environmental social and governance (ESG) disclosure research. </w:t>
      </w:r>
      <w:r>
        <w:rPr>
          <w:i/>
          <w:iCs/>
        </w:rPr>
        <w:t>Cleaner Production Letters</w:t>
      </w:r>
      <w:r>
        <w:t xml:space="preserve">, </w:t>
      </w:r>
      <w:r>
        <w:rPr>
          <w:i/>
          <w:iCs/>
        </w:rPr>
        <w:t>7</w:t>
      </w:r>
      <w:r>
        <w:t xml:space="preserve">, 100079. </w:t>
      </w:r>
      <w:hyperlink r:id="rId72">
        <w:r>
          <w:rPr>
            <w:color w:val="1155CC"/>
            <w:u w:val="single"/>
          </w:rPr>
          <w:t>https://doi.org/10.1016/j.clpl.2024.100079</w:t>
        </w:r>
      </w:hyperlink>
      <w:r>
        <w:t>.</w:t>
      </w:r>
    </w:p>
    <w:p w:rsidR="007E7629" w:rsidRDefault="003E360F">
      <w:r>
        <w:t xml:space="preserve">Khan, M., (2025). </w:t>
      </w:r>
      <w:r>
        <w:rPr>
          <w:i/>
          <w:iCs/>
        </w:rPr>
        <w:t>How to manage sustainability compliance in multi-tier crop agrifood supply chains through intermediaries?</w:t>
      </w:r>
      <w:r>
        <w:t xml:space="preserve"> (Doctoral dissertation, Harper Adams University).</w:t>
      </w:r>
      <w:hyperlink r:id="rId73">
        <w:r>
          <w:rPr>
            <w:color w:val="1155CC"/>
            <w:u w:val="single"/>
          </w:rPr>
          <w:t>https://hau.repository.guildhe.ac.uk/id/eprint/18274</w:t>
        </w:r>
      </w:hyperlink>
      <w:r>
        <w:t>.</w:t>
      </w:r>
    </w:p>
    <w:p w:rsidR="007E7629" w:rsidRDefault="003E360F">
      <w:pPr>
        <w:widowControl w:val="0"/>
        <w:shd w:val="clear" w:color="auto" w:fill="auto"/>
        <w:rPr>
          <w:color w:val="000000"/>
        </w:rPr>
      </w:pPr>
      <w:r>
        <w:rPr>
          <w:color w:val="000000"/>
        </w:rPr>
        <w:t xml:space="preserve">Kim, J., and Kim, D. (2026). The impact of ESG initiatives across the entire supply chain on individual firm performance. </w:t>
      </w:r>
      <w:r>
        <w:rPr>
          <w:i/>
          <w:iCs/>
          <w:color w:val="000000"/>
        </w:rPr>
        <w:t>Journal of Open Innovation: Technology, Market, and Complexity</w:t>
      </w:r>
      <w:r>
        <w:rPr>
          <w:color w:val="000000"/>
        </w:rPr>
        <w:t xml:space="preserve">, </w:t>
      </w:r>
      <w:r>
        <w:rPr>
          <w:i/>
          <w:iCs/>
          <w:color w:val="000000"/>
        </w:rPr>
        <w:t>12</w:t>
      </w:r>
      <w:r>
        <w:rPr>
          <w:color w:val="000000"/>
        </w:rPr>
        <w:t xml:space="preserve">(3), 100812. </w:t>
      </w:r>
      <w:hyperlink r:id="rId74">
        <w:r>
          <w:rPr>
            <w:color w:val="1155CC"/>
            <w:u w:val="single"/>
          </w:rPr>
          <w:t>https://doi.org/10.1016/j.joitmc.2026.100812</w:t>
        </w:r>
      </w:hyperlink>
      <w:r>
        <w:rPr>
          <w:color w:val="000000"/>
        </w:rPr>
        <w:t>.</w:t>
      </w:r>
    </w:p>
    <w:p w:rsidR="007E7629" w:rsidRDefault="003E360F">
      <w:r>
        <w:t xml:space="preserve">Kinnunen, J., Saunila, M., Ukko, J. and Rantanen, H., (2022). Strategic sustainability in the construction industry: Impacts on sustainability performance and brand. </w:t>
      </w:r>
      <w:r>
        <w:rPr>
          <w:i/>
          <w:iCs/>
        </w:rPr>
        <w:t>Journal of Cleaner Production</w:t>
      </w:r>
      <w:r>
        <w:t xml:space="preserve">, </w:t>
      </w:r>
      <w:r>
        <w:rPr>
          <w:i/>
          <w:iCs/>
        </w:rPr>
        <w:t>368</w:t>
      </w:r>
      <w:r>
        <w:t>, p.133063.</w:t>
      </w:r>
      <w:hyperlink r:id="rId75">
        <w:r>
          <w:rPr>
            <w:color w:val="1155CC"/>
            <w:u w:val="single"/>
          </w:rPr>
          <w:t>https://doi.org/10.1016/j.jclepro.2022.133063</w:t>
        </w:r>
      </w:hyperlink>
      <w:r>
        <w:t>.</w:t>
      </w:r>
    </w:p>
    <w:p w:rsidR="007E7629" w:rsidRDefault="003E360F">
      <w:r>
        <w:t xml:space="preserve">Koch, T., and Denner, N. (2025). Different shades of green deception. Greenwashing’s adverse effects on corporate image and credibility. </w:t>
      </w:r>
      <w:r>
        <w:rPr>
          <w:i/>
          <w:iCs/>
        </w:rPr>
        <w:t>Public Relations Review</w:t>
      </w:r>
      <w:r>
        <w:t xml:space="preserve">, </w:t>
      </w:r>
      <w:r>
        <w:rPr>
          <w:i/>
          <w:iCs/>
        </w:rPr>
        <w:t>51</w:t>
      </w:r>
      <w:r>
        <w:t xml:space="preserve">(1), 102521. </w:t>
      </w:r>
      <w:hyperlink r:id="rId76">
        <w:r>
          <w:rPr>
            <w:color w:val="1155CC"/>
            <w:u w:val="single"/>
          </w:rPr>
          <w:t>https://doi.org/10.1016/j.pubrev.2024.102521</w:t>
        </w:r>
      </w:hyperlink>
      <w:r>
        <w:t>.</w:t>
      </w:r>
    </w:p>
    <w:p w:rsidR="007E7629" w:rsidRDefault="003E360F">
      <w:pPr>
        <w:shd w:val="clear" w:color="auto" w:fill="auto"/>
        <w:spacing w:before="240" w:after="240"/>
        <w:rPr>
          <w:color w:val="000000"/>
        </w:rPr>
      </w:pPr>
      <w:r>
        <w:t xml:space="preserve">Koh, H.K., Burnasheva, R. and Suh, Y.G., (2022). Perceived ESG (environmental, social, governance) and consumers’ responses: The mediating role of brand credibility, Brand Image, and perceived quality. </w:t>
      </w:r>
      <w:r>
        <w:rPr>
          <w:i/>
          <w:iCs/>
        </w:rPr>
        <w:t>Sustainability</w:t>
      </w:r>
      <w:r>
        <w:t xml:space="preserve">, </w:t>
      </w:r>
      <w:r>
        <w:rPr>
          <w:i/>
          <w:iCs/>
        </w:rPr>
        <w:t>14</w:t>
      </w:r>
      <w:r>
        <w:t>(8), p.4515.</w:t>
      </w:r>
      <w:hyperlink r:id="rId77">
        <w:r>
          <w:rPr>
            <w:color w:val="1155CC"/>
            <w:u w:val="single"/>
          </w:rPr>
          <w:t>https://doi.org/10.3390/su14084515</w:t>
        </w:r>
      </w:hyperlink>
      <w:r>
        <w:rPr>
          <w:color w:val="000000"/>
        </w:rPr>
        <w:t>.</w:t>
      </w:r>
    </w:p>
    <w:p w:rsidR="007E7629" w:rsidRDefault="003E360F">
      <w:r>
        <w:lastRenderedPageBreak/>
        <w:t xml:space="preserve">Lee, C., and Hammant, C. (2023). Corporate social and community-oriented support by UK food retailers: A documentary review and typology of actions towards community wellbeing. </w:t>
      </w:r>
      <w:r>
        <w:rPr>
          <w:i/>
          <w:iCs/>
        </w:rPr>
        <w:t>Perspectives in Public Health</w:t>
      </w:r>
      <w:r>
        <w:t xml:space="preserve">. </w:t>
      </w:r>
      <w:hyperlink r:id="rId78">
        <w:r>
          <w:rPr>
            <w:color w:val="1155CC"/>
            <w:u w:val="single"/>
          </w:rPr>
          <w:t>https://doi.org/10.1177/17579139221095326</w:t>
        </w:r>
      </w:hyperlink>
      <w:r>
        <w:t>.</w:t>
      </w:r>
    </w:p>
    <w:p w:rsidR="007E7629" w:rsidRDefault="003E360F">
      <w:r>
        <w:t>Lee, M.T. and Raschke, R.L., 2023. Stakeholder legitimacy in firm greening and financial performance: What about greenwashing temptations?</w:t>
      </w:r>
      <w:sdt>
        <w:sdtPr>
          <w:tag w:val="goog_rdk_2"/>
          <w:id w:val="-2000080676"/>
        </w:sdtPr>
        <w:sdtEndPr/>
        <w:sdtContent>
          <w:r>
            <w:rPr>
              <w:rFonts w:ascii="Arial Unicode MS" w:eastAsia="Arial Unicode MS" w:hAnsi="Arial Unicode MS" w:cs="Arial Unicode MS"/>
            </w:rPr>
            <w:t>☆</w:t>
          </w:r>
        </w:sdtContent>
      </w:sdt>
      <w:r>
        <w:t xml:space="preserve">. </w:t>
      </w:r>
      <w:r>
        <w:rPr>
          <w:i/>
          <w:iCs/>
        </w:rPr>
        <w:t>Journal of Business Research</w:t>
      </w:r>
      <w:r>
        <w:t xml:space="preserve">, </w:t>
      </w:r>
      <w:r>
        <w:rPr>
          <w:i/>
          <w:iCs/>
        </w:rPr>
        <w:t>155</w:t>
      </w:r>
      <w:r>
        <w:t xml:space="preserve">, p.113393. </w:t>
      </w:r>
      <w:hyperlink r:id="rId79">
        <w:r>
          <w:rPr>
            <w:color w:val="1155CC"/>
            <w:u w:val="single"/>
          </w:rPr>
          <w:t>https://pdf.sciencedirectassets.com/271680/1-s2.0-S0148296322X00155/1-s2.0-S014829632200858X/am.pdf</w:t>
        </w:r>
      </w:hyperlink>
      <w:r>
        <w:t>.</w:t>
      </w:r>
    </w:p>
    <w:p w:rsidR="007E7629" w:rsidRDefault="003E360F">
      <w:pPr>
        <w:widowControl w:val="0"/>
        <w:shd w:val="clear" w:color="auto" w:fill="auto"/>
        <w:jc w:val="left"/>
        <w:rPr>
          <w:color w:val="000000"/>
        </w:rPr>
      </w:pPr>
      <w:r>
        <w:rPr>
          <w:color w:val="000000"/>
        </w:rPr>
        <w:t xml:space="preserve">Lee, S. E., Young, C. W., and Barkemeyer, R. (2025). How has the cost-of-living crisis impacted the transition to healthy diets from sustainable food systems? </w:t>
      </w:r>
      <w:r>
        <w:rPr>
          <w:i/>
          <w:iCs/>
          <w:color w:val="000000"/>
        </w:rPr>
        <w:t>Journal of Environmental Management</w:t>
      </w:r>
      <w:r>
        <w:rPr>
          <w:color w:val="000000"/>
        </w:rPr>
        <w:t xml:space="preserve">, </w:t>
      </w:r>
      <w:r>
        <w:rPr>
          <w:i/>
          <w:iCs/>
          <w:color w:val="000000"/>
        </w:rPr>
        <w:t>397</w:t>
      </w:r>
      <w:r>
        <w:rPr>
          <w:color w:val="000000"/>
        </w:rPr>
        <w:t xml:space="preserve">, 128185. </w:t>
      </w:r>
      <w:hyperlink r:id="rId80">
        <w:r>
          <w:rPr>
            <w:color w:val="1155CC"/>
            <w:u w:val="single"/>
          </w:rPr>
          <w:t>https://doi.org/10.1016/j.jenvman.2025.128185</w:t>
        </w:r>
      </w:hyperlink>
      <w:r>
        <w:rPr>
          <w:color w:val="1155CC"/>
          <w:u w:val="single"/>
        </w:rPr>
        <w:t>.</w:t>
      </w:r>
    </w:p>
    <w:p w:rsidR="007E7629" w:rsidRDefault="003E360F">
      <w:r>
        <w:t xml:space="preserve">Lehtokunnas, T., Mattila, M., Närvänen, E., and Mesiranta, N. (2022). Towards a circular economy in food consumption: Food waste reduction practices as ethical work. </w:t>
      </w:r>
      <w:r>
        <w:rPr>
          <w:i/>
          <w:iCs/>
        </w:rPr>
        <w:t>Journal of Consumer Culture</w:t>
      </w:r>
      <w:r>
        <w:t xml:space="preserve">. </w:t>
      </w:r>
      <w:hyperlink r:id="rId81">
        <w:r>
          <w:rPr>
            <w:color w:val="1155CC"/>
            <w:u w:val="single"/>
          </w:rPr>
          <w:t>https://doi.org/10.1177/1469540520926252</w:t>
        </w:r>
      </w:hyperlink>
      <w:r>
        <w:t>.</w:t>
      </w:r>
    </w:p>
    <w:p w:rsidR="007E7629" w:rsidRDefault="003E360F">
      <w:pPr>
        <w:shd w:val="clear" w:color="auto" w:fill="auto"/>
        <w:rPr>
          <w:color w:val="000000"/>
        </w:rPr>
      </w:pPr>
      <w:r>
        <w:rPr>
          <w:highlight w:val="white"/>
        </w:rPr>
        <w:t xml:space="preserve">Lozada-Martinez, I.D., Delgado Arias, L.M., Perea Rojas, D.M. and Rojas Torres, I.L., (2025). Meta-Research in Neuroscience: An Urgent Call to Strengthen the Reliability and Translation of Knowledge into Evidence-Based Neurological Practice. </w:t>
      </w:r>
      <w:r>
        <w:rPr>
          <w:i/>
          <w:iCs/>
          <w:highlight w:val="white"/>
        </w:rPr>
        <w:t>Journal of Clinical Medicine</w:t>
      </w:r>
      <w:r>
        <w:rPr>
          <w:highlight w:val="white"/>
        </w:rPr>
        <w:t xml:space="preserve">, </w:t>
      </w:r>
      <w:r>
        <w:rPr>
          <w:i/>
          <w:iCs/>
          <w:highlight w:val="white"/>
        </w:rPr>
        <w:t>14</w:t>
      </w:r>
      <w:r>
        <w:rPr>
          <w:highlight w:val="white"/>
        </w:rPr>
        <w:t>(23), p.8552.</w:t>
      </w:r>
      <w:hyperlink r:id="rId82">
        <w:r>
          <w:rPr>
            <w:color w:val="1155CC"/>
            <w:highlight w:val="white"/>
            <w:u w:val="single"/>
          </w:rPr>
          <w:t>https://doi.org/10.3390/jcm14238552</w:t>
        </w:r>
      </w:hyperlink>
      <w:r>
        <w:t>.</w:t>
      </w:r>
    </w:p>
    <w:p w:rsidR="007E7629" w:rsidRDefault="003E360F">
      <w:r>
        <w:t xml:space="preserve">Macready, A. L., Hieke, S., Klimczuk-Kochańska, M., Szumiał, S., Wachter, K., Arnoult, M. H., Vranken, L., and Grunert, K. G. (2025). Why trust is crucial – The moderating role of trust in the relationship between motivation and intention to buy healthy, sustainable and novel foods. </w:t>
      </w:r>
      <w:r>
        <w:rPr>
          <w:i/>
          <w:iCs/>
        </w:rPr>
        <w:t>Food Quality and Preference</w:t>
      </w:r>
      <w:r>
        <w:t xml:space="preserve">, </w:t>
      </w:r>
      <w:r>
        <w:rPr>
          <w:i/>
          <w:iCs/>
        </w:rPr>
        <w:t>126</w:t>
      </w:r>
      <w:r>
        <w:t xml:space="preserve">, 105386. </w:t>
      </w:r>
      <w:hyperlink r:id="rId83">
        <w:r>
          <w:rPr>
            <w:color w:val="1155CC"/>
            <w:u w:val="single"/>
          </w:rPr>
          <w:t>https://doi.org/10.1016/j.foodqual.2024.105386</w:t>
        </w:r>
      </w:hyperlink>
      <w:r>
        <w:t>.</w:t>
      </w:r>
    </w:p>
    <w:p w:rsidR="007E7629" w:rsidRDefault="003E360F">
      <w:r>
        <w:t xml:space="preserve">Manning, L., Brewer, S., Craigon, P. J., Frey, J., Gutierrez, A., Jacobs, N., Kanza, S., Munday, S., Sacks, J., and Pearson, S. (2022). Artificial intelligence and ethics within the food sector: Developing a common language for technology adoption across the supply chain. </w:t>
      </w:r>
      <w:r>
        <w:rPr>
          <w:i/>
          <w:iCs/>
        </w:rPr>
        <w:t>Trends in Food Science &amp; Technology</w:t>
      </w:r>
      <w:r>
        <w:t xml:space="preserve">, </w:t>
      </w:r>
      <w:r>
        <w:rPr>
          <w:i/>
          <w:iCs/>
        </w:rPr>
        <w:t>125</w:t>
      </w:r>
      <w:r>
        <w:t xml:space="preserve">, 33-42. </w:t>
      </w:r>
      <w:hyperlink r:id="rId84">
        <w:r>
          <w:rPr>
            <w:color w:val="1155CC"/>
            <w:u w:val="single"/>
          </w:rPr>
          <w:t>https://doi.org/10.1016/j.tifs.2022.04.025</w:t>
        </w:r>
      </w:hyperlink>
      <w:r>
        <w:t>.</w:t>
      </w:r>
    </w:p>
    <w:p w:rsidR="007E7629" w:rsidRDefault="003E360F">
      <w:pPr>
        <w:widowControl w:val="0"/>
        <w:shd w:val="clear" w:color="auto" w:fill="auto"/>
        <w:rPr>
          <w:color w:val="000000"/>
        </w:rPr>
      </w:pPr>
      <w:r>
        <w:rPr>
          <w:color w:val="000000"/>
        </w:rPr>
        <w:t xml:space="preserve">McGrath, P., McCarthy, L., Marshall, D., and Rehme, J. (2021). Tools and Technologies of Transparency in Sustainable Global Supply Chains. </w:t>
      </w:r>
      <w:r>
        <w:rPr>
          <w:i/>
          <w:iCs/>
          <w:color w:val="000000"/>
        </w:rPr>
        <w:t>California Management Review</w:t>
      </w:r>
      <w:r>
        <w:rPr>
          <w:color w:val="000000"/>
        </w:rPr>
        <w:t xml:space="preserve">. </w:t>
      </w:r>
      <w:hyperlink r:id="rId85">
        <w:r>
          <w:rPr>
            <w:color w:val="1155CC"/>
            <w:u w:val="single"/>
          </w:rPr>
          <w:t>https://doi.org/10.1177/00081256211045993</w:t>
        </w:r>
      </w:hyperlink>
      <w:r>
        <w:rPr>
          <w:color w:val="000000"/>
        </w:rPr>
        <w:t>.</w:t>
      </w:r>
    </w:p>
    <w:p w:rsidR="007E7629" w:rsidRDefault="003E360F">
      <w:pPr>
        <w:rPr>
          <w:color w:val="000000"/>
        </w:rPr>
      </w:pPr>
      <w:r>
        <w:rPr>
          <w:highlight w:val="white"/>
        </w:rPr>
        <w:t xml:space="preserve">Mogaji, E., Balakrishnan, J. and Kieu, T.A., (2021). Examining consumer behaviour in the UK Energy sector through the sentimental and thematic analysis of tweets. </w:t>
      </w:r>
      <w:r>
        <w:rPr>
          <w:i/>
          <w:iCs/>
          <w:highlight w:val="white"/>
        </w:rPr>
        <w:t>Journal of Consumer Behaviour</w:t>
      </w:r>
      <w:r>
        <w:rPr>
          <w:highlight w:val="white"/>
        </w:rPr>
        <w:t xml:space="preserve">, </w:t>
      </w:r>
      <w:r>
        <w:rPr>
          <w:i/>
          <w:iCs/>
          <w:highlight w:val="white"/>
        </w:rPr>
        <w:t>20</w:t>
      </w:r>
      <w:r>
        <w:rPr>
          <w:highlight w:val="white"/>
        </w:rPr>
        <w:t>(2), pp.218-</w:t>
      </w:r>
      <w:r>
        <w:rPr>
          <w:highlight w:val="white"/>
        </w:rPr>
        <w:lastRenderedPageBreak/>
        <w:t>230.</w:t>
      </w:r>
      <w:hyperlink r:id="rId86">
        <w:r>
          <w:rPr>
            <w:color w:val="1155CC"/>
            <w:u w:val="single"/>
          </w:rPr>
          <w:t>https://gala.gre.ac.uk/id/eprint/27963/3/27963%20MOGAJI_Examinig_Consumer_Behaviour_In_The_UK_Energy_Sector_%28AAM%29_2020.pdf</w:t>
        </w:r>
      </w:hyperlink>
      <w:r>
        <w:rPr>
          <w:color w:val="000000"/>
        </w:rPr>
        <w:t>.</w:t>
      </w:r>
    </w:p>
    <w:p w:rsidR="007E7629" w:rsidRDefault="003E360F">
      <w:r>
        <w:t xml:space="preserve">Moussa, A.S., Elmarzouky, M. and Shohaieb, D., (2024). Green governance: how ESG initiatives drive financial performance in UK firms?. </w:t>
      </w:r>
      <w:r>
        <w:rPr>
          <w:i/>
          <w:iCs/>
        </w:rPr>
        <w:t>Sustainability</w:t>
      </w:r>
      <w:r>
        <w:t xml:space="preserve">, </w:t>
      </w:r>
      <w:r>
        <w:rPr>
          <w:i/>
          <w:iCs/>
        </w:rPr>
        <w:t>16</w:t>
      </w:r>
      <w:r>
        <w:t>(24), p.10894.</w:t>
      </w:r>
      <w:hyperlink r:id="rId87">
        <w:r>
          <w:rPr>
            <w:color w:val="1155CC"/>
            <w:u w:val="single"/>
          </w:rPr>
          <w:t>https://doi.org/10.3390/su162410894</w:t>
        </w:r>
      </w:hyperlink>
      <w:r>
        <w:t>.</w:t>
      </w:r>
    </w:p>
    <w:p w:rsidR="007E7629" w:rsidRDefault="003E360F">
      <w:pPr>
        <w:shd w:val="clear" w:color="auto" w:fill="auto"/>
        <w:rPr>
          <w:highlight w:val="white"/>
        </w:rPr>
      </w:pPr>
      <w:r>
        <w:rPr>
          <w:highlight w:val="white"/>
        </w:rPr>
        <w:t xml:space="preserve">Naeem, M., Ozuem, W., Howell, K. and Ranfagni, S., (2023). A step-by-step process of thematic analysis to develop a conceptual model in qualitative research. </w:t>
      </w:r>
      <w:r>
        <w:rPr>
          <w:i/>
          <w:iCs/>
          <w:highlight w:val="white"/>
        </w:rPr>
        <w:t>International journal of qualitative methods</w:t>
      </w:r>
      <w:r>
        <w:rPr>
          <w:highlight w:val="white"/>
        </w:rPr>
        <w:t xml:space="preserve">, </w:t>
      </w:r>
      <w:r>
        <w:rPr>
          <w:i/>
          <w:iCs/>
          <w:highlight w:val="white"/>
        </w:rPr>
        <w:t>22</w:t>
      </w:r>
      <w:r>
        <w:rPr>
          <w:highlight w:val="white"/>
        </w:rPr>
        <w:t>, p.16094069231205789.</w:t>
      </w:r>
      <w:hyperlink r:id="rId88">
        <w:r>
          <w:rPr>
            <w:color w:val="1155CC"/>
            <w:highlight w:val="white"/>
            <w:u w:val="single"/>
          </w:rPr>
          <w:t>https://doi.org/10.1177/16094069231205789</w:t>
        </w:r>
      </w:hyperlink>
      <w:r>
        <w:rPr>
          <w:highlight w:val="white"/>
        </w:rPr>
        <w:t>.</w:t>
      </w:r>
    </w:p>
    <w:p w:rsidR="007E7629" w:rsidRDefault="003E360F">
      <w:r>
        <w:t xml:space="preserve">Nazari, J. A., and Poursoleyman, E. (2025). Corporate social responsibility signalling under external transparency demands. </w:t>
      </w:r>
      <w:r>
        <w:rPr>
          <w:i/>
          <w:iCs/>
        </w:rPr>
        <w:t>International Review of Financial Analysis</w:t>
      </w:r>
      <w:r>
        <w:t xml:space="preserve">, </w:t>
      </w:r>
      <w:r>
        <w:rPr>
          <w:i/>
          <w:iCs/>
        </w:rPr>
        <w:t>101</w:t>
      </w:r>
      <w:r>
        <w:t xml:space="preserve">, 104045. </w:t>
      </w:r>
      <w:hyperlink r:id="rId89">
        <w:r>
          <w:rPr>
            <w:color w:val="1155CC"/>
            <w:u w:val="single"/>
          </w:rPr>
          <w:t>https://doi.org/10.1016/j.irfa.2025.104045</w:t>
        </w:r>
      </w:hyperlink>
      <w:r>
        <w:t>.</w:t>
      </w:r>
    </w:p>
    <w:p w:rsidR="007E7629" w:rsidRDefault="003E360F">
      <w:r>
        <w:t xml:space="preserve">Ngo, T. T. A., Le, T. N. T., Phan, T. Y. N., and Le, T. B. N. (2026). Exploring the influence of health consciousness, environmental consciousness, knowledge, and trust in shaping purchase intentions of generation Z towards organic food. </w:t>
      </w:r>
      <w:r>
        <w:rPr>
          <w:i/>
          <w:iCs/>
        </w:rPr>
        <w:t>Journal of Agriculture and Food Research</w:t>
      </w:r>
      <w:r>
        <w:t xml:space="preserve">, </w:t>
      </w:r>
      <w:r>
        <w:rPr>
          <w:i/>
          <w:iCs/>
        </w:rPr>
        <w:t>27</w:t>
      </w:r>
      <w:r>
        <w:t xml:space="preserve">, 102839. </w:t>
      </w:r>
      <w:hyperlink r:id="rId90">
        <w:r>
          <w:rPr>
            <w:color w:val="1155CC"/>
            <w:u w:val="single"/>
          </w:rPr>
          <w:t>https://doi.org/10.1016/j.jafr.2026.102839</w:t>
        </w:r>
      </w:hyperlink>
      <w:r>
        <w:rPr>
          <w:color w:val="1155CC"/>
          <w:u w:val="single"/>
        </w:rPr>
        <w:t>.</w:t>
      </w:r>
    </w:p>
    <w:p w:rsidR="007E7629" w:rsidRDefault="003E360F">
      <w:pPr>
        <w:widowControl w:val="0"/>
        <w:shd w:val="clear" w:color="auto" w:fill="auto"/>
        <w:rPr>
          <w:color w:val="000000"/>
        </w:rPr>
      </w:pPr>
      <w:r>
        <w:rPr>
          <w:color w:val="000000"/>
        </w:rPr>
        <w:t xml:space="preserve">Nugraha, W. S., Szakos, D., Süth, M., and Kasza, G. (2024). Greenwashing in the food industry: A systematic review exploring the current situation and possible countermeasures. </w:t>
      </w:r>
      <w:r>
        <w:rPr>
          <w:i/>
          <w:iCs/>
          <w:color w:val="000000"/>
        </w:rPr>
        <w:t>Cleaner and Responsible Consumption</w:t>
      </w:r>
      <w:r>
        <w:rPr>
          <w:color w:val="000000"/>
        </w:rPr>
        <w:t xml:space="preserve">, </w:t>
      </w:r>
      <w:r>
        <w:rPr>
          <w:i/>
          <w:iCs/>
          <w:color w:val="000000"/>
        </w:rPr>
        <w:t>15</w:t>
      </w:r>
      <w:r>
        <w:rPr>
          <w:color w:val="000000"/>
        </w:rPr>
        <w:t xml:space="preserve">, 100227. </w:t>
      </w:r>
      <w:hyperlink r:id="rId91">
        <w:r>
          <w:rPr>
            <w:color w:val="1155CC"/>
            <w:u w:val="single"/>
          </w:rPr>
          <w:t>https://doi.org/10.1016/j.clrc.2024.100227</w:t>
        </w:r>
      </w:hyperlink>
      <w:r>
        <w:rPr>
          <w:color w:val="000000"/>
        </w:rPr>
        <w:t>.</w:t>
      </w:r>
    </w:p>
    <w:p w:rsidR="007E7629" w:rsidRDefault="003E360F">
      <w:r>
        <w:t xml:space="preserve">Osei, M. B., Papadopoulos, T., Acquaye, A., and Stamati, T. (2023). Improving sustainable supply chain performance through organisational culture: A competing values framework approach. </w:t>
      </w:r>
      <w:r>
        <w:rPr>
          <w:i/>
          <w:iCs/>
        </w:rPr>
        <w:t>Journal of Purchasing and Supply Management</w:t>
      </w:r>
      <w:r>
        <w:t xml:space="preserve">, </w:t>
      </w:r>
      <w:r>
        <w:rPr>
          <w:i/>
          <w:iCs/>
        </w:rPr>
        <w:t>29</w:t>
      </w:r>
      <w:r>
        <w:t xml:space="preserve">(2), 100821. </w:t>
      </w:r>
      <w:hyperlink r:id="rId92">
        <w:r>
          <w:rPr>
            <w:color w:val="1155CC"/>
            <w:u w:val="single"/>
          </w:rPr>
          <w:t>https://doi.org/10.1016/j.pursup.2023.100821</w:t>
        </w:r>
      </w:hyperlink>
      <w:r>
        <w:t>.</w:t>
      </w:r>
    </w:p>
    <w:p w:rsidR="007E7629" w:rsidRDefault="003E360F">
      <w:pPr>
        <w:shd w:val="clear" w:color="auto" w:fill="auto"/>
        <w:spacing w:before="240" w:after="240"/>
        <w:rPr>
          <w:color w:val="000000"/>
        </w:rPr>
      </w:pPr>
      <w:r>
        <w:t xml:space="preserve">Park, Y.J., (2026). From ESG Signals to Sustainable Relationships: A Strategic Perspective on Perceived Sustainability Awareness, Dual-Path Value, and Long-Term Trust. </w:t>
      </w:r>
      <w:r>
        <w:rPr>
          <w:i/>
          <w:iCs/>
        </w:rPr>
        <w:t>Sustainability</w:t>
      </w:r>
      <w:r>
        <w:t xml:space="preserve">, </w:t>
      </w:r>
      <w:r>
        <w:rPr>
          <w:i/>
          <w:iCs/>
        </w:rPr>
        <w:t>18</w:t>
      </w:r>
      <w:r>
        <w:t>(5), p.2179.</w:t>
      </w:r>
      <w:hyperlink r:id="rId93">
        <w:r>
          <w:rPr>
            <w:color w:val="1155CC"/>
            <w:u w:val="single"/>
          </w:rPr>
          <w:t>https://doi.org/10.3390/su18052179</w:t>
        </w:r>
      </w:hyperlink>
      <w:r>
        <w:rPr>
          <w:color w:val="000000"/>
        </w:rPr>
        <w:t>.</w:t>
      </w:r>
    </w:p>
    <w:p w:rsidR="007E7629" w:rsidRDefault="003E360F">
      <w:r>
        <w:t xml:space="preserve">Patel, M. (2021). </w:t>
      </w:r>
      <w:r>
        <w:rPr>
          <w:i/>
          <w:iCs/>
        </w:rPr>
        <w:t>Understanding consumer attitudes to healthy and sustainable diets - Food Standards Agency</w:t>
      </w:r>
      <w:r>
        <w:t xml:space="preserve">. [online] food.blog.gov.uk. Available at: </w:t>
      </w:r>
      <w:hyperlink r:id="rId94">
        <w:r>
          <w:rPr>
            <w:color w:val="0000FF"/>
            <w:u w:val="single"/>
          </w:rPr>
          <w:t>https://food.blog.gov.uk/2021/11/09/understanding-consumer-attitudes-to-healthy-and-sustainable-diets/</w:t>
        </w:r>
      </w:hyperlink>
      <w:r>
        <w:t>.</w:t>
      </w:r>
    </w:p>
    <w:p w:rsidR="007E7629" w:rsidRDefault="003E360F">
      <w:r>
        <w:lastRenderedPageBreak/>
        <w:t xml:space="preserve">Patel, S., Dora, M., Hahladakis, J. N., and Iacovidou, E. (2021). Opportunities, challenges and trade-offs with decreasing avoidable food waste in the UK. </w:t>
      </w:r>
      <w:r>
        <w:rPr>
          <w:i/>
          <w:iCs/>
        </w:rPr>
        <w:t>Waste Management &amp; Research</w:t>
      </w:r>
      <w:r>
        <w:t xml:space="preserve">. </w:t>
      </w:r>
      <w:hyperlink r:id="rId95">
        <w:r>
          <w:rPr>
            <w:color w:val="1155CC"/>
            <w:u w:val="single"/>
          </w:rPr>
          <w:t>https://doi.org/10.1177/0734242X20983427</w:t>
        </w:r>
      </w:hyperlink>
      <w:r>
        <w:rPr>
          <w:color w:val="1155CC"/>
          <w:u w:val="single"/>
        </w:rPr>
        <w:t>.</w:t>
      </w:r>
    </w:p>
    <w:p w:rsidR="007E7629" w:rsidRDefault="003E360F">
      <w:r>
        <w:t xml:space="preserve">Perkiss, S., Dumay, J., Bernardi, C., Beattie, L.R. and Harris, C.T., (2025). Accountability to tackle sustainability challenges in the cocoa supply chain. </w:t>
      </w:r>
      <w:r>
        <w:rPr>
          <w:i/>
          <w:iCs/>
        </w:rPr>
        <w:t>Accounting, Auditing &amp; Accountability Journal</w:t>
      </w:r>
      <w:r>
        <w:t xml:space="preserve">, </w:t>
      </w:r>
      <w:r>
        <w:rPr>
          <w:i/>
          <w:iCs/>
        </w:rPr>
        <w:t>38</w:t>
      </w:r>
      <w:r>
        <w:t>(7), pp.1839-1867.</w:t>
      </w:r>
      <w:hyperlink r:id="rId96">
        <w:r>
          <w:rPr>
            <w:color w:val="1155CC"/>
            <w:u w:val="single"/>
          </w:rPr>
          <w:t>https://doi.org/10.1108/AAAJ-05-2024-7069</w:t>
        </w:r>
      </w:hyperlink>
      <w:r>
        <w:t>.</w:t>
      </w:r>
    </w:p>
    <w:p w:rsidR="007E7629" w:rsidRDefault="003E360F">
      <w:pPr>
        <w:widowControl w:val="0"/>
        <w:shd w:val="clear" w:color="auto" w:fill="auto"/>
        <w:jc w:val="left"/>
        <w:rPr>
          <w:color w:val="000000"/>
        </w:rPr>
      </w:pPr>
      <w:r>
        <w:rPr>
          <w:color w:val="000000"/>
        </w:rPr>
        <w:t xml:space="preserve">Phan, T. M., Le, T. D. M., Nguyen, L. T. H., Pham, H. X., and Duong, N. (2026). Blockchain-enabled green traceability for sustainable organic food: Impacts on trust, value co-creation and willingness to pay a premium. </w:t>
      </w:r>
      <w:r>
        <w:rPr>
          <w:i/>
          <w:iCs/>
          <w:color w:val="000000"/>
        </w:rPr>
        <w:t>Green Technologies and Sustainability</w:t>
      </w:r>
      <w:r>
        <w:rPr>
          <w:color w:val="000000"/>
        </w:rPr>
        <w:t xml:space="preserve">, </w:t>
      </w:r>
      <w:r>
        <w:rPr>
          <w:i/>
          <w:iCs/>
          <w:color w:val="000000"/>
        </w:rPr>
        <w:t>4</w:t>
      </w:r>
      <w:r>
        <w:rPr>
          <w:color w:val="000000"/>
        </w:rPr>
        <w:t xml:space="preserve">(3), 100400. </w:t>
      </w:r>
      <w:hyperlink r:id="rId97">
        <w:r>
          <w:rPr>
            <w:color w:val="1155CC"/>
            <w:u w:val="single"/>
          </w:rPr>
          <w:t>https://doi.org/10.1016/j.grets.2026.100400</w:t>
        </w:r>
      </w:hyperlink>
      <w:r>
        <w:rPr>
          <w:color w:val="000000"/>
        </w:rPr>
        <w:t>.</w:t>
      </w:r>
    </w:p>
    <w:p w:rsidR="007E7629" w:rsidRDefault="003E360F">
      <w:r>
        <w:t xml:space="preserve">Rana, M. S., Sharmin, S., Amin, M. B., Mishad, N., and Oláh, J. (2026). Assessing the effectiveness of eco-labels on consumer purchase intentions in the food and beverage industry: A PLS-SEM approach. </w:t>
      </w:r>
      <w:r>
        <w:rPr>
          <w:i/>
          <w:iCs/>
        </w:rPr>
        <w:t>Social Sciences &amp; Humanities Open</w:t>
      </w:r>
      <w:r>
        <w:t xml:space="preserve">, </w:t>
      </w:r>
      <w:r>
        <w:rPr>
          <w:i/>
          <w:iCs/>
        </w:rPr>
        <w:t>13</w:t>
      </w:r>
      <w:r>
        <w:t xml:space="preserve">, 102422. </w:t>
      </w:r>
      <w:hyperlink r:id="rId98">
        <w:r>
          <w:rPr>
            <w:color w:val="1155CC"/>
            <w:u w:val="single"/>
          </w:rPr>
          <w:t>https://doi.org/10.1016/j.ssaho.2025.102422</w:t>
        </w:r>
      </w:hyperlink>
      <w:r>
        <w:rPr>
          <w:color w:val="1155CC"/>
          <w:u w:val="single"/>
        </w:rPr>
        <w:t>.</w:t>
      </w:r>
    </w:p>
    <w:p w:rsidR="007E7629" w:rsidRDefault="003E360F">
      <w:r>
        <w:t xml:space="preserve">Reitano, M., Pappalardo, G., Selvaggi, R., Zarbà, C. and Chinnici, G., (2024). Factors influencing consumer perceptions of food tracked with blockchain technology. A systematic literature review. </w:t>
      </w:r>
      <w:r>
        <w:rPr>
          <w:i/>
          <w:iCs/>
        </w:rPr>
        <w:t>Applied Food Research</w:t>
      </w:r>
      <w:r>
        <w:t xml:space="preserve">, </w:t>
      </w:r>
      <w:r>
        <w:rPr>
          <w:i/>
          <w:iCs/>
        </w:rPr>
        <w:t>4</w:t>
      </w:r>
      <w:r>
        <w:t>(2), p.100455.</w:t>
      </w:r>
      <w:hyperlink r:id="rId99">
        <w:r>
          <w:rPr>
            <w:color w:val="1155CC"/>
            <w:u w:val="single"/>
          </w:rPr>
          <w:t>https://doi.org/10.1016/j.afres.2024.100455</w:t>
        </w:r>
      </w:hyperlink>
      <w:r>
        <w:t>.</w:t>
      </w:r>
    </w:p>
    <w:p w:rsidR="007E7629" w:rsidRDefault="003E360F">
      <w:pPr>
        <w:widowControl w:val="0"/>
        <w:shd w:val="clear" w:color="auto" w:fill="auto"/>
        <w:rPr>
          <w:color w:val="000000"/>
        </w:rPr>
      </w:pPr>
      <w:r>
        <w:rPr>
          <w:color w:val="000000"/>
        </w:rPr>
        <w:t xml:space="preserve">Rossi, C., and Rivetti, F. (2022). Young consumers’ purchase behaviour of sustainably-labelled food products. What is the role of scepticism? </w:t>
      </w:r>
      <w:r>
        <w:rPr>
          <w:i/>
          <w:iCs/>
          <w:color w:val="000000"/>
        </w:rPr>
        <w:t>Food Quality and Preference</w:t>
      </w:r>
      <w:r>
        <w:rPr>
          <w:color w:val="000000"/>
        </w:rPr>
        <w:t xml:space="preserve">, </w:t>
      </w:r>
      <w:r>
        <w:rPr>
          <w:i/>
          <w:iCs/>
          <w:color w:val="000000"/>
        </w:rPr>
        <w:t>105</w:t>
      </w:r>
      <w:r>
        <w:rPr>
          <w:color w:val="000000"/>
        </w:rPr>
        <w:t xml:space="preserve">, 104772. </w:t>
      </w:r>
      <w:hyperlink r:id="rId100">
        <w:r>
          <w:rPr>
            <w:color w:val="1155CC"/>
            <w:u w:val="single"/>
          </w:rPr>
          <w:t>https://doi.org/10.1016/j.foodqual.2022.104772</w:t>
        </w:r>
      </w:hyperlink>
      <w:r>
        <w:rPr>
          <w:color w:val="000000"/>
        </w:rPr>
        <w:t>.</w:t>
      </w:r>
    </w:p>
    <w:p w:rsidR="007E7629" w:rsidRDefault="003E360F">
      <w:pPr>
        <w:widowControl w:val="0"/>
        <w:shd w:val="clear" w:color="auto" w:fill="auto"/>
        <w:jc w:val="left"/>
        <w:rPr>
          <w:color w:val="000000"/>
        </w:rPr>
      </w:pPr>
      <w:r>
        <w:rPr>
          <w:color w:val="000000"/>
        </w:rPr>
        <w:t xml:space="preserve">Ruan, L., Yang, L., and Dong, K. (2024). Corporate green innovation: The influence of ESG information disclosure. </w:t>
      </w:r>
      <w:r>
        <w:rPr>
          <w:i/>
          <w:iCs/>
          <w:color w:val="000000"/>
        </w:rPr>
        <w:t>Journal of Innovation &amp; Knowledge</w:t>
      </w:r>
      <w:r>
        <w:rPr>
          <w:color w:val="000000"/>
        </w:rPr>
        <w:t xml:space="preserve">, </w:t>
      </w:r>
      <w:r>
        <w:rPr>
          <w:i/>
          <w:iCs/>
          <w:color w:val="000000"/>
        </w:rPr>
        <w:t>9</w:t>
      </w:r>
      <w:r>
        <w:rPr>
          <w:color w:val="000000"/>
        </w:rPr>
        <w:t xml:space="preserve">(4), 100628. </w:t>
      </w:r>
      <w:hyperlink r:id="rId101">
        <w:r>
          <w:rPr>
            <w:color w:val="1155CC"/>
            <w:u w:val="single"/>
          </w:rPr>
          <w:t>https://doi.org/10.1016/j.jik.2024.100628</w:t>
        </w:r>
      </w:hyperlink>
      <w:r>
        <w:rPr>
          <w:color w:val="000000"/>
        </w:rPr>
        <w:t>.</w:t>
      </w:r>
    </w:p>
    <w:p w:rsidR="007E7629" w:rsidRDefault="003E360F">
      <w:r>
        <w:t xml:space="preserve">Saha, A., Raut, R. D., Kumar, M., Paul, S. K., Shi, Y., Shah, B., and Ghoshal, S. (2025). Achieving sustainable carbon-neutral supply chain: A perspective of integrating blockchain technology. </w:t>
      </w:r>
      <w:r>
        <w:rPr>
          <w:i/>
          <w:iCs/>
        </w:rPr>
        <w:t>Technological Forecasting and Social Change</w:t>
      </w:r>
      <w:r>
        <w:t xml:space="preserve">, </w:t>
      </w:r>
      <w:r>
        <w:rPr>
          <w:i/>
          <w:iCs/>
        </w:rPr>
        <w:t>219</w:t>
      </w:r>
      <w:r>
        <w:t xml:space="preserve">, 124262. </w:t>
      </w:r>
      <w:hyperlink r:id="rId102">
        <w:r>
          <w:rPr>
            <w:color w:val="1155CC"/>
            <w:u w:val="single"/>
          </w:rPr>
          <w:t>https://doi.org/10.1016/j.techfore.2025.124262</w:t>
        </w:r>
      </w:hyperlink>
      <w:r>
        <w:t>.</w:t>
      </w:r>
    </w:p>
    <w:p w:rsidR="007E7629" w:rsidRDefault="003E360F">
      <w:r>
        <w:t xml:space="preserve">Said, Z., Vigneshwaran, P., Shaik, S., Rauf, A., and Ahmad, Z. (2025). Climate and carbon policy pathways for sustainable food systems. </w:t>
      </w:r>
      <w:r>
        <w:rPr>
          <w:i/>
          <w:iCs/>
        </w:rPr>
        <w:t>Environmental and Sustainability Indicators</w:t>
      </w:r>
      <w:r>
        <w:t xml:space="preserve">, </w:t>
      </w:r>
      <w:r>
        <w:rPr>
          <w:i/>
          <w:iCs/>
        </w:rPr>
        <w:t>27</w:t>
      </w:r>
      <w:r>
        <w:t xml:space="preserve">, 100730. </w:t>
      </w:r>
      <w:hyperlink r:id="rId103">
        <w:r>
          <w:rPr>
            <w:color w:val="1155CC"/>
            <w:u w:val="single"/>
          </w:rPr>
          <w:t>https://doi.org/10.1016/j.indic.2025.100730</w:t>
        </w:r>
      </w:hyperlink>
      <w:r>
        <w:rPr>
          <w:color w:val="1155CC"/>
          <w:u w:val="single"/>
        </w:rPr>
        <w:t>.</w:t>
      </w:r>
    </w:p>
    <w:p w:rsidR="007E7629" w:rsidRDefault="003E360F">
      <w:pPr>
        <w:rPr>
          <w:color w:val="000000"/>
        </w:rPr>
      </w:pPr>
      <w:r>
        <w:t xml:space="preserve">Sañosa, A. R., Gumacial, D., and Yamagishi, K. (2026). Behavioral spillover from sustainable consumption to customer citizenship behavior in biomaterial packaging use within the food </w:t>
      </w:r>
      <w:r>
        <w:lastRenderedPageBreak/>
        <w:t xml:space="preserve">industry. </w:t>
      </w:r>
      <w:r>
        <w:rPr>
          <w:i/>
          <w:iCs/>
        </w:rPr>
        <w:t>Cleaner and Responsible Consumption</w:t>
      </w:r>
      <w:r>
        <w:t xml:space="preserve">, </w:t>
      </w:r>
      <w:r>
        <w:rPr>
          <w:i/>
          <w:iCs/>
        </w:rPr>
        <w:t>22</w:t>
      </w:r>
      <w:r>
        <w:t xml:space="preserve">, 100439. </w:t>
      </w:r>
      <w:hyperlink r:id="rId104">
        <w:r>
          <w:rPr>
            <w:color w:val="1155CC"/>
            <w:u w:val="single"/>
          </w:rPr>
          <w:t>https://doi.org/10.1016/j.clrc.2026.100439</w:t>
        </w:r>
      </w:hyperlink>
      <w:r>
        <w:rPr>
          <w:color w:val="1155CC"/>
          <w:u w:val="single"/>
        </w:rPr>
        <w:t>.</w:t>
      </w:r>
    </w:p>
    <w:p w:rsidR="007E7629" w:rsidRDefault="003E360F">
      <w:r>
        <w:t xml:space="preserve">Schrobback, P., Zhang, A., Loechel, B., Ricketts, K. and Ingham, A., (2023). Food credence attributes: A conceptual framework of supply chain stakeholders, their motives, and mechanisms to address information asymmetry. </w:t>
      </w:r>
      <w:r>
        <w:rPr>
          <w:i/>
          <w:iCs/>
        </w:rPr>
        <w:t>Foods</w:t>
      </w:r>
      <w:r>
        <w:t xml:space="preserve">, </w:t>
      </w:r>
      <w:r>
        <w:rPr>
          <w:i/>
          <w:iCs/>
        </w:rPr>
        <w:t>12</w:t>
      </w:r>
      <w:r>
        <w:t>(3), p.538.</w:t>
      </w:r>
      <w:hyperlink r:id="rId105">
        <w:r>
          <w:rPr>
            <w:color w:val="1155CC"/>
            <w:u w:val="single"/>
          </w:rPr>
          <w:t>https://doi.org/10.3390/foods12030538</w:t>
        </w:r>
      </w:hyperlink>
      <w:r>
        <w:t>.</w:t>
      </w:r>
    </w:p>
    <w:p w:rsidR="007E7629" w:rsidRDefault="003E360F">
      <w:r>
        <w:t xml:space="preserve">Şenyapar, H.N.D., (2024). Unveiling greenwashing strategies: A comprehensive analysis of impacts on consumer trust and environmental sustainability. </w:t>
      </w:r>
      <w:r>
        <w:rPr>
          <w:i/>
          <w:iCs/>
        </w:rPr>
        <w:t>Journal of Energy Systems</w:t>
      </w:r>
      <w:r>
        <w:t xml:space="preserve">, </w:t>
      </w:r>
      <w:r>
        <w:rPr>
          <w:i/>
          <w:iCs/>
        </w:rPr>
        <w:t>8</w:t>
      </w:r>
      <w:r>
        <w:t>(3), pp.164-181.</w:t>
      </w:r>
      <w:hyperlink r:id="rId106">
        <w:r>
          <w:rPr>
            <w:color w:val="1155CC"/>
            <w:u w:val="single"/>
          </w:rPr>
          <w:t>https://doi.org/10.3390/foods15101626</w:t>
        </w:r>
      </w:hyperlink>
      <w:r>
        <w:t>.</w:t>
      </w:r>
    </w:p>
    <w:p w:rsidR="007E7629" w:rsidRDefault="003E360F">
      <w:pPr>
        <w:rPr>
          <w:color w:val="000000"/>
        </w:rPr>
      </w:pPr>
      <w:r>
        <w:rPr>
          <w:color w:val="000000"/>
        </w:rPr>
        <w:t xml:space="preserve">Shah, S. (2026). </w:t>
      </w:r>
      <w:r>
        <w:rPr>
          <w:i/>
          <w:iCs/>
          <w:color w:val="000000"/>
        </w:rPr>
        <w:t>The World’s Top Consumers Cause Up to $5.7 Trillion in Environmental Damage Every Year</w:t>
      </w:r>
      <w:r>
        <w:rPr>
          <w:color w:val="000000"/>
        </w:rPr>
        <w:t xml:space="preserve">. [online] TIME. Available at: </w:t>
      </w:r>
      <w:hyperlink r:id="rId107">
        <w:r>
          <w:rPr>
            <w:color w:val="1155CC"/>
            <w:u w:val="single"/>
          </w:rPr>
          <w:t>https://time.com/article/2026/06/18/top-10-percent-global-consumers-biggest-climate-impact/</w:t>
        </w:r>
      </w:hyperlink>
      <w:r>
        <w:rPr>
          <w:color w:val="000000"/>
        </w:rPr>
        <w:t>.</w:t>
      </w:r>
    </w:p>
    <w:p w:rsidR="007E7629" w:rsidRDefault="003E360F">
      <w:r>
        <w:t xml:space="preserve">She, G., (2022). The real effects of mandatory nonfinancial disclosure: Evidence from supply chain transparency. </w:t>
      </w:r>
      <w:r>
        <w:rPr>
          <w:i/>
          <w:iCs/>
        </w:rPr>
        <w:t>The Accounting Review</w:t>
      </w:r>
      <w:r>
        <w:t xml:space="preserve">, </w:t>
      </w:r>
      <w:r>
        <w:rPr>
          <w:i/>
          <w:iCs/>
        </w:rPr>
        <w:t>97</w:t>
      </w:r>
      <w:r>
        <w:t>(5), pp.399-425.</w:t>
      </w:r>
      <w:hyperlink r:id="rId108">
        <w:r>
          <w:rPr>
            <w:color w:val="1155CC"/>
            <w:u w:val="single"/>
          </w:rPr>
          <w:t>https://doi.org/10.2308/TAR-2020-0178</w:t>
        </w:r>
      </w:hyperlink>
      <w:r>
        <w:t>.</w:t>
      </w:r>
    </w:p>
    <w:p w:rsidR="007E7629" w:rsidRDefault="003E360F">
      <w:r>
        <w:t xml:space="preserve">Shi, W., Zhou, C., and Wang, X. (2026). CSR disclosure authenticity in food companies: The moderating effect of consumer attribution tendencies on trust formation and reputation enhancement pathways. </w:t>
      </w:r>
      <w:r>
        <w:rPr>
          <w:i/>
          <w:iCs/>
        </w:rPr>
        <w:t>Acta Psychologica</w:t>
      </w:r>
      <w:r>
        <w:t xml:space="preserve">, </w:t>
      </w:r>
      <w:r>
        <w:rPr>
          <w:i/>
          <w:iCs/>
        </w:rPr>
        <w:t>268</w:t>
      </w:r>
      <w:r>
        <w:t xml:space="preserve">, 107375. </w:t>
      </w:r>
      <w:hyperlink r:id="rId109">
        <w:r>
          <w:rPr>
            <w:color w:val="1155CC"/>
            <w:u w:val="single"/>
          </w:rPr>
          <w:t>https://doi.org/10.1016/j.actpsy.2026.107375</w:t>
        </w:r>
      </w:hyperlink>
      <w:r>
        <w:rPr>
          <w:color w:val="1155CC"/>
          <w:u w:val="single"/>
        </w:rPr>
        <w:t>.</w:t>
      </w:r>
    </w:p>
    <w:p w:rsidR="007E7629" w:rsidRDefault="003E360F">
      <w:pPr>
        <w:spacing w:after="240"/>
      </w:pPr>
      <w:r>
        <w:t xml:space="preserve">Shillitoe, R., Clifford , R., Jenkins , M. and Murray, L., 2025. Food and you 2: Wave 10. </w:t>
      </w:r>
      <w:r>
        <w:rPr>
          <w:i/>
          <w:iCs/>
        </w:rPr>
        <w:t>Food Standards Agency</w:t>
      </w:r>
      <w:r>
        <w:t>. [online] doi:</w:t>
      </w:r>
      <w:hyperlink r:id="rId110">
        <w:r>
          <w:rPr>
            <w:color w:val="1155CC"/>
            <w:u w:val="single"/>
          </w:rPr>
          <w:t>https://doi.org/10.46756/sci.fsa.rzz911</w:t>
        </w:r>
      </w:hyperlink>
      <w:r>
        <w:t xml:space="preserve">. </w:t>
      </w:r>
    </w:p>
    <w:p w:rsidR="007E7629" w:rsidRDefault="003E360F">
      <w:r>
        <w:t>Singh, S., (2024). Corporate responsibility: transparency and disclosure.</w:t>
      </w:r>
      <w:hyperlink r:id="rId111">
        <w:r>
          <w:rPr>
            <w:color w:val="1155CC"/>
            <w:u w:val="single"/>
          </w:rPr>
          <w:t>https://papers.ssrn.com/sol3/papers.cfm?abstract_id=5094766</w:t>
        </w:r>
      </w:hyperlink>
      <w:r>
        <w:t>.</w:t>
      </w:r>
    </w:p>
    <w:p w:rsidR="007E7629" w:rsidRDefault="003E360F">
      <w:r>
        <w:t xml:space="preserve">Smela, B., Toumi, M., Świerk, K., Francois, C., Biernikiewicz, M., Clay, E., and Boyer, L. (2023). Rapid literature review: Definition and methodology. </w:t>
      </w:r>
      <w:r>
        <w:rPr>
          <w:i/>
          <w:iCs/>
        </w:rPr>
        <w:t>Journal of Market Access &amp; Health Policy</w:t>
      </w:r>
      <w:r>
        <w:t xml:space="preserve">, </w:t>
      </w:r>
      <w:r>
        <w:rPr>
          <w:i/>
          <w:iCs/>
        </w:rPr>
        <w:t>11</w:t>
      </w:r>
      <w:r>
        <w:t xml:space="preserve">(1), 2241234. </w:t>
      </w:r>
      <w:hyperlink r:id="rId112">
        <w:r>
          <w:rPr>
            <w:color w:val="1155CC"/>
            <w:u w:val="single"/>
          </w:rPr>
          <w:t>https://doi.org/10.1080/20016689.2023.2241234</w:t>
        </w:r>
      </w:hyperlink>
      <w:r>
        <w:t>.</w:t>
      </w:r>
    </w:p>
    <w:p w:rsidR="007E7629" w:rsidRDefault="003E360F">
      <w:r>
        <w:t xml:space="preserve">Sneideriene, A., and Legenzova, R. (2025). Greenwashing prevention in environmental, social, and governance (ESG) disclosures: A bibliometric analysis. </w:t>
      </w:r>
      <w:r>
        <w:rPr>
          <w:i/>
          <w:iCs/>
        </w:rPr>
        <w:t>Research in International Business and Finance</w:t>
      </w:r>
      <w:r>
        <w:t xml:space="preserve">, </w:t>
      </w:r>
      <w:r>
        <w:rPr>
          <w:i/>
          <w:iCs/>
        </w:rPr>
        <w:t>74</w:t>
      </w:r>
      <w:r>
        <w:t xml:space="preserve">, 102720. </w:t>
      </w:r>
      <w:hyperlink r:id="rId113">
        <w:r>
          <w:rPr>
            <w:color w:val="1155CC"/>
            <w:u w:val="single"/>
          </w:rPr>
          <w:t>https://doi.org/10.1016/j.ribaf.2024.102720</w:t>
        </w:r>
      </w:hyperlink>
      <w:r>
        <w:t>.</w:t>
      </w:r>
    </w:p>
    <w:p w:rsidR="007E7629" w:rsidRDefault="003E360F">
      <w:r>
        <w:t xml:space="preserve">Sridharan, V., (2025). Ethical AI integration in enterprise resource planning systems: A framework for balancing innovation and responsibility in B2B environments. </w:t>
      </w:r>
      <w:r>
        <w:rPr>
          <w:i/>
          <w:iCs/>
        </w:rPr>
        <w:t>Journal of Computer Science and Technology Studies</w:t>
      </w:r>
      <w:r>
        <w:t xml:space="preserve">, </w:t>
      </w:r>
      <w:r>
        <w:rPr>
          <w:i/>
          <w:iCs/>
        </w:rPr>
        <w:t>7</w:t>
      </w:r>
      <w:r>
        <w:t>(5), pp.489-504.</w:t>
      </w:r>
      <w:hyperlink r:id="rId114">
        <w:r>
          <w:rPr>
            <w:color w:val="1155CC"/>
            <w:u w:val="single"/>
          </w:rPr>
          <w:t>https://doi.org/10.32996/jcsts.2025.7.5.56</w:t>
        </w:r>
      </w:hyperlink>
      <w:r>
        <w:t>.</w:t>
      </w:r>
    </w:p>
    <w:p w:rsidR="007E7629" w:rsidRDefault="003E360F">
      <w:pPr>
        <w:widowControl w:val="0"/>
        <w:shd w:val="clear" w:color="auto" w:fill="auto"/>
        <w:rPr>
          <w:color w:val="000000"/>
        </w:rPr>
      </w:pPr>
      <w:r>
        <w:rPr>
          <w:color w:val="000000"/>
        </w:rPr>
        <w:lastRenderedPageBreak/>
        <w:t xml:space="preserve">St. Clair, R., and Sharmina, M. (2026). Supply chain resilience in UK seafood processing: Lessons from COVID-19. </w:t>
      </w:r>
      <w:r>
        <w:rPr>
          <w:i/>
          <w:iCs/>
          <w:color w:val="000000"/>
        </w:rPr>
        <w:t>Cleaner Logistics and Supply Chain</w:t>
      </w:r>
      <w:r>
        <w:rPr>
          <w:color w:val="000000"/>
        </w:rPr>
        <w:t xml:space="preserve">, </w:t>
      </w:r>
      <w:r>
        <w:rPr>
          <w:i/>
          <w:iCs/>
          <w:color w:val="000000"/>
        </w:rPr>
        <w:t>20</w:t>
      </w:r>
      <w:r>
        <w:rPr>
          <w:color w:val="000000"/>
        </w:rPr>
        <w:t xml:space="preserve">, 100353. </w:t>
      </w:r>
      <w:hyperlink r:id="rId115">
        <w:r>
          <w:rPr>
            <w:color w:val="1155CC"/>
            <w:u w:val="single"/>
          </w:rPr>
          <w:t>https://doi.org/10.1016/j.clscn.2026.100353</w:t>
        </w:r>
      </w:hyperlink>
      <w:r>
        <w:rPr>
          <w:color w:val="000000"/>
        </w:rPr>
        <w:t>.</w:t>
      </w:r>
    </w:p>
    <w:p w:rsidR="007E7629" w:rsidRDefault="003E360F">
      <w:r>
        <w:t xml:space="preserve">Sulemana, I., Cheng, L., Agyemang, A. O., Osei, A., and Nagriwum, T. M., 2025. Stakeholders and sustainability disclosure: Evidence from an emerging market. </w:t>
      </w:r>
      <w:r>
        <w:rPr>
          <w:i/>
          <w:iCs/>
        </w:rPr>
        <w:t>Sustainable Futures</w:t>
      </w:r>
      <w:r>
        <w:t xml:space="preserve">, </w:t>
      </w:r>
      <w:r>
        <w:rPr>
          <w:i/>
          <w:iCs/>
        </w:rPr>
        <w:t>9</w:t>
      </w:r>
      <w:r>
        <w:t xml:space="preserve">, 100445. </w:t>
      </w:r>
      <w:hyperlink r:id="rId116">
        <w:r>
          <w:rPr>
            <w:color w:val="1155CC"/>
            <w:u w:val="single"/>
          </w:rPr>
          <w:t>https://doi.org/10.1016/j.sftr.2025.100445</w:t>
        </w:r>
      </w:hyperlink>
      <w:r>
        <w:t>.</w:t>
      </w:r>
    </w:p>
    <w:p w:rsidR="007E7629" w:rsidRDefault="003E360F">
      <w:r>
        <w:t xml:space="preserve">Syed, S., Acquaye, A., Khalfan, M. M., Obuobisa-Darko, T., and Yamoah, F. A., 2024. Decoding sustainable consumption behavior: A systematic review of theories and models and provision of a guidance framework. </w:t>
      </w:r>
      <w:r>
        <w:rPr>
          <w:i/>
          <w:iCs/>
        </w:rPr>
        <w:t>Resources, Conservation &amp; Recycling Advances</w:t>
      </w:r>
      <w:r>
        <w:t xml:space="preserve">, </w:t>
      </w:r>
      <w:r>
        <w:rPr>
          <w:i/>
          <w:iCs/>
        </w:rPr>
        <w:t>23</w:t>
      </w:r>
      <w:r>
        <w:t xml:space="preserve">, 200232. </w:t>
      </w:r>
      <w:hyperlink r:id="rId117">
        <w:r>
          <w:rPr>
            <w:color w:val="1155CC"/>
            <w:u w:val="single"/>
          </w:rPr>
          <w:t>https://doi.org/10.1016/j.rcradv.2024.200232</w:t>
        </w:r>
      </w:hyperlink>
      <w:r>
        <w:t>.</w:t>
      </w:r>
    </w:p>
    <w:p w:rsidR="007E7629" w:rsidRDefault="003E360F">
      <w:r>
        <w:rPr>
          <w:highlight w:val="white"/>
        </w:rPr>
        <w:t xml:space="preserve">Szarucki, M., Sadauskis, A., Mačiulytė-Šniukienė, A. and Kosch, O., 2025. Exploring search strategy for systematic literature review: evidence from the International Journal of Management Reviews. </w:t>
      </w:r>
      <w:r>
        <w:rPr>
          <w:i/>
          <w:iCs/>
          <w:highlight w:val="white"/>
        </w:rPr>
        <w:t>Business: Theory and Practice</w:t>
      </w:r>
      <w:r>
        <w:rPr>
          <w:highlight w:val="white"/>
        </w:rPr>
        <w:t xml:space="preserve">, </w:t>
      </w:r>
      <w:r>
        <w:rPr>
          <w:i/>
          <w:iCs/>
          <w:highlight w:val="white"/>
        </w:rPr>
        <w:t>26</w:t>
      </w:r>
      <w:r>
        <w:rPr>
          <w:highlight w:val="white"/>
        </w:rPr>
        <w:t>(2), pp.360-370.</w:t>
      </w:r>
      <w:r>
        <w:t xml:space="preserve"> </w:t>
      </w:r>
      <w:hyperlink r:id="rId118">
        <w:r>
          <w:rPr>
            <w:color w:val="1155CC"/>
            <w:u w:val="single"/>
          </w:rPr>
          <w:t>https://journals.vilniustech.lt/index.php/BTP/article/download/22033/12885</w:t>
        </w:r>
      </w:hyperlink>
      <w:r>
        <w:t>.</w:t>
      </w:r>
    </w:p>
    <w:p w:rsidR="007E7629" w:rsidRDefault="003E360F">
      <w:r>
        <w:t xml:space="preserve">Taiwo, S.O., Aramide, O.O. and Tiamiyu, O.R., (2023). Blockchain and federated analytics for ethical and secure CPG supply chains. </w:t>
      </w:r>
      <w:r>
        <w:rPr>
          <w:i/>
          <w:iCs/>
        </w:rPr>
        <w:t>Journal of Computational Analysis and Applications</w:t>
      </w:r>
      <w:r>
        <w:t xml:space="preserve">, </w:t>
      </w:r>
      <w:r>
        <w:rPr>
          <w:i/>
          <w:iCs/>
        </w:rPr>
        <w:t>31</w:t>
      </w:r>
      <w:r>
        <w:t>(3), pp.732-749.</w:t>
      </w:r>
      <w:hyperlink r:id="rId119">
        <w:r>
          <w:rPr>
            <w:color w:val="1155CC"/>
            <w:u w:val="single"/>
          </w:rPr>
          <w:t>https://www.academia.edu/download/125563284/Blockchain_and_Federated_Analytics_for_Ethical_and_Secure_CPG_Supply_Chains_Vol._31_No._3_2023_2_.pdf</w:t>
        </w:r>
      </w:hyperlink>
      <w:r>
        <w:t xml:space="preserve"> .</w:t>
      </w:r>
    </w:p>
    <w:p w:rsidR="007E7629" w:rsidRDefault="003E360F">
      <w:pPr>
        <w:shd w:val="clear" w:color="auto" w:fill="auto"/>
        <w:spacing w:before="240" w:after="240"/>
        <w:rPr>
          <w:color w:val="000000"/>
        </w:rPr>
      </w:pPr>
      <w:r>
        <w:t xml:space="preserve">Talan, G., Sharma, G.D., Pereira, V. and Muschert, G.W., (2024). From ESG to holistic value addition: Rethinking sustainable investment from the lens of stakeholder theory. </w:t>
      </w:r>
      <w:r>
        <w:rPr>
          <w:i/>
          <w:iCs/>
        </w:rPr>
        <w:t>International Review of Economics &amp; Finance</w:t>
      </w:r>
      <w:r>
        <w:t xml:space="preserve">, </w:t>
      </w:r>
      <w:r>
        <w:rPr>
          <w:i/>
          <w:iCs/>
        </w:rPr>
        <w:t>96</w:t>
      </w:r>
      <w:r>
        <w:t>, p.103530.</w:t>
      </w:r>
      <w:hyperlink r:id="rId120">
        <w:r>
          <w:rPr>
            <w:color w:val="1155CC"/>
            <w:u w:val="single"/>
          </w:rPr>
          <w:t>https://doi.org/10.1016/j.iref.2024.103530</w:t>
        </w:r>
      </w:hyperlink>
      <w:r>
        <w:rPr>
          <w:color w:val="1155CC"/>
          <w:u w:val="single"/>
        </w:rPr>
        <w:t>.</w:t>
      </w:r>
      <w:r>
        <w:rPr>
          <w:color w:val="000000"/>
        </w:rPr>
        <w:t xml:space="preserve"> </w:t>
      </w:r>
    </w:p>
    <w:p w:rsidR="007E7629" w:rsidRDefault="003E360F">
      <w:r>
        <w:t xml:space="preserve">Tikkha, V., Agarwal, P. and Rajwanshi, R., (2024). Assessing greenwashing practices with special relevance to the food &amp; beverage industry. </w:t>
      </w:r>
      <w:r>
        <w:rPr>
          <w:i/>
          <w:iCs/>
        </w:rPr>
        <w:t>International Journal of Agriculture and Environmental Research</w:t>
      </w:r>
      <w:r>
        <w:t xml:space="preserve">, </w:t>
      </w:r>
      <w:r>
        <w:rPr>
          <w:i/>
          <w:iCs/>
        </w:rPr>
        <w:t>10</w:t>
      </w:r>
      <w:r>
        <w:t>(4), pp.472-492.</w:t>
      </w:r>
      <w:hyperlink r:id="rId121">
        <w:r>
          <w:rPr>
            <w:color w:val="1155CC"/>
            <w:u w:val="single"/>
          </w:rPr>
          <w:t>https://doi.org/10.51193/IJAER.2024.10401</w:t>
        </w:r>
      </w:hyperlink>
      <w:r>
        <w:t>.</w:t>
      </w:r>
    </w:p>
    <w:p w:rsidR="007E7629" w:rsidRDefault="003E360F">
      <w:r>
        <w:t xml:space="preserve">Truant, E., Borlatto, E., Crocco, E., and Sahore, N. (2023). Environmental, social and governance issues in supply chains. A systematic review for strategic performance. </w:t>
      </w:r>
      <w:r>
        <w:rPr>
          <w:i/>
          <w:iCs/>
        </w:rPr>
        <w:t>Journal of Cleaner Production</w:t>
      </w:r>
      <w:r>
        <w:t xml:space="preserve">, </w:t>
      </w:r>
      <w:r>
        <w:rPr>
          <w:i/>
          <w:iCs/>
        </w:rPr>
        <w:t>434</w:t>
      </w:r>
      <w:r>
        <w:t xml:space="preserve">, 140024. </w:t>
      </w:r>
      <w:hyperlink r:id="rId122">
        <w:r>
          <w:rPr>
            <w:color w:val="1155CC"/>
            <w:u w:val="single"/>
          </w:rPr>
          <w:t>https://doi.org/10.1016/j.jclepro.2023.140024</w:t>
        </w:r>
      </w:hyperlink>
      <w:r>
        <w:t>.</w:t>
      </w:r>
    </w:p>
    <w:p w:rsidR="007E7629" w:rsidRDefault="003E360F">
      <w:pPr>
        <w:widowControl w:val="0"/>
        <w:shd w:val="clear" w:color="auto" w:fill="auto"/>
        <w:jc w:val="left"/>
        <w:rPr>
          <w:color w:val="000000"/>
        </w:rPr>
      </w:pPr>
      <w:r>
        <w:rPr>
          <w:color w:val="000000"/>
        </w:rPr>
        <w:t xml:space="preserve">Truong, D. D., Mai, N. T., Tam, D. D., and Huan, L. H. (2026). Assessing the effects of ESG awareness on purchase intention of eco-labeled forest products: Mediating role of consumer attitudes and moderating influence of green product knowledge. </w:t>
      </w:r>
      <w:r>
        <w:rPr>
          <w:i/>
          <w:iCs/>
          <w:color w:val="000000"/>
        </w:rPr>
        <w:t>Cleaner and Responsible Consumption</w:t>
      </w:r>
      <w:r>
        <w:rPr>
          <w:color w:val="000000"/>
        </w:rPr>
        <w:t xml:space="preserve">, </w:t>
      </w:r>
      <w:r>
        <w:rPr>
          <w:i/>
          <w:iCs/>
          <w:color w:val="000000"/>
        </w:rPr>
        <w:t>21</w:t>
      </w:r>
      <w:r>
        <w:rPr>
          <w:color w:val="000000"/>
        </w:rPr>
        <w:t xml:space="preserve">, 100425. </w:t>
      </w:r>
      <w:hyperlink r:id="rId123">
        <w:r>
          <w:rPr>
            <w:color w:val="1155CC"/>
            <w:u w:val="single"/>
          </w:rPr>
          <w:t>https://doi.org/10.1016/j.clrc.2026.100425</w:t>
        </w:r>
      </w:hyperlink>
      <w:r>
        <w:rPr>
          <w:color w:val="000000"/>
        </w:rPr>
        <w:t>.</w:t>
      </w:r>
    </w:p>
    <w:p w:rsidR="007E7629" w:rsidRDefault="003E360F">
      <w:pPr>
        <w:widowControl w:val="0"/>
        <w:shd w:val="clear" w:color="auto" w:fill="auto"/>
        <w:spacing w:after="240"/>
      </w:pPr>
      <w:r>
        <w:rPr>
          <w:color w:val="000000"/>
        </w:rPr>
        <w:lastRenderedPageBreak/>
        <w:t xml:space="preserve">Tuti, M. and Sulistia, V., 2022. </w:t>
      </w:r>
      <w:r>
        <w:rPr>
          <w:i/>
          <w:iCs/>
          <w:color w:val="000000"/>
        </w:rPr>
        <w:t>The customer engagement effect on customer satisfaction and Brand Trust and its impact on brand loyalty</w:t>
      </w:r>
      <w:r>
        <w:rPr>
          <w:color w:val="000000"/>
        </w:rPr>
        <w:t xml:space="preserve">. [online] </w:t>
      </w:r>
      <w:r>
        <w:rPr>
          <w:i/>
          <w:iCs/>
          <w:color w:val="000000"/>
        </w:rPr>
        <w:t>ResearchGate</w:t>
      </w:r>
      <w:r>
        <w:rPr>
          <w:color w:val="000000"/>
        </w:rPr>
        <w:t xml:space="preserve">. Universitas Muhammadiyah Yogyakarta. Available at: </w:t>
      </w:r>
      <w:hyperlink r:id="rId124">
        <w:r>
          <w:rPr>
            <w:color w:val="1155CC"/>
            <w:u w:val="single"/>
          </w:rPr>
          <w:t>https://www.researchgate.net/publication/358969398_The_Customer_Engagement_Effect_on_Customer_Satisfaction_and_Brand_Trust_and_Its_Impact_on_Brand_Loyalty</w:t>
        </w:r>
      </w:hyperlink>
      <w:r>
        <w:rPr>
          <w:color w:val="1155CC"/>
          <w:u w:val="single"/>
        </w:rPr>
        <w:t>.</w:t>
      </w:r>
    </w:p>
    <w:p w:rsidR="007E7629" w:rsidRDefault="003E360F">
      <w:r>
        <w:t xml:space="preserve">Ungemach, C., Astvansh, V., Bedi, S., Puranam, D., Cuenca, A. S. D. T., Sheldon, T. L., Blanco, C. C., Constantino, S. M., Markov, T., Miller, S., Ozturk, O. C., Reibstein, D., and Hardisty, D. J. (2026). Marketing scholarship and environmentally-sustainable retailing: A two-stage framework for greener consumption and production. </w:t>
      </w:r>
      <w:r>
        <w:rPr>
          <w:i/>
          <w:iCs/>
        </w:rPr>
        <w:t>Journal of Retailing</w:t>
      </w:r>
      <w:r>
        <w:t xml:space="preserve">. </w:t>
      </w:r>
      <w:hyperlink r:id="rId125">
        <w:r>
          <w:rPr>
            <w:color w:val="1155CC"/>
            <w:u w:val="single"/>
          </w:rPr>
          <w:t>https://doi.org/10.1016/j.jretai.2026.03.001</w:t>
        </w:r>
      </w:hyperlink>
      <w:r>
        <w:t>.</w:t>
      </w:r>
    </w:p>
    <w:p w:rsidR="007E7629" w:rsidRDefault="003E360F">
      <w:pPr>
        <w:widowControl w:val="0"/>
        <w:shd w:val="clear" w:color="auto" w:fill="auto"/>
        <w:rPr>
          <w:color w:val="000000"/>
        </w:rPr>
      </w:pPr>
      <w:r>
        <w:t xml:space="preserve">Van Hummel, A. and Russell-Bennett, R., 2026. Understanding consumer trust and distrust in a public service ecosystem. </w:t>
      </w:r>
      <w:r>
        <w:rPr>
          <w:i/>
          <w:iCs/>
        </w:rPr>
        <w:t>Journal of Services Marketing</w:t>
      </w:r>
      <w:r>
        <w:t xml:space="preserve">, </w:t>
      </w:r>
      <w:r>
        <w:rPr>
          <w:i/>
          <w:iCs/>
        </w:rPr>
        <w:t>40</w:t>
      </w:r>
      <w:r>
        <w:t>(2), pp.96-112.</w:t>
      </w:r>
      <w:r>
        <w:rPr>
          <w:color w:val="000000"/>
        </w:rPr>
        <w:t xml:space="preserve"> </w:t>
      </w:r>
      <w:hyperlink r:id="rId126">
        <w:r>
          <w:rPr>
            <w:color w:val="1155CC"/>
            <w:u w:val="single"/>
          </w:rPr>
          <w:t>https://www.emerald.com/jsm/article-pdf/40/2/96/10318880/jsm-01-2025-0059en.pdf</w:t>
        </w:r>
      </w:hyperlink>
      <w:r>
        <w:rPr>
          <w:color w:val="000000"/>
        </w:rPr>
        <w:t>.</w:t>
      </w:r>
    </w:p>
    <w:p w:rsidR="007E7629" w:rsidRDefault="003E360F">
      <w:pPr>
        <w:widowControl w:val="0"/>
        <w:shd w:val="clear" w:color="auto" w:fill="auto"/>
        <w:rPr>
          <w:color w:val="000000"/>
        </w:rPr>
      </w:pPr>
      <w:r>
        <w:rPr>
          <w:color w:val="000000"/>
        </w:rPr>
        <w:t xml:space="preserve">Van Quang, B., and Thi Van, N. (2025). Exploring store image and green trust as predictors of food store loyalty: A structural model from an emerging market. </w:t>
      </w:r>
      <w:r>
        <w:rPr>
          <w:i/>
          <w:iCs/>
          <w:color w:val="000000"/>
        </w:rPr>
        <w:t>Journal of Open Innovation: Technology, Market, and Complexity</w:t>
      </w:r>
      <w:r>
        <w:rPr>
          <w:color w:val="000000"/>
        </w:rPr>
        <w:t xml:space="preserve">, </w:t>
      </w:r>
      <w:r>
        <w:rPr>
          <w:i/>
          <w:iCs/>
          <w:color w:val="000000"/>
        </w:rPr>
        <w:t>11</w:t>
      </w:r>
      <w:r>
        <w:rPr>
          <w:color w:val="000000"/>
        </w:rPr>
        <w:t xml:space="preserve">(3), 100581. </w:t>
      </w:r>
      <w:hyperlink r:id="rId127">
        <w:r>
          <w:rPr>
            <w:color w:val="1155CC"/>
            <w:u w:val="single"/>
          </w:rPr>
          <w:t>https://doi.org/10.1016/j.joitmc.2025.100581</w:t>
        </w:r>
      </w:hyperlink>
      <w:r>
        <w:rPr>
          <w:color w:val="1155CC"/>
          <w:u w:val="single"/>
        </w:rPr>
        <w:t>.</w:t>
      </w:r>
    </w:p>
    <w:p w:rsidR="007E7629" w:rsidRDefault="003E360F">
      <w:pPr>
        <w:widowControl w:val="0"/>
        <w:shd w:val="clear" w:color="auto" w:fill="auto"/>
        <w:rPr>
          <w:color w:val="000000"/>
        </w:rPr>
      </w:pPr>
      <w:r>
        <w:rPr>
          <w:color w:val="000000"/>
        </w:rPr>
        <w:t xml:space="preserve">Vangeli, A., Małecka, A., Mitręga, M., and Pfajfar, G. (2023). From greenwashing to green B2B marketing: A systematic literature review. </w:t>
      </w:r>
      <w:r>
        <w:rPr>
          <w:i/>
          <w:iCs/>
          <w:color w:val="000000"/>
        </w:rPr>
        <w:t>Industrial Marketing Management</w:t>
      </w:r>
      <w:r>
        <w:rPr>
          <w:color w:val="000000"/>
        </w:rPr>
        <w:t xml:space="preserve">, </w:t>
      </w:r>
      <w:r>
        <w:rPr>
          <w:i/>
          <w:iCs/>
          <w:color w:val="000000"/>
        </w:rPr>
        <w:t>115</w:t>
      </w:r>
      <w:r>
        <w:rPr>
          <w:color w:val="000000"/>
        </w:rPr>
        <w:t xml:space="preserve">, 281-299. </w:t>
      </w:r>
      <w:hyperlink r:id="rId128">
        <w:r>
          <w:rPr>
            <w:color w:val="1155CC"/>
            <w:u w:val="single"/>
          </w:rPr>
          <w:t>https://doi.org/10.1016/j.indmarman.2023.10.002</w:t>
        </w:r>
      </w:hyperlink>
      <w:r>
        <w:rPr>
          <w:color w:val="000000"/>
        </w:rPr>
        <w:t>.</w:t>
      </w:r>
    </w:p>
    <w:p w:rsidR="007E7629" w:rsidRDefault="003E360F">
      <w:r>
        <w:t xml:space="preserve">Vukasović, T., Trglavčnik, M. and Faganel, A., (2026). Greenwashing and green marketing on social media: Implications for trust-related reactions in the food sector. </w:t>
      </w:r>
      <w:r>
        <w:rPr>
          <w:i/>
          <w:iCs/>
        </w:rPr>
        <w:t>Foods</w:t>
      </w:r>
      <w:r>
        <w:t xml:space="preserve">, </w:t>
      </w:r>
      <w:r>
        <w:rPr>
          <w:i/>
          <w:iCs/>
        </w:rPr>
        <w:t>15</w:t>
      </w:r>
      <w:r>
        <w:t>(10), p.1626.</w:t>
      </w:r>
      <w:hyperlink r:id="rId129">
        <w:r>
          <w:rPr>
            <w:color w:val="1155CC"/>
            <w:u w:val="single"/>
          </w:rPr>
          <w:t>https://doi.org/10.3390/foods15101626</w:t>
        </w:r>
      </w:hyperlink>
      <w:r>
        <w:rPr>
          <w:color w:val="1155CC"/>
          <w:u w:val="single"/>
        </w:rPr>
        <w:t>.</w:t>
      </w:r>
      <w:r>
        <w:t xml:space="preserve"> </w:t>
      </w:r>
    </w:p>
    <w:p w:rsidR="007E7629" w:rsidRDefault="003E360F">
      <w:r>
        <w:t xml:space="preserve">Vukasović, T., Trglavčnik, M., and Faganel, A., 2025. Greenwashing and Green Marketing on Social Media: Implications for Trust-Related Reactions in the Food Sector. </w:t>
      </w:r>
      <w:r>
        <w:rPr>
          <w:i/>
          <w:iCs/>
        </w:rPr>
        <w:t>Foods</w:t>
      </w:r>
      <w:r>
        <w:t xml:space="preserve">, </w:t>
      </w:r>
      <w:r>
        <w:rPr>
          <w:i/>
          <w:iCs/>
        </w:rPr>
        <w:t>15</w:t>
      </w:r>
      <w:r>
        <w:t xml:space="preserve">(10), 1626. </w:t>
      </w:r>
      <w:hyperlink r:id="rId130">
        <w:r>
          <w:rPr>
            <w:color w:val="1155CC"/>
            <w:u w:val="single"/>
          </w:rPr>
          <w:t>https://doi.org/10.3390/foods15101626</w:t>
        </w:r>
      </w:hyperlink>
      <w:r>
        <w:rPr>
          <w:color w:val="1155CC"/>
          <w:u w:val="single"/>
        </w:rPr>
        <w:t>.</w:t>
      </w:r>
    </w:p>
    <w:p w:rsidR="007E7629" w:rsidRDefault="003E360F">
      <w:pPr>
        <w:rPr>
          <w:color w:val="000000"/>
        </w:rPr>
      </w:pPr>
      <w:r>
        <w:t xml:space="preserve">Wahyuningrum, I. F. S., Sani, M. T., Puspita, A. S., Djajadikerta, H. G., Trireksani, T., and Budihardjo, M. A. (2025). Water sustainability disclosures in agriculture sector. </w:t>
      </w:r>
      <w:r>
        <w:rPr>
          <w:i/>
          <w:iCs/>
        </w:rPr>
        <w:t>Sustainable Futures</w:t>
      </w:r>
      <w:r>
        <w:t xml:space="preserve">, </w:t>
      </w:r>
      <w:r>
        <w:rPr>
          <w:i/>
          <w:iCs/>
        </w:rPr>
        <w:t>9</w:t>
      </w:r>
      <w:r>
        <w:t xml:space="preserve">, 100593. </w:t>
      </w:r>
      <w:hyperlink r:id="rId131">
        <w:r>
          <w:rPr>
            <w:color w:val="1155CC"/>
            <w:u w:val="single"/>
          </w:rPr>
          <w:t>https://doi.org/10.1016/j.sftr.2025.100593</w:t>
        </w:r>
      </w:hyperlink>
      <w:r>
        <w:rPr>
          <w:color w:val="1155CC"/>
          <w:u w:val="single"/>
        </w:rPr>
        <w:t>.</w:t>
      </w:r>
    </w:p>
    <w:p w:rsidR="007E7629" w:rsidRDefault="003E360F">
      <w:pPr>
        <w:widowControl w:val="0"/>
        <w:shd w:val="clear" w:color="auto" w:fill="auto"/>
        <w:jc w:val="left"/>
        <w:rPr>
          <w:color w:val="000000"/>
        </w:rPr>
      </w:pPr>
      <w:r>
        <w:rPr>
          <w:color w:val="000000"/>
        </w:rPr>
        <w:t xml:space="preserve">Wang, Y., Marhfor, A., and M'zali, B. (2025). ESG disclosures as a double-edged sword: Protective impacts and risks in the social media era. </w:t>
      </w:r>
      <w:r>
        <w:rPr>
          <w:i/>
          <w:iCs/>
          <w:color w:val="000000"/>
        </w:rPr>
        <w:t>Innovation and Green Development</w:t>
      </w:r>
      <w:r>
        <w:rPr>
          <w:color w:val="000000"/>
        </w:rPr>
        <w:t xml:space="preserve">, </w:t>
      </w:r>
      <w:r>
        <w:rPr>
          <w:i/>
          <w:iCs/>
          <w:color w:val="000000"/>
        </w:rPr>
        <w:t>4</w:t>
      </w:r>
      <w:r>
        <w:rPr>
          <w:color w:val="000000"/>
        </w:rPr>
        <w:t xml:space="preserve">(4), 100260. </w:t>
      </w:r>
      <w:hyperlink r:id="rId132">
        <w:r>
          <w:rPr>
            <w:color w:val="1155CC"/>
            <w:u w:val="single"/>
          </w:rPr>
          <w:t>https://doi.org/10.1016/j.igd.2025.100260</w:t>
        </w:r>
      </w:hyperlink>
      <w:r>
        <w:rPr>
          <w:color w:val="1155CC"/>
          <w:u w:val="single"/>
        </w:rPr>
        <w:t>.</w:t>
      </w:r>
    </w:p>
    <w:p w:rsidR="007E7629" w:rsidRDefault="003E360F">
      <w:r>
        <w:lastRenderedPageBreak/>
        <w:t xml:space="preserve">Wu, Q., Zhu, J., and Cheng, Y. (2022). The effect of cross-organizational governance on supply chain resilience: A mediating and moderating model. </w:t>
      </w:r>
      <w:r>
        <w:rPr>
          <w:i/>
          <w:iCs/>
        </w:rPr>
        <w:t>Journal of Purchasing and Supply Management</w:t>
      </w:r>
      <w:r>
        <w:t xml:space="preserve">, </w:t>
      </w:r>
      <w:r>
        <w:rPr>
          <w:i/>
          <w:iCs/>
        </w:rPr>
        <w:t>29</w:t>
      </w:r>
      <w:r>
        <w:t xml:space="preserve">(1), 100817. </w:t>
      </w:r>
      <w:hyperlink r:id="rId133">
        <w:r>
          <w:rPr>
            <w:color w:val="1155CC"/>
            <w:u w:val="single"/>
          </w:rPr>
          <w:t>https://doi.org/10.1016/j.pursup.2023.100817</w:t>
        </w:r>
      </w:hyperlink>
      <w:r>
        <w:t>.</w:t>
      </w:r>
    </w:p>
    <w:p w:rsidR="007E7629" w:rsidRDefault="003E360F">
      <w:r>
        <w:t xml:space="preserve">Wu, W., Zhang, A., Schrobback, P., and Muller, J. M. (2021). Consumer Trust in Food and the Food System: A Critical Review. </w:t>
      </w:r>
      <w:r>
        <w:rPr>
          <w:i/>
          <w:iCs/>
        </w:rPr>
        <w:t>Foods</w:t>
      </w:r>
      <w:r>
        <w:t xml:space="preserve">, </w:t>
      </w:r>
      <w:r>
        <w:rPr>
          <w:i/>
          <w:iCs/>
        </w:rPr>
        <w:t>10</w:t>
      </w:r>
      <w:r>
        <w:t xml:space="preserve">(10), 2490. </w:t>
      </w:r>
      <w:hyperlink r:id="rId134">
        <w:r>
          <w:rPr>
            <w:color w:val="1155CC"/>
            <w:u w:val="single"/>
          </w:rPr>
          <w:t>https://doi.org/10.3390/foods10102490</w:t>
        </w:r>
      </w:hyperlink>
      <w:r>
        <w:t>.</w:t>
      </w:r>
    </w:p>
    <w:p w:rsidR="007E7629" w:rsidRDefault="003E360F">
      <w:pPr>
        <w:widowControl w:val="0"/>
        <w:shd w:val="clear" w:color="auto" w:fill="auto"/>
        <w:jc w:val="left"/>
        <w:rPr>
          <w:color w:val="000000"/>
        </w:rPr>
      </w:pPr>
      <w:r>
        <w:rPr>
          <w:color w:val="000000"/>
        </w:rPr>
        <w:t xml:space="preserve">Yáñez Serrano, P., Argüelles Ramos, L., and Prause, L. (2026). “Taking farmers' trust issues Seriously”: Mistrust and the digital tech revolution in water management. </w:t>
      </w:r>
      <w:r>
        <w:rPr>
          <w:i/>
          <w:iCs/>
          <w:color w:val="000000"/>
        </w:rPr>
        <w:t>Journal of Rural Studies</w:t>
      </w:r>
      <w:r>
        <w:rPr>
          <w:color w:val="000000"/>
        </w:rPr>
        <w:t xml:space="preserve">, </w:t>
      </w:r>
      <w:r>
        <w:rPr>
          <w:i/>
          <w:iCs/>
          <w:color w:val="000000"/>
        </w:rPr>
        <w:t>123</w:t>
      </w:r>
      <w:r>
        <w:rPr>
          <w:color w:val="000000"/>
        </w:rPr>
        <w:t xml:space="preserve">, 104053. </w:t>
      </w:r>
      <w:hyperlink r:id="rId135">
        <w:r>
          <w:rPr>
            <w:color w:val="1155CC"/>
            <w:u w:val="single"/>
          </w:rPr>
          <w:t>https://doi.org/10.1016/j.jrurstud.2026.104053</w:t>
        </w:r>
      </w:hyperlink>
      <w:r>
        <w:rPr>
          <w:color w:val="1155CC"/>
          <w:u w:val="single"/>
        </w:rPr>
        <w:t>.</w:t>
      </w:r>
    </w:p>
    <w:p w:rsidR="007E7629" w:rsidRDefault="003E360F">
      <w:r>
        <w:t xml:space="preserve">Yaremchuk, M., (2026). THE ESG (ENVIRONMENTAL, SOCIAL, AND GOVERNANCE) CONCEPT IN MODERN ECONOMIC SCIENCE AND ITS ROLE IN SHAPING SUSTAINABLE DEVELOPMENT. </w:t>
      </w:r>
      <w:r>
        <w:rPr>
          <w:i/>
          <w:iCs/>
        </w:rPr>
        <w:t>Smart Economy, Entrepreneurship and Security</w:t>
      </w:r>
      <w:r>
        <w:t xml:space="preserve">, </w:t>
      </w:r>
      <w:r>
        <w:rPr>
          <w:i/>
          <w:iCs/>
        </w:rPr>
        <w:t>4</w:t>
      </w:r>
      <w:r>
        <w:t>(1), pp.38-47.</w:t>
      </w:r>
      <w:hyperlink r:id="rId136">
        <w:r>
          <w:rPr>
            <w:color w:val="0000FF"/>
            <w:u w:val="single"/>
          </w:rPr>
          <w:t>https://doi.org/10.60022/sis.4.(01).4</w:t>
        </w:r>
      </w:hyperlink>
      <w:r>
        <w:t>.</w:t>
      </w:r>
    </w:p>
    <w:p w:rsidR="007E7629" w:rsidRDefault="003E360F">
      <w:r>
        <w:t xml:space="preserve">Zeng, L., and Wan, J. (2024). Substitution or Complement: How Do Contractual and Relational Governance Shape Members’ Organizational Commitment to Farmer Cooperatives? </w:t>
      </w:r>
      <w:r>
        <w:rPr>
          <w:i/>
          <w:iCs/>
        </w:rPr>
        <w:t>SAGE Open</w:t>
      </w:r>
      <w:r>
        <w:t xml:space="preserve">. </w:t>
      </w:r>
      <w:hyperlink r:id="rId137">
        <w:r>
          <w:rPr>
            <w:color w:val="1155CC"/>
            <w:u w:val="single"/>
          </w:rPr>
          <w:t>https://doi.org/10.1177/21582440241266660</w:t>
        </w:r>
      </w:hyperlink>
      <w:r>
        <w:t>.</w:t>
      </w:r>
    </w:p>
    <w:p w:rsidR="007E7629" w:rsidRDefault="003E360F">
      <w:pPr>
        <w:widowControl w:val="0"/>
        <w:shd w:val="clear" w:color="auto" w:fill="auto"/>
        <w:rPr>
          <w:color w:val="000000"/>
        </w:rPr>
      </w:pPr>
      <w:r>
        <w:t xml:space="preserve">Zervoudi, E.K., Moschos, N. and Christopoulos, A.G., 2025. From the corporate social responsibility (CSR) and the environmental, social and governance (ESG) criteria to the greenwashing phenomenon: A comprehensive literature review about the causes, consequences and solutions of the phenomenon with specific case studies. </w:t>
      </w:r>
      <w:r>
        <w:rPr>
          <w:i/>
          <w:iCs/>
        </w:rPr>
        <w:t>Sustainability</w:t>
      </w:r>
      <w:r>
        <w:t xml:space="preserve">, </w:t>
      </w:r>
      <w:r>
        <w:rPr>
          <w:i/>
          <w:iCs/>
        </w:rPr>
        <w:t>17</w:t>
      </w:r>
      <w:r>
        <w:t>(5), p.2222.</w:t>
      </w:r>
      <w:r>
        <w:rPr>
          <w:color w:val="000000"/>
        </w:rPr>
        <w:t xml:space="preserve"> </w:t>
      </w:r>
      <w:hyperlink r:id="rId138">
        <w:r>
          <w:rPr>
            <w:color w:val="1155CC"/>
            <w:u w:val="single"/>
          </w:rPr>
          <w:t>https://www.mdpi.com/2071-1050/17/5/2222</w:t>
        </w:r>
      </w:hyperlink>
      <w:r>
        <w:rPr>
          <w:color w:val="000000"/>
        </w:rPr>
        <w:t>.</w:t>
      </w:r>
    </w:p>
    <w:p w:rsidR="007E7629" w:rsidRDefault="003E360F">
      <w:pPr>
        <w:rPr>
          <w:color w:val="1155CC"/>
          <w:u w:val="single"/>
        </w:rPr>
      </w:pPr>
      <w:r>
        <w:t xml:space="preserve">Zong, W., Tu, H., Luo, F., Junejo, I., Din, A. U., Zhou, D., Luo, A., &amp; He, H. (2024). Social Factors Affecting Sustainable Socially Responsible Purchasing: A Mediating Role of Corporate Social Responsibility. </w:t>
      </w:r>
      <w:r>
        <w:rPr>
          <w:i/>
          <w:iCs/>
        </w:rPr>
        <w:t>SAGE Open</w:t>
      </w:r>
      <w:r>
        <w:t xml:space="preserve">. </w:t>
      </w:r>
      <w:hyperlink r:id="rId139">
        <w:r>
          <w:rPr>
            <w:color w:val="1155CC"/>
            <w:u w:val="single"/>
          </w:rPr>
          <w:t>https://doi.org/10.1177/21582440231216276</w:t>
        </w:r>
      </w:hyperlink>
      <w:r>
        <w:rPr>
          <w:color w:val="1155CC"/>
          <w:u w:val="single"/>
        </w:rPr>
        <w:t>.</w:t>
      </w:r>
    </w:p>
    <w:p w:rsidR="007E7629" w:rsidRDefault="003E360F">
      <w:r>
        <w:br w:type="page"/>
      </w:r>
    </w:p>
    <w:p w:rsidR="007E7629" w:rsidRDefault="003E360F">
      <w:pPr>
        <w:pStyle w:val="Heading1"/>
      </w:pPr>
      <w:bookmarkStart w:id="74" w:name="_Toc238235535"/>
      <w:r>
        <w:lastRenderedPageBreak/>
        <w:t>Appendix</w:t>
      </w:r>
      <w:r w:rsidR="0013217A">
        <w:t>: Ethics Form</w:t>
      </w:r>
      <w:bookmarkEnd w:id="74"/>
    </w:p>
    <w:p w:rsidR="007E7629" w:rsidRDefault="003E360F">
      <w:pPr>
        <w:tabs>
          <w:tab w:val="left" w:pos="5103"/>
        </w:tabs>
        <w:jc w:val="center"/>
        <w:rPr>
          <w:rFonts w:ascii="Arial" w:eastAsia="Arial" w:hAnsi="Arial" w:cs="Arial"/>
          <w:b/>
          <w:bCs/>
        </w:rPr>
      </w:pPr>
      <w:r>
        <w:rPr>
          <w:rFonts w:ascii="Arial" w:eastAsia="Arial" w:hAnsi="Arial" w:cs="Arial"/>
          <w:b/>
          <w:bCs/>
        </w:rPr>
        <w:t>APPLICATION FOR ETHICAL APPROVAL – INTRODUCTORY NOTES</w:t>
      </w:r>
    </w:p>
    <w:p w:rsidR="007E7629" w:rsidRDefault="007E7629">
      <w:pPr>
        <w:tabs>
          <w:tab w:val="left" w:pos="5103"/>
        </w:tabs>
        <w:ind w:right="282"/>
        <w:jc w:val="center"/>
        <w:rPr>
          <w:rFonts w:ascii="Arial" w:eastAsia="Arial" w:hAnsi="Arial" w:cs="Arial"/>
          <w:b/>
          <w:bCs/>
        </w:rPr>
      </w:pPr>
    </w:p>
    <w:p w:rsidR="007E7629" w:rsidRDefault="003E360F">
      <w:pPr>
        <w:tabs>
          <w:tab w:val="left" w:pos="5103"/>
        </w:tabs>
        <w:ind w:right="282"/>
        <w:jc w:val="center"/>
        <w:rPr>
          <w:rFonts w:ascii="Arial" w:eastAsia="Arial" w:hAnsi="Arial" w:cs="Arial"/>
          <w:b/>
          <w:bCs/>
          <w:sz w:val="22"/>
          <w:szCs w:val="22"/>
        </w:rPr>
      </w:pPr>
      <w:r>
        <w:rPr>
          <w:rFonts w:ascii="Arial" w:eastAsia="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7E7629" w:rsidRDefault="007E7629">
      <w:pPr>
        <w:tabs>
          <w:tab w:val="left" w:pos="5103"/>
        </w:tabs>
        <w:ind w:right="282"/>
        <w:jc w:val="center"/>
        <w:rPr>
          <w:rFonts w:ascii="Arial" w:eastAsia="Arial" w:hAnsi="Arial" w:cs="Arial"/>
          <w:b/>
          <w:bCs/>
          <w:sz w:val="16"/>
          <w:szCs w:val="16"/>
        </w:rPr>
      </w:pPr>
    </w:p>
    <w:p w:rsidR="007E7629" w:rsidRDefault="003E360F">
      <w:pPr>
        <w:tabs>
          <w:tab w:val="left" w:pos="5103"/>
        </w:tabs>
        <w:ind w:right="282"/>
        <w:jc w:val="center"/>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w:t>
      </w:r>
    </w:p>
    <w:p w:rsidR="007E7629" w:rsidRDefault="003E360F">
      <w:pPr>
        <w:pBdr>
          <w:top w:val="nil"/>
          <w:left w:val="nil"/>
          <w:bottom w:val="nil"/>
          <w:right w:val="nil"/>
          <w:between w:val="nil"/>
        </w:pBdr>
        <w:spacing w:before="160" w:after="160"/>
        <w:ind w:left="720" w:right="827"/>
        <w:jc w:val="center"/>
        <w:rPr>
          <w:rFonts w:ascii="Arial" w:eastAsia="Arial" w:hAnsi="Arial" w:cs="Arial"/>
          <w:i/>
          <w:iCs/>
          <w:color w:val="404040"/>
          <w:sz w:val="22"/>
          <w:szCs w:val="22"/>
        </w:rPr>
      </w:pPr>
      <w:r>
        <w:rPr>
          <w:rFonts w:ascii="Arial" w:eastAsia="Arial" w:hAnsi="Arial" w:cs="Arial"/>
          <w:i/>
          <w:iCs/>
          <w:color w:val="404040"/>
          <w:sz w:val="22"/>
          <w:szCs w:val="22"/>
        </w:rPr>
        <w:t>“[C]reative work undertaken on a systematic basis in order to increase the stock of knowledge, including knowledge of man, culture and society, and the use of this stock of knowledge to devise new applications”.</w:t>
      </w:r>
    </w:p>
    <w:p w:rsidR="007E7629" w:rsidRDefault="003E360F">
      <w:pPr>
        <w:tabs>
          <w:tab w:val="left" w:pos="5103"/>
        </w:tabs>
        <w:ind w:right="282"/>
        <w:jc w:val="center"/>
        <w:rPr>
          <w:rFonts w:ascii="Arial" w:eastAsia="Arial" w:hAnsi="Arial" w:cs="Arial"/>
          <w:sz w:val="22"/>
          <w:szCs w:val="22"/>
        </w:rPr>
      </w:pPr>
      <w:r>
        <w:rPr>
          <w:rFonts w:ascii="Arial" w:eastAsia="Arial" w:hAnsi="Arial" w:cs="Arial"/>
          <w:sz w:val="22"/>
          <w:szCs w:val="22"/>
        </w:rPr>
        <w:t>As such this covers activities undertaken by:</w:t>
      </w:r>
    </w:p>
    <w:p w:rsidR="007E7629" w:rsidRDefault="003E360F">
      <w:pPr>
        <w:numPr>
          <w:ilvl w:val="0"/>
          <w:numId w:val="12"/>
        </w:numPr>
        <w:pBdr>
          <w:top w:val="nil"/>
          <w:left w:val="nil"/>
          <w:bottom w:val="nil"/>
          <w:right w:val="nil"/>
          <w:between w:val="nil"/>
        </w:pBdr>
        <w:shd w:val="clear" w:color="auto" w:fill="auto"/>
        <w:tabs>
          <w:tab w:val="left" w:pos="5103"/>
        </w:tabs>
        <w:spacing w:line="240" w:lineRule="auto"/>
        <w:ind w:right="282" w:hanging="360"/>
        <w:jc w:val="center"/>
        <w:rPr>
          <w:color w:val="000000"/>
          <w:sz w:val="22"/>
          <w:szCs w:val="22"/>
        </w:rPr>
      </w:pPr>
      <w:r>
        <w:rPr>
          <w:rFonts w:ascii="Arial" w:eastAsia="Arial" w:hAnsi="Arial" w:cs="Arial"/>
          <w:color w:val="000000"/>
          <w:sz w:val="22"/>
          <w:szCs w:val="22"/>
        </w:rPr>
        <w:t>Members of staff (academic staff or support staff);</w:t>
      </w:r>
    </w:p>
    <w:p w:rsidR="007E7629" w:rsidRDefault="003E360F">
      <w:pPr>
        <w:numPr>
          <w:ilvl w:val="0"/>
          <w:numId w:val="12"/>
        </w:numPr>
        <w:pBdr>
          <w:top w:val="nil"/>
          <w:left w:val="nil"/>
          <w:bottom w:val="nil"/>
          <w:right w:val="nil"/>
          <w:between w:val="nil"/>
        </w:pBdr>
        <w:shd w:val="clear" w:color="auto" w:fill="auto"/>
        <w:tabs>
          <w:tab w:val="left" w:pos="5103"/>
        </w:tabs>
        <w:spacing w:line="240" w:lineRule="auto"/>
        <w:ind w:right="282" w:hanging="360"/>
        <w:jc w:val="center"/>
        <w:rPr>
          <w:color w:val="000000"/>
          <w:sz w:val="22"/>
          <w:szCs w:val="22"/>
        </w:rPr>
      </w:pPr>
      <w:r>
        <w:rPr>
          <w:rFonts w:ascii="Arial" w:eastAsia="Arial" w:hAnsi="Arial" w:cs="Arial"/>
          <w:color w:val="000000"/>
          <w:sz w:val="22"/>
          <w:szCs w:val="22"/>
        </w:rPr>
        <w:t>Individuals holding honorary title from the University;</w:t>
      </w:r>
    </w:p>
    <w:p w:rsidR="007E7629" w:rsidRDefault="003E360F">
      <w:pPr>
        <w:numPr>
          <w:ilvl w:val="0"/>
          <w:numId w:val="12"/>
        </w:numPr>
        <w:pBdr>
          <w:top w:val="nil"/>
          <w:left w:val="nil"/>
          <w:bottom w:val="nil"/>
          <w:right w:val="nil"/>
          <w:between w:val="nil"/>
        </w:pBdr>
        <w:shd w:val="clear" w:color="auto" w:fill="auto"/>
        <w:tabs>
          <w:tab w:val="left" w:pos="5103"/>
        </w:tabs>
        <w:spacing w:line="240" w:lineRule="auto"/>
        <w:ind w:right="282" w:hanging="360"/>
        <w:jc w:val="center"/>
        <w:rPr>
          <w:color w:val="000000"/>
          <w:sz w:val="22"/>
          <w:szCs w:val="22"/>
        </w:rPr>
      </w:pPr>
      <w:r>
        <w:rPr>
          <w:rFonts w:ascii="Arial" w:eastAsia="Arial" w:hAnsi="Arial" w:cs="Arial"/>
          <w:color w:val="000000"/>
          <w:sz w:val="22"/>
          <w:szCs w:val="22"/>
        </w:rPr>
        <w:t>Postgraduate research students;</w:t>
      </w:r>
    </w:p>
    <w:p w:rsidR="007E7629" w:rsidRDefault="003E360F">
      <w:pPr>
        <w:tabs>
          <w:tab w:val="left" w:pos="5103"/>
        </w:tabs>
        <w:ind w:left="64" w:right="282"/>
        <w:jc w:val="center"/>
        <w:rPr>
          <w:rFonts w:ascii="Arial" w:eastAsia="Arial" w:hAnsi="Arial" w:cs="Arial"/>
          <w:sz w:val="22"/>
          <w:szCs w:val="22"/>
        </w:rPr>
      </w:pPr>
      <w:r>
        <w:rPr>
          <w:rFonts w:ascii="Arial" w:eastAsia="Arial" w:hAnsi="Arial" w:cs="Arial"/>
          <w:sz w:val="22"/>
          <w:szCs w:val="22"/>
        </w:rPr>
        <w:t>In all of these cases ethical review is required regardless of discipline.</w:t>
      </w:r>
    </w:p>
    <w:p w:rsidR="007E7629" w:rsidRDefault="007E7629">
      <w:pPr>
        <w:tabs>
          <w:tab w:val="left" w:pos="5103"/>
        </w:tabs>
        <w:ind w:right="282"/>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bCs/>
          <w:sz w:val="22"/>
          <w:szCs w:val="22"/>
        </w:rPr>
        <w:t>lead researcher</w:t>
      </w:r>
      <w:r>
        <w:rPr>
          <w:rFonts w:ascii="Arial" w:eastAsia="Arial" w:hAnsi="Arial" w:cs="Arial"/>
          <w:sz w:val="22"/>
          <w:szCs w:val="22"/>
        </w:rPr>
        <w:t>.</w:t>
      </w:r>
    </w:p>
    <w:p w:rsidR="007E7629" w:rsidRDefault="007E7629">
      <w:pPr>
        <w:tabs>
          <w:tab w:val="left" w:pos="5103"/>
        </w:tabs>
        <w:ind w:right="282"/>
        <w:jc w:val="center"/>
        <w:rPr>
          <w:rFonts w:ascii="Arial" w:eastAsia="Arial" w:hAnsi="Arial" w:cs="Arial"/>
          <w:sz w:val="22"/>
          <w:szCs w:val="22"/>
        </w:rPr>
      </w:pPr>
    </w:p>
    <w:p w:rsidR="007E7629" w:rsidRDefault="003E360F">
      <w:pPr>
        <w:tabs>
          <w:tab w:val="left" w:pos="5103"/>
        </w:tabs>
        <w:jc w:val="center"/>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rsidR="007E7629" w:rsidRDefault="007E7629">
      <w:pPr>
        <w:tabs>
          <w:tab w:val="left" w:pos="5103"/>
        </w:tabs>
        <w:ind w:right="282"/>
        <w:jc w:val="center"/>
        <w:rPr>
          <w:rFonts w:ascii="Arial" w:eastAsia="Arial" w:hAnsi="Arial" w:cs="Arial"/>
          <w:color w:val="000000"/>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7E7629" w:rsidRDefault="007E7629">
      <w:pPr>
        <w:tabs>
          <w:tab w:val="left" w:pos="5103"/>
        </w:tabs>
        <w:ind w:right="282"/>
        <w:jc w:val="center"/>
        <w:rPr>
          <w:rFonts w:ascii="Arial" w:eastAsia="Arial" w:hAnsi="Arial" w:cs="Arial"/>
          <w:color w:val="000000"/>
          <w:sz w:val="22"/>
          <w:szCs w:val="22"/>
        </w:rPr>
      </w:pPr>
    </w:p>
    <w:tbl>
      <w:tblPr>
        <w:tblStyle w:val="ad"/>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Click to continue to appendix &lt;&lt;N&gt;&gt;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E7629">
        <w:trPr>
          <w:trHeight w:val="729"/>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completed appendix &lt;&lt;N&gt;&gt;?</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r>
    </w:tbl>
    <w:p w:rsidR="007E7629" w:rsidRDefault="007E7629">
      <w:pPr>
        <w:tabs>
          <w:tab w:val="left" w:pos="5103"/>
        </w:tabs>
        <w:ind w:right="282"/>
        <w:jc w:val="center"/>
        <w:rPr>
          <w:rFonts w:ascii="Arial" w:eastAsia="Arial" w:hAnsi="Arial" w:cs="Arial"/>
          <w:color w:val="000000"/>
          <w:sz w:val="22"/>
          <w:szCs w:val="22"/>
        </w:rPr>
      </w:pPr>
    </w:p>
    <w:p w:rsidR="007E7629" w:rsidRDefault="003E360F">
      <w:pPr>
        <w:jc w:val="center"/>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rsidR="007E7629" w:rsidRDefault="007E7629">
      <w:pPr>
        <w:tabs>
          <w:tab w:val="left" w:pos="5103"/>
        </w:tabs>
        <w:ind w:right="282"/>
        <w:jc w:val="center"/>
        <w:rPr>
          <w:rFonts w:ascii="Arial" w:eastAsia="Arial" w:hAnsi="Arial" w:cs="Arial"/>
          <w:color w:val="000000"/>
          <w:sz w:val="22"/>
          <w:szCs w:val="22"/>
        </w:rPr>
      </w:pPr>
    </w:p>
    <w:tbl>
      <w:tblPr>
        <w:tblStyle w:val="a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c>
          <w:tcPr>
            <w:tcW w:w="562" w:type="dxa"/>
            <w:tcBorders>
              <w:top w:val="nil"/>
              <w:left w:val="nil"/>
              <w:bottom w:val="nil"/>
              <w:right w:val="nil"/>
            </w:tcBorders>
            <w:shd w:val="clear" w:color="auto" w:fill="FFFFFF"/>
          </w:tcPr>
          <w:p w:rsidR="007E7629" w:rsidRDefault="007E7629">
            <w:pPr>
              <w:jc w:val="cente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7E7629" w:rsidRDefault="007E7629">
            <w:pPr>
              <w:jc w:val="cente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Return to the main form</w:t>
            </w:r>
          </w:p>
        </w:tc>
      </w:tr>
    </w:tbl>
    <w:p w:rsidR="007E7629" w:rsidRDefault="007E7629">
      <w:pPr>
        <w:tabs>
          <w:tab w:val="left" w:pos="5103"/>
        </w:tabs>
        <w:ind w:right="282"/>
        <w:jc w:val="center"/>
        <w:rPr>
          <w:rFonts w:ascii="Arial" w:eastAsia="Arial" w:hAnsi="Arial" w:cs="Arial"/>
          <w:color w:val="000000"/>
          <w:sz w:val="22"/>
          <w:szCs w:val="22"/>
        </w:rPr>
      </w:pPr>
    </w:p>
    <w:p w:rsidR="007E7629" w:rsidRDefault="003E360F">
      <w:pPr>
        <w:tabs>
          <w:tab w:val="left" w:pos="5103"/>
        </w:tabs>
        <w:ind w:right="282"/>
        <w:jc w:val="center"/>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rsidR="007E7629" w:rsidRDefault="007E7629">
      <w:pPr>
        <w:tabs>
          <w:tab w:val="left" w:pos="5103"/>
        </w:tabs>
        <w:ind w:right="282"/>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rsidR="007E7629" w:rsidRDefault="007E7629">
      <w:pPr>
        <w:tabs>
          <w:tab w:val="left" w:pos="5103"/>
        </w:tabs>
        <w:ind w:right="282"/>
        <w:jc w:val="center"/>
        <w:rPr>
          <w:rFonts w:ascii="Arial" w:eastAsia="Arial" w:hAnsi="Arial" w:cs="Arial"/>
          <w:color w:val="000000"/>
          <w:sz w:val="22"/>
          <w:szCs w:val="22"/>
        </w:rPr>
      </w:pPr>
    </w:p>
    <w:p w:rsidR="007E7629" w:rsidRDefault="003E360F">
      <w:pPr>
        <w:tabs>
          <w:tab w:val="left" w:pos="5103"/>
        </w:tabs>
        <w:jc w:val="center"/>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rsidR="007E7629" w:rsidRDefault="003E360F">
      <w:pPr>
        <w:spacing w:after="240"/>
        <w:jc w:val="center"/>
        <w:rPr>
          <w:rFonts w:ascii="Arial" w:eastAsia="Arial" w:hAnsi="Arial" w:cs="Arial"/>
          <w:b/>
          <w:bCs/>
          <w:sz w:val="22"/>
          <w:szCs w:val="22"/>
        </w:rPr>
      </w:pPr>
      <w:r>
        <w:rPr>
          <w:rFonts w:ascii="Arial" w:eastAsia="Arial" w:hAnsi="Arial" w:cs="Arial"/>
          <w:b/>
          <w:bCs/>
        </w:rPr>
        <w:t>APPLICATION FOR ETHICAL APPROVAL</w:t>
      </w:r>
    </w:p>
    <w:p w:rsidR="007E7629" w:rsidRDefault="003E360F">
      <w:pPr>
        <w:spacing w:after="240"/>
        <w:jc w:val="center"/>
        <w:rPr>
          <w:rFonts w:ascii="Arial" w:eastAsia="Arial" w:hAnsi="Arial" w:cs="Arial"/>
          <w:b/>
          <w:bCs/>
          <w:sz w:val="22"/>
          <w:szCs w:val="22"/>
        </w:rPr>
      </w:pPr>
      <w:r>
        <w:rPr>
          <w:rFonts w:ascii="Arial" w:eastAsia="Arial" w:hAnsi="Arial" w:cs="Arial"/>
          <w:b/>
          <w:bCs/>
          <w:sz w:val="22"/>
          <w:szCs w:val="22"/>
        </w:rPr>
        <w:t>SECTION A: About You (Lead Researcher)</w:t>
      </w:r>
    </w:p>
    <w:tbl>
      <w:tblPr>
        <w:tblStyle w:val="af"/>
        <w:tblW w:w="10448"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7E7629">
        <w:trPr>
          <w:trHeight w:val="439"/>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rsidR="007E7629" w:rsidRDefault="003E360F">
            <w:pPr>
              <w:jc w:val="center"/>
              <w:rPr>
                <w:rFonts w:ascii="Arial" w:eastAsia="Arial" w:hAnsi="Arial" w:cs="Arial"/>
                <w:sz w:val="22"/>
                <w:szCs w:val="22"/>
              </w:rPr>
            </w:pPr>
            <w:r>
              <w:rPr>
                <w:rFonts w:ascii="Arial" w:eastAsia="Arial" w:hAnsi="Arial" w:cs="Arial"/>
                <w:sz w:val="22"/>
                <w:szCs w:val="22"/>
              </w:rPr>
              <w:t>Gokul Krishnan Krishna Kumar Gopika</w:t>
            </w:r>
          </w:p>
        </w:tc>
      </w:tr>
      <w:tr w:rsidR="007E7629">
        <w:trPr>
          <w:trHeight w:val="472"/>
          <w:jc w:val="center"/>
        </w:trPr>
        <w:tc>
          <w:tcPr>
            <w:tcW w:w="559"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2526"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72"/>
          <w:jc w:val="center"/>
        </w:trPr>
        <w:tc>
          <w:tcPr>
            <w:tcW w:w="559"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sz w:val="22"/>
                <w:szCs w:val="22"/>
              </w:rPr>
            </w:pPr>
          </w:p>
        </w:tc>
        <w:tc>
          <w:tcPr>
            <w:tcW w:w="254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2551"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rsidR="007E7629" w:rsidRDefault="00FB5D41">
            <w:pPr>
              <w:jc w:val="center"/>
              <w:rPr>
                <w:rFonts w:ascii="Arial" w:eastAsia="Arial" w:hAnsi="Arial" w:cs="Arial"/>
                <w:sz w:val="22"/>
                <w:szCs w:val="22"/>
              </w:rPr>
            </w:pPr>
            <w:sdt>
              <w:sdtPr>
                <w:tag w:val="goog_rdk_3"/>
                <w:id w:val="-12829588"/>
              </w:sdtPr>
              <w:sdtEndPr/>
              <w:sdtContent>
                <w:r w:rsidR="003E360F">
                  <w:rPr>
                    <w:rFonts w:ascii="Arial Unicode MS" w:eastAsia="Arial Unicode MS" w:hAnsi="Arial Unicode MS" w:cs="Arial Unicode MS"/>
                    <w:sz w:val="22"/>
                    <w:szCs w:val="22"/>
                  </w:rPr>
                  <w:t xml:space="preserve">✓ </w:t>
                </w:r>
              </w:sdtContent>
            </w:sdt>
          </w:p>
        </w:tc>
        <w:tc>
          <w:tcPr>
            <w:tcW w:w="2526"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cantSplit/>
          <w:trHeight w:val="334"/>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cantSplit/>
          <w:trHeight w:val="340"/>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rsidR="007E7629" w:rsidRDefault="003E360F">
            <w:pPr>
              <w:jc w:val="center"/>
              <w:rPr>
                <w:rFonts w:ascii="Arial" w:eastAsia="Arial" w:hAnsi="Arial" w:cs="Arial"/>
                <w:sz w:val="22"/>
                <w:szCs w:val="22"/>
              </w:rPr>
            </w:pPr>
            <w:r>
              <w:rPr>
                <w:rFonts w:ascii="Arial" w:eastAsia="Arial" w:hAnsi="Arial" w:cs="Arial"/>
                <w:sz w:val="22"/>
                <w:szCs w:val="22"/>
              </w:rPr>
              <w:t>IICL ( Institution of inner city learning)</w:t>
            </w:r>
          </w:p>
          <w:p w:rsidR="007E7629" w:rsidRDefault="007E7629">
            <w:pPr>
              <w:jc w:val="center"/>
              <w:rPr>
                <w:rFonts w:ascii="Arial" w:eastAsia="Arial" w:hAnsi="Arial" w:cs="Arial"/>
                <w:sz w:val="22"/>
                <w:szCs w:val="22"/>
              </w:rPr>
            </w:pPr>
          </w:p>
        </w:tc>
      </w:tr>
      <w:tr w:rsidR="007E7629">
        <w:trPr>
          <w:cantSplit/>
          <w:trHeight w:val="340"/>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rsidR="007E7629" w:rsidRDefault="00FB5D41">
            <w:pPr>
              <w:jc w:val="center"/>
              <w:rPr>
                <w:rFonts w:ascii="Arial" w:eastAsia="Arial" w:hAnsi="Arial" w:cs="Arial"/>
                <w:sz w:val="22"/>
                <w:szCs w:val="22"/>
              </w:rPr>
            </w:pPr>
            <w:hyperlink r:id="rId140">
              <w:r w:rsidR="003E360F">
                <w:rPr>
                  <w:rFonts w:ascii="Arial" w:eastAsia="Arial" w:hAnsi="Arial" w:cs="Arial"/>
                  <w:color w:val="1155CC"/>
                  <w:sz w:val="22"/>
                  <w:szCs w:val="22"/>
                  <w:u w:val="single"/>
                </w:rPr>
                <w:t>2433834@student.uwtsd.ac.uk</w:t>
              </w:r>
            </w:hyperlink>
          </w:p>
          <w:p w:rsidR="007E7629" w:rsidRDefault="007E7629">
            <w:pPr>
              <w:jc w:val="center"/>
              <w:rPr>
                <w:rFonts w:ascii="Arial" w:eastAsia="Arial" w:hAnsi="Arial" w:cs="Arial"/>
                <w:sz w:val="22"/>
                <w:szCs w:val="22"/>
              </w:rPr>
            </w:pPr>
          </w:p>
        </w:tc>
      </w:tr>
      <w:tr w:rsidR="007E7629">
        <w:trPr>
          <w:cantSplit/>
          <w:trHeight w:val="340"/>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cantSplit/>
          <w:trHeight w:val="340"/>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rsidR="007E7629" w:rsidRDefault="003E360F">
            <w:pPr>
              <w:jc w:val="center"/>
              <w:rPr>
                <w:rFonts w:ascii="Arial" w:eastAsia="Arial" w:hAnsi="Arial" w:cs="Arial"/>
                <w:sz w:val="22"/>
                <w:szCs w:val="22"/>
              </w:rPr>
            </w:pPr>
            <w:r>
              <w:rPr>
                <w:rFonts w:ascii="Arial" w:eastAsia="Arial" w:hAnsi="Arial" w:cs="Arial"/>
                <w:sz w:val="22"/>
                <w:szCs w:val="22"/>
              </w:rPr>
              <w:t>Customer Trust in ESG Initiatives in the UK Food Industry: A Systematic Literature Review</w:t>
            </w:r>
          </w:p>
          <w:p w:rsidR="007E7629" w:rsidRDefault="007E7629">
            <w:pPr>
              <w:jc w:val="center"/>
              <w:rPr>
                <w:rFonts w:ascii="Arial" w:eastAsia="Arial" w:hAnsi="Arial" w:cs="Arial"/>
                <w:sz w:val="22"/>
                <w:szCs w:val="22"/>
              </w:rPr>
            </w:pPr>
          </w:p>
        </w:tc>
      </w:tr>
      <w:tr w:rsidR="007E7629">
        <w:trPr>
          <w:cantSplit/>
          <w:trHeight w:val="340"/>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11/05/2026</w:t>
            </w:r>
          </w:p>
          <w:p w:rsidR="007E7629" w:rsidRDefault="007E7629">
            <w:pPr>
              <w:jc w:val="center"/>
              <w:rPr>
                <w:rFonts w:ascii="Arial" w:eastAsia="Arial" w:hAnsi="Arial" w:cs="Arial"/>
                <w:sz w:val="22"/>
                <w:szCs w:val="22"/>
              </w:rPr>
            </w:pPr>
          </w:p>
        </w:tc>
        <w:tc>
          <w:tcPr>
            <w:tcW w:w="2977" w:type="dxa"/>
            <w:gridSpan w:val="3"/>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sz w:val="22"/>
                <w:szCs w:val="22"/>
              </w:rPr>
            </w:pPr>
            <w:r>
              <w:rPr>
                <w:rFonts w:ascii="Arial" w:eastAsia="Arial" w:hAnsi="Arial" w:cs="Arial"/>
                <w:sz w:val="22"/>
                <w:szCs w:val="22"/>
              </w:rPr>
              <w:t>28/08/2026</w:t>
            </w:r>
          </w:p>
        </w:tc>
      </w:tr>
      <w:tr w:rsidR="007E7629">
        <w:trPr>
          <w:jc w:val="center"/>
        </w:trPr>
        <w:tc>
          <w:tcPr>
            <w:tcW w:w="10448" w:type="dxa"/>
            <w:gridSpan w:val="9"/>
            <w:vAlign w:val="center"/>
          </w:tcPr>
          <w:p w:rsidR="007E7629" w:rsidRDefault="003E360F">
            <w:pPr>
              <w:jc w:val="center"/>
              <w:rPr>
                <w:rFonts w:ascii="Arial" w:eastAsia="Arial" w:hAnsi="Arial" w:cs="Arial"/>
                <w:sz w:val="22"/>
                <w:szCs w:val="22"/>
              </w:rPr>
            </w:pPr>
            <w:r>
              <w:rPr>
                <w:rFonts w:ascii="Arial" w:eastAsia="Arial" w:hAnsi="Arial" w:cs="Arial"/>
                <w:b/>
                <w:bCs/>
                <w:i/>
                <w:iCs/>
                <w:sz w:val="22"/>
                <w:szCs w:val="22"/>
              </w:rPr>
              <w:lastRenderedPageBreak/>
              <w:t>For students:</w:t>
            </w:r>
          </w:p>
        </w:tc>
      </w:tr>
      <w:tr w:rsidR="007E7629">
        <w:trPr>
          <w:trHeight w:val="513"/>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rsidR="007E7629" w:rsidRDefault="003E360F">
            <w:pPr>
              <w:jc w:val="center"/>
              <w:rPr>
                <w:rFonts w:ascii="Arial" w:eastAsia="Arial" w:hAnsi="Arial" w:cs="Arial"/>
                <w:sz w:val="22"/>
                <w:szCs w:val="22"/>
              </w:rPr>
            </w:pPr>
            <w:r>
              <w:rPr>
                <w:rFonts w:ascii="Arial" w:eastAsia="Arial" w:hAnsi="Arial" w:cs="Arial"/>
                <w:sz w:val="22"/>
                <w:szCs w:val="22"/>
              </w:rPr>
              <w:t>2433834</w:t>
            </w:r>
          </w:p>
        </w:tc>
      </w:tr>
      <w:tr w:rsidR="007E7629">
        <w:trPr>
          <w:trHeight w:val="549"/>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rsidR="007E7629" w:rsidRDefault="003E360F">
            <w:pPr>
              <w:jc w:val="center"/>
              <w:rPr>
                <w:rFonts w:ascii="Arial" w:eastAsia="Arial" w:hAnsi="Arial" w:cs="Arial"/>
                <w:sz w:val="22"/>
                <w:szCs w:val="22"/>
              </w:rPr>
            </w:pPr>
            <w:r>
              <w:rPr>
                <w:rFonts w:ascii="Arial" w:eastAsia="Arial" w:hAnsi="Arial" w:cs="Arial"/>
                <w:sz w:val="22"/>
                <w:szCs w:val="22"/>
              </w:rPr>
              <w:t>MBA International business</w:t>
            </w:r>
          </w:p>
        </w:tc>
      </w:tr>
      <w:tr w:rsidR="007E7629">
        <w:trPr>
          <w:trHeight w:val="557"/>
          <w:jc w:val="center"/>
        </w:trPr>
        <w:tc>
          <w:tcPr>
            <w:tcW w:w="55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rsidR="007E7629" w:rsidRDefault="003E360F">
            <w:pPr>
              <w:jc w:val="center"/>
              <w:rPr>
                <w:rFonts w:ascii="Arial" w:eastAsia="Arial" w:hAnsi="Arial" w:cs="Arial"/>
                <w:sz w:val="22"/>
                <w:szCs w:val="22"/>
              </w:rPr>
            </w:pPr>
            <w:r>
              <w:rPr>
                <w:rFonts w:ascii="Arial" w:eastAsia="Arial" w:hAnsi="Arial" w:cs="Arial"/>
                <w:sz w:val="22"/>
                <w:szCs w:val="22"/>
              </w:rPr>
              <w:t>Shujun Xiao</w:t>
            </w:r>
          </w:p>
        </w:tc>
      </w:tr>
    </w:tbl>
    <w:p w:rsidR="007E7629" w:rsidRDefault="007E7629">
      <w:pPr>
        <w:jc w:val="center"/>
        <w:rPr>
          <w:rFonts w:ascii="Arial" w:eastAsia="Arial" w:hAnsi="Arial" w:cs="Arial"/>
        </w:rPr>
      </w:pPr>
    </w:p>
    <w:p w:rsidR="007E7629" w:rsidRDefault="003E360F">
      <w:pPr>
        <w:spacing w:after="240"/>
        <w:jc w:val="center"/>
        <w:rPr>
          <w:rFonts w:ascii="Arial" w:eastAsia="Arial" w:hAnsi="Arial" w:cs="Arial"/>
          <w:b/>
          <w:bCs/>
          <w:sz w:val="22"/>
          <w:szCs w:val="22"/>
        </w:rPr>
      </w:pPr>
      <w:r>
        <w:rPr>
          <w:rFonts w:ascii="Arial" w:eastAsia="Arial" w:hAnsi="Arial" w:cs="Arial"/>
          <w:b/>
          <w:bCs/>
          <w:sz w:val="22"/>
          <w:szCs w:val="22"/>
        </w:rPr>
        <w:t>SECTION B: Grant or Contract Funding</w:t>
      </w:r>
    </w:p>
    <w:tbl>
      <w:tblPr>
        <w:tblStyle w:val="af0"/>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FB5D41">
            <w:pPr>
              <w:jc w:val="center"/>
              <w:rPr>
                <w:rFonts w:ascii="Arial" w:eastAsia="Arial" w:hAnsi="Arial" w:cs="Arial"/>
                <w:b/>
                <w:bCs/>
                <w:sz w:val="22"/>
                <w:szCs w:val="22"/>
              </w:rPr>
            </w:pPr>
            <w:hyperlink w:anchor="bookmark=id.h1flk8xwugli">
              <w:r w:rsidR="003E360F">
                <w:rPr>
                  <w:rFonts w:ascii="Arial" w:eastAsia="Arial" w:hAnsi="Arial" w:cs="Arial"/>
                  <w:b/>
                  <w:bCs/>
                  <w:color w:val="467886"/>
                  <w:sz w:val="22"/>
                  <w:szCs w:val="22"/>
                  <w:u w:val="single"/>
                </w:rPr>
                <w:t>Click to continue to appendix 1</w:t>
              </w:r>
            </w:hyperlink>
          </w:p>
        </w:tc>
        <w:tc>
          <w:tcPr>
            <w:tcW w:w="850" w:type="dxa"/>
            <w:shd w:val="clear" w:color="auto" w:fill="F2F2F2"/>
            <w:vAlign w:val="center"/>
          </w:tcPr>
          <w:p w:rsidR="007E7629" w:rsidRDefault="00FB5D41">
            <w:pPr>
              <w:jc w:val="center"/>
              <w:rPr>
                <w:rFonts w:ascii="Arial" w:eastAsia="Arial" w:hAnsi="Arial" w:cs="Arial"/>
                <w:b/>
                <w:bCs/>
                <w:sz w:val="22"/>
                <w:szCs w:val="22"/>
              </w:rPr>
            </w:pPr>
            <w:sdt>
              <w:sdtPr>
                <w:tag w:val="goog_rdk_4"/>
                <w:id w:val="262334465"/>
              </w:sdtPr>
              <w:sdtEndPr/>
              <w:sdtContent>
                <w:r w:rsidR="003E360F">
                  <w:rPr>
                    <w:rFonts w:ascii="Arial Unicode MS" w:eastAsia="Arial Unicode MS" w:hAnsi="Arial Unicode MS" w:cs="Arial Unicode MS"/>
                    <w:sz w:val="22"/>
                    <w:szCs w:val="22"/>
                  </w:rPr>
                  <w:t>✓</w:t>
                </w:r>
              </w:sdtContent>
            </w:sdt>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E7629">
        <w:trPr>
          <w:trHeight w:val="729"/>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completed appendix 1?</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r>
    </w:tbl>
    <w:p w:rsidR="007E7629" w:rsidRDefault="007E7629">
      <w:pPr>
        <w:tabs>
          <w:tab w:val="left" w:pos="5103"/>
        </w:tabs>
        <w:ind w:right="282"/>
        <w:jc w:val="center"/>
        <w:rPr>
          <w:rFonts w:ascii="Arial" w:eastAsia="Arial" w:hAnsi="Arial" w:cs="Arial"/>
          <w:color w:val="000000"/>
          <w:sz w:val="22"/>
          <w:szCs w:val="22"/>
        </w:rPr>
      </w:pPr>
    </w:p>
    <w:p w:rsidR="007E7629" w:rsidRDefault="003E360F">
      <w:pPr>
        <w:spacing w:after="240"/>
        <w:jc w:val="center"/>
        <w:rPr>
          <w:rFonts w:ascii="Arial" w:eastAsia="Arial" w:hAnsi="Arial" w:cs="Arial"/>
          <w:b/>
          <w:bCs/>
          <w:sz w:val="22"/>
          <w:szCs w:val="22"/>
        </w:rPr>
      </w:pPr>
      <w:bookmarkStart w:id="75" w:name="bookmark=id.g8btti3ftx6s" w:colFirst="0" w:colLast="0"/>
      <w:bookmarkEnd w:id="75"/>
      <w:r>
        <w:rPr>
          <w:rFonts w:ascii="Arial" w:eastAsia="Arial" w:hAnsi="Arial" w:cs="Arial"/>
          <w:b/>
          <w:bCs/>
          <w:sz w:val="22"/>
          <w:szCs w:val="22"/>
        </w:rPr>
        <w:t>SECTION C:  Internal and External Ethical Guidance Materials</w:t>
      </w:r>
    </w:p>
    <w:tbl>
      <w:tblPr>
        <w:tblStyle w:val="af1"/>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7E7629">
        <w:trPr>
          <w:jc w:val="center"/>
        </w:trPr>
        <w:tc>
          <w:tcPr>
            <w:tcW w:w="10480" w:type="dxa"/>
            <w:gridSpan w:val="3"/>
            <w:shd w:val="clear" w:color="auto" w:fill="C1E4F5"/>
          </w:tcPr>
          <w:p w:rsidR="007E7629" w:rsidRDefault="003E360F">
            <w:pPr>
              <w:jc w:val="center"/>
              <w:rPr>
                <w:rFonts w:ascii="Arial" w:eastAsia="Arial" w:hAnsi="Arial" w:cs="Arial"/>
                <w:b/>
                <w:bCs/>
                <w:sz w:val="22"/>
                <w:szCs w:val="22"/>
              </w:rPr>
            </w:pPr>
            <w:r>
              <w:rPr>
                <w:rFonts w:ascii="Arial" w:eastAsia="Arial" w:hAnsi="Arial" w:cs="Arial"/>
                <w:b/>
                <w:bCs/>
                <w:sz w:val="22"/>
                <w:szCs w:val="22"/>
              </w:rPr>
              <w:t>Ethical Guidance Documents</w:t>
            </w:r>
          </w:p>
          <w:p w:rsidR="007E7629" w:rsidRDefault="003E360F">
            <w:pPr>
              <w:jc w:val="cente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E7629">
        <w:trPr>
          <w:trHeight w:val="355"/>
          <w:jc w:val="center"/>
        </w:trPr>
        <w:tc>
          <w:tcPr>
            <w:tcW w:w="562"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8784"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rsidR="007E7629" w:rsidRDefault="00FB5D41">
            <w:pPr>
              <w:jc w:val="center"/>
              <w:rPr>
                <w:rFonts w:ascii="Arial" w:eastAsia="Arial" w:hAnsi="Arial" w:cs="Arial"/>
                <w:sz w:val="22"/>
                <w:szCs w:val="22"/>
              </w:rPr>
            </w:pPr>
            <w:sdt>
              <w:sdtPr>
                <w:tag w:val="goog_rdk_5"/>
                <w:id w:val="464834952"/>
              </w:sdtPr>
              <w:sdtEndPr/>
              <w:sdtContent>
                <w:r w:rsidR="003E360F">
                  <w:rPr>
                    <w:rFonts w:ascii="Arial Unicode MS" w:eastAsia="Arial Unicode MS" w:hAnsi="Arial Unicode MS" w:cs="Arial Unicode MS"/>
                    <w:sz w:val="22"/>
                    <w:szCs w:val="22"/>
                  </w:rPr>
                  <w:t>✓</w:t>
                </w:r>
              </w:sdtContent>
            </w:sdt>
          </w:p>
        </w:tc>
      </w:tr>
      <w:tr w:rsidR="007E7629">
        <w:trPr>
          <w:trHeight w:val="417"/>
          <w:jc w:val="center"/>
        </w:trPr>
        <w:tc>
          <w:tcPr>
            <w:tcW w:w="562"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8784" w:type="dxa"/>
            <w:vAlign w:val="center"/>
          </w:tcPr>
          <w:p w:rsidR="007E7629" w:rsidRDefault="003E360F">
            <w:pPr>
              <w:jc w:val="center"/>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rsidR="007E7629" w:rsidRDefault="00FB5D41">
            <w:pPr>
              <w:jc w:val="center"/>
              <w:rPr>
                <w:rFonts w:ascii="Arial" w:eastAsia="Arial" w:hAnsi="Arial" w:cs="Arial"/>
                <w:i/>
                <w:iCs/>
                <w:sz w:val="22"/>
                <w:szCs w:val="22"/>
              </w:rPr>
            </w:pPr>
            <w:sdt>
              <w:sdtPr>
                <w:tag w:val="goog_rdk_6"/>
                <w:id w:val="-395765644"/>
              </w:sdtPr>
              <w:sdtEndPr/>
              <w:sdtContent>
                <w:r w:rsidR="003E360F">
                  <w:rPr>
                    <w:rFonts w:ascii="Arial Unicode MS" w:eastAsia="Arial Unicode MS" w:hAnsi="Arial Unicode MS" w:cs="Arial Unicode MS"/>
                    <w:sz w:val="22"/>
                    <w:szCs w:val="22"/>
                  </w:rPr>
                  <w:t>✓</w:t>
                </w:r>
              </w:sdtContent>
            </w:sdt>
          </w:p>
        </w:tc>
      </w:tr>
      <w:tr w:rsidR="007E7629">
        <w:trPr>
          <w:trHeight w:val="417"/>
          <w:jc w:val="center"/>
        </w:trPr>
        <w:tc>
          <w:tcPr>
            <w:tcW w:w="562"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3</w:t>
            </w:r>
          </w:p>
        </w:tc>
        <w:tc>
          <w:tcPr>
            <w:tcW w:w="8784"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rsidR="007E7629" w:rsidRDefault="00FB5D41">
            <w:pPr>
              <w:jc w:val="center"/>
              <w:rPr>
                <w:rFonts w:ascii="Arial" w:eastAsia="Arial" w:hAnsi="Arial" w:cs="Arial"/>
                <w:sz w:val="22"/>
                <w:szCs w:val="22"/>
              </w:rPr>
            </w:pPr>
            <w:sdt>
              <w:sdtPr>
                <w:tag w:val="goog_rdk_7"/>
                <w:id w:val="1305121854"/>
              </w:sdtPr>
              <w:sdtEndPr/>
              <w:sdtContent>
                <w:r w:rsidR="003E360F">
                  <w:rPr>
                    <w:rFonts w:ascii="Arial Unicode MS" w:eastAsia="Arial Unicode MS" w:hAnsi="Arial Unicode MS" w:cs="Arial Unicode MS"/>
                    <w:sz w:val="22"/>
                    <w:szCs w:val="22"/>
                  </w:rPr>
                  <w:t>✓</w:t>
                </w:r>
              </w:sdtContent>
            </w:sdt>
          </w:p>
        </w:tc>
      </w:tr>
      <w:tr w:rsidR="007E7629">
        <w:trPr>
          <w:trHeight w:val="417"/>
          <w:jc w:val="center"/>
        </w:trPr>
        <w:tc>
          <w:tcPr>
            <w:tcW w:w="562"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4</w:t>
            </w:r>
          </w:p>
        </w:tc>
        <w:tc>
          <w:tcPr>
            <w:tcW w:w="8784"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UWTSD Export Control Policy</w:t>
            </w:r>
          </w:p>
          <w:p w:rsidR="007E7629" w:rsidRDefault="003E360F">
            <w:pPr>
              <w:jc w:val="center"/>
              <w:rPr>
                <w:rFonts w:ascii="Arial" w:eastAsia="Arial" w:hAnsi="Arial" w:cs="Arial"/>
                <w:i/>
                <w:iCs/>
                <w:sz w:val="22"/>
                <w:szCs w:val="22"/>
              </w:rPr>
            </w:pPr>
            <w:r>
              <w:rPr>
                <w:rFonts w:ascii="Arial" w:eastAsia="Arial" w:hAnsi="Arial" w:cs="Arial"/>
                <w:i/>
                <w:iCs/>
                <w:sz w:val="22"/>
                <w:szCs w:val="22"/>
              </w:rPr>
              <w:t>Required if Appendix 8 completed</w:t>
            </w:r>
          </w:p>
        </w:tc>
        <w:tc>
          <w:tcPr>
            <w:tcW w:w="1134"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17"/>
          <w:jc w:val="center"/>
        </w:trPr>
        <w:tc>
          <w:tcPr>
            <w:tcW w:w="562"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5</w:t>
            </w:r>
          </w:p>
        </w:tc>
        <w:tc>
          <w:tcPr>
            <w:tcW w:w="8784"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UWTSD Trusted Research and Innovation Policy</w:t>
            </w:r>
          </w:p>
          <w:p w:rsidR="007E7629" w:rsidRDefault="003E360F">
            <w:pPr>
              <w:jc w:val="center"/>
              <w:rPr>
                <w:rFonts w:ascii="Arial" w:eastAsia="Arial" w:hAnsi="Arial" w:cs="Arial"/>
                <w:i/>
                <w:iCs/>
                <w:sz w:val="22"/>
                <w:szCs w:val="22"/>
              </w:rPr>
            </w:pPr>
            <w:r>
              <w:rPr>
                <w:rFonts w:ascii="Arial" w:eastAsia="Arial" w:hAnsi="Arial" w:cs="Arial"/>
                <w:i/>
                <w:iCs/>
                <w:sz w:val="22"/>
                <w:szCs w:val="22"/>
              </w:rPr>
              <w:t>Required if research is taking place outside the UK</w:t>
            </w:r>
          </w:p>
        </w:tc>
        <w:tc>
          <w:tcPr>
            <w:tcW w:w="1134"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17"/>
          <w:jc w:val="center"/>
        </w:trPr>
        <w:tc>
          <w:tcPr>
            <w:tcW w:w="562"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6</w:t>
            </w:r>
          </w:p>
        </w:tc>
        <w:tc>
          <w:tcPr>
            <w:tcW w:w="8784" w:type="dxa"/>
            <w:vAlign w:val="center"/>
          </w:tcPr>
          <w:p w:rsidR="007E7629" w:rsidRDefault="003E360F">
            <w:pPr>
              <w:jc w:val="center"/>
              <w:rPr>
                <w:rFonts w:ascii="Arial" w:eastAsia="Arial" w:hAnsi="Arial" w:cs="Arial"/>
                <w:b/>
                <w:bCs/>
                <w:sz w:val="22"/>
                <w:szCs w:val="22"/>
              </w:rPr>
            </w:pPr>
            <w:r>
              <w:rPr>
                <w:rFonts w:ascii="Arial" w:eastAsia="Arial" w:hAnsi="Arial" w:cs="Arial"/>
                <w:i/>
                <w:iCs/>
                <w:sz w:val="22"/>
                <w:szCs w:val="22"/>
              </w:rPr>
              <w:t>[List any other relevant documents here]</w:t>
            </w:r>
          </w:p>
        </w:tc>
        <w:tc>
          <w:tcPr>
            <w:tcW w:w="1134"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bl>
    <w:p w:rsidR="007E7629" w:rsidRDefault="007E7629">
      <w:pPr>
        <w:tabs>
          <w:tab w:val="left" w:pos="5103"/>
        </w:tabs>
        <w:ind w:right="282"/>
        <w:jc w:val="center"/>
        <w:rPr>
          <w:rFonts w:ascii="Arial" w:eastAsia="Arial" w:hAnsi="Arial" w:cs="Arial"/>
          <w:color w:val="000000"/>
          <w:sz w:val="22"/>
          <w:szCs w:val="22"/>
        </w:rPr>
      </w:pPr>
    </w:p>
    <w:p w:rsidR="007E7629" w:rsidRDefault="007E7629">
      <w:pPr>
        <w:jc w:val="center"/>
        <w:rPr>
          <w:rFonts w:ascii="Arial" w:eastAsia="Arial" w:hAnsi="Arial" w:cs="Arial"/>
          <w:b/>
          <w:bCs/>
          <w:sz w:val="22"/>
          <w:szCs w:val="22"/>
        </w:rPr>
      </w:pPr>
    </w:p>
    <w:p w:rsidR="007E7629" w:rsidRDefault="003E360F">
      <w:pPr>
        <w:spacing w:after="240"/>
        <w:jc w:val="center"/>
        <w:rPr>
          <w:rFonts w:ascii="Arial" w:eastAsia="Arial" w:hAnsi="Arial" w:cs="Arial"/>
          <w:b/>
          <w:bCs/>
          <w:sz w:val="22"/>
          <w:szCs w:val="22"/>
        </w:rPr>
      </w:pPr>
      <w:bookmarkStart w:id="76" w:name="bookmark=id.6s7z9htfsw9k" w:colFirst="0" w:colLast="0"/>
      <w:bookmarkEnd w:id="76"/>
      <w:r>
        <w:rPr>
          <w:rFonts w:ascii="Arial" w:eastAsia="Arial" w:hAnsi="Arial" w:cs="Arial"/>
          <w:b/>
          <w:bCs/>
          <w:sz w:val="22"/>
          <w:szCs w:val="22"/>
        </w:rPr>
        <w:t>SECTION D: External Collaborative Research Activity</w:t>
      </w:r>
    </w:p>
    <w:tbl>
      <w:tblPr>
        <w:tblStyle w:val="af2"/>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FB5D41">
            <w:pPr>
              <w:jc w:val="center"/>
              <w:rPr>
                <w:rFonts w:ascii="Arial" w:eastAsia="Arial" w:hAnsi="Arial" w:cs="Arial"/>
                <w:b/>
                <w:bCs/>
                <w:sz w:val="22"/>
                <w:szCs w:val="22"/>
              </w:rPr>
            </w:pPr>
            <w:hyperlink w:anchor="bookmark=id.78g7tmt74bn">
              <w:r w:rsidR="003E360F">
                <w:rPr>
                  <w:rFonts w:ascii="Arial" w:eastAsia="Arial" w:hAnsi="Arial" w:cs="Arial"/>
                  <w:b/>
                  <w:bCs/>
                  <w:color w:val="467886"/>
                  <w:sz w:val="22"/>
                  <w:szCs w:val="22"/>
                  <w:u w:val="single"/>
                </w:rPr>
                <w:t>Click to continue to appendix 2</w:t>
              </w:r>
            </w:hyperlink>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E7629">
        <w:trPr>
          <w:trHeight w:val="729"/>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completed appendix 2?</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r>
    </w:tbl>
    <w:p w:rsidR="007E7629" w:rsidRDefault="007E7629">
      <w:pPr>
        <w:tabs>
          <w:tab w:val="left" w:pos="5103"/>
        </w:tabs>
        <w:ind w:right="282"/>
        <w:jc w:val="center"/>
        <w:rPr>
          <w:rFonts w:ascii="Arial" w:eastAsia="Arial" w:hAnsi="Arial" w:cs="Arial"/>
          <w:color w:val="000000"/>
          <w:sz w:val="22"/>
          <w:szCs w:val="22"/>
        </w:rPr>
      </w:pPr>
    </w:p>
    <w:p w:rsidR="007E7629" w:rsidRDefault="003E360F">
      <w:pPr>
        <w:spacing w:after="240"/>
        <w:jc w:val="center"/>
        <w:rPr>
          <w:rFonts w:ascii="Arial" w:eastAsia="Arial" w:hAnsi="Arial" w:cs="Arial"/>
          <w:b/>
          <w:bCs/>
          <w:sz w:val="22"/>
          <w:szCs w:val="22"/>
        </w:rPr>
      </w:pPr>
      <w:bookmarkStart w:id="77" w:name="bookmark=id.j8hwfgc4qxyn" w:colFirst="0" w:colLast="0"/>
      <w:bookmarkEnd w:id="77"/>
      <w:r>
        <w:rPr>
          <w:rFonts w:ascii="Arial" w:eastAsia="Arial" w:hAnsi="Arial" w:cs="Arial"/>
          <w:b/>
          <w:bCs/>
          <w:sz w:val="22"/>
          <w:szCs w:val="22"/>
        </w:rPr>
        <w:t>SECTION E: Details of Research Activity</w:t>
      </w:r>
    </w:p>
    <w:tbl>
      <w:tblPr>
        <w:tblStyle w:val="af3"/>
        <w:tblW w:w="1045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7E7629">
        <w:trPr>
          <w:trHeight w:val="454"/>
          <w:jc w:val="center"/>
        </w:trPr>
        <w:tc>
          <w:tcPr>
            <w:tcW w:w="10456" w:type="dxa"/>
            <w:gridSpan w:val="2"/>
            <w:shd w:val="clear" w:color="auto" w:fill="C1E4F5"/>
          </w:tcPr>
          <w:p w:rsidR="007E7629" w:rsidRDefault="003E360F">
            <w:pPr>
              <w:spacing w:before="120" w:after="120"/>
              <w:jc w:val="center"/>
              <w:rPr>
                <w:rFonts w:ascii="Arial" w:eastAsia="Arial" w:hAnsi="Arial" w:cs="Arial"/>
                <w:b/>
                <w:bCs/>
                <w:sz w:val="22"/>
                <w:szCs w:val="22"/>
              </w:rPr>
            </w:pPr>
            <w:r>
              <w:rPr>
                <w:rFonts w:ascii="Arial" w:eastAsia="Arial" w:hAnsi="Arial" w:cs="Arial"/>
                <w:b/>
                <w:bCs/>
                <w:sz w:val="22"/>
                <w:szCs w:val="22"/>
              </w:rPr>
              <w:t>Aims, Vision and Approach of the Research (maximum 200 words per section)</w:t>
            </w:r>
          </w:p>
          <w:p w:rsidR="007E7629" w:rsidRDefault="003E360F">
            <w:pPr>
              <w:jc w:val="center"/>
              <w:rPr>
                <w:rFonts w:ascii="Arial" w:eastAsia="Arial" w:hAnsi="Arial" w:cs="Arial"/>
                <w:sz w:val="22"/>
                <w:szCs w:val="22"/>
              </w:rPr>
            </w:pPr>
            <w:r>
              <w:rPr>
                <w:rFonts w:ascii="Arial" w:eastAsia="Arial" w:hAnsi="Arial" w:cs="Arial"/>
                <w:sz w:val="22"/>
                <w:szCs w:val="22"/>
              </w:rPr>
              <w:t>Please outline what are you hoping to achieve with your proposed work and how will you deliver it?</w:t>
            </w:r>
          </w:p>
        </w:tc>
      </w:tr>
      <w:tr w:rsidR="007E7629">
        <w:trPr>
          <w:trHeight w:val="401"/>
          <w:jc w:val="center"/>
        </w:trPr>
        <w:tc>
          <w:tcPr>
            <w:tcW w:w="56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rsidR="007E7629" w:rsidRDefault="003E360F">
            <w:pPr>
              <w:jc w:val="center"/>
              <w:rPr>
                <w:rFonts w:ascii="Arial" w:eastAsia="Arial" w:hAnsi="Arial" w:cs="Arial"/>
              </w:rPr>
            </w:pPr>
            <w:r>
              <w:rPr>
                <w:rFonts w:ascii="Arial" w:eastAsia="Arial" w:hAnsi="Arial" w:cs="Arial"/>
                <w:b/>
                <w:bCs/>
                <w:sz w:val="22"/>
                <w:szCs w:val="22"/>
              </w:rPr>
              <w:t>Research aims and objectives</w:t>
            </w:r>
          </w:p>
        </w:tc>
      </w:tr>
      <w:tr w:rsidR="007E7629">
        <w:trPr>
          <w:trHeight w:val="2304"/>
          <w:jc w:val="center"/>
        </w:trPr>
        <w:tc>
          <w:tcPr>
            <w:tcW w:w="10456" w:type="dxa"/>
            <w:gridSpan w:val="2"/>
          </w:tcPr>
          <w:p w:rsidR="007E7629" w:rsidRPr="00D56F0F" w:rsidRDefault="003E360F" w:rsidP="00D56F0F">
            <w:pPr>
              <w:jc w:val="center"/>
              <w:rPr>
                <w:rFonts w:ascii="Arial" w:eastAsia="Arial" w:hAnsi="Arial" w:cs="Arial"/>
                <w:b/>
                <w:bCs/>
              </w:rPr>
            </w:pPr>
            <w:bookmarkStart w:id="78" w:name="_heading=h.1dv93gbaj8hv" w:colFirst="0" w:colLast="0"/>
            <w:bookmarkEnd w:id="78"/>
            <w:r w:rsidRPr="00D56F0F">
              <w:rPr>
                <w:rFonts w:ascii="Arial" w:eastAsia="Arial" w:hAnsi="Arial" w:cs="Arial"/>
                <w:b/>
              </w:rPr>
              <w:t>Research aim</w:t>
            </w:r>
          </w:p>
          <w:p w:rsidR="007E7629" w:rsidRDefault="003E360F">
            <w:pPr>
              <w:numPr>
                <w:ilvl w:val="0"/>
                <w:numId w:val="4"/>
              </w:numPr>
              <w:shd w:val="clear" w:color="auto" w:fill="auto"/>
              <w:spacing w:line="240" w:lineRule="auto"/>
              <w:jc w:val="center"/>
              <w:rPr>
                <w:sz w:val="22"/>
                <w:szCs w:val="22"/>
              </w:rPr>
            </w:pPr>
            <w:r>
              <w:rPr>
                <w:rFonts w:ascii="Arial" w:eastAsia="Arial" w:hAnsi="Arial" w:cs="Arial"/>
                <w:sz w:val="22"/>
                <w:szCs w:val="22"/>
              </w:rPr>
              <w:t>The aim of this study will be to critically investigate the impact of Environmental, Social and Governance (ESG) initiatives on customer trust within the UK food industry.</w:t>
            </w:r>
          </w:p>
          <w:p w:rsidR="007E7629" w:rsidRPr="00D56F0F" w:rsidRDefault="003E360F" w:rsidP="00D56F0F">
            <w:pPr>
              <w:jc w:val="center"/>
              <w:rPr>
                <w:rFonts w:ascii="Arial" w:eastAsia="Arial" w:hAnsi="Arial" w:cs="Arial"/>
                <w:b/>
                <w:bCs/>
              </w:rPr>
            </w:pPr>
            <w:bookmarkStart w:id="79" w:name="_heading=h.4dsqn8s81ia" w:colFirst="0" w:colLast="0"/>
            <w:bookmarkEnd w:id="79"/>
            <w:r w:rsidRPr="00D56F0F">
              <w:rPr>
                <w:rFonts w:ascii="Arial" w:eastAsia="Arial" w:hAnsi="Arial" w:cs="Arial"/>
                <w:b/>
              </w:rPr>
              <w:t>Research objectives</w:t>
            </w:r>
          </w:p>
          <w:p w:rsidR="007E7629" w:rsidRDefault="003E360F">
            <w:pPr>
              <w:numPr>
                <w:ilvl w:val="0"/>
                <w:numId w:val="4"/>
              </w:numPr>
              <w:shd w:val="clear" w:color="auto" w:fill="auto"/>
              <w:spacing w:line="240" w:lineRule="auto"/>
              <w:jc w:val="center"/>
              <w:rPr>
                <w:sz w:val="22"/>
                <w:szCs w:val="22"/>
              </w:rPr>
            </w:pPr>
            <w:r>
              <w:rPr>
                <w:rFonts w:ascii="Arial" w:eastAsia="Arial" w:hAnsi="Arial" w:cs="Arial"/>
                <w:sz w:val="22"/>
                <w:szCs w:val="22"/>
              </w:rPr>
              <w:t>RO1: To critically evaluate the implementation and significance of ESG initiatives within the UK food industry</w:t>
            </w:r>
          </w:p>
          <w:p w:rsidR="007E7629" w:rsidRDefault="003E360F">
            <w:pPr>
              <w:numPr>
                <w:ilvl w:val="0"/>
                <w:numId w:val="4"/>
              </w:numPr>
              <w:shd w:val="clear" w:color="auto" w:fill="auto"/>
              <w:spacing w:line="240" w:lineRule="auto"/>
              <w:jc w:val="center"/>
              <w:rPr>
                <w:sz w:val="22"/>
                <w:szCs w:val="22"/>
              </w:rPr>
            </w:pPr>
            <w:r>
              <w:rPr>
                <w:rFonts w:ascii="Arial" w:eastAsia="Arial" w:hAnsi="Arial" w:cs="Arial"/>
                <w:sz w:val="22"/>
                <w:szCs w:val="22"/>
              </w:rPr>
              <w:t>RO2: To examine the relationship between ESG initiatives and customer trust</w:t>
            </w:r>
          </w:p>
          <w:p w:rsidR="007E7629" w:rsidRDefault="003E360F">
            <w:pPr>
              <w:numPr>
                <w:ilvl w:val="0"/>
                <w:numId w:val="4"/>
              </w:numPr>
              <w:shd w:val="clear" w:color="auto" w:fill="auto"/>
              <w:spacing w:line="240" w:lineRule="auto"/>
              <w:jc w:val="center"/>
              <w:rPr>
                <w:sz w:val="22"/>
                <w:szCs w:val="22"/>
              </w:rPr>
            </w:pPr>
            <w:r>
              <w:rPr>
                <w:rFonts w:ascii="Arial" w:eastAsia="Arial" w:hAnsi="Arial" w:cs="Arial"/>
                <w:sz w:val="22"/>
                <w:szCs w:val="22"/>
              </w:rPr>
              <w:t>RO3: To identify the challenges related to ESG dimensions and organisational practices that impact customer trust</w:t>
            </w:r>
          </w:p>
          <w:p w:rsidR="007E7629" w:rsidRDefault="003E360F">
            <w:pPr>
              <w:numPr>
                <w:ilvl w:val="0"/>
                <w:numId w:val="4"/>
              </w:numPr>
              <w:shd w:val="clear" w:color="auto" w:fill="auto"/>
              <w:spacing w:line="240" w:lineRule="auto"/>
              <w:jc w:val="center"/>
              <w:rPr>
                <w:sz w:val="22"/>
                <w:szCs w:val="22"/>
              </w:rPr>
            </w:pPr>
            <w:r>
              <w:rPr>
                <w:rFonts w:ascii="Arial" w:eastAsia="Arial" w:hAnsi="Arial" w:cs="Arial"/>
                <w:sz w:val="22"/>
                <w:szCs w:val="22"/>
              </w:rPr>
              <w:t>RO4: To recommend the factors that strengthen customer trust through ESG initiatives</w:t>
            </w:r>
          </w:p>
          <w:p w:rsidR="007E7629" w:rsidRDefault="007E7629">
            <w:pPr>
              <w:jc w:val="center"/>
              <w:rPr>
                <w:rFonts w:ascii="Arial" w:eastAsia="Arial" w:hAnsi="Arial" w:cs="Arial"/>
                <w:b/>
                <w:bCs/>
                <w:sz w:val="22"/>
                <w:szCs w:val="22"/>
              </w:rPr>
            </w:pPr>
          </w:p>
        </w:tc>
      </w:tr>
      <w:tr w:rsidR="007E7629">
        <w:trPr>
          <w:trHeight w:val="399"/>
          <w:jc w:val="center"/>
        </w:trPr>
        <w:tc>
          <w:tcPr>
            <w:tcW w:w="56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Vision</w:t>
            </w:r>
          </w:p>
        </w:tc>
      </w:tr>
      <w:tr w:rsidR="007E7629">
        <w:trPr>
          <w:trHeight w:val="3036"/>
          <w:jc w:val="center"/>
        </w:trPr>
        <w:tc>
          <w:tcPr>
            <w:tcW w:w="10456" w:type="dxa"/>
            <w:gridSpan w:val="2"/>
          </w:tcPr>
          <w:p w:rsidR="007E7629" w:rsidRDefault="003E360F">
            <w:pPr>
              <w:jc w:val="center"/>
              <w:rPr>
                <w:rFonts w:ascii="Arial" w:eastAsia="Arial" w:hAnsi="Arial" w:cs="Arial"/>
                <w:sz w:val="22"/>
                <w:szCs w:val="22"/>
              </w:rPr>
            </w:pPr>
            <w:r>
              <w:rPr>
                <w:rFonts w:ascii="Arial" w:eastAsia="Arial" w:hAnsi="Arial" w:cs="Arial"/>
                <w:sz w:val="22"/>
                <w:szCs w:val="22"/>
              </w:rPr>
              <w:t>The UK food industry has encountered increasing concerns on sustainability, ethical sourcing, environmental responsibility and corporate accountability, which have made ESG initiatives to be relevant in the industry. Meanwhile, consumers are also becoming more sensitive to organisational sustainability reports and are also judging businesses by their ESG performance. Although there is an increasing academic interest in ESG, there is scarcity of research on customer trust as one of the main outcomes, especially in the UK food industry.</w:t>
            </w:r>
          </w:p>
          <w:p w:rsidR="007E7629" w:rsidRDefault="003E360F">
            <w:pPr>
              <w:jc w:val="center"/>
              <w:rPr>
                <w:rFonts w:ascii="Arial" w:eastAsia="Arial" w:hAnsi="Arial" w:cs="Arial"/>
                <w:color w:val="4EA72E"/>
                <w:sz w:val="22"/>
                <w:szCs w:val="22"/>
              </w:rPr>
            </w:pPr>
            <w:r>
              <w:rPr>
                <w:rFonts w:ascii="Arial" w:eastAsia="Arial" w:hAnsi="Arial" w:cs="Arial"/>
                <w:sz w:val="22"/>
                <w:szCs w:val="22"/>
              </w:rPr>
              <w:t>The study is timely as organisations are persistently making substantial investments in their ESG programmes and experience consumer skepticism over the validity of sustainability reporting. The research will be valuable to the better understanding of the role of ESG initiatives in customer trust by systematically synthesising the existing evidence. The results can assist food organizations to create more credible and transparent ESG plans and may also help with the scholarly debate on the topic of stakeholder relationships, sustainability and trust. The study can thus create an academic and practical impact.</w:t>
            </w:r>
          </w:p>
        </w:tc>
      </w:tr>
      <w:tr w:rsidR="007E7629">
        <w:trPr>
          <w:trHeight w:val="300"/>
          <w:jc w:val="center"/>
        </w:trPr>
        <w:tc>
          <w:tcPr>
            <w:tcW w:w="569" w:type="dxa"/>
            <w:shd w:val="clear" w:color="auto" w:fill="F2F2F2"/>
          </w:tcPr>
          <w:p w:rsidR="007E7629" w:rsidRDefault="003E360F">
            <w:pPr>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Approach</w:t>
            </w:r>
          </w:p>
        </w:tc>
      </w:tr>
      <w:tr w:rsidR="007E7629">
        <w:trPr>
          <w:trHeight w:val="2962"/>
          <w:jc w:val="center"/>
        </w:trPr>
        <w:tc>
          <w:tcPr>
            <w:tcW w:w="10456" w:type="dxa"/>
            <w:gridSpan w:val="2"/>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The research philosophy followed in this study is an interpretivist research philosophy and a deductive research approach. Systematic Literature Review (SLR) will be used as a descriptive research design. Peer-reviewed scholarly articles are going to be used as secondary data and be obtained using databases such as Scopus, Web of Science, Emerald Insight, ScienceDirect and Business Source Complete. The identification of relevant studies will be done through predefined inclusion and exclusion criteria and systematic search processes.</w:t>
            </w:r>
          </w:p>
          <w:p w:rsidR="007E7629" w:rsidRDefault="003E360F">
            <w:pPr>
              <w:jc w:val="center"/>
              <w:rPr>
                <w:rFonts w:ascii="Arial" w:eastAsia="Arial" w:hAnsi="Arial" w:cs="Arial"/>
                <w:b/>
                <w:bCs/>
                <w:sz w:val="22"/>
                <w:szCs w:val="22"/>
              </w:rPr>
            </w:pPr>
            <w:r>
              <w:rPr>
                <w:rFonts w:ascii="Arial" w:eastAsia="Arial" w:hAnsi="Arial" w:cs="Arial"/>
                <w:sz w:val="22"/>
                <w:szCs w:val="22"/>
              </w:rPr>
              <w:t>Thematic analysis will be used to analyse data. The chosen literature will be reviewed and coded and divided into themes associated with ESG initiatives, customer trust, transparency, authenticity and greenwashing. The selected methodology is suitable as it allows a thorough synthesis of the current knowledge and eliminates bias of the researcher due to a transparent review procedure. Possible threats consist of a lack of literature and publication bias specific to the UK, but they will be addressed by using several databases and well-established selection criteria. The results will be used to make evidence-based suggestions to academic researchers and industry practitioners.</w:t>
            </w:r>
          </w:p>
        </w:tc>
      </w:tr>
      <w:tr w:rsidR="007E7629">
        <w:trPr>
          <w:trHeight w:val="446"/>
          <w:jc w:val="center"/>
        </w:trPr>
        <w:tc>
          <w:tcPr>
            <w:tcW w:w="569" w:type="dxa"/>
            <w:shd w:val="clear" w:color="auto" w:fill="F2F2F2"/>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Location of research activity</w:t>
            </w:r>
          </w:p>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7E7629">
        <w:trPr>
          <w:trHeight w:val="454"/>
          <w:jc w:val="center"/>
        </w:trPr>
        <w:tc>
          <w:tcPr>
            <w:tcW w:w="10456" w:type="dxa"/>
            <w:gridSpan w:val="2"/>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A bullet point list is fine here, for example:</w:t>
            </w:r>
          </w:p>
          <w:p w:rsidR="007E7629" w:rsidRDefault="003E360F">
            <w:pPr>
              <w:numPr>
                <w:ilvl w:val="0"/>
                <w:numId w:val="3"/>
              </w:numPr>
              <w:pBdr>
                <w:top w:val="nil"/>
                <w:left w:val="nil"/>
                <w:bottom w:val="nil"/>
                <w:right w:val="nil"/>
                <w:between w:val="nil"/>
              </w:pBdr>
              <w:shd w:val="clear" w:color="auto" w:fill="auto"/>
              <w:spacing w:line="240" w:lineRule="auto"/>
              <w:jc w:val="center"/>
              <w:rPr>
                <w:sz w:val="22"/>
                <w:szCs w:val="22"/>
              </w:rPr>
            </w:pPr>
            <w:r>
              <w:rPr>
                <w:rFonts w:ascii="Arial" w:eastAsia="Arial" w:hAnsi="Arial" w:cs="Arial"/>
                <w:sz w:val="22"/>
                <w:szCs w:val="22"/>
              </w:rPr>
              <w:t>UWTSD Campus Carmarthen</w:t>
            </w:r>
          </w:p>
          <w:p w:rsidR="007E7629" w:rsidRDefault="003E360F">
            <w:pPr>
              <w:numPr>
                <w:ilvl w:val="0"/>
                <w:numId w:val="3"/>
              </w:numPr>
              <w:pBdr>
                <w:top w:val="nil"/>
                <w:left w:val="nil"/>
                <w:bottom w:val="nil"/>
                <w:right w:val="nil"/>
                <w:between w:val="nil"/>
              </w:pBdr>
              <w:shd w:val="clear" w:color="auto" w:fill="auto"/>
              <w:spacing w:line="240" w:lineRule="auto"/>
              <w:jc w:val="center"/>
              <w:rPr>
                <w:sz w:val="22"/>
                <w:szCs w:val="22"/>
              </w:rPr>
            </w:pPr>
            <w:r>
              <w:rPr>
                <w:rFonts w:ascii="Arial" w:eastAsia="Arial" w:hAnsi="Arial" w:cs="Arial"/>
                <w:sz w:val="22"/>
                <w:szCs w:val="22"/>
              </w:rPr>
              <w:t>IICL (Institution of Inner City Learning), Quay Place, Birmingham</w:t>
            </w:r>
          </w:p>
          <w:p w:rsidR="007E7629" w:rsidRDefault="003E360F">
            <w:pPr>
              <w:numPr>
                <w:ilvl w:val="0"/>
                <w:numId w:val="3"/>
              </w:numPr>
              <w:pBdr>
                <w:top w:val="nil"/>
                <w:left w:val="nil"/>
                <w:bottom w:val="nil"/>
                <w:right w:val="nil"/>
                <w:between w:val="nil"/>
              </w:pBdr>
              <w:shd w:val="clear" w:color="auto" w:fill="auto"/>
              <w:spacing w:line="240" w:lineRule="auto"/>
              <w:jc w:val="center"/>
              <w:rPr>
                <w:sz w:val="22"/>
                <w:szCs w:val="22"/>
              </w:rPr>
            </w:pPr>
            <w:r>
              <w:rPr>
                <w:rFonts w:ascii="Arial" w:eastAsia="Arial" w:hAnsi="Arial" w:cs="Arial"/>
                <w:sz w:val="22"/>
                <w:szCs w:val="22"/>
              </w:rPr>
              <w:t>Academic databases accessed remotely</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sz w:val="22"/>
                <w:szCs w:val="22"/>
              </w:rPr>
            </w:pPr>
            <w:r>
              <w:rPr>
                <w:rFonts w:ascii="Arial" w:eastAsia="Arial" w:hAnsi="Arial" w:cs="Arial"/>
                <w:color w:val="808080"/>
                <w:sz w:val="18"/>
                <w:szCs w:val="18"/>
              </w:rPr>
              <w:t>(this box should expand as you type)</w:t>
            </w:r>
          </w:p>
        </w:tc>
      </w:tr>
    </w:tbl>
    <w:p w:rsidR="007E7629" w:rsidRDefault="007E7629">
      <w:pPr>
        <w:spacing w:after="240"/>
        <w:jc w:val="center"/>
        <w:rPr>
          <w:rFonts w:ascii="Arial" w:eastAsia="Arial" w:hAnsi="Arial" w:cs="Arial"/>
          <w:b/>
          <w:bCs/>
          <w:sz w:val="22"/>
          <w:szCs w:val="22"/>
        </w:rPr>
      </w:pPr>
    </w:p>
    <w:tbl>
      <w:tblPr>
        <w:tblStyle w:val="af4"/>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FB5D41">
            <w:pPr>
              <w:jc w:val="center"/>
              <w:rPr>
                <w:rFonts w:ascii="Arial" w:eastAsia="Arial" w:hAnsi="Arial" w:cs="Arial"/>
                <w:b/>
                <w:bCs/>
                <w:sz w:val="22"/>
                <w:szCs w:val="22"/>
              </w:rPr>
            </w:pPr>
            <w:hyperlink w:anchor="bookmark=id.qdec63o705g">
              <w:r w:rsidR="003E360F">
                <w:rPr>
                  <w:rFonts w:ascii="Arial" w:eastAsia="Arial" w:hAnsi="Arial" w:cs="Arial"/>
                  <w:b/>
                  <w:bCs/>
                  <w:color w:val="467886"/>
                  <w:sz w:val="22"/>
                  <w:szCs w:val="22"/>
                  <w:u w:val="single"/>
                </w:rPr>
                <w:t>Click to continue to appendix 3</w:t>
              </w:r>
            </w:hyperlink>
          </w:p>
        </w:tc>
        <w:tc>
          <w:tcPr>
            <w:tcW w:w="850" w:type="dxa"/>
            <w:shd w:val="clear" w:color="auto" w:fill="F2F2F2"/>
            <w:vAlign w:val="center"/>
          </w:tcPr>
          <w:p w:rsidR="007E7629" w:rsidRDefault="00FB5D41">
            <w:pPr>
              <w:jc w:val="center"/>
              <w:rPr>
                <w:rFonts w:ascii="Arial" w:eastAsia="Arial" w:hAnsi="Arial" w:cs="Arial"/>
                <w:b/>
                <w:bCs/>
                <w:sz w:val="22"/>
                <w:szCs w:val="22"/>
              </w:rPr>
            </w:pPr>
            <w:sdt>
              <w:sdtPr>
                <w:tag w:val="goog_rdk_8"/>
                <w:id w:val="1776534676"/>
              </w:sdtPr>
              <w:sdtEndPr/>
              <w:sdtContent>
                <w:r w:rsidR="003E360F">
                  <w:rPr>
                    <w:rFonts w:ascii="Arial Unicode MS" w:eastAsia="Arial Unicode MS" w:hAnsi="Arial Unicode MS" w:cs="Arial Unicode MS"/>
                    <w:sz w:val="22"/>
                    <w:szCs w:val="22"/>
                  </w:rPr>
                  <w:t>✓</w:t>
                </w:r>
              </w:sdtContent>
            </w:sdt>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E7629">
        <w:trPr>
          <w:trHeight w:val="729"/>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completed any of appendix 3?</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r>
    </w:tbl>
    <w:p w:rsidR="007E7629" w:rsidRDefault="007E7629">
      <w:pPr>
        <w:jc w:val="center"/>
        <w:rPr>
          <w:rFonts w:ascii="Arial" w:eastAsia="Arial" w:hAnsi="Arial" w:cs="Arial"/>
          <w:color w:val="000000"/>
          <w:sz w:val="22"/>
          <w:szCs w:val="22"/>
        </w:rPr>
      </w:pPr>
    </w:p>
    <w:p w:rsidR="007E7629" w:rsidRDefault="003E360F">
      <w:pPr>
        <w:spacing w:after="240"/>
        <w:jc w:val="center"/>
        <w:rPr>
          <w:rFonts w:ascii="Arial" w:eastAsia="Arial" w:hAnsi="Arial" w:cs="Arial"/>
          <w:b/>
          <w:bCs/>
          <w:sz w:val="22"/>
          <w:szCs w:val="22"/>
        </w:rPr>
      </w:pPr>
      <w:bookmarkStart w:id="80" w:name="bookmark=id.mhmt15qnsnpb" w:colFirst="0" w:colLast="0"/>
      <w:bookmarkEnd w:id="80"/>
      <w:r>
        <w:rPr>
          <w:rFonts w:ascii="Arial" w:eastAsia="Arial" w:hAnsi="Arial" w:cs="Arial"/>
          <w:b/>
          <w:bCs/>
          <w:sz w:val="22"/>
          <w:szCs w:val="22"/>
        </w:rPr>
        <w:t>SECTION F: Research Methods</w:t>
      </w:r>
    </w:p>
    <w:tbl>
      <w:tblPr>
        <w:tblStyle w:val="af5"/>
        <w:tblW w:w="1048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7E7629">
        <w:trPr>
          <w:trHeight w:val="329"/>
          <w:jc w:val="center"/>
        </w:trPr>
        <w:tc>
          <w:tcPr>
            <w:tcW w:w="8497" w:type="dxa"/>
            <w:gridSpan w:val="2"/>
            <w:shd w:val="clear" w:color="auto" w:fill="C1E4F5"/>
          </w:tcPr>
          <w:p w:rsidR="007E7629" w:rsidRDefault="003E360F">
            <w:pPr>
              <w:jc w:val="center"/>
              <w:rPr>
                <w:rFonts w:ascii="Arial" w:eastAsia="Arial" w:hAnsi="Arial" w:cs="Arial"/>
                <w:b/>
                <w:bCs/>
                <w:sz w:val="22"/>
                <w:szCs w:val="22"/>
              </w:rPr>
            </w:pPr>
            <w:r>
              <w:rPr>
                <w:rFonts w:ascii="Arial" w:eastAsia="Arial" w:hAnsi="Arial" w:cs="Arial"/>
                <w:b/>
                <w:bCs/>
                <w:sz w:val="22"/>
                <w:szCs w:val="22"/>
              </w:rPr>
              <w:t>Will the research activity include:</w:t>
            </w:r>
          </w:p>
        </w:tc>
        <w:tc>
          <w:tcPr>
            <w:tcW w:w="99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99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217"/>
          <w:jc w:val="center"/>
        </w:trPr>
        <w:tc>
          <w:tcPr>
            <w:tcW w:w="701" w:type="dxa"/>
            <w:shd w:val="clear" w:color="auto" w:fill="F2F2F2"/>
            <w:vAlign w:val="center"/>
          </w:tcPr>
          <w:p w:rsidR="007E7629" w:rsidRDefault="003E360F">
            <w:pPr>
              <w:jc w:val="center"/>
              <w:rPr>
                <w:rFonts w:ascii="Arial" w:eastAsia="Arial" w:hAnsi="Arial" w:cs="Arial"/>
                <w:sz w:val="22"/>
                <w:szCs w:val="22"/>
              </w:rPr>
            </w:pPr>
            <w:bookmarkStart w:id="81" w:name="_heading=h.ux607fnq765s" w:colFirst="0" w:colLast="0"/>
            <w:bookmarkEnd w:id="81"/>
            <w:r>
              <w:rPr>
                <w:rFonts w:ascii="Arial" w:eastAsia="Arial" w:hAnsi="Arial" w:cs="Arial"/>
                <w:sz w:val="22"/>
                <w:szCs w:val="22"/>
              </w:rPr>
              <w:t>1</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9"/>
                <w:id w:val="972374632"/>
              </w:sdtPr>
              <w:sdtEndPr/>
              <w:sdtContent>
                <w:r w:rsidR="003E360F">
                  <w:rPr>
                    <w:rFonts w:ascii="Arial Unicode MS" w:eastAsia="Arial Unicode MS" w:hAnsi="Arial Unicode MS" w:cs="Arial Unicode MS"/>
                    <w:sz w:val="22"/>
                    <w:szCs w:val="22"/>
                  </w:rPr>
                  <w:t xml:space="preserve">✓ </w:t>
                </w:r>
              </w:sdtContent>
            </w:sdt>
          </w:p>
        </w:tc>
      </w:tr>
      <w:tr w:rsidR="007E7629">
        <w:trPr>
          <w:trHeight w:val="19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0"/>
                <w:id w:val="-860633275"/>
              </w:sdtPr>
              <w:sdtEndPr/>
              <w:sdtContent>
                <w:r w:rsidR="003E360F">
                  <w:rPr>
                    <w:rFonts w:ascii="Arial Unicode MS" w:eastAsia="Arial Unicode MS" w:hAnsi="Arial Unicode MS" w:cs="Arial Unicode MS"/>
                    <w:sz w:val="22"/>
                    <w:szCs w:val="22"/>
                  </w:rPr>
                  <w:t xml:space="preserve">✓ </w:t>
                </w:r>
              </w:sdtContent>
            </w:sdt>
          </w:p>
        </w:tc>
      </w:tr>
      <w:tr w:rsidR="007E7629">
        <w:trPr>
          <w:trHeight w:val="18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1"/>
                <w:id w:val="518641667"/>
              </w:sdtPr>
              <w:sdtEndPr/>
              <w:sdtContent>
                <w:r w:rsidR="003E360F">
                  <w:rPr>
                    <w:rFonts w:ascii="Arial Unicode MS" w:eastAsia="Arial Unicode MS" w:hAnsi="Arial Unicode MS" w:cs="Arial Unicode MS"/>
                    <w:sz w:val="22"/>
                    <w:szCs w:val="22"/>
                  </w:rPr>
                  <w:t xml:space="preserve">✓ </w:t>
                </w:r>
              </w:sdtContent>
            </w:sdt>
          </w:p>
        </w:tc>
      </w:tr>
      <w:tr w:rsidR="007E7629">
        <w:trPr>
          <w:trHeight w:val="160"/>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Use of participant diaries?</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2"/>
                <w:id w:val="-795491975"/>
              </w:sdtPr>
              <w:sdtEndPr/>
              <w:sdtContent>
                <w:r w:rsidR="003E360F">
                  <w:rPr>
                    <w:rFonts w:ascii="Arial Unicode MS" w:eastAsia="Arial Unicode MS" w:hAnsi="Arial Unicode MS" w:cs="Arial Unicode MS"/>
                    <w:sz w:val="22"/>
                    <w:szCs w:val="22"/>
                  </w:rPr>
                  <w:t xml:space="preserve">✓ </w:t>
                </w:r>
              </w:sdtContent>
            </w:sdt>
          </w:p>
        </w:tc>
      </w:tr>
      <w:tr w:rsidR="007E7629">
        <w:trPr>
          <w:trHeight w:val="149"/>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3"/>
                <w:id w:val="1624154199"/>
              </w:sdtPr>
              <w:sdtEndPr/>
              <w:sdtContent>
                <w:r w:rsidR="003E360F">
                  <w:rPr>
                    <w:rFonts w:ascii="Arial Unicode MS" w:eastAsia="Arial Unicode MS" w:hAnsi="Arial Unicode MS" w:cs="Arial Unicode MS"/>
                    <w:sz w:val="22"/>
                    <w:szCs w:val="22"/>
                  </w:rPr>
                  <w:t xml:space="preserve">✓ </w:t>
                </w:r>
              </w:sdtContent>
            </w:sdt>
          </w:p>
        </w:tc>
      </w:tr>
      <w:tr w:rsidR="007E7629">
        <w:trPr>
          <w:trHeight w:val="267"/>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6</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4"/>
                <w:id w:val="1055682339"/>
              </w:sdtPr>
              <w:sdtEndPr/>
              <w:sdtContent>
                <w:r w:rsidR="003E360F">
                  <w:rPr>
                    <w:rFonts w:ascii="Arial Unicode MS" w:eastAsia="Arial Unicode MS" w:hAnsi="Arial Unicode MS" w:cs="Arial Unicode MS"/>
                    <w:sz w:val="22"/>
                    <w:szCs w:val="22"/>
                  </w:rPr>
                  <w:t xml:space="preserve">✓ </w:t>
                </w:r>
              </w:sdtContent>
            </w:sdt>
          </w:p>
        </w:tc>
      </w:tr>
      <w:tr w:rsidR="007E7629">
        <w:trPr>
          <w:trHeight w:val="24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5"/>
                <w:id w:val="2027969155"/>
              </w:sdtPr>
              <w:sdtEndPr/>
              <w:sdtContent>
                <w:r w:rsidR="003E360F">
                  <w:rPr>
                    <w:rFonts w:ascii="Arial Unicode MS" w:eastAsia="Arial Unicode MS" w:hAnsi="Arial Unicode MS" w:cs="Arial Unicode MS"/>
                    <w:sz w:val="22"/>
                    <w:szCs w:val="22"/>
                  </w:rPr>
                  <w:t xml:space="preserve">✓ </w:t>
                </w:r>
              </w:sdtContent>
            </w:sdt>
          </w:p>
        </w:tc>
      </w:tr>
      <w:tr w:rsidR="007E7629">
        <w:trPr>
          <w:trHeight w:val="219"/>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6"/>
                <w:id w:val="-1569271953"/>
              </w:sdtPr>
              <w:sdtEndPr/>
              <w:sdtContent>
                <w:r w:rsidR="003E360F">
                  <w:rPr>
                    <w:rFonts w:ascii="Arial Unicode MS" w:eastAsia="Arial Unicode MS" w:hAnsi="Arial Unicode MS" w:cs="Arial Unicode MS"/>
                    <w:sz w:val="22"/>
                    <w:szCs w:val="22"/>
                  </w:rPr>
                  <w:t xml:space="preserve">✓ </w:t>
                </w:r>
              </w:sdtContent>
            </w:sdt>
          </w:p>
        </w:tc>
      </w:tr>
      <w:tr w:rsidR="007E7629">
        <w:trPr>
          <w:trHeight w:val="209"/>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7"/>
                <w:id w:val="-1038255895"/>
              </w:sdtPr>
              <w:sdtEndPr/>
              <w:sdtContent>
                <w:r w:rsidR="003E360F">
                  <w:rPr>
                    <w:rFonts w:ascii="Arial Unicode MS" w:eastAsia="Arial Unicode MS" w:hAnsi="Arial Unicode MS" w:cs="Arial Unicode MS"/>
                    <w:sz w:val="22"/>
                    <w:szCs w:val="22"/>
                  </w:rPr>
                  <w:t xml:space="preserve">✓ </w:t>
                </w:r>
              </w:sdtContent>
            </w:sdt>
          </w:p>
        </w:tc>
      </w:tr>
      <w:tr w:rsidR="007E7629">
        <w:trPr>
          <w:trHeight w:val="40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8"/>
                <w:id w:val="-75974067"/>
              </w:sdtPr>
              <w:sdtEndPr/>
              <w:sdtContent>
                <w:r w:rsidR="003E360F">
                  <w:rPr>
                    <w:rFonts w:ascii="Arial Unicode MS" w:eastAsia="Arial Unicode MS" w:hAnsi="Arial Unicode MS" w:cs="Arial Unicode MS"/>
                    <w:sz w:val="22"/>
                    <w:szCs w:val="22"/>
                  </w:rPr>
                  <w:t xml:space="preserve">✓ </w:t>
                </w:r>
              </w:sdtContent>
            </w:sdt>
          </w:p>
        </w:tc>
      </w:tr>
      <w:tr w:rsidR="007E7629">
        <w:trPr>
          <w:trHeight w:val="282"/>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19"/>
                <w:id w:val="559462977"/>
              </w:sdtPr>
              <w:sdtEndPr/>
              <w:sdtContent>
                <w:r w:rsidR="003E360F">
                  <w:rPr>
                    <w:rFonts w:ascii="Arial Unicode MS" w:eastAsia="Arial Unicode MS" w:hAnsi="Arial Unicode MS" w:cs="Arial Unicode MS"/>
                    <w:sz w:val="22"/>
                    <w:szCs w:val="22"/>
                  </w:rPr>
                  <w:t xml:space="preserve">✓ </w:t>
                </w:r>
              </w:sdtContent>
            </w:sdt>
          </w:p>
        </w:tc>
      </w:tr>
      <w:tr w:rsidR="007E7629">
        <w:trPr>
          <w:trHeight w:val="117"/>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20"/>
                <w:id w:val="316854091"/>
              </w:sdtPr>
              <w:sdtEndPr/>
              <w:sdtContent>
                <w:r w:rsidR="003E360F">
                  <w:rPr>
                    <w:rFonts w:ascii="Arial Unicode MS" w:eastAsia="Arial Unicode MS" w:hAnsi="Arial Unicode MS" w:cs="Arial Unicode MS"/>
                    <w:sz w:val="22"/>
                    <w:szCs w:val="22"/>
                  </w:rPr>
                  <w:t xml:space="preserve">✓ </w:t>
                </w:r>
              </w:sdtContent>
            </w:sdt>
          </w:p>
        </w:tc>
      </w:tr>
      <w:tr w:rsidR="007E7629">
        <w:trPr>
          <w:trHeight w:val="234"/>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21"/>
                <w:id w:val="895788521"/>
              </w:sdtPr>
              <w:sdtEndPr/>
              <w:sdtContent>
                <w:r w:rsidR="003E360F">
                  <w:rPr>
                    <w:rFonts w:ascii="Arial Unicode MS" w:eastAsia="Arial Unicode MS" w:hAnsi="Arial Unicode MS" w:cs="Arial Unicode MS"/>
                    <w:sz w:val="22"/>
                    <w:szCs w:val="22"/>
                  </w:rPr>
                  <w:t xml:space="preserve">✓ </w:t>
                </w:r>
              </w:sdtContent>
            </w:sdt>
          </w:p>
        </w:tc>
      </w:tr>
      <w:tr w:rsidR="007E7629">
        <w:trPr>
          <w:trHeight w:val="224"/>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22"/>
                <w:id w:val="-1334780425"/>
              </w:sdtPr>
              <w:sdtEndPr/>
              <w:sdtContent>
                <w:r w:rsidR="003E360F">
                  <w:rPr>
                    <w:rFonts w:ascii="Arial Unicode MS" w:eastAsia="Arial Unicode MS" w:hAnsi="Arial Unicode MS" w:cs="Arial Unicode MS"/>
                    <w:sz w:val="22"/>
                    <w:szCs w:val="22"/>
                  </w:rPr>
                  <w:t xml:space="preserve">✓ </w:t>
                </w:r>
              </w:sdtContent>
            </w:sdt>
          </w:p>
        </w:tc>
      </w:tr>
      <w:tr w:rsidR="007E7629">
        <w:trPr>
          <w:trHeight w:val="342"/>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23"/>
                <w:id w:val="387819426"/>
              </w:sdtPr>
              <w:sdtEndPr/>
              <w:sdtContent>
                <w:r w:rsidR="003E360F">
                  <w:rPr>
                    <w:rFonts w:ascii="Arial Unicode MS" w:eastAsia="Arial Unicode MS" w:hAnsi="Arial Unicode MS" w:cs="Arial Unicode MS"/>
                    <w:sz w:val="22"/>
                    <w:szCs w:val="22"/>
                  </w:rPr>
                  <w:t xml:space="preserve">✓ </w:t>
                </w:r>
              </w:sdtContent>
            </w:sdt>
          </w:p>
        </w:tc>
      </w:tr>
      <w:tr w:rsidR="007E7629">
        <w:trPr>
          <w:trHeight w:val="40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shd w:val="clear" w:color="auto" w:fill="D9D9D9"/>
            <w:vAlign w:val="center"/>
          </w:tcPr>
          <w:p w:rsidR="007E7629" w:rsidRDefault="00FB5D41">
            <w:pPr>
              <w:jc w:val="center"/>
              <w:rPr>
                <w:rFonts w:ascii="Arial" w:eastAsia="Arial" w:hAnsi="Arial" w:cs="Arial"/>
                <w:sz w:val="22"/>
                <w:szCs w:val="22"/>
              </w:rPr>
            </w:pPr>
            <w:sdt>
              <w:sdtPr>
                <w:tag w:val="goog_rdk_24"/>
                <w:id w:val="495200950"/>
              </w:sdtPr>
              <w:sdtEndPr/>
              <w:sdtContent>
                <w:r w:rsidR="003E360F">
                  <w:rPr>
                    <w:rFonts w:ascii="Arial Unicode MS" w:eastAsia="Arial Unicode MS" w:hAnsi="Arial Unicode MS" w:cs="Arial Unicode MS"/>
                    <w:sz w:val="22"/>
                    <w:szCs w:val="22"/>
                  </w:rPr>
                  <w:t xml:space="preserve">✓ </w:t>
                </w:r>
              </w:sdtContent>
            </w:sdt>
          </w:p>
        </w:tc>
      </w:tr>
      <w:tr w:rsidR="007E7629">
        <w:trPr>
          <w:trHeight w:val="40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92" w:type="dxa"/>
            <w:vMerge w:val="restart"/>
            <w:shd w:val="clear" w:color="auto" w:fill="D9D9D9"/>
            <w:vAlign w:val="center"/>
          </w:tcPr>
          <w:p w:rsidR="007E7629" w:rsidRDefault="00FB5D41">
            <w:pPr>
              <w:jc w:val="center"/>
              <w:rPr>
                <w:rFonts w:ascii="Arial" w:eastAsia="Arial" w:hAnsi="Arial" w:cs="Arial"/>
                <w:sz w:val="22"/>
                <w:szCs w:val="22"/>
              </w:rPr>
            </w:pPr>
            <w:sdt>
              <w:sdtPr>
                <w:tag w:val="goog_rdk_25"/>
                <w:id w:val="1093720484"/>
              </w:sdtPr>
              <w:sdtEndPr/>
              <w:sdtContent>
                <w:r w:rsidR="003E360F">
                  <w:rPr>
                    <w:rFonts w:ascii="Arial Unicode MS" w:eastAsia="Arial Unicode MS" w:hAnsi="Arial Unicode MS" w:cs="Arial Unicode MS"/>
                    <w:sz w:val="22"/>
                    <w:szCs w:val="22"/>
                  </w:rPr>
                  <w:t xml:space="preserve">✓ </w:t>
                </w:r>
              </w:sdtContent>
            </w:sdt>
          </w:p>
        </w:tc>
      </w:tr>
      <w:tr w:rsidR="007E7629">
        <w:trPr>
          <w:trHeight w:val="403"/>
          <w:jc w:val="center"/>
        </w:trPr>
        <w:tc>
          <w:tcPr>
            <w:tcW w:w="8497" w:type="dxa"/>
            <w:gridSpan w:val="2"/>
          </w:tcPr>
          <w:p w:rsidR="007E7629" w:rsidRDefault="003E360F">
            <w:pPr>
              <w:jc w:val="center"/>
              <w:rPr>
                <w:rFonts w:ascii="Arial" w:eastAsia="Arial" w:hAnsi="Arial" w:cs="Arial"/>
                <w:sz w:val="22"/>
                <w:szCs w:val="22"/>
              </w:rPr>
            </w:pPr>
            <w:r>
              <w:rPr>
                <w:rFonts w:ascii="Arial" w:eastAsia="Arial" w:hAnsi="Arial" w:cs="Arial"/>
                <w:sz w:val="22"/>
                <w:szCs w:val="22"/>
              </w:rPr>
              <w:t>Details of any other primary data collection method:</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The above list covers most common data collection methods. If you will use other types of data collection for all or some of your data collection then please describe them here.</w:t>
            </w:r>
          </w:p>
          <w:p w:rsidR="007E7629" w:rsidRDefault="007E7629">
            <w:pPr>
              <w:jc w:val="center"/>
              <w:rPr>
                <w:rFonts w:ascii="Arial" w:eastAsia="Arial" w:hAnsi="Arial" w:cs="Arial"/>
                <w:i/>
                <w:iCs/>
                <w:sz w:val="22"/>
                <w:szCs w:val="22"/>
              </w:rPr>
            </w:pPr>
          </w:p>
          <w:p w:rsidR="007E7629" w:rsidRDefault="003E360F">
            <w:pPr>
              <w:jc w:val="center"/>
              <w:rPr>
                <w:rFonts w:ascii="Arial" w:eastAsia="Arial" w:hAnsi="Arial" w:cs="Arial"/>
                <w:sz w:val="22"/>
                <w:szCs w:val="22"/>
              </w:rPr>
            </w:pPr>
            <w:r>
              <w:rPr>
                <w:rFonts w:ascii="Arial" w:eastAsia="Arial" w:hAnsi="Arial" w:cs="Arial"/>
                <w:i/>
                <w:iCs/>
                <w:color w:val="A6A6A6"/>
                <w:sz w:val="18"/>
                <w:szCs w:val="18"/>
              </w:rPr>
              <w:t>(this box should expand as you type)</w:t>
            </w:r>
          </w:p>
        </w:tc>
        <w:tc>
          <w:tcPr>
            <w:tcW w:w="993" w:type="dxa"/>
            <w:vMerge/>
            <w:shd w:val="clear" w:color="auto" w:fill="D9D9D9"/>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sz w:val="22"/>
                <w:szCs w:val="22"/>
              </w:rPr>
            </w:pPr>
          </w:p>
        </w:tc>
        <w:tc>
          <w:tcPr>
            <w:tcW w:w="992" w:type="dxa"/>
            <w:vMerge/>
            <w:shd w:val="clear" w:color="auto" w:fill="D9D9D9"/>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sz w:val="22"/>
                <w:szCs w:val="22"/>
              </w:rPr>
            </w:pPr>
          </w:p>
        </w:tc>
      </w:tr>
    </w:tbl>
    <w:p w:rsidR="007E7629" w:rsidRDefault="007E7629">
      <w:pPr>
        <w:jc w:val="center"/>
        <w:rPr>
          <w:rFonts w:ascii="Arial" w:eastAsia="Arial" w:hAnsi="Arial" w:cs="Arial"/>
        </w:rPr>
      </w:pPr>
    </w:p>
    <w:p w:rsidR="007E7629" w:rsidRDefault="003E360F">
      <w:pPr>
        <w:jc w:val="center"/>
        <w:rPr>
          <w:rFonts w:ascii="Arial" w:eastAsia="Arial" w:hAnsi="Arial" w:cs="Arial"/>
          <w:b/>
          <w:bCs/>
        </w:rPr>
      </w:pPr>
      <w:r>
        <w:rPr>
          <w:rFonts w:ascii="Arial" w:eastAsia="Arial" w:hAnsi="Arial" w:cs="Arial"/>
          <w:b/>
          <w:bCs/>
        </w:rPr>
        <w:t>SECTION G: Research Participants</w:t>
      </w:r>
    </w:p>
    <w:p w:rsidR="007E7629" w:rsidRDefault="007E7629">
      <w:pPr>
        <w:jc w:val="center"/>
        <w:rPr>
          <w:rFonts w:ascii="Arial" w:eastAsia="Arial" w:hAnsi="Arial" w:cs="Arial"/>
        </w:rPr>
      </w:pPr>
    </w:p>
    <w:tbl>
      <w:tblPr>
        <w:tblStyle w:val="af6"/>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10480" w:type="dxa"/>
            <w:gridSpan w:val="6"/>
            <w:shd w:val="clear" w:color="auto" w:fill="C1E4F5"/>
            <w:vAlign w:val="center"/>
          </w:tcPr>
          <w:p w:rsidR="007E7629" w:rsidRDefault="003E360F">
            <w:pPr>
              <w:jc w:val="center"/>
              <w:rPr>
                <w:rFonts w:ascii="Arial" w:eastAsia="Arial" w:hAnsi="Arial" w:cs="Arial"/>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this section</w:t>
            </w:r>
          </w:p>
        </w:tc>
        <w:tc>
          <w:tcPr>
            <w:tcW w:w="850" w:type="dxa"/>
            <w:shd w:val="clear" w:color="auto" w:fill="F2F2F2"/>
            <w:vAlign w:val="center"/>
          </w:tcPr>
          <w:p w:rsidR="007E7629" w:rsidRDefault="00FB5D41">
            <w:pPr>
              <w:jc w:val="center"/>
              <w:rPr>
                <w:rFonts w:ascii="Arial" w:eastAsia="Arial" w:hAnsi="Arial" w:cs="Arial"/>
                <w:b/>
                <w:bCs/>
                <w:sz w:val="22"/>
                <w:szCs w:val="22"/>
              </w:rPr>
            </w:pPr>
            <w:sdt>
              <w:sdtPr>
                <w:tag w:val="goog_rdk_26"/>
                <w:id w:val="1794193666"/>
              </w:sdtPr>
              <w:sdtEndPr/>
              <w:sdtContent>
                <w:r w:rsidR="003E360F">
                  <w:rPr>
                    <w:rFonts w:ascii="Arial Unicode MS" w:eastAsia="Arial Unicode MS" w:hAnsi="Arial Unicode MS" w:cs="Arial Unicode MS"/>
                    <w:b/>
                    <w:bCs/>
                    <w:sz w:val="22"/>
                    <w:szCs w:val="22"/>
                  </w:rPr>
                  <w:t xml:space="preserve">✓ </w:t>
                </w:r>
              </w:sdtContent>
            </w:sdt>
          </w:p>
        </w:tc>
        <w:tc>
          <w:tcPr>
            <w:tcW w:w="1838" w:type="dxa"/>
            <w:shd w:val="clear" w:color="auto" w:fill="D9F2D0"/>
            <w:vAlign w:val="center"/>
          </w:tcPr>
          <w:p w:rsidR="007E7629" w:rsidRDefault="00FB5D41">
            <w:pPr>
              <w:jc w:val="center"/>
              <w:rPr>
                <w:rFonts w:ascii="Arial" w:eastAsia="Arial" w:hAnsi="Arial" w:cs="Arial"/>
                <w:b/>
                <w:bCs/>
                <w:sz w:val="22"/>
                <w:szCs w:val="22"/>
              </w:rPr>
            </w:pPr>
            <w:hyperlink w:anchor="bookmark=id.rkgz1z3djska">
              <w:r w:rsidR="003E360F">
                <w:rPr>
                  <w:rFonts w:ascii="Arial" w:eastAsia="Arial" w:hAnsi="Arial" w:cs="Arial"/>
                  <w:b/>
                  <w:bCs/>
                  <w:color w:val="467886"/>
                  <w:sz w:val="22"/>
                  <w:szCs w:val="22"/>
                  <w:u w:val="single"/>
                </w:rPr>
                <w:t>Click to continue to section N</w:t>
              </w:r>
            </w:hyperlink>
          </w:p>
        </w:tc>
      </w:tr>
    </w:tbl>
    <w:p w:rsidR="007E7629" w:rsidRDefault="007E7629">
      <w:pPr>
        <w:jc w:val="center"/>
        <w:rPr>
          <w:rFonts w:ascii="Arial" w:eastAsia="Arial" w:hAnsi="Arial" w:cs="Arial"/>
        </w:rPr>
      </w:pPr>
    </w:p>
    <w:p w:rsidR="007E7629" w:rsidRDefault="007E7629">
      <w:pPr>
        <w:jc w:val="center"/>
        <w:rPr>
          <w:rFonts w:ascii="Arial" w:eastAsia="Arial" w:hAnsi="Arial" w:cs="Arial"/>
        </w:rPr>
      </w:pPr>
    </w:p>
    <w:tbl>
      <w:tblPr>
        <w:tblStyle w:val="af7"/>
        <w:tblW w:w="1048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7E7629">
        <w:trPr>
          <w:trHeight w:val="403"/>
          <w:jc w:val="center"/>
        </w:trPr>
        <w:tc>
          <w:tcPr>
            <w:tcW w:w="10482" w:type="dxa"/>
            <w:gridSpan w:val="3"/>
            <w:shd w:val="clear" w:color="auto" w:fill="C1E4F5"/>
          </w:tcPr>
          <w:p w:rsidR="007E7629" w:rsidRDefault="003E360F">
            <w:pPr>
              <w:jc w:val="center"/>
              <w:rPr>
                <w:rFonts w:ascii="Arial" w:eastAsia="Arial" w:hAnsi="Arial" w:cs="Arial"/>
                <w:b/>
                <w:bCs/>
                <w:sz w:val="22"/>
                <w:szCs w:val="22"/>
              </w:rPr>
            </w:pPr>
            <w:r>
              <w:rPr>
                <w:rFonts w:ascii="Arial" w:eastAsia="Arial" w:hAnsi="Arial" w:cs="Arial"/>
                <w:b/>
                <w:bCs/>
                <w:sz w:val="22"/>
                <w:szCs w:val="22"/>
              </w:rPr>
              <w:t>Participant numbers and source</w:t>
            </w:r>
          </w:p>
          <w:p w:rsidR="007E7629" w:rsidRDefault="003E360F">
            <w:pPr>
              <w:jc w:val="center"/>
              <w:rPr>
                <w:rFonts w:ascii="Arial" w:eastAsia="Arial" w:hAnsi="Arial" w:cs="Arial"/>
                <w:sz w:val="22"/>
                <w:szCs w:val="22"/>
              </w:rPr>
            </w:pPr>
            <w:r>
              <w:rPr>
                <w:rFonts w:ascii="Arial" w:eastAsia="Arial" w:hAnsi="Arial" w:cs="Arial"/>
                <w:sz w:val="22"/>
                <w:szCs w:val="22"/>
              </w:rPr>
              <w:lastRenderedPageBreak/>
              <w:t>How will you ensure an appropriately convened sample group in order to meet the aims of the research? Give details for subgroups separately, if appropriate. How will any potential pitfalls, for example dual roles or potential for coercion, be addressed?</w:t>
            </w:r>
          </w:p>
        </w:tc>
      </w:tr>
      <w:tr w:rsidR="007E7629">
        <w:trPr>
          <w:trHeight w:val="40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1</w:t>
            </w:r>
          </w:p>
        </w:tc>
        <w:tc>
          <w:tcPr>
            <w:tcW w:w="311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How many participants do you aim to recruit?</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What process did you use to decide upon this number?</w:t>
            </w:r>
          </w:p>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7E7629">
        <w:trPr>
          <w:trHeight w:val="40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What are the characteristics of the participants that make them relevant to the study? E.g. ‘UWTSD students who play casual games on their mobile devices’ instead of ‘UWTSD students’.</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7E7629">
        <w:trPr>
          <w:trHeight w:val="40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Is this a group already known to you or will you have to contact them through another organisation? Will you approach them directly or will you send out a mass invitation via social media?</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r w:rsidR="007E7629">
        <w:trPr>
          <w:trHeight w:val="40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rsidR="007E7629" w:rsidRDefault="003E360F">
            <w:pPr>
              <w:jc w:val="center"/>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If you are excluding potential participants, how will you identify if they are unsuitable?</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7E7629">
        <w:trPr>
          <w:trHeight w:val="403"/>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5</w:t>
            </w:r>
          </w:p>
        </w:tc>
        <w:tc>
          <w:tcPr>
            <w:tcW w:w="3119" w:type="dxa"/>
            <w:shd w:val="clear" w:color="auto" w:fill="F2F2F2"/>
          </w:tcPr>
          <w:p w:rsidR="007E7629" w:rsidRDefault="003E360F">
            <w:pPr>
              <w:jc w:val="center"/>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Deception is sometimes acceptable in research, but if you intend to use it then you must justify its use. Are there are other ways to capture the same information? If there are then why are you not using them?</w:t>
            </w:r>
          </w:p>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7E7629">
        <w:trPr>
          <w:trHeight w:val="1448"/>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6</w:t>
            </w:r>
          </w:p>
        </w:tc>
        <w:tc>
          <w:tcPr>
            <w:tcW w:w="3119" w:type="dxa"/>
            <w:shd w:val="clear" w:color="auto" w:fill="F2F2F2"/>
          </w:tcPr>
          <w:p w:rsidR="007E7629" w:rsidRDefault="003E360F">
            <w:pPr>
              <w:jc w:val="center"/>
              <w:rPr>
                <w:rFonts w:ascii="Arial" w:eastAsia="Arial" w:hAnsi="Arial" w:cs="Arial"/>
              </w:rPr>
            </w:pPr>
            <w:r>
              <w:rPr>
                <w:rFonts w:ascii="Arial" w:eastAsia="Arial" w:hAnsi="Arial" w:cs="Arial"/>
                <w:sz w:val="22"/>
                <w:szCs w:val="22"/>
              </w:rPr>
              <w:t>Describe whether participants will be able to withdraw from the study, and up to what point (eg if data is to be anonymised). If withdrawal is not possible, after a certain point, explain why not.</w:t>
            </w:r>
          </w:p>
        </w:tc>
        <w:tc>
          <w:tcPr>
            <w:tcW w:w="6662" w:type="dxa"/>
          </w:tcPr>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Wherever possible, participants should be able to withdraw from a study or choose not to answer particular questions. If this is not possible then you should explain why this is the case.</w:t>
            </w:r>
          </w:p>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7E7629">
        <w:trPr>
          <w:trHeight w:val="1412"/>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rsidR="007E7629" w:rsidRDefault="003E360F">
            <w:pPr>
              <w:jc w:val="center"/>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This can be important if you have deadlines to meet with a multi-stage project.</w:t>
            </w: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7E7629">
        <w:trPr>
          <w:trHeight w:val="1412"/>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rsidR="007E7629" w:rsidRDefault="003E360F">
            <w:pPr>
              <w:jc w:val="center"/>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This is particularly important if you research includes participants with disabilities but it may also be important to help you reach as wide a range of participants as possible.</w:t>
            </w: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r>
    </w:tbl>
    <w:p w:rsidR="007E7629" w:rsidRDefault="007E7629">
      <w:pPr>
        <w:jc w:val="center"/>
        <w:rPr>
          <w:rFonts w:ascii="Arial" w:eastAsia="Arial" w:hAnsi="Arial" w:cs="Arial"/>
        </w:rPr>
      </w:pPr>
    </w:p>
    <w:p w:rsidR="007E7629" w:rsidRDefault="007E7629">
      <w:pPr>
        <w:jc w:val="center"/>
        <w:rPr>
          <w:rFonts w:ascii="Arial" w:eastAsia="Arial" w:hAnsi="Arial" w:cs="Arial"/>
        </w:rPr>
      </w:pPr>
    </w:p>
    <w:p w:rsidR="007E7629" w:rsidRDefault="007E7629">
      <w:pPr>
        <w:jc w:val="center"/>
        <w:rPr>
          <w:rFonts w:ascii="Arial" w:eastAsia="Arial" w:hAnsi="Arial" w:cs="Arial"/>
        </w:rPr>
      </w:pPr>
    </w:p>
    <w:p w:rsidR="007E7629" w:rsidRDefault="003E360F">
      <w:pPr>
        <w:spacing w:after="240"/>
        <w:jc w:val="center"/>
        <w:rPr>
          <w:rFonts w:ascii="Arial" w:eastAsia="Arial" w:hAnsi="Arial" w:cs="Arial"/>
          <w:b/>
          <w:bCs/>
          <w:sz w:val="22"/>
          <w:szCs w:val="22"/>
        </w:rPr>
      </w:pPr>
      <w:r>
        <w:rPr>
          <w:rFonts w:ascii="Arial" w:eastAsia="Arial" w:hAnsi="Arial" w:cs="Arial"/>
          <w:b/>
          <w:bCs/>
          <w:sz w:val="22"/>
          <w:szCs w:val="22"/>
        </w:rPr>
        <w:t>SECTION H: Research with Vulnerable People</w:t>
      </w:r>
    </w:p>
    <w:tbl>
      <w:tblPr>
        <w:tblStyle w:val="af8"/>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FB5D41">
            <w:pPr>
              <w:jc w:val="center"/>
              <w:rPr>
                <w:rFonts w:ascii="Arial" w:eastAsia="Arial" w:hAnsi="Arial" w:cs="Arial"/>
                <w:b/>
                <w:bCs/>
                <w:sz w:val="22"/>
                <w:szCs w:val="22"/>
              </w:rPr>
            </w:pPr>
            <w:hyperlink w:anchor="bookmark=id.8cdopilsalky">
              <w:r w:rsidR="003E360F">
                <w:rPr>
                  <w:rFonts w:ascii="Arial" w:eastAsia="Arial" w:hAnsi="Arial" w:cs="Arial"/>
                  <w:b/>
                  <w:bCs/>
                  <w:color w:val="467886"/>
                  <w:sz w:val="22"/>
                  <w:szCs w:val="22"/>
                  <w:u w:val="single"/>
                </w:rPr>
                <w:t>Click to continue to appendix 4</w:t>
              </w:r>
            </w:hyperlink>
          </w:p>
        </w:tc>
        <w:tc>
          <w:tcPr>
            <w:tcW w:w="850" w:type="dxa"/>
            <w:shd w:val="clear" w:color="auto" w:fill="F2F2F2"/>
            <w:vAlign w:val="center"/>
          </w:tcPr>
          <w:p w:rsidR="007E7629" w:rsidRDefault="00FB5D41">
            <w:pPr>
              <w:jc w:val="center"/>
              <w:rPr>
                <w:rFonts w:ascii="Arial" w:eastAsia="Arial" w:hAnsi="Arial" w:cs="Arial"/>
                <w:b/>
                <w:bCs/>
                <w:sz w:val="22"/>
                <w:szCs w:val="22"/>
              </w:rPr>
            </w:pPr>
            <w:sdt>
              <w:sdtPr>
                <w:tag w:val="goog_rdk_27"/>
                <w:id w:val="-925256044"/>
              </w:sdtPr>
              <w:sdtEndPr/>
              <w:sdtContent>
                <w:r w:rsidR="003E360F">
                  <w:rPr>
                    <w:rFonts w:ascii="Arial Unicode MS" w:eastAsia="Arial Unicode MS" w:hAnsi="Arial Unicode MS" w:cs="Arial Unicode MS"/>
                    <w:b/>
                    <w:bCs/>
                    <w:sz w:val="22"/>
                    <w:szCs w:val="22"/>
                  </w:rPr>
                  <w:t xml:space="preserve">✓ </w:t>
                </w:r>
              </w:sdtContent>
            </w:sdt>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E7629">
        <w:trPr>
          <w:trHeight w:val="729"/>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completed appendix 4?</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r>
    </w:tbl>
    <w:p w:rsidR="007E7629" w:rsidRDefault="007E7629">
      <w:pPr>
        <w:spacing w:after="240"/>
        <w:jc w:val="center"/>
        <w:rPr>
          <w:rFonts w:ascii="Arial" w:eastAsia="Arial" w:hAnsi="Arial" w:cs="Arial"/>
          <w:b/>
          <w:bCs/>
          <w:sz w:val="22"/>
          <w:szCs w:val="22"/>
        </w:rPr>
      </w:pPr>
    </w:p>
    <w:p w:rsidR="007E7629" w:rsidRDefault="003E360F">
      <w:pPr>
        <w:spacing w:after="240"/>
        <w:jc w:val="center"/>
        <w:rPr>
          <w:rFonts w:ascii="Arial" w:eastAsia="Arial" w:hAnsi="Arial" w:cs="Arial"/>
          <w:b/>
          <w:bCs/>
          <w:sz w:val="22"/>
          <w:szCs w:val="22"/>
        </w:rPr>
      </w:pPr>
      <w:bookmarkStart w:id="82" w:name="bookmark=id.fvd3v9quuero" w:colFirst="0" w:colLast="0"/>
      <w:bookmarkEnd w:id="82"/>
      <w:r>
        <w:rPr>
          <w:rFonts w:ascii="Arial" w:eastAsia="Arial" w:hAnsi="Arial" w:cs="Arial"/>
          <w:b/>
          <w:bCs/>
          <w:sz w:val="22"/>
          <w:szCs w:val="22"/>
        </w:rPr>
        <w:t>SECTION I: Research Involving Animals</w:t>
      </w:r>
    </w:p>
    <w:tbl>
      <w:tblPr>
        <w:tblStyle w:val="af9"/>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1</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FB5D41">
            <w:pPr>
              <w:jc w:val="center"/>
              <w:rPr>
                <w:rFonts w:ascii="Arial" w:eastAsia="Arial" w:hAnsi="Arial" w:cs="Arial"/>
                <w:b/>
                <w:bCs/>
                <w:sz w:val="22"/>
                <w:szCs w:val="22"/>
              </w:rPr>
            </w:pPr>
            <w:hyperlink w:anchor="bookmark=id.if5zzwnbtrz5">
              <w:r w:rsidR="003E360F">
                <w:rPr>
                  <w:rFonts w:ascii="Arial" w:eastAsia="Arial" w:hAnsi="Arial" w:cs="Arial"/>
                  <w:b/>
                  <w:bCs/>
                  <w:color w:val="467886"/>
                  <w:sz w:val="22"/>
                  <w:szCs w:val="22"/>
                  <w:u w:val="single"/>
                </w:rPr>
                <w:t>Click to continue to appendix 5</w:t>
              </w:r>
            </w:hyperlink>
          </w:p>
        </w:tc>
        <w:tc>
          <w:tcPr>
            <w:tcW w:w="850" w:type="dxa"/>
            <w:shd w:val="clear" w:color="auto" w:fill="F2F2F2"/>
            <w:vAlign w:val="center"/>
          </w:tcPr>
          <w:p w:rsidR="007E7629" w:rsidRDefault="00FB5D41">
            <w:pPr>
              <w:jc w:val="center"/>
              <w:rPr>
                <w:rFonts w:ascii="Arial" w:eastAsia="Arial" w:hAnsi="Arial" w:cs="Arial"/>
                <w:b/>
                <w:bCs/>
                <w:sz w:val="22"/>
                <w:szCs w:val="22"/>
              </w:rPr>
            </w:pPr>
            <w:sdt>
              <w:sdtPr>
                <w:tag w:val="goog_rdk_28"/>
                <w:id w:val="693041859"/>
              </w:sdtPr>
              <w:sdtEndPr/>
              <w:sdtContent>
                <w:r w:rsidR="003E360F">
                  <w:rPr>
                    <w:rFonts w:ascii="Arial Unicode MS" w:eastAsia="Arial Unicode MS" w:hAnsi="Arial Unicode MS" w:cs="Arial Unicode MS"/>
                    <w:b/>
                    <w:bCs/>
                    <w:sz w:val="22"/>
                    <w:szCs w:val="22"/>
                  </w:rPr>
                  <w:t xml:space="preserve">✓ </w:t>
                </w:r>
              </w:sdtContent>
            </w:sdt>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E7629">
        <w:trPr>
          <w:trHeight w:val="729"/>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completed appendix 5?</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r>
    </w:tbl>
    <w:p w:rsidR="007E7629" w:rsidRDefault="007E7629">
      <w:pPr>
        <w:spacing w:after="240"/>
        <w:jc w:val="center"/>
        <w:rPr>
          <w:rFonts w:ascii="Arial" w:eastAsia="Arial" w:hAnsi="Arial" w:cs="Arial"/>
          <w:b/>
          <w:bCs/>
          <w:sz w:val="22"/>
          <w:szCs w:val="22"/>
        </w:rPr>
      </w:pPr>
    </w:p>
    <w:p w:rsidR="007E7629" w:rsidRDefault="003E360F">
      <w:pPr>
        <w:spacing w:after="240"/>
        <w:jc w:val="center"/>
        <w:rPr>
          <w:rFonts w:ascii="Arial" w:eastAsia="Arial" w:hAnsi="Arial" w:cs="Arial"/>
          <w:b/>
          <w:bCs/>
          <w:sz w:val="22"/>
          <w:szCs w:val="22"/>
        </w:rPr>
      </w:pPr>
      <w:bookmarkStart w:id="83" w:name="bookmark=id.vzhlv4zgw2j4" w:colFirst="0" w:colLast="0"/>
      <w:bookmarkEnd w:id="83"/>
      <w:r>
        <w:rPr>
          <w:rFonts w:ascii="Arial" w:eastAsia="Arial" w:hAnsi="Arial" w:cs="Arial"/>
          <w:b/>
          <w:bCs/>
          <w:sz w:val="22"/>
          <w:szCs w:val="22"/>
        </w:rPr>
        <w:t>SECTION J: Research with the Prison Service or the Probation Service</w:t>
      </w:r>
    </w:p>
    <w:tbl>
      <w:tblPr>
        <w:tblStyle w:val="afa"/>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FB5D41">
            <w:pPr>
              <w:jc w:val="center"/>
              <w:rPr>
                <w:rFonts w:ascii="Arial" w:eastAsia="Arial" w:hAnsi="Arial" w:cs="Arial"/>
                <w:b/>
                <w:bCs/>
                <w:sz w:val="22"/>
                <w:szCs w:val="22"/>
              </w:rPr>
            </w:pPr>
            <w:hyperlink w:anchor="bookmark=id.omxxfrtdmsew">
              <w:r w:rsidR="003E360F">
                <w:rPr>
                  <w:rFonts w:ascii="Arial" w:eastAsia="Arial" w:hAnsi="Arial" w:cs="Arial"/>
                  <w:b/>
                  <w:bCs/>
                  <w:color w:val="467886"/>
                  <w:sz w:val="22"/>
                  <w:szCs w:val="22"/>
                  <w:u w:val="single"/>
                </w:rPr>
                <w:t>Click to continue to appendix 6</w:t>
              </w:r>
            </w:hyperlink>
          </w:p>
        </w:tc>
        <w:tc>
          <w:tcPr>
            <w:tcW w:w="850" w:type="dxa"/>
            <w:shd w:val="clear" w:color="auto" w:fill="F2F2F2"/>
            <w:vAlign w:val="center"/>
          </w:tcPr>
          <w:p w:rsidR="007E7629" w:rsidRDefault="00FB5D41">
            <w:pPr>
              <w:jc w:val="center"/>
              <w:rPr>
                <w:rFonts w:ascii="Arial" w:eastAsia="Arial" w:hAnsi="Arial" w:cs="Arial"/>
                <w:b/>
                <w:bCs/>
                <w:sz w:val="22"/>
                <w:szCs w:val="22"/>
              </w:rPr>
            </w:pPr>
            <w:sdt>
              <w:sdtPr>
                <w:tag w:val="goog_rdk_29"/>
                <w:id w:val="-206488445"/>
              </w:sdtPr>
              <w:sdtEndPr/>
              <w:sdtContent>
                <w:r w:rsidR="003E360F">
                  <w:rPr>
                    <w:rFonts w:ascii="Arial Unicode MS" w:eastAsia="Arial Unicode MS" w:hAnsi="Arial Unicode MS" w:cs="Arial Unicode MS"/>
                    <w:b/>
                    <w:bCs/>
                    <w:sz w:val="22"/>
                    <w:szCs w:val="22"/>
                  </w:rPr>
                  <w:t xml:space="preserve">✓ </w:t>
                </w:r>
              </w:sdtContent>
            </w:sdt>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E7629">
        <w:trPr>
          <w:trHeight w:val="729"/>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completed appendix 6?</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r>
    </w:tbl>
    <w:p w:rsidR="007E7629" w:rsidRDefault="007E7629">
      <w:pPr>
        <w:spacing w:after="240"/>
        <w:jc w:val="center"/>
        <w:rPr>
          <w:rFonts w:ascii="Arial" w:eastAsia="Arial" w:hAnsi="Arial" w:cs="Arial"/>
          <w:b/>
          <w:bCs/>
          <w:sz w:val="22"/>
          <w:szCs w:val="22"/>
        </w:rPr>
      </w:pPr>
    </w:p>
    <w:p w:rsidR="007E7629" w:rsidRDefault="003E360F">
      <w:pPr>
        <w:spacing w:after="240"/>
        <w:jc w:val="center"/>
        <w:rPr>
          <w:rFonts w:ascii="Arial" w:eastAsia="Arial" w:hAnsi="Arial" w:cs="Arial"/>
          <w:b/>
          <w:bCs/>
          <w:sz w:val="22"/>
          <w:szCs w:val="22"/>
        </w:rPr>
      </w:pPr>
      <w:bookmarkStart w:id="84" w:name="bookmark=id.odhler3qd8df" w:colFirst="0" w:colLast="0"/>
      <w:bookmarkEnd w:id="84"/>
      <w:r>
        <w:rPr>
          <w:rFonts w:ascii="Arial" w:eastAsia="Arial" w:hAnsi="Arial" w:cs="Arial"/>
          <w:b/>
          <w:bCs/>
          <w:sz w:val="22"/>
          <w:szCs w:val="22"/>
        </w:rPr>
        <w:t>SECTION K: Health and Social Care Research</w:t>
      </w:r>
    </w:p>
    <w:tbl>
      <w:tblPr>
        <w:tblStyle w:val="afb"/>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FB5D41">
            <w:pPr>
              <w:jc w:val="center"/>
              <w:rPr>
                <w:rFonts w:ascii="Arial" w:eastAsia="Arial" w:hAnsi="Arial" w:cs="Arial"/>
                <w:b/>
                <w:bCs/>
                <w:sz w:val="22"/>
                <w:szCs w:val="22"/>
              </w:rPr>
            </w:pPr>
            <w:hyperlink w:anchor="bookmark=id.x4ecujun0qe7">
              <w:r w:rsidR="003E360F">
                <w:rPr>
                  <w:rFonts w:ascii="Arial" w:eastAsia="Arial" w:hAnsi="Arial" w:cs="Arial"/>
                  <w:b/>
                  <w:bCs/>
                  <w:color w:val="467886"/>
                  <w:sz w:val="22"/>
                  <w:szCs w:val="22"/>
                  <w:u w:val="single"/>
                </w:rPr>
                <w:t>Click to continue to appendix 7</w:t>
              </w:r>
            </w:hyperlink>
          </w:p>
        </w:tc>
        <w:tc>
          <w:tcPr>
            <w:tcW w:w="850" w:type="dxa"/>
            <w:shd w:val="clear" w:color="auto" w:fill="F2F2F2"/>
            <w:vAlign w:val="center"/>
          </w:tcPr>
          <w:p w:rsidR="007E7629" w:rsidRDefault="00FB5D41">
            <w:pPr>
              <w:jc w:val="center"/>
              <w:rPr>
                <w:rFonts w:ascii="Arial" w:eastAsia="Arial" w:hAnsi="Arial" w:cs="Arial"/>
                <w:b/>
                <w:bCs/>
                <w:sz w:val="22"/>
                <w:szCs w:val="22"/>
              </w:rPr>
            </w:pPr>
            <w:sdt>
              <w:sdtPr>
                <w:tag w:val="goog_rdk_30"/>
                <w:id w:val="332367658"/>
              </w:sdtPr>
              <w:sdtEndPr/>
              <w:sdtContent>
                <w:r w:rsidR="003E360F">
                  <w:rPr>
                    <w:rFonts w:ascii="Arial Unicode MS" w:eastAsia="Arial Unicode MS" w:hAnsi="Arial Unicode MS" w:cs="Arial Unicode MS"/>
                    <w:b/>
                    <w:bCs/>
                    <w:sz w:val="22"/>
                    <w:szCs w:val="22"/>
                  </w:rPr>
                  <w:t xml:space="preserve">✓ </w:t>
                </w:r>
              </w:sdtContent>
            </w:sdt>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E7629">
        <w:trPr>
          <w:trHeight w:val="729"/>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completed appendix 7?</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r>
    </w:tbl>
    <w:p w:rsidR="007E7629" w:rsidRDefault="007E7629">
      <w:pPr>
        <w:spacing w:after="240"/>
        <w:jc w:val="center"/>
        <w:rPr>
          <w:rFonts w:ascii="Arial" w:eastAsia="Arial" w:hAnsi="Arial" w:cs="Arial"/>
          <w:b/>
          <w:bCs/>
          <w:sz w:val="22"/>
          <w:szCs w:val="22"/>
        </w:rPr>
      </w:pPr>
    </w:p>
    <w:p w:rsidR="007E7629" w:rsidRDefault="003E360F">
      <w:pPr>
        <w:spacing w:after="240"/>
        <w:jc w:val="center"/>
        <w:rPr>
          <w:rFonts w:ascii="Arial" w:eastAsia="Arial" w:hAnsi="Arial" w:cs="Arial"/>
          <w:b/>
          <w:bCs/>
          <w:sz w:val="22"/>
          <w:szCs w:val="22"/>
        </w:rPr>
      </w:pPr>
      <w:bookmarkStart w:id="85" w:name="bookmark=id.k0t36fuock1k" w:colFirst="0" w:colLast="0"/>
      <w:bookmarkEnd w:id="85"/>
      <w:r>
        <w:rPr>
          <w:rFonts w:ascii="Arial" w:eastAsia="Arial" w:hAnsi="Arial" w:cs="Arial"/>
          <w:b/>
          <w:bCs/>
          <w:sz w:val="22"/>
          <w:szCs w:val="22"/>
        </w:rPr>
        <w:t>SECTION L: Types of Personal Data</w:t>
      </w:r>
    </w:p>
    <w:tbl>
      <w:tblPr>
        <w:tblStyle w:val="afc"/>
        <w:tblW w:w="10487" w:type="dxa"/>
        <w:jc w:val="center"/>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7E7629">
        <w:trPr>
          <w:trHeight w:val="403"/>
          <w:jc w:val="center"/>
        </w:trPr>
        <w:tc>
          <w:tcPr>
            <w:tcW w:w="8606" w:type="dxa"/>
            <w:gridSpan w:val="2"/>
            <w:tcBorders>
              <w:top w:val="single" w:sz="4" w:space="0" w:color="000000"/>
              <w:left w:val="single" w:sz="4" w:space="0" w:color="000000"/>
              <w:bottom w:val="single" w:sz="4" w:space="0" w:color="000000"/>
            </w:tcBorders>
            <w:shd w:val="clear" w:color="auto" w:fill="C1E4F5"/>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Personal Data</w:t>
            </w:r>
          </w:p>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color w:val="000000"/>
                <w:sz w:val="22"/>
                <w:szCs w:val="22"/>
              </w:rPr>
              <w:t>Does the research activity involve personal data (as defined by the General Data Protection Regulation 2016 and the Data Protection Act 2018)?</w:t>
            </w:r>
          </w:p>
        </w:tc>
        <w:tc>
          <w:tcPr>
            <w:tcW w:w="889" w:type="dxa"/>
            <w:shd w:val="clear" w:color="auto" w:fill="D9D9D9"/>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992" w:type="dxa"/>
            <w:shd w:val="clear" w:color="auto" w:fill="D9D9D9"/>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7E7629">
        <w:trPr>
          <w:trHeight w:val="403"/>
          <w:jc w:val="center"/>
        </w:trPr>
        <w:tc>
          <w:tcPr>
            <w:tcW w:w="562" w:type="dxa"/>
            <w:vMerge w:val="restart"/>
            <w:tcBorders>
              <w:top w:val="single" w:sz="4" w:space="0" w:color="000000"/>
              <w:left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bookmarkStart w:id="86" w:name="_heading=h.g3gowb7viti6" w:colFirst="0" w:colLast="0"/>
            <w:bookmarkEnd w:id="86"/>
            <w:r>
              <w:rPr>
                <w:rFonts w:ascii="Arial" w:eastAsia="Arial" w:hAnsi="Arial" w:cs="Arial"/>
                <w:sz w:val="22"/>
                <w:szCs w:val="22"/>
              </w:rPr>
              <w:t>1</w:t>
            </w:r>
          </w:p>
        </w:tc>
        <w:tc>
          <w:tcPr>
            <w:tcW w:w="8044" w:type="dxa"/>
            <w:tcBorders>
              <w:lef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w:t>
            </w:r>
          </w:p>
        </w:tc>
        <w:tc>
          <w:tcPr>
            <w:tcW w:w="992" w:type="dxa"/>
            <w:vMerge w:val="restart"/>
            <w:shd w:val="clear" w:color="auto" w:fill="D9D9D9"/>
            <w:vAlign w:val="center"/>
          </w:tcPr>
          <w:p w:rsidR="007E7629" w:rsidRDefault="00FB5D41">
            <w:pPr>
              <w:pBdr>
                <w:top w:val="nil"/>
                <w:left w:val="nil"/>
                <w:bottom w:val="nil"/>
                <w:right w:val="nil"/>
                <w:between w:val="nil"/>
              </w:pBdr>
              <w:jc w:val="center"/>
              <w:rPr>
                <w:rFonts w:ascii="Arial" w:eastAsia="Arial" w:hAnsi="Arial" w:cs="Arial"/>
                <w:b/>
                <w:bCs/>
                <w:color w:val="000000"/>
                <w:sz w:val="22"/>
                <w:szCs w:val="22"/>
              </w:rPr>
            </w:pPr>
            <w:sdt>
              <w:sdtPr>
                <w:tag w:val="goog_rdk_31"/>
                <w:id w:val="2135770713"/>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62" w:type="dxa"/>
            <w:vMerge/>
            <w:tcBorders>
              <w:top w:val="single" w:sz="4" w:space="0" w:color="000000"/>
              <w:left w:val="single" w:sz="4" w:space="0" w:color="000000"/>
              <w:right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color w:val="000000"/>
                <w:sz w:val="22"/>
                <w:szCs w:val="22"/>
              </w:rPr>
            </w:pPr>
          </w:p>
        </w:tc>
        <w:tc>
          <w:tcPr>
            <w:tcW w:w="8044" w:type="dxa"/>
            <w:tcBorders>
              <w:lef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b/>
                <w:bCs/>
                <w:color w:val="000000"/>
              </w:rPr>
            </w:pPr>
            <w:r>
              <w:rPr>
                <w:rFonts w:ascii="Arial" w:eastAsia="Arial" w:hAnsi="Arial" w:cs="Arial"/>
                <w:b/>
                <w:bCs/>
                <w:color w:val="000000"/>
                <w:sz w:val="22"/>
                <w:szCs w:val="22"/>
              </w:rPr>
              <w:t>If you ticked YES, provide a description of the data and explain why this data needs to be collected:</w:t>
            </w:r>
          </w:p>
        </w:tc>
        <w:tc>
          <w:tcPr>
            <w:tcW w:w="889" w:type="dxa"/>
            <w:vMerge/>
            <w:shd w:val="clear" w:color="auto" w:fill="D9D9D9"/>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color w:val="000000"/>
              </w:rPr>
            </w:pPr>
          </w:p>
        </w:tc>
        <w:tc>
          <w:tcPr>
            <w:tcW w:w="992" w:type="dxa"/>
            <w:vMerge/>
            <w:shd w:val="clear" w:color="auto" w:fill="D9D9D9"/>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color w:val="000000"/>
              </w:rPr>
            </w:pPr>
          </w:p>
        </w:tc>
      </w:tr>
      <w:tr w:rsidR="007E7629">
        <w:trPr>
          <w:trHeight w:val="403"/>
          <w:jc w:val="center"/>
        </w:trPr>
        <w:tc>
          <w:tcPr>
            <w:tcW w:w="10487" w:type="dxa"/>
            <w:gridSpan w:val="4"/>
            <w:tcBorders>
              <w:top w:val="single" w:sz="4" w:space="0" w:color="000000"/>
              <w:left w:val="single" w:sz="4" w:space="0" w:color="000000"/>
              <w:bottom w:val="single" w:sz="4" w:space="0" w:color="000000"/>
            </w:tcBorders>
            <w:vAlign w:val="center"/>
          </w:tcPr>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Any use of personal data must be justified.</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i/>
                <w:iCs/>
              </w:rPr>
            </w:pPr>
            <w:r>
              <w:rPr>
                <w:rFonts w:ascii="Arial" w:eastAsia="Arial" w:hAnsi="Arial" w:cs="Arial"/>
                <w:i/>
                <w:iCs/>
                <w:color w:val="808080"/>
                <w:sz w:val="18"/>
                <w:szCs w:val="18"/>
              </w:rPr>
              <w:t>(this box should expand as you type)</w:t>
            </w:r>
          </w:p>
        </w:tc>
      </w:tr>
    </w:tbl>
    <w:p w:rsidR="007E7629" w:rsidRDefault="007E7629">
      <w:pPr>
        <w:spacing w:after="240"/>
        <w:jc w:val="center"/>
        <w:rPr>
          <w:rFonts w:ascii="Arial" w:eastAsia="Arial" w:hAnsi="Arial" w:cs="Arial"/>
          <w:b/>
          <w:bCs/>
        </w:rPr>
      </w:pPr>
    </w:p>
    <w:tbl>
      <w:tblPr>
        <w:tblStyle w:val="afd"/>
        <w:tblW w:w="1048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7E7629">
        <w:trPr>
          <w:trHeight w:val="368"/>
          <w:jc w:val="center"/>
        </w:trPr>
        <w:tc>
          <w:tcPr>
            <w:tcW w:w="8472" w:type="dxa"/>
            <w:gridSpan w:val="3"/>
            <w:shd w:val="clear" w:color="auto" w:fill="C1E4F5"/>
          </w:tcPr>
          <w:p w:rsidR="007E7629" w:rsidRDefault="003E360F">
            <w:pPr>
              <w:jc w:val="center"/>
              <w:rPr>
                <w:rFonts w:ascii="Arial" w:eastAsia="Arial" w:hAnsi="Arial" w:cs="Arial"/>
                <w:sz w:val="22"/>
                <w:szCs w:val="22"/>
              </w:rPr>
            </w:pPr>
            <w:r>
              <w:rPr>
                <w:rFonts w:ascii="Arial" w:eastAsia="Arial" w:hAnsi="Arial" w:cs="Arial"/>
                <w:b/>
                <w:bCs/>
                <w:sz w:val="22"/>
                <w:szCs w:val="22"/>
              </w:rPr>
              <w:t>Special Category Data</w:t>
            </w:r>
          </w:p>
          <w:p w:rsidR="007E7629" w:rsidRDefault="003E360F">
            <w:pPr>
              <w:jc w:val="center"/>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170"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439"/>
          <w:jc w:val="center"/>
        </w:trPr>
        <w:tc>
          <w:tcPr>
            <w:tcW w:w="549" w:type="dxa"/>
            <w:shd w:val="clear" w:color="auto" w:fill="F2F2F2"/>
            <w:vAlign w:val="center"/>
          </w:tcPr>
          <w:p w:rsidR="007E7629" w:rsidRDefault="003E360F">
            <w:pPr>
              <w:jc w:val="center"/>
              <w:rPr>
                <w:rFonts w:ascii="Arial" w:eastAsia="Arial" w:hAnsi="Arial" w:cs="Arial"/>
                <w:sz w:val="22"/>
                <w:szCs w:val="22"/>
              </w:rPr>
            </w:pPr>
            <w:bookmarkStart w:id="87" w:name="_heading=h.jby2vluj70f9" w:colFirst="0" w:colLast="0"/>
            <w:bookmarkEnd w:id="87"/>
            <w:r>
              <w:rPr>
                <w:rFonts w:ascii="Arial" w:eastAsia="Arial" w:hAnsi="Arial" w:cs="Arial"/>
                <w:sz w:val="22"/>
                <w:szCs w:val="22"/>
              </w:rPr>
              <w:t>2</w:t>
            </w:r>
          </w:p>
        </w:tc>
        <w:tc>
          <w:tcPr>
            <w:tcW w:w="792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1170" w:type="dxa"/>
            <w:gridSpan w:val="2"/>
            <w:shd w:val="clear" w:color="auto" w:fill="D9D9D9"/>
            <w:vAlign w:val="center"/>
          </w:tcPr>
          <w:p w:rsidR="007E7629" w:rsidRDefault="00FB5D41">
            <w:pPr>
              <w:jc w:val="center"/>
              <w:rPr>
                <w:rFonts w:ascii="Arial" w:eastAsia="Arial" w:hAnsi="Arial" w:cs="Arial"/>
                <w:b/>
                <w:bCs/>
              </w:rPr>
            </w:pPr>
            <w:sdt>
              <w:sdtPr>
                <w:tag w:val="goog_rdk_32"/>
                <w:id w:val="1669907425"/>
              </w:sdtPr>
              <w:sdtEndPr/>
              <w:sdtContent>
                <w:r w:rsidR="003E360F">
                  <w:rPr>
                    <w:rFonts w:ascii="Arial Unicode MS" w:eastAsia="Arial Unicode MS" w:hAnsi="Arial Unicode MS" w:cs="Arial Unicode MS"/>
                    <w:b/>
                    <w:bCs/>
                  </w:rPr>
                  <w:t xml:space="preserve">✓ </w:t>
                </w:r>
              </w:sdtContent>
            </w:sdt>
          </w:p>
        </w:tc>
      </w:tr>
      <w:tr w:rsidR="007E7629">
        <w:trPr>
          <w:trHeight w:val="439"/>
          <w:jc w:val="center"/>
        </w:trPr>
        <w:tc>
          <w:tcPr>
            <w:tcW w:w="5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Political opinions</w:t>
            </w:r>
          </w:p>
        </w:tc>
        <w:tc>
          <w:tcPr>
            <w:tcW w:w="845"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1170" w:type="dxa"/>
            <w:gridSpan w:val="2"/>
            <w:shd w:val="clear" w:color="auto" w:fill="D9D9D9"/>
            <w:vAlign w:val="center"/>
          </w:tcPr>
          <w:p w:rsidR="007E7629" w:rsidRDefault="00FB5D41">
            <w:pPr>
              <w:jc w:val="center"/>
              <w:rPr>
                <w:rFonts w:ascii="Arial" w:eastAsia="Arial" w:hAnsi="Arial" w:cs="Arial"/>
                <w:b/>
                <w:bCs/>
              </w:rPr>
            </w:pPr>
            <w:sdt>
              <w:sdtPr>
                <w:tag w:val="goog_rdk_33"/>
                <w:id w:val="-1240000178"/>
              </w:sdtPr>
              <w:sdtEndPr/>
              <w:sdtContent>
                <w:r w:rsidR="003E360F">
                  <w:rPr>
                    <w:rFonts w:ascii="Arial Unicode MS" w:eastAsia="Arial Unicode MS" w:hAnsi="Arial Unicode MS" w:cs="Arial Unicode MS"/>
                    <w:b/>
                    <w:bCs/>
                  </w:rPr>
                  <w:t xml:space="preserve">✓ </w:t>
                </w:r>
              </w:sdtContent>
            </w:sdt>
          </w:p>
        </w:tc>
      </w:tr>
      <w:tr w:rsidR="007E7629">
        <w:trPr>
          <w:trHeight w:val="439"/>
          <w:jc w:val="center"/>
        </w:trPr>
        <w:tc>
          <w:tcPr>
            <w:tcW w:w="5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Religious or philosophical beliefs</w:t>
            </w:r>
          </w:p>
        </w:tc>
        <w:tc>
          <w:tcPr>
            <w:tcW w:w="845"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1170" w:type="dxa"/>
            <w:gridSpan w:val="2"/>
            <w:shd w:val="clear" w:color="auto" w:fill="D9D9D9"/>
            <w:vAlign w:val="center"/>
          </w:tcPr>
          <w:p w:rsidR="007E7629" w:rsidRDefault="00FB5D41">
            <w:pPr>
              <w:jc w:val="center"/>
              <w:rPr>
                <w:rFonts w:ascii="Arial" w:eastAsia="Arial" w:hAnsi="Arial" w:cs="Arial"/>
                <w:b/>
                <w:bCs/>
              </w:rPr>
            </w:pPr>
            <w:sdt>
              <w:sdtPr>
                <w:tag w:val="goog_rdk_34"/>
                <w:id w:val="-1902797321"/>
              </w:sdtPr>
              <w:sdtEndPr/>
              <w:sdtContent>
                <w:r w:rsidR="003E360F">
                  <w:rPr>
                    <w:rFonts w:ascii="Arial Unicode MS" w:eastAsia="Arial Unicode MS" w:hAnsi="Arial Unicode MS" w:cs="Arial Unicode MS"/>
                    <w:b/>
                    <w:bCs/>
                  </w:rPr>
                  <w:t xml:space="preserve">✓ </w:t>
                </w:r>
              </w:sdtContent>
            </w:sdt>
          </w:p>
        </w:tc>
      </w:tr>
      <w:tr w:rsidR="007E7629">
        <w:trPr>
          <w:trHeight w:val="439"/>
          <w:jc w:val="center"/>
        </w:trPr>
        <w:tc>
          <w:tcPr>
            <w:tcW w:w="5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Genetic, biometric or health data</w:t>
            </w:r>
          </w:p>
        </w:tc>
        <w:tc>
          <w:tcPr>
            <w:tcW w:w="845"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1170" w:type="dxa"/>
            <w:gridSpan w:val="2"/>
            <w:shd w:val="clear" w:color="auto" w:fill="D9D9D9"/>
            <w:vAlign w:val="center"/>
          </w:tcPr>
          <w:p w:rsidR="007E7629" w:rsidRDefault="00FB5D41">
            <w:pPr>
              <w:jc w:val="center"/>
              <w:rPr>
                <w:rFonts w:ascii="Arial" w:eastAsia="Arial" w:hAnsi="Arial" w:cs="Arial"/>
                <w:b/>
                <w:bCs/>
              </w:rPr>
            </w:pPr>
            <w:sdt>
              <w:sdtPr>
                <w:tag w:val="goog_rdk_35"/>
                <w:id w:val="229405586"/>
              </w:sdtPr>
              <w:sdtEndPr/>
              <w:sdtContent>
                <w:r w:rsidR="003E360F">
                  <w:rPr>
                    <w:rFonts w:ascii="Arial Unicode MS" w:eastAsia="Arial Unicode MS" w:hAnsi="Arial Unicode MS" w:cs="Arial Unicode MS"/>
                    <w:b/>
                    <w:bCs/>
                  </w:rPr>
                  <w:t xml:space="preserve">✓ </w:t>
                </w:r>
              </w:sdtContent>
            </w:sdt>
          </w:p>
        </w:tc>
      </w:tr>
      <w:tr w:rsidR="007E7629">
        <w:trPr>
          <w:trHeight w:val="439"/>
          <w:jc w:val="center"/>
        </w:trPr>
        <w:tc>
          <w:tcPr>
            <w:tcW w:w="5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Sex life or sexual orientation</w:t>
            </w:r>
          </w:p>
        </w:tc>
        <w:tc>
          <w:tcPr>
            <w:tcW w:w="845"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1170" w:type="dxa"/>
            <w:gridSpan w:val="2"/>
            <w:shd w:val="clear" w:color="auto" w:fill="D9D9D9"/>
            <w:vAlign w:val="center"/>
          </w:tcPr>
          <w:p w:rsidR="007E7629" w:rsidRDefault="00FB5D41">
            <w:pPr>
              <w:jc w:val="center"/>
              <w:rPr>
                <w:rFonts w:ascii="Arial" w:eastAsia="Arial" w:hAnsi="Arial" w:cs="Arial"/>
                <w:b/>
                <w:bCs/>
              </w:rPr>
            </w:pPr>
            <w:sdt>
              <w:sdtPr>
                <w:tag w:val="goog_rdk_36"/>
                <w:id w:val="1910422156"/>
              </w:sdtPr>
              <w:sdtEndPr/>
              <w:sdtContent>
                <w:r w:rsidR="003E360F">
                  <w:rPr>
                    <w:rFonts w:ascii="Arial Unicode MS" w:eastAsia="Arial Unicode MS" w:hAnsi="Arial Unicode MS" w:cs="Arial Unicode MS"/>
                    <w:b/>
                    <w:bCs/>
                  </w:rPr>
                  <w:t xml:space="preserve">✓ </w:t>
                </w:r>
              </w:sdtContent>
            </w:sdt>
          </w:p>
        </w:tc>
      </w:tr>
      <w:tr w:rsidR="007E7629">
        <w:trPr>
          <w:trHeight w:val="439"/>
          <w:jc w:val="center"/>
        </w:trPr>
        <w:tc>
          <w:tcPr>
            <w:tcW w:w="5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Trade union membership</w:t>
            </w:r>
          </w:p>
        </w:tc>
        <w:tc>
          <w:tcPr>
            <w:tcW w:w="845"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1170" w:type="dxa"/>
            <w:gridSpan w:val="2"/>
            <w:shd w:val="clear" w:color="auto" w:fill="D9D9D9"/>
            <w:vAlign w:val="center"/>
          </w:tcPr>
          <w:p w:rsidR="007E7629" w:rsidRDefault="00FB5D41">
            <w:pPr>
              <w:jc w:val="center"/>
              <w:rPr>
                <w:rFonts w:ascii="Arial" w:eastAsia="Arial" w:hAnsi="Arial" w:cs="Arial"/>
                <w:b/>
                <w:bCs/>
              </w:rPr>
            </w:pPr>
            <w:sdt>
              <w:sdtPr>
                <w:tag w:val="goog_rdk_37"/>
                <w:id w:val="1720621055"/>
              </w:sdtPr>
              <w:sdtEndPr/>
              <w:sdtContent>
                <w:r w:rsidR="003E360F">
                  <w:rPr>
                    <w:rFonts w:ascii="Arial Unicode MS" w:eastAsia="Arial Unicode MS" w:hAnsi="Arial Unicode MS" w:cs="Arial Unicode MS"/>
                    <w:b/>
                    <w:bCs/>
                  </w:rPr>
                  <w:t xml:space="preserve">✓ </w:t>
                </w:r>
              </w:sdtContent>
            </w:sdt>
          </w:p>
        </w:tc>
      </w:tr>
      <w:tr w:rsidR="007E7629">
        <w:trPr>
          <w:trHeight w:val="439"/>
          <w:jc w:val="center"/>
        </w:trPr>
        <w:tc>
          <w:tcPr>
            <w:tcW w:w="10487" w:type="dxa"/>
            <w:gridSpan w:val="7"/>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bCs/>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7E7629">
        <w:trPr>
          <w:trHeight w:val="439"/>
          <w:jc w:val="center"/>
        </w:trPr>
        <w:tc>
          <w:tcPr>
            <w:tcW w:w="549" w:type="dxa"/>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rsidR="007E7629" w:rsidRDefault="003E360F">
            <w:pPr>
              <w:pBdr>
                <w:top w:val="nil"/>
                <w:left w:val="nil"/>
                <w:bottom w:val="nil"/>
                <w:right w:val="nil"/>
                <w:between w:val="nil"/>
              </w:pBdr>
              <w:jc w:val="center"/>
              <w:rPr>
                <w:rFonts w:ascii="Arial" w:eastAsia="Arial" w:hAnsi="Arial" w:cs="Arial"/>
                <w:color w:val="4EA72E"/>
                <w:sz w:val="22"/>
                <w:szCs w:val="22"/>
              </w:rPr>
            </w:pPr>
            <w:r>
              <w:rPr>
                <w:rFonts w:ascii="Arial" w:eastAsia="Arial" w:hAnsi="Arial" w:cs="Arial"/>
                <w:color w:val="4EA72E"/>
                <w:sz w:val="22"/>
                <w:szCs w:val="22"/>
              </w:rPr>
              <w:t>Any use of special category data must be fully justified.</w:t>
            </w:r>
          </w:p>
          <w:p w:rsidR="007E7629" w:rsidRDefault="007E7629">
            <w:pPr>
              <w:pBdr>
                <w:top w:val="nil"/>
                <w:left w:val="nil"/>
                <w:bottom w:val="nil"/>
                <w:right w:val="nil"/>
                <w:between w:val="nil"/>
              </w:pBdr>
              <w:jc w:val="center"/>
              <w:rPr>
                <w:rFonts w:ascii="Arial" w:eastAsia="Arial" w:hAnsi="Arial" w:cs="Arial"/>
                <w:color w:val="000000"/>
                <w:sz w:val="22"/>
                <w:szCs w:val="22"/>
              </w:rPr>
            </w:pPr>
          </w:p>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E7629">
        <w:trPr>
          <w:trHeight w:val="439"/>
          <w:jc w:val="center"/>
        </w:trPr>
        <w:tc>
          <w:tcPr>
            <w:tcW w:w="549" w:type="dxa"/>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7E7629">
        <w:trPr>
          <w:trHeight w:val="439"/>
          <w:jc w:val="center"/>
        </w:trPr>
        <w:tc>
          <w:tcPr>
            <w:tcW w:w="10487" w:type="dxa"/>
            <w:gridSpan w:val="7"/>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sz w:val="23"/>
                <w:szCs w:val="23"/>
              </w:rPr>
              <w:t>No personal information will be gathered, analyzed or kept since the research will solely rely on secondary data sources which will be available in the public peer-reviewed academic literature. The study has been structured in a manner that it does not require gathering of any identifiable personal data and no human subject will be involved.</w:t>
            </w:r>
          </w:p>
        </w:tc>
      </w:tr>
      <w:tr w:rsidR="007E7629">
        <w:trPr>
          <w:trHeight w:val="439"/>
          <w:jc w:val="center"/>
        </w:trPr>
        <w:tc>
          <w:tcPr>
            <w:tcW w:w="549" w:type="dxa"/>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7E7629">
        <w:trPr>
          <w:trHeight w:val="439"/>
          <w:jc w:val="center"/>
        </w:trPr>
        <w:tc>
          <w:tcPr>
            <w:tcW w:w="10487" w:type="dxa"/>
            <w:gridSpan w:val="7"/>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sz w:val="23"/>
                <w:szCs w:val="23"/>
              </w:rPr>
              <w:t>Data processing will not produce any harm, distress or negative effects since there are no human participants or individual information in the study. The study is founded solely on academic literature published, and thus no personal interests, rights or wellbeing will be impacted.</w:t>
            </w:r>
          </w:p>
        </w:tc>
      </w:tr>
      <w:tr w:rsidR="007E7629">
        <w:trPr>
          <w:trHeight w:val="439"/>
          <w:jc w:val="center"/>
        </w:trPr>
        <w:tc>
          <w:tcPr>
            <w:tcW w:w="549" w:type="dxa"/>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7E7629">
        <w:trPr>
          <w:trHeight w:val="439"/>
          <w:jc w:val="center"/>
        </w:trPr>
        <w:tc>
          <w:tcPr>
            <w:tcW w:w="10487" w:type="dxa"/>
            <w:gridSpan w:val="7"/>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sz w:val="23"/>
                <w:szCs w:val="23"/>
              </w:rPr>
              <w:lastRenderedPageBreak/>
              <w:t>The information employed in this study will not be employed to make judgments about a person. Results will be presented in a general form and will be thematic and pattern-based as they are found in the scholarly literature. Therefore, the results of the study will not impact any individual either directly or indirectly.</w:t>
            </w:r>
          </w:p>
        </w:tc>
      </w:tr>
      <w:tr w:rsidR="007E7629">
        <w:trPr>
          <w:trHeight w:val="439"/>
          <w:jc w:val="center"/>
        </w:trPr>
        <w:tc>
          <w:tcPr>
            <w:tcW w:w="549" w:type="dxa"/>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7E7629">
        <w:trPr>
          <w:trHeight w:val="439"/>
          <w:jc w:val="center"/>
        </w:trPr>
        <w:tc>
          <w:tcPr>
            <w:tcW w:w="10487" w:type="dxa"/>
            <w:gridSpan w:val="7"/>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sz w:val="23"/>
                <w:szCs w:val="23"/>
              </w:rPr>
              <w:t>No such personal or identifiable information will be obtained when conducting the research. Since the research is based on published academic sources, anonymisation and pseudonymisation is not needed. All of the reviewed sources will be publicly available and properly referenced in a way that complies with the academic standards.</w:t>
            </w:r>
          </w:p>
        </w:tc>
      </w:tr>
      <w:tr w:rsidR="007E7629">
        <w:trPr>
          <w:trHeight w:val="506"/>
          <w:jc w:val="center"/>
        </w:trPr>
        <w:tc>
          <w:tcPr>
            <w:tcW w:w="549"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134"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709"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N/A</w:t>
            </w:r>
          </w:p>
        </w:tc>
      </w:tr>
      <w:tr w:rsidR="007E7629">
        <w:trPr>
          <w:trHeight w:val="439"/>
          <w:jc w:val="center"/>
        </w:trPr>
        <w:tc>
          <w:tcPr>
            <w:tcW w:w="549"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7103"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992"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34"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38"/>
                <w:id w:val="-941375445"/>
              </w:sdtPr>
              <w:sdtEndPr/>
              <w:sdtContent>
                <w:r w:rsidR="003E360F">
                  <w:rPr>
                    <w:rFonts w:ascii="Arial Unicode MS" w:eastAsia="Arial Unicode MS" w:hAnsi="Arial Unicode MS" w:cs="Arial Unicode MS"/>
                    <w:b/>
                    <w:bCs/>
                    <w:sz w:val="22"/>
                    <w:szCs w:val="22"/>
                  </w:rPr>
                  <w:t xml:space="preserve">✓ </w:t>
                </w:r>
              </w:sdtContent>
            </w:sdt>
          </w:p>
        </w:tc>
        <w:tc>
          <w:tcPr>
            <w:tcW w:w="7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bl>
    <w:p w:rsidR="007E7629" w:rsidRDefault="007E7629">
      <w:pPr>
        <w:spacing w:after="240"/>
        <w:jc w:val="center"/>
        <w:rPr>
          <w:rFonts w:ascii="Arial" w:eastAsia="Arial" w:hAnsi="Arial" w:cs="Arial"/>
          <w:b/>
          <w:bCs/>
        </w:rPr>
      </w:pPr>
    </w:p>
    <w:p w:rsidR="007E7629" w:rsidRDefault="003E360F">
      <w:pPr>
        <w:jc w:val="center"/>
        <w:rPr>
          <w:rFonts w:ascii="Arial" w:eastAsia="Arial" w:hAnsi="Arial" w:cs="Arial"/>
          <w:b/>
          <w:bCs/>
          <w:sz w:val="22"/>
          <w:szCs w:val="22"/>
        </w:rPr>
      </w:pPr>
      <w:r>
        <w:rPr>
          <w:rFonts w:ascii="Arial" w:eastAsia="Arial" w:hAnsi="Arial" w:cs="Arial"/>
          <w:b/>
          <w:bCs/>
          <w:sz w:val="22"/>
          <w:szCs w:val="22"/>
        </w:rPr>
        <w:t>SECTION M: Participant Information and Consent</w:t>
      </w:r>
    </w:p>
    <w:p w:rsidR="007E7629" w:rsidRDefault="007E7629">
      <w:pPr>
        <w:jc w:val="center"/>
        <w:rPr>
          <w:rFonts w:ascii="Arial" w:eastAsia="Arial" w:hAnsi="Arial" w:cs="Arial"/>
        </w:rPr>
      </w:pPr>
    </w:p>
    <w:tbl>
      <w:tblPr>
        <w:tblStyle w:val="afe"/>
        <w:tblW w:w="1048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7E7629">
        <w:trPr>
          <w:jc w:val="center"/>
        </w:trPr>
        <w:tc>
          <w:tcPr>
            <w:tcW w:w="7392" w:type="dxa"/>
            <w:gridSpan w:val="2"/>
            <w:shd w:val="clear" w:color="auto" w:fill="C1E4F5"/>
          </w:tcPr>
          <w:p w:rsidR="007E7629" w:rsidRDefault="003E360F">
            <w:pPr>
              <w:jc w:val="center"/>
              <w:rPr>
                <w:rFonts w:ascii="Arial" w:eastAsia="Arial" w:hAnsi="Arial" w:cs="Arial"/>
                <w:b/>
                <w:bCs/>
                <w:sz w:val="22"/>
                <w:szCs w:val="22"/>
              </w:rPr>
            </w:pPr>
            <w:r>
              <w:rPr>
                <w:rFonts w:ascii="Arial" w:eastAsia="Arial" w:hAnsi="Arial" w:cs="Arial"/>
                <w:b/>
                <w:bCs/>
                <w:sz w:val="22"/>
                <w:szCs w:val="22"/>
              </w:rPr>
              <w:t>Information for participants</w:t>
            </w:r>
          </w:p>
          <w:p w:rsidR="007E7629" w:rsidRDefault="003E360F">
            <w:pPr>
              <w:jc w:val="center"/>
              <w:rPr>
                <w:rFonts w:ascii="Arial" w:eastAsia="Arial" w:hAnsi="Arial" w:cs="Arial"/>
                <w:b/>
                <w:bCs/>
                <w:sz w:val="22"/>
                <w:szCs w:val="22"/>
              </w:rPr>
            </w:pPr>
            <w:r>
              <w:rPr>
                <w:rFonts w:ascii="Arial" w:eastAsia="Arial" w:hAnsi="Arial" w:cs="Arial"/>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w:t>
            </w:r>
          </w:p>
        </w:tc>
        <w:tc>
          <w:tcPr>
            <w:tcW w:w="980"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109"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006"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N/A</w:t>
            </w:r>
          </w:p>
        </w:tc>
      </w:tr>
      <w:tr w:rsidR="007E7629">
        <w:trPr>
          <w:trHeight w:val="439"/>
          <w:jc w:val="center"/>
        </w:trPr>
        <w:tc>
          <w:tcPr>
            <w:tcW w:w="547" w:type="dxa"/>
            <w:shd w:val="clear" w:color="auto" w:fill="F2F2F2"/>
            <w:vAlign w:val="center"/>
          </w:tcPr>
          <w:p w:rsidR="007E7629" w:rsidRDefault="003E360F">
            <w:pPr>
              <w:jc w:val="center"/>
              <w:rPr>
                <w:rFonts w:ascii="Arial" w:eastAsia="Arial" w:hAnsi="Arial" w:cs="Arial"/>
                <w:sz w:val="22"/>
                <w:szCs w:val="22"/>
              </w:rPr>
            </w:pPr>
            <w:bookmarkStart w:id="88" w:name="_heading=h.trfie2le736r" w:colFirst="0" w:colLast="0"/>
            <w:bookmarkEnd w:id="88"/>
            <w:r>
              <w:rPr>
                <w:rFonts w:ascii="Arial" w:eastAsia="Arial" w:hAnsi="Arial" w:cs="Arial"/>
                <w:sz w:val="22"/>
                <w:szCs w:val="22"/>
              </w:rPr>
              <w:t>1</w:t>
            </w:r>
          </w:p>
        </w:tc>
        <w:tc>
          <w:tcPr>
            <w:tcW w:w="68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39"/>
                <w:id w:val="-1089003921"/>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4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40"/>
                <w:id w:val="952934178"/>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39"/>
          <w:jc w:val="center"/>
        </w:trPr>
        <w:tc>
          <w:tcPr>
            <w:tcW w:w="54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41"/>
                <w:id w:val="-320697143"/>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4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42"/>
                <w:id w:val="-1029931834"/>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39"/>
          <w:jc w:val="center"/>
        </w:trPr>
        <w:tc>
          <w:tcPr>
            <w:tcW w:w="54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43"/>
                <w:id w:val="-1537409721"/>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4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6</w:t>
            </w:r>
          </w:p>
        </w:tc>
        <w:tc>
          <w:tcPr>
            <w:tcW w:w="68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44"/>
                <w:id w:val="433464261"/>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4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Will participants be made aware of how you will treat any information that may reasonably by considered as confidential?</w:t>
            </w:r>
          </w:p>
        </w:tc>
        <w:tc>
          <w:tcPr>
            <w:tcW w:w="980"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45"/>
                <w:id w:val="773673704"/>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4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46"/>
                <w:id w:val="2105286690"/>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39"/>
          <w:jc w:val="center"/>
        </w:trPr>
        <w:tc>
          <w:tcPr>
            <w:tcW w:w="54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gridSpan w:val="2"/>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gridSpan w:val="2"/>
            <w:shd w:val="clear" w:color="auto" w:fill="D9D9D9"/>
            <w:vAlign w:val="center"/>
          </w:tcPr>
          <w:p w:rsidR="007E7629" w:rsidRDefault="00FB5D41">
            <w:pPr>
              <w:jc w:val="center"/>
              <w:rPr>
                <w:rFonts w:ascii="Arial" w:eastAsia="Arial" w:hAnsi="Arial" w:cs="Arial"/>
                <w:b/>
                <w:bCs/>
                <w:sz w:val="22"/>
                <w:szCs w:val="22"/>
              </w:rPr>
            </w:pPr>
            <w:sdt>
              <w:sdtPr>
                <w:tag w:val="goog_rdk_47"/>
                <w:id w:val="-645938333"/>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10487" w:type="dxa"/>
            <w:gridSpan w:val="8"/>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NO</w:t>
            </w:r>
            <w:r>
              <w:rPr>
                <w:rFonts w:ascii="Arial" w:eastAsia="Arial" w:hAnsi="Arial" w:cs="Arial"/>
                <w:sz w:val="22"/>
                <w:szCs w:val="22"/>
              </w:rPr>
              <w:t xml:space="preserve"> to any of questions M1-M9, please provide justification detailing why this is necessary for the research.</w:t>
            </w:r>
          </w:p>
        </w:tc>
      </w:tr>
      <w:tr w:rsidR="007E7629">
        <w:trPr>
          <w:trHeight w:val="403"/>
          <w:jc w:val="center"/>
        </w:trPr>
        <w:tc>
          <w:tcPr>
            <w:tcW w:w="547"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rsidR="007E7629" w:rsidRDefault="003E360F">
            <w:pPr>
              <w:jc w:val="center"/>
              <w:rPr>
                <w:rFonts w:ascii="Arial" w:eastAsia="Arial" w:hAnsi="Arial" w:cs="Arial"/>
                <w:sz w:val="22"/>
                <w:szCs w:val="22"/>
              </w:rPr>
            </w:pPr>
            <w:r>
              <w:rPr>
                <w:rFonts w:ascii="Arial" w:eastAsia="Arial" w:hAnsi="Arial" w:cs="Arial"/>
                <w:color w:val="4EA72E"/>
                <w:sz w:val="22"/>
                <w:szCs w:val="22"/>
              </w:rPr>
              <w:t>Justify your decisions, particularly if written consent won’t be obtained or if participants will not be fully informed in advance.</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trHeight w:val="403"/>
          <w:jc w:val="center"/>
        </w:trPr>
        <w:tc>
          <w:tcPr>
            <w:tcW w:w="10487" w:type="dxa"/>
            <w:gridSpan w:val="8"/>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 xml:space="preserve">Informed consent: </w:t>
            </w: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w:t>
            </w:r>
          </w:p>
        </w:tc>
      </w:tr>
      <w:tr w:rsidR="007E7629">
        <w:trPr>
          <w:trHeight w:val="403"/>
          <w:jc w:val="center"/>
        </w:trPr>
        <w:tc>
          <w:tcPr>
            <w:tcW w:w="547"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7E7629">
        <w:trPr>
          <w:trHeight w:val="2832"/>
          <w:jc w:val="center"/>
        </w:trPr>
        <w:tc>
          <w:tcPr>
            <w:tcW w:w="10487" w:type="dxa"/>
            <w:gridSpan w:val="8"/>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w:t>
            </w:r>
            <w:r>
              <w:rPr>
                <w:rFonts w:ascii="Arial" w:eastAsia="Arial" w:hAnsi="Arial" w:cs="Arial"/>
                <w:sz w:val="22"/>
                <w:szCs w:val="22"/>
              </w:rPr>
              <w:lastRenderedPageBreak/>
              <w:t>understand what is being proposed and what this might mean for them, before they decide whether the researcher can share their confidential information with others.</w:t>
            </w:r>
          </w:p>
        </w:tc>
      </w:tr>
      <w:tr w:rsidR="007E7629">
        <w:trPr>
          <w:jc w:val="center"/>
        </w:trPr>
        <w:tc>
          <w:tcPr>
            <w:tcW w:w="10487" w:type="dxa"/>
            <w:gridSpan w:val="8"/>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Please detail how you will treat confidential information:</w:t>
            </w:r>
          </w:p>
        </w:tc>
      </w:tr>
      <w:tr w:rsidR="007E7629">
        <w:trPr>
          <w:jc w:val="center"/>
        </w:trPr>
        <w:tc>
          <w:tcPr>
            <w:tcW w:w="547"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12</w:t>
            </w:r>
          </w:p>
        </w:tc>
        <w:tc>
          <w:tcPr>
            <w:tcW w:w="9940" w:type="dxa"/>
            <w:gridSpan w:val="7"/>
          </w:tcPr>
          <w:p w:rsidR="007E7629" w:rsidRDefault="003E360F">
            <w:pPr>
              <w:jc w:val="center"/>
              <w:rPr>
                <w:rFonts w:ascii="Arial" w:eastAsia="Arial" w:hAnsi="Arial" w:cs="Arial"/>
                <w:sz w:val="22"/>
                <w:szCs w:val="22"/>
              </w:rPr>
            </w:pPr>
            <w:r>
              <w:rPr>
                <w:rFonts w:ascii="Arial" w:eastAsia="Arial" w:hAnsi="Arial" w:cs="Arial"/>
                <w:color w:val="4EA72E"/>
                <w:sz w:val="22"/>
                <w:szCs w:val="22"/>
              </w:rPr>
              <w:t>Describe how you will protect your participants confidential data, including how you will store and manage it securely, who will have access, and how you will inform your participants if the data will be shared. If the data is to be shared, explain how will you make sure that your participants understand and agree to this.</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7E7629">
        <w:trPr>
          <w:trHeight w:val="403"/>
          <w:jc w:val="center"/>
        </w:trPr>
        <w:tc>
          <w:tcPr>
            <w:tcW w:w="10487" w:type="dxa"/>
            <w:gridSpan w:val="8"/>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7E7629">
        <w:trPr>
          <w:trHeight w:val="403"/>
          <w:jc w:val="center"/>
        </w:trPr>
        <w:tc>
          <w:tcPr>
            <w:tcW w:w="547"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Sample information sheets and consent forms are available from the Doctoral College Portal.</w:t>
            </w:r>
          </w:p>
          <w:p w:rsidR="007E7629" w:rsidRDefault="007E7629">
            <w:pPr>
              <w:jc w:val="center"/>
              <w:rPr>
                <w:rFonts w:ascii="Arial" w:eastAsia="Arial" w:hAnsi="Arial" w:cs="Arial"/>
                <w:sz w:val="22"/>
                <w:szCs w:val="22"/>
              </w:rPr>
            </w:pPr>
          </w:p>
        </w:tc>
      </w:tr>
      <w:tr w:rsidR="007E7629">
        <w:trPr>
          <w:trHeight w:val="439"/>
          <w:jc w:val="center"/>
        </w:trPr>
        <w:tc>
          <w:tcPr>
            <w:tcW w:w="54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708"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851"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N/A</w:t>
            </w:r>
          </w:p>
          <w:p w:rsidR="007E7629" w:rsidRDefault="00FB5D41">
            <w:pPr>
              <w:jc w:val="center"/>
              <w:rPr>
                <w:rFonts w:ascii="Arial" w:eastAsia="Arial" w:hAnsi="Arial" w:cs="Arial"/>
                <w:b/>
                <w:bCs/>
                <w:sz w:val="22"/>
                <w:szCs w:val="22"/>
              </w:rPr>
            </w:pPr>
            <w:sdt>
              <w:sdtPr>
                <w:tag w:val="goog_rdk_48"/>
                <w:id w:val="995419843"/>
              </w:sdtPr>
              <w:sdtEndPr/>
              <w:sdtContent>
                <w:r w:rsidR="003E360F">
                  <w:rPr>
                    <w:rFonts w:ascii="Arial Unicode MS" w:eastAsia="Arial Unicode MS" w:hAnsi="Arial Unicode MS" w:cs="Arial Unicode MS"/>
                    <w:b/>
                    <w:bCs/>
                    <w:sz w:val="22"/>
                    <w:szCs w:val="22"/>
                  </w:rPr>
                  <w:t xml:space="preserve">✓ </w:t>
                </w:r>
              </w:sdtContent>
            </w:sdt>
          </w:p>
        </w:tc>
      </w:tr>
    </w:tbl>
    <w:p w:rsidR="007E7629" w:rsidRDefault="007E7629">
      <w:pPr>
        <w:spacing w:after="240"/>
        <w:jc w:val="center"/>
        <w:rPr>
          <w:rFonts w:ascii="Arial" w:eastAsia="Arial" w:hAnsi="Arial" w:cs="Arial"/>
          <w:b/>
          <w:bCs/>
          <w:sz w:val="22"/>
          <w:szCs w:val="22"/>
        </w:rPr>
      </w:pPr>
    </w:p>
    <w:p w:rsidR="007E7629" w:rsidRDefault="003E360F">
      <w:pPr>
        <w:spacing w:after="240"/>
        <w:jc w:val="center"/>
        <w:rPr>
          <w:rFonts w:ascii="Arial" w:eastAsia="Arial" w:hAnsi="Arial" w:cs="Arial"/>
          <w:b/>
          <w:bCs/>
          <w:sz w:val="22"/>
          <w:szCs w:val="22"/>
        </w:rPr>
      </w:pPr>
      <w:r>
        <w:rPr>
          <w:rFonts w:ascii="Arial" w:eastAsia="Arial" w:hAnsi="Arial" w:cs="Arial"/>
          <w:b/>
          <w:bCs/>
          <w:sz w:val="22"/>
          <w:szCs w:val="22"/>
        </w:rPr>
        <w:t>SECTION N: Research with Potential Military Application</w:t>
      </w:r>
    </w:p>
    <w:tbl>
      <w:tblPr>
        <w:tblStyle w:val="aff"/>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rPr>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FB5D41">
            <w:pPr>
              <w:jc w:val="center"/>
              <w:rPr>
                <w:rFonts w:ascii="Arial" w:eastAsia="Arial" w:hAnsi="Arial" w:cs="Arial"/>
                <w:b/>
                <w:bCs/>
                <w:sz w:val="22"/>
                <w:szCs w:val="22"/>
              </w:rPr>
            </w:pPr>
            <w:hyperlink w:anchor="bookmark=id.1x1njqtyb9e8">
              <w:r w:rsidR="003E360F">
                <w:rPr>
                  <w:rFonts w:ascii="Arial" w:eastAsia="Arial" w:hAnsi="Arial" w:cs="Arial"/>
                  <w:b/>
                  <w:bCs/>
                  <w:color w:val="467886"/>
                  <w:sz w:val="22"/>
                  <w:szCs w:val="22"/>
                  <w:u w:val="single"/>
                </w:rPr>
                <w:t>Click to continue to appendix 8</w:t>
              </w:r>
            </w:hyperlink>
          </w:p>
        </w:tc>
        <w:tc>
          <w:tcPr>
            <w:tcW w:w="850" w:type="dxa"/>
            <w:shd w:val="clear" w:color="auto" w:fill="F2F2F2"/>
            <w:vAlign w:val="center"/>
          </w:tcPr>
          <w:p w:rsidR="007E7629" w:rsidRDefault="00FB5D41">
            <w:pPr>
              <w:jc w:val="center"/>
              <w:rPr>
                <w:rFonts w:ascii="Arial" w:eastAsia="Arial" w:hAnsi="Arial" w:cs="Arial"/>
                <w:b/>
                <w:bCs/>
                <w:sz w:val="22"/>
                <w:szCs w:val="22"/>
              </w:rPr>
            </w:pPr>
            <w:sdt>
              <w:sdtPr>
                <w:tag w:val="goog_rdk_49"/>
                <w:id w:val="-1145521823"/>
              </w:sdtPr>
              <w:sdtEndPr/>
              <w:sdtContent>
                <w:r w:rsidR="003E360F">
                  <w:rPr>
                    <w:rFonts w:ascii="Arial Unicode MS" w:eastAsia="Arial Unicode MS" w:hAnsi="Arial Unicode MS" w:cs="Arial Unicode MS"/>
                    <w:b/>
                    <w:bCs/>
                    <w:sz w:val="22"/>
                    <w:szCs w:val="22"/>
                  </w:rPr>
                  <w:t xml:space="preserve">✓ </w:t>
                </w:r>
              </w:sdtContent>
            </w:sdt>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Continue to the next section</w:t>
            </w:r>
          </w:p>
        </w:tc>
      </w:tr>
      <w:tr w:rsidR="007E7629">
        <w:trPr>
          <w:trHeight w:val="729"/>
          <w:jc w:val="center"/>
        </w:trPr>
        <w:tc>
          <w:tcPr>
            <w:tcW w:w="5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completed appendix 8?</w:t>
            </w:r>
          </w:p>
        </w:tc>
        <w:tc>
          <w:tcPr>
            <w:tcW w:w="99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85"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c>
          <w:tcPr>
            <w:tcW w:w="85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838" w:type="dxa"/>
            <w:shd w:val="clear" w:color="auto" w:fill="D9F2D0"/>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w:t>
            </w:r>
          </w:p>
        </w:tc>
      </w:tr>
    </w:tbl>
    <w:p w:rsidR="007E7629" w:rsidRDefault="007E7629">
      <w:pPr>
        <w:spacing w:after="240"/>
        <w:jc w:val="center"/>
        <w:rPr>
          <w:rFonts w:ascii="Arial" w:eastAsia="Arial" w:hAnsi="Arial" w:cs="Arial"/>
          <w:b/>
          <w:bCs/>
          <w:sz w:val="22"/>
          <w:szCs w:val="22"/>
        </w:rPr>
      </w:pPr>
    </w:p>
    <w:p w:rsidR="007E7629" w:rsidRDefault="003E360F">
      <w:pPr>
        <w:jc w:val="center"/>
        <w:rPr>
          <w:rFonts w:ascii="Arial" w:eastAsia="Arial" w:hAnsi="Arial" w:cs="Arial"/>
          <w:b/>
          <w:bCs/>
          <w:sz w:val="22"/>
          <w:szCs w:val="22"/>
        </w:rPr>
      </w:pPr>
      <w:bookmarkStart w:id="89" w:name="bookmark=id.rkgz1z3djska" w:colFirst="0" w:colLast="0"/>
      <w:bookmarkEnd w:id="89"/>
      <w:r>
        <w:rPr>
          <w:rFonts w:ascii="Arial" w:eastAsia="Arial" w:hAnsi="Arial" w:cs="Arial"/>
          <w:b/>
          <w:bCs/>
          <w:sz w:val="22"/>
          <w:szCs w:val="22"/>
        </w:rPr>
        <w:t>SECTION O: Use of Artificial Intelligence Tools</w:t>
      </w:r>
    </w:p>
    <w:tbl>
      <w:tblPr>
        <w:tblStyle w:val="aff0"/>
        <w:tblW w:w="1048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7E7629">
        <w:trPr>
          <w:jc w:val="center"/>
        </w:trPr>
        <w:tc>
          <w:tcPr>
            <w:tcW w:w="7392" w:type="dxa"/>
            <w:gridSpan w:val="2"/>
            <w:shd w:val="clear" w:color="auto" w:fill="C1E4F5"/>
          </w:tcPr>
          <w:p w:rsidR="007E7629" w:rsidRDefault="003E360F">
            <w:pPr>
              <w:jc w:val="center"/>
              <w:rPr>
                <w:rFonts w:ascii="Arial" w:eastAsia="Arial" w:hAnsi="Arial" w:cs="Arial"/>
                <w:b/>
                <w:bCs/>
                <w:sz w:val="22"/>
                <w:szCs w:val="22"/>
              </w:rPr>
            </w:pPr>
            <w:r>
              <w:rPr>
                <w:rFonts w:ascii="Arial" w:eastAsia="Arial" w:hAnsi="Arial" w:cs="Arial"/>
                <w:b/>
                <w:bCs/>
                <w:sz w:val="22"/>
                <w:szCs w:val="22"/>
              </w:rPr>
              <w:t>Use of generative AI and other AI-based tools</w:t>
            </w:r>
          </w:p>
          <w:p w:rsidR="007E7629" w:rsidRDefault="003E360F">
            <w:pPr>
              <w:jc w:val="center"/>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w:t>
            </w:r>
            <w:r>
              <w:rPr>
                <w:rFonts w:ascii="Arial" w:eastAsia="Arial" w:hAnsi="Arial" w:cs="Arial"/>
                <w:sz w:val="22"/>
                <w:szCs w:val="22"/>
              </w:rPr>
              <w:lastRenderedPageBreak/>
              <w:t>based tool that you pay to use is more secure and accurate than one which is free to use.</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lastRenderedPageBreak/>
              <w:t>YES</w:t>
            </w:r>
          </w:p>
        </w:tc>
        <w:tc>
          <w:tcPr>
            <w:tcW w:w="1109"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N/A</w:t>
            </w:r>
          </w:p>
        </w:tc>
      </w:tr>
      <w:tr w:rsidR="007E7629">
        <w:trPr>
          <w:trHeight w:val="439"/>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0"/>
                <w:id w:val="1560130507"/>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1"/>
                <w:id w:val="379933543"/>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2"/>
                <w:id w:val="568130104"/>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3"/>
                <w:id w:val="-617676674"/>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4"/>
                <w:id w:val="-1615884183"/>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39"/>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5"/>
                <w:id w:val="-462682847"/>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6"/>
                <w:id w:val="561642487"/>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7"/>
                <w:id w:val="-1963006800"/>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8"/>
                <w:id w:val="1163492386"/>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39"/>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59"/>
                <w:id w:val="399702421"/>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39"/>
          <w:jc w:val="center"/>
        </w:trPr>
        <w:tc>
          <w:tcPr>
            <w:tcW w:w="55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006" w:type="dxa"/>
            <w:shd w:val="clear" w:color="auto" w:fill="D9D9D9"/>
            <w:vAlign w:val="center"/>
          </w:tcPr>
          <w:p w:rsidR="007E7629" w:rsidRDefault="00FB5D41">
            <w:pPr>
              <w:jc w:val="center"/>
              <w:rPr>
                <w:rFonts w:ascii="Arial" w:eastAsia="Arial" w:hAnsi="Arial" w:cs="Arial"/>
                <w:b/>
                <w:bCs/>
                <w:sz w:val="22"/>
                <w:szCs w:val="22"/>
              </w:rPr>
            </w:pPr>
            <w:sdt>
              <w:sdtPr>
                <w:tag w:val="goog_rdk_60"/>
                <w:id w:val="-213467359"/>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403"/>
          <w:jc w:val="center"/>
        </w:trPr>
        <w:tc>
          <w:tcPr>
            <w:tcW w:w="10487" w:type="dxa"/>
            <w:gridSpan w:val="5"/>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w:t>
            </w:r>
          </w:p>
        </w:tc>
      </w:tr>
      <w:tr w:rsidR="007E7629">
        <w:trPr>
          <w:trHeight w:val="403"/>
          <w:jc w:val="center"/>
        </w:trPr>
        <w:tc>
          <w:tcPr>
            <w:tcW w:w="551" w:type="dxa"/>
            <w:vAlign w:val="center"/>
          </w:tcPr>
          <w:p w:rsidR="007E7629" w:rsidRDefault="003E360F">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bl>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3E360F">
      <w:pPr>
        <w:jc w:val="center"/>
        <w:rPr>
          <w:rFonts w:ascii="Arial" w:eastAsia="Arial" w:hAnsi="Arial" w:cs="Arial"/>
          <w:b/>
          <w:bCs/>
          <w:sz w:val="22"/>
          <w:szCs w:val="22"/>
        </w:rPr>
      </w:pPr>
      <w:r>
        <w:rPr>
          <w:rFonts w:ascii="Arial" w:eastAsia="Arial" w:hAnsi="Arial" w:cs="Arial"/>
          <w:b/>
          <w:bCs/>
          <w:sz w:val="22"/>
          <w:szCs w:val="22"/>
        </w:rPr>
        <w:t>Section P: Research Data Management Plan</w:t>
      </w:r>
    </w:p>
    <w:p w:rsidR="007E7629" w:rsidRDefault="007E7629">
      <w:pPr>
        <w:jc w:val="center"/>
        <w:rPr>
          <w:rFonts w:ascii="Arial" w:eastAsia="Arial" w:hAnsi="Arial" w:cs="Arial"/>
          <w:b/>
          <w:bCs/>
          <w:sz w:val="22"/>
          <w:szCs w:val="22"/>
        </w:rPr>
      </w:pPr>
    </w:p>
    <w:tbl>
      <w:tblPr>
        <w:tblStyle w:val="aff1"/>
        <w:tblW w:w="1048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7E7629">
        <w:trPr>
          <w:trHeight w:val="538"/>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Data Summary</w:t>
            </w:r>
          </w:p>
        </w:tc>
      </w:tr>
      <w:tr w:rsidR="007E7629">
        <w:trPr>
          <w:trHeight w:val="522"/>
          <w:jc w:val="center"/>
        </w:trPr>
        <w:tc>
          <w:tcPr>
            <w:tcW w:w="10487" w:type="dxa"/>
            <w:gridSpan w:val="2"/>
            <w:vAlign w:val="center"/>
          </w:tcPr>
          <w:p w:rsidR="007E7629" w:rsidRDefault="003E360F">
            <w:pPr>
              <w:numPr>
                <w:ilvl w:val="0"/>
                <w:numId w:val="2"/>
              </w:numPr>
              <w:pBdr>
                <w:top w:val="nil"/>
                <w:left w:val="nil"/>
                <w:bottom w:val="nil"/>
                <w:right w:val="nil"/>
                <w:between w:val="nil"/>
              </w:pBdr>
              <w:shd w:val="clear" w:color="auto" w:fill="auto"/>
              <w:spacing w:line="240" w:lineRule="auto"/>
              <w:jc w:val="center"/>
              <w:rPr>
                <w:b/>
                <w:bCs/>
                <w:color w:val="4EA72E"/>
                <w:sz w:val="22"/>
                <w:szCs w:val="22"/>
              </w:rPr>
            </w:pPr>
            <w:r>
              <w:rPr>
                <w:rFonts w:ascii="Arial" w:eastAsia="Arial" w:hAnsi="Arial" w:cs="Arial"/>
                <w:color w:val="4EA72E"/>
                <w:sz w:val="22"/>
                <w:szCs w:val="22"/>
              </w:rPr>
              <w:t>Briefly introduce the types of data the research will create or access.</w:t>
            </w:r>
          </w:p>
          <w:p w:rsidR="007E7629" w:rsidRDefault="007E7629">
            <w:pPr>
              <w:jc w:val="center"/>
              <w:rPr>
                <w:rFonts w:ascii="Arial" w:eastAsia="Arial" w:hAnsi="Arial" w:cs="Arial"/>
                <w:sz w:val="22"/>
                <w:szCs w:val="22"/>
              </w:rPr>
            </w:pPr>
          </w:p>
        </w:tc>
      </w:tr>
      <w:tr w:rsidR="007E7629">
        <w:trPr>
          <w:trHeight w:val="786"/>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Responsibilities</w:t>
            </w:r>
          </w:p>
        </w:tc>
      </w:tr>
      <w:tr w:rsidR="007E7629">
        <w:trPr>
          <w:trHeight w:val="769"/>
          <w:jc w:val="center"/>
        </w:trPr>
        <w:tc>
          <w:tcPr>
            <w:tcW w:w="10487" w:type="dxa"/>
            <w:gridSpan w:val="2"/>
            <w:vAlign w:val="center"/>
          </w:tcPr>
          <w:p w:rsidR="007E7629" w:rsidRDefault="003E360F">
            <w:pPr>
              <w:numPr>
                <w:ilvl w:val="0"/>
                <w:numId w:val="5"/>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lastRenderedPageBreak/>
              <w:t>Who will be responsible for data management?</w:t>
            </w:r>
          </w:p>
          <w:p w:rsidR="007E7629" w:rsidRDefault="003E360F">
            <w:pPr>
              <w:numPr>
                <w:ilvl w:val="0"/>
                <w:numId w:val="5"/>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Outline responsibilities for data management within research teams at all partner institutions</w:t>
            </w:r>
          </w:p>
          <w:p w:rsidR="007E7629" w:rsidRDefault="007E7629">
            <w:pPr>
              <w:jc w:val="center"/>
              <w:rPr>
                <w:rFonts w:ascii="Arial" w:eastAsia="Arial" w:hAnsi="Arial" w:cs="Arial"/>
                <w:sz w:val="22"/>
                <w:szCs w:val="22"/>
              </w:rPr>
            </w:pPr>
          </w:p>
        </w:tc>
      </w:tr>
      <w:tr w:rsidR="007E7629">
        <w:trPr>
          <w:trHeight w:val="676"/>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Assessment of existing data</w:t>
            </w:r>
          </w:p>
        </w:tc>
      </w:tr>
      <w:tr w:rsidR="007E7629">
        <w:trPr>
          <w:trHeight w:val="511"/>
          <w:jc w:val="center"/>
        </w:trPr>
        <w:tc>
          <w:tcPr>
            <w:tcW w:w="10487" w:type="dxa"/>
            <w:gridSpan w:val="2"/>
            <w:vAlign w:val="center"/>
          </w:tcPr>
          <w:p w:rsidR="007E7629" w:rsidRDefault="003E360F">
            <w:pPr>
              <w:numPr>
                <w:ilvl w:val="0"/>
                <w:numId w:val="6"/>
              </w:numPr>
              <w:pBdr>
                <w:top w:val="nil"/>
                <w:left w:val="nil"/>
                <w:bottom w:val="nil"/>
                <w:right w:val="nil"/>
                <w:between w:val="nil"/>
              </w:pBdr>
              <w:shd w:val="clear" w:color="auto" w:fill="auto"/>
              <w:spacing w:line="240" w:lineRule="auto"/>
              <w:jc w:val="center"/>
              <w:rPr>
                <w:b/>
                <w:bCs/>
                <w:color w:val="4EA72E"/>
                <w:sz w:val="22"/>
                <w:szCs w:val="22"/>
              </w:rPr>
            </w:pPr>
            <w:r>
              <w:rPr>
                <w:rFonts w:ascii="Arial" w:eastAsia="Arial" w:hAnsi="Arial" w:cs="Arial"/>
                <w:color w:val="4EA72E"/>
                <w:sz w:val="22"/>
                <w:szCs w:val="22"/>
              </w:rPr>
              <w:t>Provide an explanation of the existing data sources that will be used by the research project (if applicable).</w:t>
            </w:r>
          </w:p>
          <w:p w:rsidR="007E7629" w:rsidRDefault="003E360F">
            <w:pPr>
              <w:numPr>
                <w:ilvl w:val="0"/>
                <w:numId w:val="6"/>
              </w:numPr>
              <w:pBdr>
                <w:top w:val="nil"/>
                <w:left w:val="nil"/>
                <w:bottom w:val="nil"/>
                <w:right w:val="nil"/>
                <w:between w:val="nil"/>
              </w:pBdr>
              <w:shd w:val="clear" w:color="auto" w:fill="auto"/>
              <w:spacing w:line="240" w:lineRule="auto"/>
              <w:jc w:val="center"/>
              <w:rPr>
                <w:b/>
                <w:bCs/>
                <w:color w:val="4EA72E"/>
                <w:sz w:val="22"/>
                <w:szCs w:val="22"/>
              </w:rPr>
            </w:pPr>
            <w:r>
              <w:rPr>
                <w:rFonts w:ascii="Arial" w:eastAsia="Arial" w:hAnsi="Arial" w:cs="Arial"/>
                <w:color w:val="4EA72E"/>
                <w:sz w:val="22"/>
                <w:szCs w:val="22"/>
              </w:rPr>
              <w:t>Provide an analysis of the gaps identified between the currently available and required data for the research.</w:t>
            </w:r>
          </w:p>
          <w:p w:rsidR="007E7629" w:rsidRDefault="007E7629">
            <w:pPr>
              <w:jc w:val="center"/>
              <w:rPr>
                <w:rFonts w:ascii="Arial" w:eastAsia="Arial" w:hAnsi="Arial" w:cs="Arial"/>
                <w:sz w:val="22"/>
                <w:szCs w:val="22"/>
              </w:rPr>
            </w:pPr>
          </w:p>
        </w:tc>
      </w:tr>
      <w:tr w:rsidR="007E7629">
        <w:trPr>
          <w:trHeight w:val="511"/>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Management and curation of data</w:t>
            </w:r>
          </w:p>
        </w:tc>
      </w:tr>
      <w:tr w:rsidR="007E7629">
        <w:trPr>
          <w:trHeight w:val="516"/>
          <w:jc w:val="center"/>
        </w:trPr>
        <w:tc>
          <w:tcPr>
            <w:tcW w:w="10487" w:type="dxa"/>
            <w:gridSpan w:val="2"/>
            <w:vAlign w:val="center"/>
          </w:tcPr>
          <w:p w:rsidR="007E7629" w:rsidRDefault="003E360F">
            <w:pPr>
              <w:numPr>
                <w:ilvl w:val="0"/>
                <w:numId w:val="7"/>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Outline your plans for preparing, organising and documenting data.</w:t>
            </w:r>
          </w:p>
          <w:p w:rsidR="007E7629" w:rsidRDefault="007E7629">
            <w:pPr>
              <w:jc w:val="center"/>
              <w:rPr>
                <w:rFonts w:ascii="Arial" w:eastAsia="Arial" w:hAnsi="Arial" w:cs="Arial"/>
                <w:sz w:val="22"/>
                <w:szCs w:val="22"/>
              </w:rPr>
            </w:pPr>
          </w:p>
        </w:tc>
      </w:tr>
      <w:tr w:rsidR="007E7629">
        <w:trPr>
          <w:trHeight w:val="516"/>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Quality assurance of data</w:t>
            </w:r>
          </w:p>
        </w:tc>
      </w:tr>
      <w:tr w:rsidR="007E7629">
        <w:trPr>
          <w:trHeight w:val="769"/>
          <w:jc w:val="center"/>
        </w:trPr>
        <w:tc>
          <w:tcPr>
            <w:tcW w:w="10487" w:type="dxa"/>
            <w:gridSpan w:val="2"/>
            <w:vAlign w:val="center"/>
          </w:tcPr>
          <w:p w:rsidR="007E7629" w:rsidRDefault="003E360F">
            <w:pPr>
              <w:numPr>
                <w:ilvl w:val="0"/>
                <w:numId w:val="7"/>
              </w:numPr>
              <w:pBdr>
                <w:top w:val="nil"/>
                <w:left w:val="nil"/>
                <w:bottom w:val="nil"/>
                <w:right w:val="nil"/>
                <w:between w:val="nil"/>
              </w:pBdr>
              <w:shd w:val="clear" w:color="auto" w:fill="auto"/>
              <w:spacing w:line="240" w:lineRule="auto"/>
              <w:jc w:val="center"/>
              <w:rPr>
                <w:b/>
                <w:bCs/>
                <w:color w:val="4EA72E"/>
                <w:sz w:val="22"/>
                <w:szCs w:val="22"/>
              </w:rPr>
            </w:pPr>
            <w:r>
              <w:rPr>
                <w:rFonts w:ascii="Arial" w:eastAsia="Arial" w:hAnsi="Arial" w:cs="Arial"/>
                <w:color w:val="4EA72E"/>
                <w:sz w:val="22"/>
                <w:szCs w:val="22"/>
              </w:rPr>
              <w:t>Describe the procedures for quality assurance that will be carried out on the data collected at the time of data collection, data entry, digitisation and data checking.</w:t>
            </w:r>
          </w:p>
          <w:p w:rsidR="007E7629" w:rsidRDefault="007E7629">
            <w:pPr>
              <w:jc w:val="center"/>
              <w:rPr>
                <w:rFonts w:ascii="Arial" w:eastAsia="Arial" w:hAnsi="Arial" w:cs="Arial"/>
                <w:sz w:val="22"/>
                <w:szCs w:val="22"/>
              </w:rPr>
            </w:pPr>
          </w:p>
        </w:tc>
      </w:tr>
      <w:tr w:rsidR="007E7629">
        <w:trPr>
          <w:trHeight w:val="536"/>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Short-term data storage</w:t>
            </w:r>
          </w:p>
        </w:tc>
      </w:tr>
      <w:tr w:rsidR="007E7629">
        <w:trPr>
          <w:trHeight w:val="1065"/>
          <w:jc w:val="center"/>
        </w:trPr>
        <w:tc>
          <w:tcPr>
            <w:tcW w:w="10487" w:type="dxa"/>
            <w:gridSpan w:val="2"/>
            <w:vAlign w:val="center"/>
          </w:tcPr>
          <w:p w:rsidR="007E7629" w:rsidRDefault="003E360F">
            <w:pPr>
              <w:numPr>
                <w:ilvl w:val="0"/>
                <w:numId w:val="7"/>
              </w:numPr>
              <w:pBdr>
                <w:top w:val="nil"/>
                <w:left w:val="nil"/>
                <w:bottom w:val="nil"/>
                <w:right w:val="nil"/>
                <w:between w:val="nil"/>
              </w:pBdr>
              <w:shd w:val="clear" w:color="auto" w:fill="auto"/>
              <w:spacing w:line="240" w:lineRule="auto"/>
              <w:jc w:val="center"/>
              <w:rPr>
                <w:b/>
                <w:bCs/>
                <w:color w:val="4EA72E"/>
                <w:sz w:val="22"/>
                <w:szCs w:val="22"/>
              </w:rPr>
            </w:pPr>
            <w:r>
              <w:rPr>
                <w:rFonts w:ascii="Arial" w:eastAsia="Arial" w:hAnsi="Arial" w:cs="Arial"/>
                <w:color w:val="4EA72E"/>
                <w:sz w:val="22"/>
                <w:szCs w:val="22"/>
              </w:rPr>
              <w:t>How will the data be stored in the short term during the research.</w:t>
            </w:r>
          </w:p>
          <w:p w:rsidR="007E7629" w:rsidRDefault="003E360F">
            <w:pPr>
              <w:numPr>
                <w:ilvl w:val="0"/>
                <w:numId w:val="7"/>
              </w:numPr>
              <w:pBdr>
                <w:top w:val="nil"/>
                <w:left w:val="nil"/>
                <w:bottom w:val="nil"/>
                <w:right w:val="nil"/>
                <w:between w:val="nil"/>
              </w:pBdr>
              <w:shd w:val="clear" w:color="auto" w:fill="auto"/>
              <w:spacing w:line="240" w:lineRule="auto"/>
              <w:jc w:val="center"/>
              <w:rPr>
                <w:b/>
                <w:bCs/>
                <w:color w:val="4EA72E"/>
                <w:sz w:val="22"/>
                <w:szCs w:val="22"/>
              </w:rPr>
            </w:pPr>
            <w:r>
              <w:rPr>
                <w:rFonts w:ascii="Arial" w:eastAsia="Arial" w:hAnsi="Arial" w:cs="Arial"/>
                <w:color w:val="4EA72E"/>
                <w:sz w:val="22"/>
                <w:szCs w:val="22"/>
              </w:rPr>
              <w:t>Describe the data access, security and backup procedures you will adopt to ensure the data and metadata are securely stored during the lifetime of the project.</w:t>
            </w:r>
          </w:p>
          <w:p w:rsidR="007E7629" w:rsidRDefault="007E7629">
            <w:pPr>
              <w:jc w:val="center"/>
              <w:rPr>
                <w:rFonts w:ascii="Arial" w:eastAsia="Arial" w:hAnsi="Arial" w:cs="Arial"/>
                <w:sz w:val="22"/>
                <w:szCs w:val="22"/>
              </w:rPr>
            </w:pPr>
          </w:p>
        </w:tc>
      </w:tr>
      <w:tr w:rsidR="007E7629">
        <w:trPr>
          <w:trHeight w:val="474"/>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Long-term data storage and preservation</w:t>
            </w:r>
          </w:p>
        </w:tc>
      </w:tr>
      <w:tr w:rsidR="007E7629">
        <w:trPr>
          <w:trHeight w:val="769"/>
          <w:jc w:val="center"/>
        </w:trPr>
        <w:tc>
          <w:tcPr>
            <w:tcW w:w="10487" w:type="dxa"/>
            <w:gridSpan w:val="2"/>
            <w:vAlign w:val="center"/>
          </w:tcPr>
          <w:p w:rsidR="007E7629" w:rsidRDefault="003E360F">
            <w:pPr>
              <w:numPr>
                <w:ilvl w:val="0"/>
                <w:numId w:val="7"/>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Which data are of long-term value and should be retained, shared, and/or preserved?</w:t>
            </w:r>
          </w:p>
          <w:p w:rsidR="007E7629" w:rsidRDefault="003E360F">
            <w:pPr>
              <w:numPr>
                <w:ilvl w:val="0"/>
                <w:numId w:val="7"/>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How the data will be stored in the long term?</w:t>
            </w:r>
          </w:p>
          <w:p w:rsidR="007E7629" w:rsidRDefault="003E360F">
            <w:pPr>
              <w:numPr>
                <w:ilvl w:val="0"/>
                <w:numId w:val="7"/>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Are the plans for preparing and documenting data for sharing and archiving with an external data repository (e.g. the UK Data Service) or the UWTSD data repository?</w:t>
            </w:r>
          </w:p>
          <w:p w:rsidR="007E7629" w:rsidRDefault="003E360F">
            <w:pPr>
              <w:numPr>
                <w:ilvl w:val="0"/>
                <w:numId w:val="7"/>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How long will it be stored for and why?</w:t>
            </w:r>
          </w:p>
          <w:p w:rsidR="007E7629" w:rsidRDefault="007E7629">
            <w:pPr>
              <w:jc w:val="center"/>
              <w:rPr>
                <w:rFonts w:ascii="Arial" w:eastAsia="Arial" w:hAnsi="Arial" w:cs="Arial"/>
                <w:sz w:val="22"/>
                <w:szCs w:val="22"/>
              </w:rPr>
            </w:pPr>
          </w:p>
        </w:tc>
      </w:tr>
      <w:tr w:rsidR="007E7629">
        <w:trPr>
          <w:trHeight w:val="503"/>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Documentation and metadata</w:t>
            </w:r>
          </w:p>
        </w:tc>
      </w:tr>
      <w:tr w:rsidR="007E7629">
        <w:trPr>
          <w:trHeight w:val="983"/>
          <w:jc w:val="center"/>
        </w:trPr>
        <w:tc>
          <w:tcPr>
            <w:tcW w:w="10487" w:type="dxa"/>
            <w:gridSpan w:val="2"/>
            <w:vAlign w:val="center"/>
          </w:tcPr>
          <w:p w:rsidR="007E7629" w:rsidRDefault="003E360F">
            <w:pPr>
              <w:numPr>
                <w:ilvl w:val="0"/>
                <w:numId w:val="13"/>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What documentation and metadata will accompany the data?</w:t>
            </w:r>
          </w:p>
          <w:p w:rsidR="007E7629" w:rsidRDefault="003E360F">
            <w:pPr>
              <w:numPr>
                <w:ilvl w:val="0"/>
                <w:numId w:val="13"/>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How will the data be documented during research to provide high quality contextual information and/or structured metadata for secondary users?</w:t>
            </w:r>
          </w:p>
          <w:p w:rsidR="007E7629" w:rsidRDefault="007E7629">
            <w:pPr>
              <w:jc w:val="center"/>
              <w:rPr>
                <w:rFonts w:ascii="Arial" w:eastAsia="Arial" w:hAnsi="Arial" w:cs="Arial"/>
                <w:sz w:val="22"/>
                <w:szCs w:val="22"/>
              </w:rPr>
            </w:pPr>
          </w:p>
        </w:tc>
      </w:tr>
      <w:tr w:rsidR="007E7629">
        <w:trPr>
          <w:trHeight w:val="552"/>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Data sharing</w:t>
            </w:r>
          </w:p>
        </w:tc>
      </w:tr>
      <w:tr w:rsidR="007E7629">
        <w:trPr>
          <w:trHeight w:val="1172"/>
          <w:jc w:val="center"/>
        </w:trPr>
        <w:tc>
          <w:tcPr>
            <w:tcW w:w="10487" w:type="dxa"/>
            <w:gridSpan w:val="2"/>
            <w:vAlign w:val="center"/>
          </w:tcPr>
          <w:p w:rsidR="007E7629" w:rsidRDefault="003E360F">
            <w:pPr>
              <w:numPr>
                <w:ilvl w:val="0"/>
                <w:numId w:val="14"/>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If you plan to share your research data explain how it will be shared and the value it will have to others</w:t>
            </w:r>
          </w:p>
          <w:p w:rsidR="007E7629" w:rsidRDefault="003E360F">
            <w:pPr>
              <w:numPr>
                <w:ilvl w:val="0"/>
                <w:numId w:val="14"/>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If you are planning to share the data, please advise when you will be releasing it.</w:t>
            </w:r>
          </w:p>
          <w:p w:rsidR="007E7629" w:rsidRDefault="003E360F">
            <w:pPr>
              <w:numPr>
                <w:ilvl w:val="0"/>
                <w:numId w:val="14"/>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Are any restrictions on data sharing required?</w:t>
            </w:r>
          </w:p>
          <w:p w:rsidR="007E7629" w:rsidRDefault="003E360F">
            <w:pPr>
              <w:numPr>
                <w:ilvl w:val="0"/>
                <w:numId w:val="14"/>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Identify any potential obstacles to sharing your data, explain which and the possible measures you can apply to overcome these</w:t>
            </w:r>
          </w:p>
          <w:p w:rsidR="007E7629" w:rsidRDefault="003E360F">
            <w:pPr>
              <w:numPr>
                <w:ilvl w:val="0"/>
                <w:numId w:val="14"/>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If the data will have value to different audiences, how these groups will be informed?</w:t>
            </w:r>
          </w:p>
          <w:p w:rsidR="007E7629" w:rsidRDefault="003E360F">
            <w:pPr>
              <w:numPr>
                <w:ilvl w:val="0"/>
                <w:numId w:val="14"/>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Will the data need to be updated? Include future plans for updating if this is the case.</w:t>
            </w:r>
          </w:p>
          <w:p w:rsidR="007E7629" w:rsidRDefault="003E360F">
            <w:pPr>
              <w:numPr>
                <w:ilvl w:val="0"/>
                <w:numId w:val="14"/>
              </w:numPr>
              <w:pBdr>
                <w:top w:val="nil"/>
                <w:left w:val="nil"/>
                <w:bottom w:val="nil"/>
                <w:right w:val="nil"/>
                <w:between w:val="nil"/>
              </w:pBdr>
              <w:shd w:val="clear" w:color="auto" w:fill="auto"/>
              <w:spacing w:line="240" w:lineRule="auto"/>
              <w:jc w:val="center"/>
              <w:rPr>
                <w:color w:val="000000"/>
                <w:sz w:val="22"/>
                <w:szCs w:val="22"/>
              </w:rPr>
            </w:pPr>
            <w:r>
              <w:rPr>
                <w:rFonts w:ascii="Arial" w:eastAsia="Arial" w:hAnsi="Arial" w:cs="Arial"/>
                <w:color w:val="4EA72E"/>
                <w:sz w:val="22"/>
                <w:szCs w:val="22"/>
              </w:rPr>
              <w:t>Will the data be open or will you charge for it? Justify if charging to access the data.</w:t>
            </w:r>
          </w:p>
        </w:tc>
      </w:tr>
      <w:tr w:rsidR="007E7629">
        <w:trPr>
          <w:trHeight w:val="680"/>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10</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Copyright and intellectual property ownership</w:t>
            </w:r>
          </w:p>
        </w:tc>
      </w:tr>
      <w:tr w:rsidR="007E7629">
        <w:trPr>
          <w:trHeight w:val="769"/>
          <w:jc w:val="center"/>
        </w:trPr>
        <w:tc>
          <w:tcPr>
            <w:tcW w:w="10487" w:type="dxa"/>
            <w:gridSpan w:val="2"/>
            <w:vAlign w:val="center"/>
          </w:tcPr>
          <w:p w:rsidR="007E7629" w:rsidRDefault="003E360F">
            <w:pPr>
              <w:numPr>
                <w:ilvl w:val="0"/>
                <w:numId w:val="15"/>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Who will own the copyright and Intellectual Property Rights (IPR) of any new data that you will generate?</w:t>
            </w:r>
          </w:p>
          <w:p w:rsidR="007E7629" w:rsidRDefault="007E7629">
            <w:pPr>
              <w:jc w:val="center"/>
              <w:rPr>
                <w:rFonts w:ascii="Arial" w:eastAsia="Arial" w:hAnsi="Arial" w:cs="Arial"/>
                <w:sz w:val="22"/>
                <w:szCs w:val="22"/>
              </w:rPr>
            </w:pPr>
          </w:p>
        </w:tc>
      </w:tr>
      <w:tr w:rsidR="007E7629">
        <w:trPr>
          <w:trHeight w:val="546"/>
          <w:jc w:val="center"/>
        </w:trPr>
        <w:tc>
          <w:tcPr>
            <w:tcW w:w="564"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Resources</w:t>
            </w:r>
          </w:p>
        </w:tc>
      </w:tr>
      <w:tr w:rsidR="007E7629">
        <w:trPr>
          <w:trHeight w:val="1280"/>
          <w:jc w:val="center"/>
        </w:trPr>
        <w:tc>
          <w:tcPr>
            <w:tcW w:w="10487" w:type="dxa"/>
            <w:gridSpan w:val="2"/>
            <w:vAlign w:val="center"/>
          </w:tcPr>
          <w:p w:rsidR="007E7629" w:rsidRDefault="003E360F">
            <w:pPr>
              <w:numPr>
                <w:ilvl w:val="0"/>
                <w:numId w:val="15"/>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What resources will you require to deliver your plan?</w:t>
            </w:r>
          </w:p>
          <w:p w:rsidR="007E7629" w:rsidRDefault="003E360F">
            <w:pPr>
              <w:numPr>
                <w:ilvl w:val="0"/>
                <w:numId w:val="15"/>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Costs of storage – why are these appropriate?</w:t>
            </w:r>
          </w:p>
          <w:p w:rsidR="007E7629" w:rsidRDefault="003E360F">
            <w:pPr>
              <w:numPr>
                <w:ilvl w:val="0"/>
                <w:numId w:val="15"/>
              </w:numPr>
              <w:pBdr>
                <w:top w:val="nil"/>
                <w:left w:val="nil"/>
                <w:bottom w:val="nil"/>
                <w:right w:val="nil"/>
                <w:between w:val="nil"/>
              </w:pBdr>
              <w:shd w:val="clear" w:color="auto" w:fill="auto"/>
              <w:spacing w:line="240" w:lineRule="auto"/>
              <w:jc w:val="center"/>
              <w:rPr>
                <w:color w:val="4EA72E"/>
                <w:sz w:val="22"/>
                <w:szCs w:val="22"/>
              </w:rPr>
            </w:pPr>
            <w:r>
              <w:rPr>
                <w:rFonts w:ascii="Arial" w:eastAsia="Arial" w:hAnsi="Arial" w:cs="Arial"/>
                <w:color w:val="4EA72E"/>
                <w:sz w:val="22"/>
                <w:szCs w:val="22"/>
              </w:rPr>
              <w:t>How will these be met? (costs related to long term storage will be normally permitted by funders providing these are fully justified and relate to the project)</w:t>
            </w:r>
          </w:p>
          <w:p w:rsidR="007E7629" w:rsidRDefault="007E7629">
            <w:pPr>
              <w:jc w:val="center"/>
              <w:rPr>
                <w:rFonts w:ascii="Arial" w:eastAsia="Arial" w:hAnsi="Arial" w:cs="Arial"/>
                <w:sz w:val="22"/>
                <w:szCs w:val="22"/>
              </w:rPr>
            </w:pPr>
          </w:p>
        </w:tc>
      </w:tr>
    </w:tbl>
    <w:p w:rsidR="007E7629" w:rsidRDefault="007E7629">
      <w:pPr>
        <w:spacing w:after="240"/>
        <w:jc w:val="center"/>
        <w:rPr>
          <w:rFonts w:ascii="Arial" w:eastAsia="Arial" w:hAnsi="Arial" w:cs="Arial"/>
          <w:b/>
          <w:bCs/>
          <w:sz w:val="22"/>
          <w:szCs w:val="22"/>
        </w:rPr>
      </w:pPr>
    </w:p>
    <w:p w:rsidR="007E7629" w:rsidRDefault="003E360F">
      <w:pPr>
        <w:jc w:val="center"/>
        <w:rPr>
          <w:rFonts w:ascii="Arial" w:eastAsia="Arial" w:hAnsi="Arial" w:cs="Arial"/>
          <w:b/>
          <w:bCs/>
          <w:sz w:val="22"/>
          <w:szCs w:val="22"/>
        </w:rPr>
      </w:pPr>
      <w:r>
        <w:rPr>
          <w:rFonts w:ascii="Arial" w:eastAsia="Arial" w:hAnsi="Arial" w:cs="Arial"/>
          <w:b/>
          <w:bCs/>
          <w:sz w:val="22"/>
          <w:szCs w:val="22"/>
        </w:rPr>
        <w:t>SECTION Q: Risk Assessment</w:t>
      </w:r>
    </w:p>
    <w:p w:rsidR="007E7629" w:rsidRDefault="007E7629">
      <w:pPr>
        <w:jc w:val="center"/>
        <w:rPr>
          <w:rFonts w:ascii="Arial" w:eastAsia="Arial" w:hAnsi="Arial" w:cs="Arial"/>
          <w:b/>
          <w:bCs/>
          <w:sz w:val="22"/>
          <w:szCs w:val="22"/>
        </w:rPr>
      </w:pPr>
    </w:p>
    <w:tbl>
      <w:tblPr>
        <w:tblStyle w:val="aff2"/>
        <w:tblW w:w="1037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7E7629">
        <w:trPr>
          <w:jc w:val="center"/>
        </w:trPr>
        <w:tc>
          <w:tcPr>
            <w:tcW w:w="10374" w:type="dxa"/>
            <w:gridSpan w:val="5"/>
            <w:shd w:val="clear" w:color="auto" w:fill="C1E4F5"/>
          </w:tcPr>
          <w:p w:rsidR="007E7629" w:rsidRDefault="003E360F">
            <w:pPr>
              <w:jc w:val="center"/>
              <w:rPr>
                <w:rFonts w:ascii="Arial" w:eastAsia="Arial" w:hAnsi="Arial" w:cs="Arial"/>
                <w:sz w:val="22"/>
                <w:szCs w:val="22"/>
              </w:rPr>
            </w:pPr>
            <w:r>
              <w:rPr>
                <w:rFonts w:ascii="Arial" w:eastAsia="Arial" w:hAnsi="Arial" w:cs="Arial"/>
                <w:sz w:val="22"/>
                <w:szCs w:val="22"/>
              </w:rPr>
              <w:t>Outline any anticipated risks that may adversely affect any of the participants, the researchers and/or the University, and the steps that will be taken to address them.</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p>
        </w:tc>
      </w:tr>
      <w:tr w:rsidR="007E7629">
        <w:trPr>
          <w:jc w:val="center"/>
        </w:trPr>
        <w:tc>
          <w:tcPr>
            <w:tcW w:w="520" w:type="dxa"/>
            <w:vMerge w:val="restart"/>
            <w:shd w:val="clear" w:color="auto" w:fill="F2F2F2"/>
            <w:vAlign w:val="center"/>
          </w:tcPr>
          <w:p w:rsidR="007E7629" w:rsidRDefault="003E360F">
            <w:pPr>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Full risk assessment completed and appended?</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rPr>
            </w:pPr>
            <w:r>
              <w:rPr>
                <w:rFonts w:ascii="Arial" w:eastAsia="Arial" w:hAnsi="Arial" w:cs="Arial"/>
                <w:b/>
                <w:bCs/>
                <w:sz w:val="22"/>
                <w:szCs w:val="22"/>
              </w:rPr>
              <w:t>NO</w:t>
            </w:r>
          </w:p>
        </w:tc>
      </w:tr>
      <w:tr w:rsidR="007E7629">
        <w:trPr>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rPr>
            </w:pPr>
          </w:p>
        </w:tc>
        <w:tc>
          <w:tcPr>
            <w:tcW w:w="8316" w:type="dxa"/>
            <w:gridSpan w:val="2"/>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b/>
                <w:bCs/>
              </w:rPr>
            </w:pPr>
            <w:sdt>
              <w:sdtPr>
                <w:tag w:val="goog_rdk_61"/>
                <w:id w:val="-93012922"/>
              </w:sdtPr>
              <w:sdtEndPr/>
              <w:sdtContent>
                <w:r w:rsidR="003E360F">
                  <w:rPr>
                    <w:rFonts w:ascii="Arial Unicode MS" w:eastAsia="Arial Unicode MS" w:hAnsi="Arial Unicode MS" w:cs="Arial Unicode MS"/>
                    <w:b/>
                    <w:bCs/>
                    <w:sz w:val="22"/>
                    <w:szCs w:val="22"/>
                  </w:rPr>
                  <w:t xml:space="preserve">✓ </w:t>
                </w:r>
              </w:sdtContent>
            </w:sdt>
          </w:p>
        </w:tc>
      </w:tr>
      <w:tr w:rsidR="007E7629">
        <w:trPr>
          <w:jc w:val="center"/>
        </w:trPr>
        <w:tc>
          <w:tcPr>
            <w:tcW w:w="10374" w:type="dxa"/>
            <w:gridSpan w:val="5"/>
            <w:shd w:val="clear" w:color="auto" w:fill="F2F2F2"/>
          </w:tcPr>
          <w:p w:rsidR="007E7629" w:rsidRDefault="003E360F">
            <w:pPr>
              <w:jc w:val="center"/>
              <w:rPr>
                <w:rFonts w:ascii="Arial" w:eastAsia="Arial" w:hAnsi="Arial" w:cs="Arial"/>
                <w:b/>
                <w:bCs/>
                <w:color w:val="002060"/>
                <w:sz w:val="22"/>
                <w:szCs w:val="22"/>
              </w:rPr>
            </w:pPr>
            <w:r>
              <w:rPr>
                <w:rFonts w:ascii="Arial" w:eastAsia="Arial" w:hAnsi="Arial" w:cs="Arial"/>
                <w:b/>
                <w:bCs/>
                <w:sz w:val="22"/>
                <w:szCs w:val="22"/>
              </w:rPr>
              <w:t>Risks to participants, researchers, and the University</w:t>
            </w:r>
          </w:p>
        </w:tc>
      </w:tr>
      <w:tr w:rsidR="007E7629">
        <w:trPr>
          <w:trHeight w:val="23"/>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rsidR="007E7629" w:rsidRDefault="003E360F">
            <w:pPr>
              <w:jc w:val="center"/>
              <w:rPr>
                <w:rFonts w:ascii="Arial" w:eastAsia="Arial" w:hAnsi="Arial" w:cs="Arial"/>
                <w:i/>
                <w:iCs/>
                <w:sz w:val="22"/>
                <w:szCs w:val="22"/>
              </w:rPr>
            </w:pPr>
            <w:r>
              <w:rPr>
                <w:rFonts w:ascii="Arial" w:eastAsia="Arial" w:hAnsi="Arial" w:cs="Arial"/>
                <w:b/>
                <w:bCs/>
                <w:sz w:val="22"/>
                <w:szCs w:val="22"/>
              </w:rPr>
              <w:t xml:space="preserve">Social risks: </w:t>
            </w:r>
            <w:r>
              <w:rPr>
                <w:rFonts w:ascii="Arial" w:eastAsia="Arial" w:hAnsi="Arial" w:cs="Arial"/>
                <w:i/>
                <w:iCs/>
                <w:sz w:val="22"/>
                <w:szCs w:val="22"/>
              </w:rPr>
              <w:t>disclosures that could affect participants standing in the community, in their family and their job.</w:t>
            </w:r>
          </w:p>
        </w:tc>
        <w:tc>
          <w:tcPr>
            <w:tcW w:w="852" w:type="dxa"/>
            <w:shd w:val="clear" w:color="auto" w:fill="D9D9D9"/>
            <w:vAlign w:val="center"/>
          </w:tcPr>
          <w:p w:rsidR="007E7629" w:rsidRDefault="003E360F">
            <w:pPr>
              <w:jc w:val="center"/>
              <w:rPr>
                <w:rFonts w:ascii="Arial" w:eastAsia="Arial" w:hAnsi="Arial" w:cs="Arial"/>
                <w:i/>
                <w:i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i/>
                <w:iCs/>
                <w:sz w:val="22"/>
                <w:szCs w:val="22"/>
              </w:rPr>
            </w:pPr>
            <w:r>
              <w:rPr>
                <w:rFonts w:ascii="Arial" w:eastAsia="Arial" w:hAnsi="Arial" w:cs="Arial"/>
                <w:b/>
                <w:bCs/>
                <w:sz w:val="22"/>
                <w:szCs w:val="22"/>
              </w:rPr>
              <w:t>NO</w:t>
            </w:r>
          </w:p>
        </w:tc>
      </w:tr>
      <w:tr w:rsidR="007E7629">
        <w:trPr>
          <w:trHeight w:val="22"/>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i/>
                <w:i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i/>
                <w:iCs/>
                <w:sz w:val="22"/>
                <w:szCs w:val="22"/>
              </w:rPr>
            </w:pPr>
          </w:p>
        </w:tc>
        <w:tc>
          <w:tcPr>
            <w:tcW w:w="852" w:type="dxa"/>
            <w:shd w:val="clear" w:color="auto" w:fill="D9D9D9"/>
            <w:vAlign w:val="center"/>
          </w:tcPr>
          <w:p w:rsidR="007E7629" w:rsidRDefault="003E360F">
            <w:pPr>
              <w:jc w:val="center"/>
              <w:rPr>
                <w:rFonts w:ascii="Arial" w:eastAsia="Arial" w:hAnsi="Arial" w:cs="Arial"/>
                <w:i/>
                <w:iCs/>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b/>
                <w:bCs/>
                <w:i/>
                <w:iCs/>
                <w:sz w:val="22"/>
                <w:szCs w:val="22"/>
              </w:rPr>
            </w:pPr>
            <w:sdt>
              <w:sdtPr>
                <w:tag w:val="goog_rdk_62"/>
                <w:id w:val="-1147773695"/>
              </w:sdtPr>
              <w:sdtEndPr/>
              <w:sdtContent>
                <w:r w:rsidR="003E360F">
                  <w:rPr>
                    <w:rFonts w:ascii="Arial Unicode MS" w:eastAsia="Arial Unicode MS" w:hAnsi="Arial Unicode MS" w:cs="Arial Unicode MS"/>
                    <w:b/>
                    <w:bCs/>
                    <w:sz w:val="22"/>
                    <w:szCs w:val="22"/>
                  </w:rPr>
                  <w:t xml:space="preserve">✓ </w:t>
                </w:r>
              </w:sdtContent>
            </w:sdt>
          </w:p>
        </w:tc>
      </w:tr>
      <w:tr w:rsidR="007E7629">
        <w:trPr>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7E7629">
            <w:pPr>
              <w:jc w:val="center"/>
              <w:rPr>
                <w:rFonts w:ascii="Arial" w:eastAsia="Arial" w:hAnsi="Arial" w:cs="Arial"/>
                <w:i/>
                <w:iCs/>
                <w:sz w:val="22"/>
                <w:szCs w:val="22"/>
              </w:rPr>
            </w:pPr>
          </w:p>
          <w:p w:rsidR="007E7629" w:rsidRDefault="003E360F">
            <w:pPr>
              <w:jc w:val="center"/>
              <w:rPr>
                <w:rFonts w:ascii="Arial" w:eastAsia="Arial" w:hAnsi="Arial" w:cs="Arial"/>
                <w:i/>
                <w:iCs/>
                <w:color w:val="4EA72E"/>
                <w:sz w:val="22"/>
                <w:szCs w:val="22"/>
              </w:rPr>
            </w:pPr>
            <w:r>
              <w:rPr>
                <w:rFonts w:ascii="Arial" w:eastAsia="Arial" w:hAnsi="Arial" w:cs="Arial"/>
                <w:i/>
                <w:iCs/>
                <w:color w:val="4EA72E"/>
                <w:sz w:val="22"/>
                <w:szCs w:val="22"/>
              </w:rPr>
              <w:t>Below you will find examples to help you consider these sections, but these are just pointers. Many of the risks will not be noted here, and much will depend on the specifics of your research project.</w:t>
            </w:r>
          </w:p>
          <w:p w:rsidR="007E7629" w:rsidRDefault="007E7629">
            <w:pPr>
              <w:jc w:val="center"/>
              <w:rPr>
                <w:rFonts w:ascii="Arial" w:eastAsia="Arial" w:hAnsi="Arial" w:cs="Arial"/>
                <w:b/>
                <w:bCs/>
                <w:i/>
                <w:iCs/>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1:</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i/>
                <w:iCs/>
                <w:color w:val="4EA72E"/>
                <w:sz w:val="22"/>
                <w:szCs w:val="22"/>
              </w:rPr>
            </w:pPr>
            <w:r>
              <w:rPr>
                <w:rFonts w:ascii="Arial" w:eastAsia="Arial" w:hAnsi="Arial" w:cs="Arial"/>
                <w:color w:val="4EA72E"/>
                <w:sz w:val="22"/>
                <w:szCs w:val="22"/>
              </w:rPr>
              <w:t>Participants may fear that their responses could affect their employment, promotion or workplace relationships if disclosed</w:t>
            </w:r>
            <w:r>
              <w:rPr>
                <w:rFonts w:ascii="Arial" w:eastAsia="Arial" w:hAnsi="Arial" w:cs="Arial"/>
                <w:i/>
                <w:iCs/>
                <w:color w:val="4EA72E"/>
                <w:sz w:val="22"/>
                <w:szCs w:val="22"/>
              </w:rPr>
              <w:t>.</w:t>
            </w:r>
          </w:p>
          <w:p w:rsidR="007E7629" w:rsidRDefault="007E7629">
            <w:pPr>
              <w:jc w:val="center"/>
              <w:rPr>
                <w:rFonts w:ascii="Arial" w:eastAsia="Arial" w:hAnsi="Arial" w:cs="Arial"/>
                <w:b/>
                <w:bCs/>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2:</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Power dynamics or perceived coercion if the researcher holds a position of authority (example, manager or senior colleague), and participants may feel pressured to take part.</w:t>
            </w:r>
          </w:p>
          <w:p w:rsidR="007E7629" w:rsidRDefault="007E7629">
            <w:pPr>
              <w:jc w:val="center"/>
              <w:rPr>
                <w:rFonts w:ascii="Arial" w:eastAsia="Arial" w:hAnsi="Arial" w:cs="Arial"/>
                <w:b/>
                <w:bCs/>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3:</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Social conflicts, potential stigma, or damage to reputation or relationships if opinions become known to others.</w:t>
            </w:r>
          </w:p>
          <w:p w:rsidR="007E7629" w:rsidRDefault="007E7629">
            <w:pPr>
              <w:jc w:val="center"/>
              <w:rPr>
                <w:rFonts w:ascii="Arial" w:eastAsia="Arial" w:hAnsi="Arial" w:cs="Arial"/>
                <w:i/>
                <w:iCs/>
                <w:sz w:val="22"/>
                <w:szCs w:val="22"/>
              </w:rPr>
            </w:pPr>
          </w:p>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lastRenderedPageBreak/>
              <w:t>How will you address any risks?</w:t>
            </w:r>
          </w:p>
          <w:p w:rsidR="007E7629" w:rsidRDefault="003E360F">
            <w:pPr>
              <w:jc w:val="center"/>
              <w:rPr>
                <w:rFonts w:ascii="Arial" w:eastAsia="Arial" w:hAnsi="Arial" w:cs="Arial"/>
                <w:i/>
                <w:iCs/>
                <w:color w:val="4EA72E"/>
                <w:sz w:val="22"/>
                <w:szCs w:val="22"/>
              </w:rPr>
            </w:pPr>
            <w:r>
              <w:rPr>
                <w:rFonts w:ascii="Arial" w:eastAsia="Arial" w:hAnsi="Arial" w:cs="Arial"/>
                <w:i/>
                <w:iCs/>
                <w:color w:val="4EA72E"/>
                <w:sz w:val="22"/>
                <w:szCs w:val="22"/>
              </w:rPr>
              <w:t>Outline and explain any mitigation strategies that you will adopt to minimise the risks. Below you will find examples / pointers to help you consider these. But much will depend on the specifics of your research project.</w:t>
            </w:r>
          </w:p>
          <w:p w:rsidR="007E7629" w:rsidRDefault="007E7629">
            <w:pPr>
              <w:jc w:val="center"/>
              <w:rPr>
                <w:rFonts w:ascii="Arial" w:eastAsia="Arial" w:hAnsi="Arial" w:cs="Arial"/>
                <w:i/>
                <w:iCs/>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1:</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-All data will be de-identified and stored securely.</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-Results will be reported in anonymised form.</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 xml:space="preserve">-Can you ensure that taking part in the research or withdrawal will not impact their employment or performance evaluation? If so, include this in a </w:t>
            </w:r>
            <w:r>
              <w:rPr>
                <w:rFonts w:ascii="Arial" w:eastAsia="Arial" w:hAnsi="Arial" w:cs="Arial"/>
                <w:color w:val="4EA72E"/>
                <w:sz w:val="22"/>
                <w:szCs w:val="22"/>
              </w:rPr>
              <w:lastRenderedPageBreak/>
              <w:t>Participant Information Sheet as part of the consent process.</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2:</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-Participation will be entirely voluntary, with no penalties for declining.</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-Consent materials will explicitly state that participation is not linked to employment decisions.</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3:</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-Ensure strict confidentiality by removing identifying information from transcripts and reports.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-Store all data securely. How will do this? Explain.</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-Report findings in an anonymised form so opinions cannot be linked to participants.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-Conduct interviews in private settings.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-Remind participants that they may skip any questions they feel uncomfortable answering.</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-Obtain informed consent, making it clear how confidentiality will be maintained and the limits of that confidentiality.</w:t>
            </w:r>
          </w:p>
          <w:p w:rsidR="007E7629" w:rsidRDefault="007E7629">
            <w:pPr>
              <w:jc w:val="center"/>
              <w:rPr>
                <w:rFonts w:ascii="Arial" w:eastAsia="Arial" w:hAnsi="Arial" w:cs="Arial"/>
                <w:i/>
                <w:iCs/>
                <w:sz w:val="22"/>
                <w:szCs w:val="22"/>
              </w:rPr>
            </w:pPr>
          </w:p>
          <w:p w:rsidR="007E7629" w:rsidRDefault="007E7629">
            <w:pPr>
              <w:jc w:val="center"/>
              <w:rPr>
                <w:rFonts w:ascii="Arial" w:eastAsia="Arial" w:hAnsi="Arial" w:cs="Arial"/>
                <w:i/>
                <w:iCs/>
                <w:sz w:val="22"/>
                <w:szCs w:val="22"/>
              </w:rPr>
            </w:pPr>
          </w:p>
        </w:tc>
      </w:tr>
      <w:tr w:rsidR="007E7629">
        <w:trPr>
          <w:trHeight w:val="38"/>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3</w:t>
            </w:r>
          </w:p>
        </w:tc>
        <w:tc>
          <w:tcPr>
            <w:tcW w:w="8316" w:type="dxa"/>
            <w:gridSpan w:val="2"/>
            <w:vMerge w:val="restart"/>
            <w:shd w:val="clear" w:color="auto" w:fill="F2F2F2"/>
          </w:tcPr>
          <w:p w:rsidR="007E7629" w:rsidRDefault="003E360F">
            <w:pPr>
              <w:jc w:val="center"/>
              <w:rPr>
                <w:rFonts w:ascii="Arial" w:eastAsia="Arial" w:hAnsi="Arial" w:cs="Arial"/>
                <w:i/>
                <w:iCs/>
                <w:color w:val="808080"/>
                <w:sz w:val="18"/>
                <w:szCs w:val="18"/>
              </w:rPr>
            </w:pPr>
            <w:r>
              <w:rPr>
                <w:rFonts w:ascii="Arial" w:eastAsia="Arial" w:hAnsi="Arial" w:cs="Arial"/>
                <w:b/>
                <w:bCs/>
                <w:sz w:val="22"/>
                <w:szCs w:val="22"/>
              </w:rPr>
              <w:t xml:space="preserve">Legal risks: </w:t>
            </w:r>
            <w:r>
              <w:rPr>
                <w:rFonts w:ascii="Arial" w:eastAsia="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rsidR="007E7629" w:rsidRDefault="003E360F">
            <w:pPr>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i/>
                <w:iCs/>
                <w:color w:val="808080"/>
                <w:sz w:val="18"/>
                <w:szCs w:val="18"/>
              </w:rPr>
            </w:pPr>
            <w:r>
              <w:rPr>
                <w:rFonts w:ascii="Arial" w:eastAsia="Arial" w:hAnsi="Arial" w:cs="Arial"/>
                <w:b/>
                <w:bCs/>
                <w:sz w:val="22"/>
                <w:szCs w:val="22"/>
              </w:rPr>
              <w:t>NO</w:t>
            </w:r>
          </w:p>
        </w:tc>
      </w:tr>
      <w:tr w:rsidR="007E7629">
        <w:trPr>
          <w:trHeight w:val="37"/>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i/>
                <w:iCs/>
                <w:color w:val="808080"/>
                <w:sz w:val="18"/>
                <w:szCs w:val="18"/>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i/>
                <w:iCs/>
                <w:color w:val="808080"/>
                <w:sz w:val="18"/>
                <w:szCs w:val="18"/>
              </w:rPr>
            </w:pPr>
          </w:p>
        </w:tc>
        <w:tc>
          <w:tcPr>
            <w:tcW w:w="852" w:type="dxa"/>
            <w:shd w:val="clear" w:color="auto" w:fill="D9D9D9"/>
            <w:vAlign w:val="center"/>
          </w:tcPr>
          <w:p w:rsidR="007E7629" w:rsidRDefault="003E360F">
            <w:pPr>
              <w:jc w:val="center"/>
              <w:rPr>
                <w:rFonts w:ascii="Arial" w:eastAsia="Arial" w:hAnsi="Arial" w:cs="Arial"/>
                <w:i/>
                <w:iCs/>
                <w:color w:val="808080"/>
                <w:sz w:val="18"/>
                <w:szCs w:val="18"/>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b/>
                <w:bCs/>
                <w:i/>
                <w:iCs/>
                <w:color w:val="808080"/>
                <w:sz w:val="18"/>
                <w:szCs w:val="18"/>
              </w:rPr>
            </w:pPr>
            <w:sdt>
              <w:sdtPr>
                <w:tag w:val="goog_rdk_63"/>
                <w:id w:val="-836206694"/>
              </w:sdtPr>
              <w:sdtEndPr/>
              <w:sdtContent>
                <w:r w:rsidR="003E360F">
                  <w:rPr>
                    <w:rFonts w:ascii="Arial Unicode MS" w:eastAsia="Arial Unicode MS" w:hAnsi="Arial Unicode MS" w:cs="Arial Unicode MS"/>
                    <w:b/>
                    <w:bCs/>
                    <w:sz w:val="22"/>
                    <w:szCs w:val="22"/>
                  </w:rPr>
                  <w:t xml:space="preserve">✓ </w:t>
                </w:r>
              </w:sdtContent>
            </w:sdt>
          </w:p>
        </w:tc>
      </w:tr>
      <w:tr w:rsidR="007E7629">
        <w:trPr>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7E7629">
            <w:pPr>
              <w:jc w:val="center"/>
              <w:rPr>
                <w:rFonts w:ascii="Arial" w:eastAsia="Arial" w:hAnsi="Arial" w:cs="Arial"/>
                <w:i/>
                <w:iCs/>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1:</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Researcher or participant could inadvertently engage in activities that breach legal or institutional requirements (example, recording without consent, data misuse, or violation of privacy laws).</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b/>
                <w:bCs/>
                <w:color w:val="4EA72E"/>
                <w:sz w:val="22"/>
                <w:szCs w:val="22"/>
              </w:rPr>
              <w:t>Example 2:</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Interview content or reporting could lead to a civil claim (example, defamation, breach of privacy or emotional harm).</w:t>
            </w:r>
          </w:p>
          <w:p w:rsidR="007E7629" w:rsidRDefault="007E7629">
            <w:pPr>
              <w:jc w:val="center"/>
              <w:rPr>
                <w:rFonts w:ascii="Arial" w:eastAsia="Arial" w:hAnsi="Arial" w:cs="Arial"/>
                <w:i/>
                <w:iCs/>
                <w:sz w:val="22"/>
                <w:szCs w:val="22"/>
              </w:rPr>
            </w:pP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lastRenderedPageBreak/>
              <w:t>How will you address any risks?</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1:</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-Explain (in Participant Information Sheet and consent form) the limits of confidentiality (example, that certain disclosures, such as criminal acts or threats of harm, cannot remain confidential).</w:t>
            </w:r>
          </w:p>
          <w:p w:rsidR="007E7629" w:rsidRDefault="003E360F">
            <w:pPr>
              <w:jc w:val="center"/>
              <w:rPr>
                <w:rFonts w:ascii="Arial" w:eastAsia="Arial" w:hAnsi="Arial" w:cs="Arial"/>
                <w:color w:val="4EA72E"/>
                <w:sz w:val="22"/>
                <w:szCs w:val="22"/>
              </w:rPr>
            </w:pPr>
            <w:r>
              <w:rPr>
                <w:rFonts w:ascii="Arial" w:eastAsia="Arial" w:hAnsi="Arial" w:cs="Arial"/>
                <w:i/>
                <w:iCs/>
                <w:color w:val="4EA72E"/>
                <w:sz w:val="22"/>
                <w:szCs w:val="22"/>
              </w:rPr>
              <w:lastRenderedPageBreak/>
              <w:t>-</w:t>
            </w:r>
            <w:r>
              <w:rPr>
                <w:rFonts w:ascii="Arial" w:eastAsia="Arial" w:hAnsi="Arial" w:cs="Arial"/>
                <w:color w:val="4EA72E"/>
                <w:sz w:val="22"/>
                <w:szCs w:val="22"/>
              </w:rPr>
              <w:t>Avoid directly asking questions that would elicit illegal or incriminating information, unless explicitly approved by the ethics committee.</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-Seek guidance from the University’s ethics or legal team immediately if a disclosure occurs.</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2:</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-Written informed consent will be obtained prior to any recording or data collection.</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-All interviews will comply with data protection laws (example, GDPR).</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-Audio or written data will be stored securely on password-protected devices or encrypted drives.</w:t>
            </w:r>
          </w:p>
          <w:p w:rsidR="007E7629" w:rsidRDefault="003E360F">
            <w:pPr>
              <w:jc w:val="center"/>
              <w:rPr>
                <w:rFonts w:ascii="Arial" w:eastAsia="Arial" w:hAnsi="Arial" w:cs="Arial"/>
                <w:b/>
                <w:bCs/>
                <w:color w:val="4EA72E"/>
                <w:sz w:val="22"/>
                <w:szCs w:val="22"/>
              </w:rPr>
            </w:pPr>
            <w:r>
              <w:rPr>
                <w:rFonts w:ascii="Arial" w:eastAsia="Arial" w:hAnsi="Arial" w:cs="Arial"/>
                <w:color w:val="4EA72E"/>
                <w:sz w:val="22"/>
                <w:szCs w:val="22"/>
              </w:rPr>
              <w:t>-Access to identifiable data will be restricted to authorised research team members only</w:t>
            </w:r>
            <w:r>
              <w:rPr>
                <w:rFonts w:ascii="Arial" w:eastAsia="Arial" w:hAnsi="Arial" w:cs="Arial"/>
                <w:b/>
                <w:bCs/>
                <w:color w:val="4EA72E"/>
                <w:sz w:val="22"/>
                <w:szCs w:val="22"/>
              </w:rPr>
              <w:t>.</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-Researchers will follow University guidelines</w:t>
            </w:r>
            <w:r>
              <w:rPr>
                <w:rFonts w:ascii="Arial" w:eastAsia="Arial" w:hAnsi="Arial" w:cs="Arial"/>
                <w:b/>
                <w:bCs/>
                <w:color w:val="4EA72E"/>
                <w:sz w:val="22"/>
                <w:szCs w:val="22"/>
              </w:rPr>
              <w:t xml:space="preserve"> </w:t>
            </w:r>
            <w:r>
              <w:rPr>
                <w:rFonts w:ascii="Arial" w:eastAsia="Arial" w:hAnsi="Arial" w:cs="Arial"/>
                <w:color w:val="4EA72E"/>
                <w:sz w:val="22"/>
                <w:szCs w:val="22"/>
              </w:rPr>
              <w:t>for collecting and storing data.</w:t>
            </w:r>
          </w:p>
          <w:p w:rsidR="007E7629" w:rsidRDefault="007E7629">
            <w:pPr>
              <w:jc w:val="center"/>
              <w:rPr>
                <w:rFonts w:ascii="Arial" w:eastAsia="Arial" w:hAnsi="Arial" w:cs="Arial"/>
                <w:i/>
                <w:iCs/>
                <w:sz w:val="22"/>
                <w:szCs w:val="22"/>
              </w:rPr>
            </w:pPr>
          </w:p>
        </w:tc>
      </w:tr>
      <w:tr w:rsidR="007E7629">
        <w:trPr>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4</w:t>
            </w:r>
          </w:p>
        </w:tc>
        <w:tc>
          <w:tcPr>
            <w:tcW w:w="8316" w:type="dxa"/>
            <w:gridSpan w:val="2"/>
            <w:vMerge w:val="restart"/>
            <w:shd w:val="clear" w:color="auto" w:fill="F2F2F2"/>
          </w:tcPr>
          <w:p w:rsidR="007E7629" w:rsidRDefault="003E360F">
            <w:pPr>
              <w:jc w:val="center"/>
              <w:rPr>
                <w:rFonts w:ascii="Arial" w:eastAsia="Arial" w:hAnsi="Arial" w:cs="Arial"/>
                <w:i/>
                <w:iCs/>
                <w:color w:val="808080"/>
                <w:sz w:val="18"/>
                <w:szCs w:val="18"/>
              </w:rPr>
            </w:pPr>
            <w:r>
              <w:rPr>
                <w:rFonts w:ascii="Arial" w:eastAsia="Arial" w:hAnsi="Arial" w:cs="Arial"/>
                <w:b/>
                <w:bCs/>
                <w:sz w:val="22"/>
                <w:szCs w:val="22"/>
              </w:rPr>
              <w:t>Economic harm:</w:t>
            </w:r>
            <w:r>
              <w:rPr>
                <w:rFonts w:ascii="Arial" w:eastAsia="Arial" w:hAnsi="Arial" w:cs="Arial"/>
                <w:sz w:val="22"/>
                <w:szCs w:val="22"/>
              </w:rPr>
              <w:t xml:space="preserve"> </w:t>
            </w:r>
            <w:r>
              <w:rPr>
                <w:rFonts w:ascii="Arial" w:eastAsia="Arial" w:hAnsi="Arial" w:cs="Arial"/>
                <w:i/>
                <w:iCs/>
                <w:sz w:val="22"/>
                <w:szCs w:val="22"/>
              </w:rPr>
              <w:t>financial harm to participant, researcher and / or University through disclosure or other event.</w:t>
            </w:r>
          </w:p>
        </w:tc>
        <w:tc>
          <w:tcPr>
            <w:tcW w:w="852" w:type="dxa"/>
            <w:shd w:val="clear" w:color="auto" w:fill="D9D9D9"/>
            <w:vAlign w:val="center"/>
          </w:tcPr>
          <w:p w:rsidR="007E7629" w:rsidRDefault="003E360F">
            <w:pPr>
              <w:jc w:val="center"/>
              <w:rPr>
                <w:rFonts w:ascii="Arial" w:eastAsia="Arial" w:hAnsi="Arial" w:cs="Arial"/>
                <w:i/>
                <w:iCs/>
                <w:color w:val="808080"/>
                <w:sz w:val="18"/>
                <w:szCs w:val="18"/>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i/>
                <w:iCs/>
                <w:color w:val="808080"/>
                <w:sz w:val="18"/>
                <w:szCs w:val="18"/>
              </w:rPr>
            </w:pPr>
            <w:r>
              <w:rPr>
                <w:rFonts w:ascii="Arial" w:eastAsia="Arial" w:hAnsi="Arial" w:cs="Arial"/>
                <w:b/>
                <w:bCs/>
                <w:sz w:val="22"/>
                <w:szCs w:val="22"/>
              </w:rPr>
              <w:t>NO</w:t>
            </w:r>
          </w:p>
        </w:tc>
      </w:tr>
      <w:tr w:rsidR="007E7629">
        <w:trPr>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i/>
                <w:iCs/>
                <w:color w:val="808080"/>
                <w:sz w:val="18"/>
                <w:szCs w:val="18"/>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i/>
                <w:iCs/>
                <w:color w:val="808080"/>
                <w:sz w:val="18"/>
                <w:szCs w:val="18"/>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b/>
                <w:bCs/>
                <w:sz w:val="22"/>
                <w:szCs w:val="22"/>
              </w:rPr>
            </w:pPr>
            <w:sdt>
              <w:sdtPr>
                <w:tag w:val="goog_rdk_64"/>
                <w:id w:val="169968800"/>
              </w:sdtPr>
              <w:sdtEndPr/>
              <w:sdtContent>
                <w:r w:rsidR="003E360F">
                  <w:rPr>
                    <w:rFonts w:ascii="Arial Unicode MS" w:eastAsia="Arial Unicode MS" w:hAnsi="Arial Unicode MS" w:cs="Arial Unicode MS"/>
                    <w:b/>
                    <w:bCs/>
                    <w:sz w:val="22"/>
                    <w:szCs w:val="22"/>
                  </w:rPr>
                  <w:t xml:space="preserve">✓ </w:t>
                </w:r>
              </w:sdtContent>
            </w:sdt>
          </w:p>
        </w:tc>
      </w:tr>
      <w:tr w:rsidR="007E7629">
        <w:trPr>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7E7629">
            <w:pPr>
              <w:jc w:val="center"/>
              <w:rPr>
                <w:rFonts w:ascii="Arial" w:eastAsia="Arial" w:hAnsi="Arial" w:cs="Arial"/>
                <w:i/>
                <w:iCs/>
                <w:sz w:val="22"/>
                <w:szCs w:val="22"/>
              </w:rPr>
            </w:pPr>
          </w:p>
          <w:p w:rsidR="007E7629" w:rsidRDefault="003E360F">
            <w:pPr>
              <w:jc w:val="center"/>
              <w:rPr>
                <w:rFonts w:ascii="Arial" w:eastAsia="Arial" w:hAnsi="Arial" w:cs="Arial"/>
                <w:color w:val="4EA72E"/>
                <w:sz w:val="22"/>
                <w:szCs w:val="22"/>
              </w:rPr>
            </w:pPr>
            <w:r>
              <w:rPr>
                <w:rFonts w:ascii="Arial" w:eastAsia="Arial" w:hAnsi="Arial" w:cs="Arial"/>
                <w:b/>
                <w:bCs/>
                <w:color w:val="4EA72E"/>
                <w:sz w:val="22"/>
                <w:szCs w:val="22"/>
              </w:rPr>
              <w:t>Example 1:</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Participation may reduce profit or income if business owners spend time in interviews instead of conducting business operations.</w:t>
            </w:r>
          </w:p>
          <w:p w:rsidR="007E7629" w:rsidRDefault="007E7629">
            <w:pPr>
              <w:jc w:val="center"/>
              <w:rPr>
                <w:rFonts w:ascii="Arial" w:eastAsia="Arial" w:hAnsi="Arial" w:cs="Arial"/>
                <w:i/>
                <w:iCs/>
                <w:color w:val="4EA72E"/>
                <w:sz w:val="22"/>
                <w:szCs w:val="22"/>
              </w:rPr>
            </w:pPr>
          </w:p>
          <w:p w:rsidR="007E7629" w:rsidRDefault="003E360F">
            <w:pPr>
              <w:jc w:val="center"/>
              <w:rPr>
                <w:rFonts w:ascii="Arial" w:eastAsia="Arial" w:hAnsi="Arial" w:cs="Arial"/>
                <w:i/>
                <w:iCs/>
                <w:color w:val="4EA72E"/>
                <w:sz w:val="22"/>
                <w:szCs w:val="22"/>
              </w:rPr>
            </w:pPr>
            <w:r>
              <w:rPr>
                <w:rFonts w:ascii="Arial" w:eastAsia="Arial" w:hAnsi="Arial" w:cs="Arial"/>
                <w:b/>
                <w:bCs/>
                <w:color w:val="4EA72E"/>
                <w:sz w:val="22"/>
                <w:szCs w:val="22"/>
              </w:rPr>
              <w:t>Example 2</w:t>
            </w:r>
            <w:r>
              <w:rPr>
                <w:rFonts w:ascii="Arial" w:eastAsia="Arial" w:hAnsi="Arial" w:cs="Arial"/>
                <w:b/>
                <w:bCs/>
                <w:i/>
                <w:iCs/>
                <w:color w:val="4EA72E"/>
                <w:sz w:val="22"/>
                <w:szCs w:val="22"/>
              </w:rPr>
              <w:t>:</w:t>
            </w:r>
          </w:p>
          <w:p w:rsidR="007E7629" w:rsidRDefault="007E7629">
            <w:pPr>
              <w:jc w:val="center"/>
              <w:rPr>
                <w:rFonts w:ascii="Arial" w:eastAsia="Arial" w:hAnsi="Arial" w:cs="Arial"/>
                <w:i/>
                <w:iCs/>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Damage, theft or loss of personal equipment (example, laptop) used during fieldwork or interviews could result in financial loss.</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b/>
                <w:bCs/>
                <w:color w:val="4EA72E"/>
                <w:sz w:val="22"/>
                <w:szCs w:val="22"/>
              </w:rPr>
              <w:t>Example 3:</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lastRenderedPageBreak/>
              <w:t>Legal or contractual liabilities (example, breaches of data protection, or confidentiality) could result in financial consequences for the researcher or University.</w:t>
            </w:r>
            <w:r>
              <w:rPr>
                <w:rFonts w:ascii="Arial" w:eastAsia="Arial" w:hAnsi="Arial" w:cs="Arial"/>
                <w:color w:val="4EA72E"/>
                <w:sz w:val="22"/>
                <w:szCs w:val="22"/>
              </w:rPr>
              <w:br/>
            </w: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lastRenderedPageBreak/>
              <w:t>How will you address any risks?</w:t>
            </w:r>
          </w:p>
          <w:p w:rsidR="007E7629" w:rsidRDefault="007E7629">
            <w:pPr>
              <w:jc w:val="center"/>
              <w:rPr>
                <w:rFonts w:ascii="Arial" w:eastAsia="Arial" w:hAnsi="Arial" w:cs="Arial"/>
                <w:i/>
                <w:iCs/>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1:</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-Flexible scheduling of interviews.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-Reasonable duration: Interviews will be kept as brief as possible while still achieving research objectives.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-Clear communication: Participants will be informed in advance about the expected time.</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-Explain the level of commitment and inform that they may reschedule or withdraw at any time without penalty.</w:t>
            </w:r>
          </w:p>
          <w:p w:rsidR="007E7629" w:rsidRDefault="003E360F">
            <w:pPr>
              <w:jc w:val="center"/>
              <w:rPr>
                <w:rFonts w:ascii="Arial" w:eastAsia="Arial" w:hAnsi="Arial" w:cs="Arial"/>
                <w:color w:val="4EA72E"/>
                <w:sz w:val="22"/>
                <w:szCs w:val="22"/>
              </w:rPr>
            </w:pPr>
            <w:r>
              <w:rPr>
                <w:rFonts w:ascii="Arial" w:eastAsia="Arial" w:hAnsi="Arial" w:cs="Arial"/>
                <w:b/>
                <w:bCs/>
                <w:i/>
                <w:iCs/>
                <w:color w:val="4EA72E"/>
                <w:sz w:val="22"/>
                <w:szCs w:val="22"/>
              </w:rPr>
              <w:t>-</w:t>
            </w:r>
            <w:r>
              <w:rPr>
                <w:rFonts w:ascii="Arial" w:eastAsia="Arial" w:hAnsi="Arial" w:cs="Arial"/>
                <w:color w:val="4EA72E"/>
                <w:sz w:val="22"/>
                <w:szCs w:val="22"/>
              </w:rPr>
              <w:t>If appropriate and approved, participants may be offered a small reimbursement or honorarium to acknowledge their time and offset potential income loss.</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lastRenderedPageBreak/>
              <w:t>Example 2:</w:t>
            </w:r>
          </w:p>
          <w:p w:rsidR="007E7629" w:rsidRDefault="003E360F">
            <w:pPr>
              <w:jc w:val="center"/>
              <w:rPr>
                <w:rFonts w:ascii="Arial" w:eastAsia="Arial" w:hAnsi="Arial" w:cs="Arial"/>
                <w:b/>
                <w:bCs/>
                <w:color w:val="4EA72E"/>
                <w:sz w:val="22"/>
                <w:szCs w:val="22"/>
              </w:rPr>
            </w:pPr>
            <w:r>
              <w:rPr>
                <w:rFonts w:ascii="Arial" w:eastAsia="Arial" w:hAnsi="Arial" w:cs="Arial"/>
                <w:color w:val="4EA72E"/>
                <w:sz w:val="22"/>
                <w:szCs w:val="22"/>
              </w:rPr>
              <w:t>-Ensure personal devices are covered by insurance and used with proper data security measures (example, password protection, encryption).</w:t>
            </w:r>
          </w:p>
          <w:p w:rsidR="007E7629" w:rsidRDefault="003E360F">
            <w:pPr>
              <w:jc w:val="center"/>
              <w:rPr>
                <w:rFonts w:ascii="Arial" w:eastAsia="Arial" w:hAnsi="Arial" w:cs="Arial"/>
                <w:color w:val="4EA72E"/>
                <w:sz w:val="22"/>
                <w:szCs w:val="22"/>
              </w:rPr>
            </w:pPr>
            <w:r>
              <w:rPr>
                <w:rFonts w:ascii="Arial" w:eastAsia="Arial" w:hAnsi="Arial" w:cs="Arial"/>
                <w:i/>
                <w:iCs/>
                <w:color w:val="4EA72E"/>
                <w:sz w:val="22"/>
                <w:szCs w:val="22"/>
              </w:rPr>
              <w:t>-</w:t>
            </w:r>
            <w:r>
              <w:rPr>
                <w:rFonts w:ascii="Arial" w:eastAsia="Arial" w:hAnsi="Arial" w:cs="Arial"/>
                <w:color w:val="4EA72E"/>
                <w:sz w:val="22"/>
                <w:szCs w:val="22"/>
              </w:rPr>
              <w:t>Avoid carrying unnecessary valuables or cash during fieldwork.</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3:</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-Follow all institutional ethical, legal and contractual requirements.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-Seek advice from the University’s ethics or legal office if uncertain about obligations or potential risks.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-Explain how you will mitigate risks related to breaches of data protection or confidentiality.</w:t>
            </w:r>
          </w:p>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i/>
                <w:iCs/>
                <w:sz w:val="22"/>
                <w:szCs w:val="22"/>
              </w:rPr>
            </w:pPr>
          </w:p>
        </w:tc>
      </w:tr>
      <w:tr w:rsidR="007E7629">
        <w:trPr>
          <w:trHeight w:val="315"/>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5</w:t>
            </w:r>
          </w:p>
        </w:tc>
        <w:tc>
          <w:tcPr>
            <w:tcW w:w="8316" w:type="dxa"/>
            <w:gridSpan w:val="2"/>
            <w:vMerge w:val="restart"/>
            <w:shd w:val="clear" w:color="auto" w:fill="F2F2F2"/>
          </w:tcPr>
          <w:p w:rsidR="007E7629" w:rsidRDefault="003E360F">
            <w:pPr>
              <w:jc w:val="center"/>
              <w:rPr>
                <w:rFonts w:ascii="Arial" w:eastAsia="Arial" w:hAnsi="Arial" w:cs="Arial"/>
                <w:i/>
                <w:iCs/>
                <w:color w:val="808080"/>
                <w:sz w:val="18"/>
                <w:szCs w:val="18"/>
              </w:rPr>
            </w:pPr>
            <w:r>
              <w:rPr>
                <w:rFonts w:ascii="Arial" w:eastAsia="Arial" w:hAnsi="Arial" w:cs="Arial"/>
                <w:b/>
                <w:bCs/>
                <w:sz w:val="22"/>
                <w:szCs w:val="22"/>
              </w:rPr>
              <w:t>Reputational risk</w:t>
            </w:r>
            <w:r>
              <w:rPr>
                <w:rFonts w:ascii="Arial" w:eastAsia="Arial" w:hAnsi="Arial" w:cs="Arial"/>
                <w:sz w:val="22"/>
                <w:szCs w:val="22"/>
              </w:rPr>
              <w:t xml:space="preserve">: </w:t>
            </w:r>
            <w:r>
              <w:rPr>
                <w:rFonts w:ascii="Arial" w:eastAsia="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315"/>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b/>
                <w:bCs/>
                <w:sz w:val="22"/>
                <w:szCs w:val="22"/>
              </w:rPr>
            </w:pPr>
            <w:sdt>
              <w:sdtPr>
                <w:tag w:val="goog_rdk_65"/>
                <w:id w:val="-2117426156"/>
              </w:sdtPr>
              <w:sdtEndPr/>
              <w:sdtContent>
                <w:r w:rsidR="003E360F">
                  <w:rPr>
                    <w:rFonts w:ascii="Arial Unicode MS" w:eastAsia="Arial Unicode MS" w:hAnsi="Arial Unicode MS" w:cs="Arial Unicode MS"/>
                    <w:b/>
                    <w:bCs/>
                    <w:sz w:val="22"/>
                    <w:szCs w:val="22"/>
                  </w:rPr>
                  <w:t xml:space="preserve">✓ </w:t>
                </w:r>
              </w:sdtContent>
            </w:sdt>
          </w:p>
        </w:tc>
      </w:tr>
      <w:tr w:rsidR="007E7629">
        <w:trPr>
          <w:trHeight w:val="1062"/>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1:</w:t>
            </w:r>
          </w:p>
          <w:p w:rsidR="007E7629" w:rsidRDefault="007E7629">
            <w:pPr>
              <w:jc w:val="center"/>
              <w:rPr>
                <w:rFonts w:ascii="Arial" w:eastAsia="Arial" w:hAnsi="Arial" w:cs="Arial"/>
                <w:b/>
                <w:bCs/>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Perception of researcher negatively impacted and / or institutional bias due to funding sources or conflicts of interest.</w:t>
            </w:r>
            <w:r>
              <w:rPr>
                <w:rFonts w:ascii="Arial" w:eastAsia="Arial" w:hAnsi="Arial" w:cs="Arial"/>
                <w:color w:val="4EA72E"/>
                <w:sz w:val="22"/>
                <w:szCs w:val="22"/>
              </w:rPr>
              <w:br/>
            </w:r>
          </w:p>
          <w:p w:rsidR="007E7629" w:rsidRDefault="003E360F">
            <w:pPr>
              <w:jc w:val="center"/>
              <w:rPr>
                <w:rFonts w:ascii="Arial" w:eastAsia="Arial" w:hAnsi="Arial" w:cs="Arial"/>
                <w:color w:val="4EA72E"/>
                <w:sz w:val="22"/>
                <w:szCs w:val="22"/>
              </w:rPr>
            </w:pPr>
            <w:r>
              <w:rPr>
                <w:rFonts w:ascii="Arial" w:eastAsia="Arial" w:hAnsi="Arial" w:cs="Arial"/>
                <w:b/>
                <w:bCs/>
                <w:color w:val="4EA72E"/>
                <w:sz w:val="22"/>
                <w:szCs w:val="22"/>
              </w:rPr>
              <w:t>Example 2:</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Damage to the University’s or researcher’s reputation if participants or stakeholders feel misrepresented, disrespected or harmed.</w:t>
            </w:r>
            <w:r>
              <w:rPr>
                <w:rFonts w:ascii="Arial" w:eastAsia="Arial" w:hAnsi="Arial" w:cs="Arial"/>
                <w:color w:val="4EA72E"/>
                <w:sz w:val="22"/>
                <w:szCs w:val="22"/>
              </w:rPr>
              <w:br/>
            </w: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t>How will you address any risks?</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1:</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-Disclose all funding sources and potential conflicts of interest in ethics application and publications.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-Maintain academic independence in analysis and reporting, regardless of funder interests.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-Include peer or supervisory review of analysis to ensure impartiality.</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2:</w:t>
            </w:r>
          </w:p>
          <w:p w:rsidR="007E7629" w:rsidRDefault="003E360F">
            <w:pPr>
              <w:jc w:val="center"/>
              <w:rPr>
                <w:rFonts w:ascii="Arial" w:eastAsia="Arial" w:hAnsi="Arial" w:cs="Arial"/>
                <w:color w:val="4EA72E"/>
                <w:sz w:val="22"/>
                <w:szCs w:val="22"/>
              </w:rPr>
            </w:pPr>
            <w:r>
              <w:rPr>
                <w:rFonts w:ascii="Arial" w:eastAsia="Arial" w:hAnsi="Arial" w:cs="Arial"/>
                <w:i/>
                <w:iCs/>
                <w:color w:val="4EA72E"/>
                <w:sz w:val="18"/>
                <w:szCs w:val="18"/>
              </w:rPr>
              <w:t>-</w:t>
            </w:r>
            <w:r>
              <w:rPr>
                <w:rFonts w:ascii="Arial" w:eastAsia="Arial" w:hAnsi="Arial" w:cs="Arial"/>
                <w:color w:val="4EA72E"/>
                <w:sz w:val="22"/>
                <w:szCs w:val="22"/>
              </w:rPr>
              <w:t>Obtain informed consent that explains how data will be used and reported.</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-Allow participants to review or clarify their statements if appropriate (example, in qualitative interviews).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-Report findings objectively and without bias, ensuring cultural sensitivity and confidentiality.</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lastRenderedPageBreak/>
              <w:t>-Provide participant debriefing where appropriate to maintain trust and transparency.</w:t>
            </w:r>
          </w:p>
          <w:p w:rsidR="007E7629" w:rsidRDefault="003E360F">
            <w:pPr>
              <w:jc w:val="center"/>
              <w:rPr>
                <w:rFonts w:ascii="Arial" w:eastAsia="Arial" w:hAnsi="Arial" w:cs="Arial"/>
                <w:sz w:val="22"/>
                <w:szCs w:val="22"/>
              </w:rPr>
            </w:pPr>
            <w:r>
              <w:rPr>
                <w:rFonts w:ascii="Arial" w:eastAsia="Arial" w:hAnsi="Arial" w:cs="Arial"/>
                <w:color w:val="4EA72E"/>
                <w:sz w:val="22"/>
                <w:szCs w:val="22"/>
              </w:rPr>
              <w:t>-Always follow rules of professional conduct. Explain how you will uphold high standards of conduct and integrity, or what you will do to mitigate misconduct</w:t>
            </w:r>
            <w:r>
              <w:rPr>
                <w:rFonts w:ascii="Arial" w:eastAsia="Arial" w:hAnsi="Arial" w:cs="Arial"/>
                <w:sz w:val="22"/>
                <w:szCs w:val="22"/>
              </w:rPr>
              <w:t>.</w:t>
            </w: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sz w:val="22"/>
                <w:szCs w:val="22"/>
              </w:rPr>
            </w:pPr>
          </w:p>
        </w:tc>
      </w:tr>
      <w:tr w:rsidR="007E7629">
        <w:trPr>
          <w:trHeight w:val="23"/>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6</w:t>
            </w:r>
          </w:p>
        </w:tc>
        <w:tc>
          <w:tcPr>
            <w:tcW w:w="8316" w:type="dxa"/>
            <w:gridSpan w:val="2"/>
            <w:vMerge w:val="restart"/>
            <w:shd w:val="clear" w:color="auto" w:fill="F2F2F2"/>
          </w:tcPr>
          <w:p w:rsidR="007E7629" w:rsidRDefault="003E360F">
            <w:pPr>
              <w:jc w:val="center"/>
              <w:rPr>
                <w:rFonts w:ascii="Arial" w:eastAsia="Arial" w:hAnsi="Arial" w:cs="Arial"/>
                <w:i/>
                <w:iCs/>
                <w:sz w:val="22"/>
                <w:szCs w:val="22"/>
              </w:rPr>
            </w:pPr>
            <w:r>
              <w:rPr>
                <w:rFonts w:ascii="Arial" w:eastAsia="Arial" w:hAnsi="Arial" w:cs="Arial"/>
                <w:b/>
                <w:bCs/>
                <w:sz w:val="22"/>
                <w:szCs w:val="22"/>
              </w:rPr>
              <w:t xml:space="preserve">Safeguarding risks: </w:t>
            </w:r>
            <w:r>
              <w:rPr>
                <w:rFonts w:ascii="Arial" w:eastAsia="Arial" w:hAnsi="Arial" w:cs="Arial"/>
                <w:sz w:val="22"/>
                <w:szCs w:val="22"/>
              </w:rPr>
              <w:t xml:space="preserve"> </w:t>
            </w:r>
            <w:r>
              <w:rPr>
                <w:rFonts w:ascii="Arial" w:eastAsia="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22"/>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b/>
                <w:bCs/>
                <w:sz w:val="22"/>
                <w:szCs w:val="22"/>
              </w:rPr>
            </w:pPr>
            <w:sdt>
              <w:sdtPr>
                <w:tag w:val="goog_rdk_66"/>
                <w:id w:val="-1799128976"/>
              </w:sdtPr>
              <w:sdtEndPr/>
              <w:sdtContent>
                <w:r w:rsidR="003E360F">
                  <w:rPr>
                    <w:rFonts w:ascii="Arial Unicode MS" w:eastAsia="Arial Unicode MS" w:hAnsi="Arial Unicode MS" w:cs="Arial Unicode MS"/>
                    <w:b/>
                    <w:bCs/>
                    <w:sz w:val="22"/>
                    <w:szCs w:val="22"/>
                  </w:rPr>
                  <w:t xml:space="preserve">✓ </w:t>
                </w:r>
              </w:sdtContent>
            </w:sdt>
          </w:p>
        </w:tc>
      </w:tr>
      <w:tr w:rsidR="007E7629">
        <w:trPr>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7E7629">
            <w:pPr>
              <w:jc w:val="center"/>
              <w:rPr>
                <w:rFonts w:ascii="Arial" w:eastAsia="Arial" w:hAnsi="Arial" w:cs="Arial"/>
                <w:sz w:val="18"/>
                <w:szCs w:val="18"/>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1:</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 xml:space="preserve">Improper behaviour, abuse, or exploitation of young people or vulnerable adults during participation can occur if appropriate safeguarding procedures are not put in place. What is the risk of this in relation to your research? </w:t>
            </w:r>
            <w:r>
              <w:rPr>
                <w:rFonts w:ascii="Arial" w:eastAsia="Arial" w:hAnsi="Arial" w:cs="Arial"/>
                <w:color w:val="4EA72E"/>
                <w:sz w:val="22"/>
                <w:szCs w:val="22"/>
              </w:rPr>
              <w:br/>
            </w:r>
          </w:p>
          <w:p w:rsidR="007E7629" w:rsidRDefault="007E7629">
            <w:pPr>
              <w:jc w:val="center"/>
              <w:rPr>
                <w:rFonts w:ascii="Arial" w:eastAsia="Arial" w:hAnsi="Arial" w:cs="Arial"/>
                <w:b/>
                <w:bCs/>
                <w:color w:val="4EA72E"/>
                <w:sz w:val="22"/>
                <w:szCs w:val="22"/>
              </w:rPr>
            </w:pPr>
          </w:p>
          <w:p w:rsidR="007E7629" w:rsidRDefault="007E7629">
            <w:pPr>
              <w:jc w:val="center"/>
              <w:rPr>
                <w:rFonts w:ascii="Arial" w:eastAsia="Arial" w:hAnsi="Arial" w:cs="Arial"/>
                <w:b/>
                <w:bCs/>
                <w:color w:val="4EA72E"/>
                <w:sz w:val="22"/>
                <w:szCs w:val="22"/>
              </w:rPr>
            </w:pPr>
          </w:p>
          <w:p w:rsidR="007E7629" w:rsidRDefault="007E7629">
            <w:pPr>
              <w:jc w:val="center"/>
              <w:rPr>
                <w:rFonts w:ascii="Arial" w:eastAsia="Arial" w:hAnsi="Arial" w:cs="Arial"/>
                <w:b/>
                <w:bCs/>
                <w:color w:val="4EA72E"/>
                <w:sz w:val="22"/>
                <w:szCs w:val="22"/>
              </w:rPr>
            </w:pPr>
          </w:p>
          <w:p w:rsidR="007E7629" w:rsidRDefault="007E7629">
            <w:pPr>
              <w:jc w:val="center"/>
              <w:rPr>
                <w:rFonts w:ascii="Arial" w:eastAsia="Arial" w:hAnsi="Arial" w:cs="Arial"/>
                <w:b/>
                <w:bCs/>
                <w:color w:val="4EA72E"/>
                <w:sz w:val="22"/>
                <w:szCs w:val="22"/>
              </w:rPr>
            </w:pPr>
          </w:p>
          <w:p w:rsidR="007E7629" w:rsidRDefault="007E7629">
            <w:pPr>
              <w:jc w:val="center"/>
              <w:rPr>
                <w:rFonts w:ascii="Arial" w:eastAsia="Arial" w:hAnsi="Arial" w:cs="Arial"/>
                <w:b/>
                <w:bCs/>
                <w:color w:val="4EA72E"/>
                <w:sz w:val="22"/>
                <w:szCs w:val="22"/>
              </w:rPr>
            </w:pPr>
          </w:p>
          <w:p w:rsidR="007E7629" w:rsidRDefault="007E7629">
            <w:pPr>
              <w:jc w:val="center"/>
              <w:rPr>
                <w:rFonts w:ascii="Arial" w:eastAsia="Arial" w:hAnsi="Arial" w:cs="Arial"/>
                <w:b/>
                <w:bCs/>
                <w:color w:val="4EA72E"/>
                <w:sz w:val="22"/>
                <w:szCs w:val="22"/>
              </w:rPr>
            </w:pPr>
          </w:p>
          <w:p w:rsidR="007E7629" w:rsidRDefault="007E7629">
            <w:pPr>
              <w:jc w:val="center"/>
              <w:rPr>
                <w:rFonts w:ascii="Arial" w:eastAsia="Arial" w:hAnsi="Arial" w:cs="Arial"/>
                <w:b/>
                <w:bCs/>
                <w:color w:val="4EA72E"/>
                <w:sz w:val="22"/>
                <w:szCs w:val="22"/>
              </w:rPr>
            </w:pPr>
          </w:p>
          <w:p w:rsidR="007E7629" w:rsidRDefault="007E7629">
            <w:pPr>
              <w:jc w:val="center"/>
              <w:rPr>
                <w:rFonts w:ascii="Arial" w:eastAsia="Arial" w:hAnsi="Arial" w:cs="Arial"/>
                <w:b/>
                <w:bCs/>
                <w:color w:val="4EA72E"/>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2:</w:t>
            </w:r>
          </w:p>
          <w:p w:rsidR="007E7629" w:rsidRDefault="007E7629">
            <w:pPr>
              <w:jc w:val="center"/>
              <w:rPr>
                <w:rFonts w:ascii="Arial" w:eastAsia="Arial" w:hAnsi="Arial" w:cs="Arial"/>
                <w:b/>
                <w:bCs/>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Risk to the researcher of being in a compromising or misinterpreted situation, leading to accusations of improper behaviour.</w:t>
            </w:r>
          </w:p>
          <w:p w:rsidR="007E7629" w:rsidRDefault="003E360F">
            <w:pPr>
              <w:jc w:val="center"/>
              <w:rPr>
                <w:rFonts w:ascii="Arial" w:eastAsia="Arial" w:hAnsi="Arial" w:cs="Arial"/>
                <w:i/>
                <w:iCs/>
                <w:color w:val="808080"/>
                <w:sz w:val="22"/>
                <w:szCs w:val="22"/>
              </w:rPr>
            </w:pPr>
            <w:r>
              <w:rPr>
                <w:rFonts w:ascii="Arial" w:eastAsia="Arial" w:hAnsi="Arial" w:cs="Arial"/>
                <w:color w:val="4EA72E"/>
                <w:sz w:val="22"/>
                <w:szCs w:val="22"/>
              </w:rPr>
              <w:t>What is the risk of this in relation to your research?</w:t>
            </w:r>
            <w:r>
              <w:rPr>
                <w:rFonts w:ascii="Arial" w:eastAsia="Arial" w:hAnsi="Arial" w:cs="Arial"/>
              </w:rPr>
              <w:br/>
            </w: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b/>
                <w:bCs/>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lastRenderedPageBreak/>
              <w:t>How will you address any risks?</w:t>
            </w:r>
          </w:p>
          <w:p w:rsidR="007E7629" w:rsidRDefault="007E7629">
            <w:pPr>
              <w:jc w:val="center"/>
              <w:rPr>
                <w:rFonts w:ascii="Arial" w:eastAsia="Arial" w:hAnsi="Arial" w:cs="Arial"/>
                <w:i/>
                <w:iCs/>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1:</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-All researchers will hold a current DBS check or country equivalent.</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-Interviews will be conducted in safe, visible locations, never in private or isolated settings, with a supervisor / third party present.</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-Participants will always have the option to have a parent, guardian, or support person present during interviews.</w:t>
            </w:r>
          </w:p>
          <w:p w:rsidR="007E7629" w:rsidRDefault="003E360F">
            <w:pPr>
              <w:jc w:val="center"/>
              <w:rPr>
                <w:rFonts w:ascii="Arial" w:eastAsia="Arial" w:hAnsi="Arial" w:cs="Arial"/>
                <w:color w:val="4EA72E"/>
                <w:sz w:val="22"/>
                <w:szCs w:val="22"/>
              </w:rPr>
            </w:pPr>
            <w:r>
              <w:rPr>
                <w:rFonts w:ascii="Arial" w:eastAsia="Arial" w:hAnsi="Arial" w:cs="Arial"/>
                <w:sz w:val="22"/>
                <w:szCs w:val="22"/>
              </w:rPr>
              <w:t>-</w:t>
            </w:r>
            <w:r>
              <w:rPr>
                <w:rFonts w:ascii="Arial" w:eastAsia="Arial" w:hAnsi="Arial" w:cs="Arial"/>
                <w:color w:val="4EA72E"/>
                <w:sz w:val="22"/>
                <w:szCs w:val="22"/>
              </w:rPr>
              <w:t>The research will comply fully with institutional and legal safeguarding policies for working with minors and vulnerable groups. Provide detail here.</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-A clear reporting protocol will be in place for managing any disclosure of harm, abuse, or risk (reported to relevant authorities and University).</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color w:val="4EA72E"/>
                <w:sz w:val="22"/>
                <w:szCs w:val="22"/>
              </w:rPr>
            </w:pPr>
            <w:r>
              <w:rPr>
                <w:rFonts w:ascii="Arial" w:eastAsia="Arial" w:hAnsi="Arial" w:cs="Arial"/>
                <w:b/>
                <w:bCs/>
                <w:color w:val="4EA72E"/>
                <w:sz w:val="22"/>
                <w:szCs w:val="22"/>
              </w:rPr>
              <w:t>Example 2:</w:t>
            </w:r>
          </w:p>
          <w:p w:rsidR="007E7629" w:rsidRDefault="003E360F">
            <w:pPr>
              <w:jc w:val="center"/>
              <w:rPr>
                <w:rFonts w:ascii="Arial" w:eastAsia="Arial" w:hAnsi="Arial" w:cs="Arial"/>
                <w:color w:val="4EA72E"/>
                <w:sz w:val="22"/>
                <w:szCs w:val="22"/>
              </w:rPr>
            </w:pPr>
            <w:r>
              <w:rPr>
                <w:rFonts w:ascii="Arial" w:eastAsia="Arial" w:hAnsi="Arial" w:cs="Arial"/>
                <w:color w:val="4EA72E"/>
              </w:rPr>
              <w:t>-</w:t>
            </w:r>
            <w:r>
              <w:rPr>
                <w:rFonts w:ascii="Arial" w:eastAsia="Arial" w:hAnsi="Arial" w:cs="Arial"/>
                <w:color w:val="4EA72E"/>
                <w:sz w:val="22"/>
                <w:szCs w:val="22"/>
              </w:rPr>
              <w:t>Will not conduct meetings one-on-one in</w:t>
            </w:r>
            <w:r>
              <w:rPr>
                <w:rFonts w:ascii="Arial" w:eastAsia="Arial" w:hAnsi="Arial" w:cs="Arial"/>
                <w:b/>
                <w:bCs/>
                <w:color w:val="4EA72E"/>
                <w:sz w:val="22"/>
                <w:szCs w:val="22"/>
              </w:rPr>
              <w:t xml:space="preserve"> </w:t>
            </w:r>
            <w:r>
              <w:rPr>
                <w:rFonts w:ascii="Arial" w:eastAsia="Arial" w:hAnsi="Arial" w:cs="Arial"/>
                <w:color w:val="4EA72E"/>
                <w:sz w:val="22"/>
                <w:szCs w:val="22"/>
              </w:rPr>
              <w:t>private settings with young or vulnerable participants, and maintain visibility at all times.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-Where in-person interviews are required, ensure the presence of a third party (example, teacher, guardian, or colleague).</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lastRenderedPageBreak/>
              <w:t>-Uphold clear professional boundaries (no physical contact, personal relationships or communication outside research purposes).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-Keep detailed records of all interactions (date, time, location and purpose) to provide accountability.</w:t>
            </w:r>
          </w:p>
          <w:p w:rsidR="007E7629" w:rsidRDefault="003E360F">
            <w:pPr>
              <w:jc w:val="center"/>
              <w:rPr>
                <w:rFonts w:ascii="Arial" w:eastAsia="Arial" w:hAnsi="Arial" w:cs="Arial"/>
                <w:color w:val="4EA72E"/>
              </w:rPr>
            </w:pPr>
            <w:r>
              <w:rPr>
                <w:rFonts w:ascii="Arial" w:eastAsia="Arial" w:hAnsi="Arial" w:cs="Arial"/>
                <w:color w:val="4EA72E"/>
                <w:sz w:val="22"/>
                <w:szCs w:val="22"/>
              </w:rPr>
              <w:t>-Conduct online interviews using approved University platforms where appropriate, ensuring transparency, and have a supervisor present and visible in the online meeting</w:t>
            </w:r>
            <w:r>
              <w:rPr>
                <w:rFonts w:ascii="Arial" w:eastAsia="Arial" w:hAnsi="Arial" w:cs="Arial"/>
                <w:color w:val="4EA72E"/>
              </w:rPr>
              <w:t>.</w:t>
            </w:r>
          </w:p>
          <w:p w:rsidR="007E7629" w:rsidRDefault="007E7629">
            <w:pPr>
              <w:jc w:val="center"/>
              <w:rPr>
                <w:rFonts w:ascii="Arial" w:eastAsia="Arial" w:hAnsi="Arial" w:cs="Arial"/>
                <w:color w:val="4EA72E"/>
              </w:rPr>
            </w:pPr>
          </w:p>
          <w:p w:rsidR="007E7629" w:rsidRDefault="007E7629">
            <w:pPr>
              <w:jc w:val="center"/>
              <w:rPr>
                <w:rFonts w:ascii="Arial" w:eastAsia="Arial" w:hAnsi="Arial" w:cs="Arial"/>
                <w:i/>
                <w:iCs/>
                <w:sz w:val="22"/>
                <w:szCs w:val="22"/>
              </w:rPr>
            </w:pPr>
          </w:p>
        </w:tc>
      </w:tr>
      <w:tr w:rsidR="007E7629">
        <w:trPr>
          <w:trHeight w:val="68"/>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7</w:t>
            </w:r>
          </w:p>
        </w:tc>
        <w:tc>
          <w:tcPr>
            <w:tcW w:w="8316" w:type="dxa"/>
            <w:gridSpan w:val="2"/>
            <w:vMerge w:val="restart"/>
            <w:shd w:val="clear" w:color="auto" w:fill="F2F2F2"/>
          </w:tcPr>
          <w:p w:rsidR="007E7629" w:rsidRDefault="003E360F">
            <w:pPr>
              <w:jc w:val="center"/>
              <w:rPr>
                <w:rFonts w:ascii="Arial" w:eastAsia="Arial" w:hAnsi="Arial" w:cs="Arial"/>
                <w:sz w:val="22"/>
                <w:szCs w:val="22"/>
              </w:rPr>
            </w:pPr>
            <w:r>
              <w:rPr>
                <w:rFonts w:ascii="Arial" w:eastAsia="Arial" w:hAnsi="Arial" w:cs="Arial"/>
                <w:b/>
                <w:bCs/>
                <w:sz w:val="22"/>
                <w:szCs w:val="22"/>
              </w:rPr>
              <w:t>Sensitive, embarrassing or upsetting topics</w:t>
            </w:r>
            <w:r>
              <w:rPr>
                <w:rFonts w:ascii="Arial" w:eastAsia="Arial" w:hAnsi="Arial" w:cs="Arial"/>
                <w:sz w:val="22"/>
                <w:szCs w:val="22"/>
              </w:rPr>
              <w:t xml:space="preserve">. </w:t>
            </w:r>
            <w:r>
              <w:rPr>
                <w:rFonts w:ascii="Arial" w:eastAsia="Arial" w:hAnsi="Arial" w:cs="Arial"/>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iCs/>
                <w:color w:val="161616"/>
                <w:sz w:val="22"/>
                <w:szCs w:val="22"/>
              </w:rPr>
              <w:t>where applicable, consent procedures should make it clear that if something potentially or actually illegal is discovered in the course of a project, it may need to be disclosed to the proper authorities.</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67"/>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b/>
                <w:bCs/>
                <w:sz w:val="22"/>
                <w:szCs w:val="22"/>
              </w:rPr>
            </w:pPr>
            <w:sdt>
              <w:sdtPr>
                <w:tag w:val="goog_rdk_67"/>
                <w:id w:val="-38762334"/>
              </w:sdtPr>
              <w:sdtEndPr/>
              <w:sdtContent>
                <w:r w:rsidR="003E360F">
                  <w:rPr>
                    <w:rFonts w:ascii="Arial Unicode MS" w:eastAsia="Arial Unicode MS" w:hAnsi="Arial Unicode MS" w:cs="Arial Unicode MS"/>
                    <w:b/>
                    <w:bCs/>
                    <w:sz w:val="22"/>
                    <w:szCs w:val="22"/>
                  </w:rPr>
                  <w:t xml:space="preserve">✓ </w:t>
                </w:r>
              </w:sdtContent>
            </w:sdt>
          </w:p>
        </w:tc>
      </w:tr>
      <w:tr w:rsidR="007E7629">
        <w:trPr>
          <w:jc w:val="center"/>
        </w:trPr>
        <w:tc>
          <w:tcPr>
            <w:tcW w:w="10374" w:type="dxa"/>
            <w:gridSpan w:val="5"/>
            <w:vAlign w:val="center"/>
          </w:tcPr>
          <w:p w:rsidR="007E7629" w:rsidRDefault="007E7629">
            <w:pPr>
              <w:jc w:val="center"/>
              <w:rPr>
                <w:rFonts w:ascii="Arial" w:eastAsia="Arial" w:hAnsi="Arial" w:cs="Arial"/>
                <w:color w:val="0070C0"/>
              </w:rPr>
            </w:pPr>
          </w:p>
          <w:p w:rsidR="007E7629" w:rsidRDefault="003E360F">
            <w:pPr>
              <w:jc w:val="center"/>
              <w:rPr>
                <w:rFonts w:ascii="Arial" w:eastAsia="Arial" w:hAnsi="Arial" w:cs="Arial"/>
                <w:color w:val="4EA72E"/>
                <w:sz w:val="22"/>
                <w:szCs w:val="22"/>
              </w:rPr>
            </w:pPr>
            <w:r>
              <w:rPr>
                <w:rFonts w:ascii="Arial" w:eastAsia="Arial" w:hAnsi="Arial" w:cs="Arial"/>
                <w:b/>
                <w:bCs/>
                <w:color w:val="4EA72E"/>
                <w:sz w:val="22"/>
                <w:szCs w:val="22"/>
              </w:rPr>
              <w:t>Example 1:</w:t>
            </w:r>
            <w:r>
              <w:rPr>
                <w:rFonts w:ascii="Arial" w:eastAsia="Arial" w:hAnsi="Arial" w:cs="Arial"/>
                <w:color w:val="4EA72E"/>
                <w:sz w:val="22"/>
                <w:szCs w:val="22"/>
              </w:rPr>
              <w:t xml:space="preserve"> Participant may feel upset, embarrassed or anxious when discussing sensitive topics (example, personal experiences, business failures, financial issues or trauma).</w:t>
            </w:r>
          </w:p>
          <w:p w:rsidR="007E7629" w:rsidRDefault="003E360F">
            <w:pPr>
              <w:jc w:val="center"/>
              <w:rPr>
                <w:rFonts w:ascii="Arial" w:eastAsia="Arial" w:hAnsi="Arial" w:cs="Arial"/>
                <w:color w:val="4EA72E"/>
                <w:sz w:val="22"/>
                <w:szCs w:val="22"/>
              </w:rPr>
            </w:pPr>
            <w:r>
              <w:rPr>
                <w:rFonts w:ascii="Arial" w:eastAsia="Arial" w:hAnsi="Arial" w:cs="Arial"/>
                <w:b/>
                <w:bCs/>
                <w:color w:val="4EA72E"/>
                <w:sz w:val="22"/>
                <w:szCs w:val="22"/>
              </w:rPr>
              <w:t>Mitigation</w:t>
            </w:r>
            <w:r>
              <w:rPr>
                <w:rFonts w:ascii="Arial" w:eastAsia="Arial" w:hAnsi="Arial" w:cs="Arial"/>
                <w:color w:val="4EA72E"/>
                <w:sz w:val="22"/>
                <w:szCs w:val="22"/>
              </w:rPr>
              <w:t>:</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-Clearly explain in the Participant Information Sheet that questions may be sensitive.</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-Remind participants they may skip questions or withdraw at any time.</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-Monitor participant reactions; pause or stop the interview if distress is observed.</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-Provide referral information for professional support (example, helplines, counselling services).</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color w:val="4EA72E"/>
                <w:sz w:val="22"/>
                <w:szCs w:val="22"/>
              </w:rPr>
            </w:pPr>
            <w:r>
              <w:rPr>
                <w:rFonts w:ascii="Arial" w:eastAsia="Arial" w:hAnsi="Arial" w:cs="Arial"/>
                <w:b/>
                <w:bCs/>
                <w:color w:val="4EA72E"/>
                <w:sz w:val="22"/>
                <w:szCs w:val="22"/>
              </w:rPr>
              <w:t>Example 2:</w:t>
            </w:r>
            <w:r>
              <w:rPr>
                <w:rFonts w:ascii="Arial" w:eastAsia="Arial" w:hAnsi="Arial" w:cs="Arial"/>
                <w:color w:val="4EA72E"/>
                <w:sz w:val="22"/>
                <w:szCs w:val="22"/>
              </w:rPr>
              <w:t xml:space="preserve"> Risk to researcher from emotional impact: exposure to distressing content may cause acute stress or burnout in the long-term.</w:t>
            </w:r>
            <w:r>
              <w:rPr>
                <w:rFonts w:ascii="Arial" w:eastAsia="Arial" w:hAnsi="Arial" w:cs="Arial"/>
                <w:color w:val="4EA72E"/>
                <w:sz w:val="22"/>
                <w:szCs w:val="22"/>
              </w:rPr>
              <w:br/>
            </w:r>
            <w:r>
              <w:rPr>
                <w:rFonts w:ascii="Arial" w:eastAsia="Arial" w:hAnsi="Arial" w:cs="Arial"/>
                <w:b/>
                <w:bCs/>
                <w:color w:val="4EA72E"/>
                <w:sz w:val="22"/>
                <w:szCs w:val="22"/>
              </w:rPr>
              <w:t>Mitigation:</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-Researchers will receive supervisory support and debriefing after interviews.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-Gain access to wellbeing resources (example, counselling or employee support programs).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-Schedule interviews to avoid excessive consecutive sessions, reducing emotional strain.</w:t>
            </w:r>
          </w:p>
          <w:p w:rsidR="007E7629" w:rsidRDefault="007E7629">
            <w:pPr>
              <w:jc w:val="center"/>
              <w:rPr>
                <w:rFonts w:ascii="Arial" w:eastAsia="Arial" w:hAnsi="Arial" w:cs="Arial"/>
                <w:color w:val="4EA72E"/>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jc w:val="center"/>
        </w:trPr>
        <w:tc>
          <w:tcPr>
            <w:tcW w:w="520" w:type="dxa"/>
            <w:shd w:val="clear" w:color="auto" w:fill="F2F2F2"/>
            <w:vAlign w:val="center"/>
          </w:tcPr>
          <w:p w:rsidR="007E7629" w:rsidRDefault="007E7629">
            <w:pPr>
              <w:jc w:val="center"/>
              <w:rPr>
                <w:rFonts w:ascii="Arial" w:eastAsia="Arial" w:hAnsi="Arial" w:cs="Arial"/>
                <w:sz w:val="22"/>
                <w:szCs w:val="22"/>
              </w:rPr>
            </w:pPr>
          </w:p>
        </w:tc>
        <w:tc>
          <w:tcPr>
            <w:tcW w:w="9854" w:type="dxa"/>
            <w:gridSpan w:val="4"/>
            <w:shd w:val="clear" w:color="auto" w:fill="F2F2F2"/>
          </w:tcPr>
          <w:p w:rsidR="007E7629" w:rsidRDefault="003E360F">
            <w:pPr>
              <w:jc w:val="center"/>
              <w:rPr>
                <w:rFonts w:ascii="Arial" w:eastAsia="Arial" w:hAnsi="Arial" w:cs="Arial"/>
                <w:b/>
                <w:bCs/>
                <w:sz w:val="22"/>
                <w:szCs w:val="22"/>
              </w:rPr>
            </w:pPr>
            <w:r>
              <w:rPr>
                <w:rFonts w:ascii="Arial" w:eastAsia="Arial" w:hAnsi="Arial" w:cs="Arial"/>
                <w:b/>
                <w:bCs/>
                <w:sz w:val="22"/>
                <w:szCs w:val="22"/>
              </w:rPr>
              <w:t>Health and safety risks</w:t>
            </w:r>
          </w:p>
        </w:tc>
      </w:tr>
      <w:tr w:rsidR="007E7629">
        <w:trPr>
          <w:trHeight w:val="788"/>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8</w:t>
            </w:r>
          </w:p>
        </w:tc>
        <w:tc>
          <w:tcPr>
            <w:tcW w:w="8316" w:type="dxa"/>
            <w:gridSpan w:val="2"/>
            <w:vMerge w:val="restart"/>
            <w:shd w:val="clear" w:color="auto" w:fill="F2F2F2"/>
          </w:tcPr>
          <w:p w:rsidR="007E7629" w:rsidRDefault="003E360F">
            <w:pPr>
              <w:jc w:val="center"/>
              <w:rPr>
                <w:rFonts w:ascii="Arial" w:eastAsia="Arial" w:hAnsi="Arial" w:cs="Arial"/>
                <w:i/>
                <w:iCs/>
                <w:sz w:val="22"/>
                <w:szCs w:val="22"/>
              </w:rPr>
            </w:pPr>
            <w:r>
              <w:rPr>
                <w:rFonts w:ascii="Arial" w:eastAsia="Arial" w:hAnsi="Arial" w:cs="Arial"/>
                <w:b/>
                <w:bCs/>
                <w:sz w:val="22"/>
                <w:szCs w:val="22"/>
              </w:rPr>
              <w:t>Location hazards</w:t>
            </w:r>
            <w:r>
              <w:rPr>
                <w:rFonts w:ascii="Arial" w:eastAsia="Arial" w:hAnsi="Arial" w:cs="Arial"/>
                <w:sz w:val="22"/>
                <w:szCs w:val="22"/>
              </w:rPr>
              <w:t>: f</w:t>
            </w:r>
            <w:r>
              <w:rPr>
                <w:rFonts w:ascii="Arial" w:eastAsia="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787"/>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b/>
                <w:bCs/>
                <w:sz w:val="22"/>
                <w:szCs w:val="22"/>
              </w:rPr>
            </w:pPr>
            <w:sdt>
              <w:sdtPr>
                <w:tag w:val="goog_rdk_68"/>
                <w:id w:val="394183333"/>
              </w:sdtPr>
              <w:sdtEndPr/>
              <w:sdtContent>
                <w:r w:rsidR="003E360F">
                  <w:rPr>
                    <w:rFonts w:ascii="Arial Unicode MS" w:eastAsia="Arial Unicode MS" w:hAnsi="Arial Unicode MS" w:cs="Arial Unicode MS"/>
                    <w:sz w:val="22"/>
                    <w:szCs w:val="22"/>
                  </w:rPr>
                  <w:t xml:space="preserve">✓ </w:t>
                </w:r>
              </w:sdtContent>
            </w:sdt>
          </w:p>
        </w:tc>
      </w:tr>
      <w:tr w:rsidR="007E7629">
        <w:trPr>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3E360F">
            <w:pPr>
              <w:jc w:val="center"/>
              <w:rPr>
                <w:rFonts w:ascii="Arial" w:eastAsia="Arial" w:hAnsi="Arial" w:cs="Arial"/>
                <w:i/>
                <w:iCs/>
                <w:color w:val="808080"/>
                <w:sz w:val="18"/>
                <w:szCs w:val="18"/>
              </w:rPr>
            </w:pPr>
            <w:r>
              <w:rPr>
                <w:rFonts w:ascii="Arial" w:eastAsia="Arial" w:hAnsi="Arial" w:cs="Arial"/>
                <w:color w:val="4EA72E"/>
                <w:sz w:val="22"/>
                <w:szCs w:val="22"/>
              </w:rPr>
              <w:t>This is particularly required for projects that will include time spent in labs, workshops, or field sites, or that will include time spent on working sites with fluctuating sometimes unpredictable environmental and travel hazards.</w:t>
            </w:r>
          </w:p>
          <w:p w:rsidR="007E7629" w:rsidRDefault="007E7629">
            <w:pPr>
              <w:jc w:val="center"/>
              <w:rPr>
                <w:rFonts w:ascii="Arial" w:eastAsia="Arial" w:hAnsi="Arial" w:cs="Arial"/>
                <w:i/>
                <w:iCs/>
                <w:color w:val="808080"/>
                <w:sz w:val="18"/>
                <w:szCs w:val="18"/>
              </w:rPr>
            </w:pP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t>How will you address any risks?</w:t>
            </w:r>
          </w:p>
          <w:p w:rsidR="007E7629" w:rsidRDefault="003E360F">
            <w:pPr>
              <w:jc w:val="center"/>
              <w:rPr>
                <w:rFonts w:ascii="Arial" w:eastAsia="Arial" w:hAnsi="Arial" w:cs="Arial"/>
                <w:i/>
                <w:iCs/>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p w:rsidR="007E7629" w:rsidRDefault="007E7629">
            <w:pPr>
              <w:jc w:val="center"/>
              <w:rPr>
                <w:rFonts w:ascii="Arial" w:eastAsia="Arial" w:hAnsi="Arial" w:cs="Arial"/>
                <w:i/>
                <w:iCs/>
                <w:sz w:val="22"/>
                <w:szCs w:val="22"/>
              </w:rPr>
            </w:pPr>
          </w:p>
          <w:p w:rsidR="007E7629" w:rsidRDefault="007E7629">
            <w:pPr>
              <w:jc w:val="center"/>
              <w:rPr>
                <w:rFonts w:ascii="Arial" w:eastAsia="Arial" w:hAnsi="Arial" w:cs="Arial"/>
                <w:i/>
                <w:iCs/>
                <w:sz w:val="22"/>
                <w:szCs w:val="22"/>
              </w:rPr>
            </w:pPr>
          </w:p>
        </w:tc>
      </w:tr>
      <w:tr w:rsidR="007E7629">
        <w:trPr>
          <w:trHeight w:val="428"/>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rsidR="007E7629" w:rsidRDefault="003E360F">
            <w:pPr>
              <w:jc w:val="center"/>
              <w:rPr>
                <w:rFonts w:ascii="Arial" w:eastAsia="Arial" w:hAnsi="Arial" w:cs="Arial"/>
                <w:i/>
                <w:iCs/>
                <w:sz w:val="22"/>
                <w:szCs w:val="22"/>
              </w:rPr>
            </w:pPr>
            <w:r>
              <w:rPr>
                <w:rFonts w:ascii="Arial" w:eastAsia="Arial" w:hAnsi="Arial" w:cs="Arial"/>
                <w:b/>
                <w:bCs/>
                <w:sz w:val="22"/>
                <w:szCs w:val="22"/>
              </w:rPr>
              <w:t xml:space="preserve">Activity hazards: </w:t>
            </w:r>
            <w:r>
              <w:rPr>
                <w:rFonts w:ascii="Arial" w:eastAsia="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427"/>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b/>
                <w:bCs/>
                <w:sz w:val="22"/>
                <w:szCs w:val="22"/>
              </w:rPr>
            </w:pPr>
            <w:sdt>
              <w:sdtPr>
                <w:tag w:val="goog_rdk_69"/>
                <w:id w:val="-2005812583"/>
              </w:sdtPr>
              <w:sdtEndPr/>
              <w:sdtContent>
                <w:r w:rsidR="003E360F">
                  <w:rPr>
                    <w:rFonts w:ascii="Arial Unicode MS" w:eastAsia="Arial Unicode MS" w:hAnsi="Arial Unicode MS" w:cs="Arial Unicode MS"/>
                    <w:sz w:val="22"/>
                    <w:szCs w:val="22"/>
                  </w:rPr>
                  <w:t xml:space="preserve">✓ </w:t>
                </w:r>
              </w:sdtContent>
            </w:sdt>
          </w:p>
        </w:tc>
      </w:tr>
      <w:tr w:rsidR="007E7629">
        <w:trPr>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This is particularly relevant for projects that will involve exposure to emotionally (and sometimes unpredictable) challenging content, as well as physically demanding or potentially hazardous conditions.</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t>How will you address any risks?</w:t>
            </w:r>
          </w:p>
          <w:p w:rsidR="007E7629" w:rsidRDefault="003E360F">
            <w:pPr>
              <w:jc w:val="center"/>
              <w:rPr>
                <w:rFonts w:ascii="Arial" w:eastAsia="Arial" w:hAnsi="Arial" w:cs="Arial"/>
                <w:b/>
                <w:bCs/>
                <w:i/>
                <w:iCs/>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p w:rsidR="007E7629" w:rsidRDefault="007E7629">
            <w:pPr>
              <w:jc w:val="center"/>
              <w:rPr>
                <w:rFonts w:ascii="Arial" w:eastAsia="Arial" w:hAnsi="Arial" w:cs="Arial"/>
              </w:rPr>
            </w:pPr>
          </w:p>
        </w:tc>
      </w:tr>
      <w:tr w:rsidR="007E7629">
        <w:trPr>
          <w:trHeight w:val="38"/>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rsidR="007E7629" w:rsidRDefault="003E360F">
            <w:pPr>
              <w:jc w:val="center"/>
              <w:rPr>
                <w:rFonts w:ascii="Arial" w:eastAsia="Arial" w:hAnsi="Arial" w:cs="Arial"/>
                <w:i/>
                <w:iCs/>
                <w:sz w:val="22"/>
                <w:szCs w:val="22"/>
              </w:rPr>
            </w:pPr>
            <w:r>
              <w:rPr>
                <w:rFonts w:ascii="Arial" w:eastAsia="Arial" w:hAnsi="Arial" w:cs="Arial"/>
                <w:b/>
                <w:bCs/>
                <w:sz w:val="22"/>
                <w:szCs w:val="22"/>
              </w:rPr>
              <w:t xml:space="preserve">Machinery and equipment: </w:t>
            </w:r>
            <w:r>
              <w:rPr>
                <w:rFonts w:ascii="Arial" w:eastAsia="Arial" w:hAnsi="Arial" w:cs="Arial"/>
                <w:sz w:val="22"/>
                <w:szCs w:val="22"/>
              </w:rPr>
              <w:t>f</w:t>
            </w:r>
            <w:r>
              <w:rPr>
                <w:rFonts w:ascii="Arial" w:eastAsia="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37"/>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sz w:val="22"/>
                <w:szCs w:val="22"/>
              </w:rPr>
            </w:pPr>
            <w:sdt>
              <w:sdtPr>
                <w:tag w:val="goog_rdk_70"/>
                <w:id w:val="-2006498310"/>
              </w:sdtPr>
              <w:sdtEndPr/>
              <w:sdtContent>
                <w:r w:rsidR="003E360F">
                  <w:rPr>
                    <w:rFonts w:ascii="Arial Unicode MS" w:eastAsia="Arial Unicode MS" w:hAnsi="Arial Unicode MS" w:cs="Arial Unicode MS"/>
                    <w:sz w:val="22"/>
                    <w:szCs w:val="22"/>
                  </w:rPr>
                  <w:t xml:space="preserve">✓ </w:t>
                </w:r>
              </w:sdtContent>
            </w:sdt>
          </w:p>
        </w:tc>
      </w:tr>
      <w:tr w:rsidR="007E7629">
        <w:trPr>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3E360F">
            <w:pPr>
              <w:jc w:val="center"/>
              <w:rPr>
                <w:rFonts w:ascii="Arial" w:eastAsia="Arial" w:hAnsi="Arial" w:cs="Arial"/>
                <w:i/>
                <w:iCs/>
                <w:color w:val="808080"/>
                <w:sz w:val="18"/>
                <w:szCs w:val="18"/>
              </w:rPr>
            </w:pPr>
            <w:r>
              <w:rPr>
                <w:rFonts w:ascii="Arial" w:eastAsia="Arial" w:hAnsi="Arial" w:cs="Arial"/>
                <w:color w:val="4EA72E"/>
                <w:sz w:val="22"/>
                <w:szCs w:val="22"/>
              </w:rPr>
              <w:t xml:space="preserve">This is particularly required for projects that will include time spent in labs or workshops, or that </w:t>
            </w:r>
            <w:r>
              <w:rPr>
                <w:rFonts w:ascii="Arial" w:eastAsia="Arial" w:hAnsi="Arial" w:cs="Arial"/>
                <w:color w:val="4EA72E"/>
                <w:sz w:val="22"/>
                <w:szCs w:val="22"/>
              </w:rPr>
              <w:lastRenderedPageBreak/>
              <w:t>will include time spent on working sites where machinery is used.</w:t>
            </w: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lastRenderedPageBreak/>
              <w:t>How will you address any risks?</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 xml:space="preserve">Ideally a full risk assessment document should be submitted with this form. You can also include </w:t>
            </w:r>
            <w:r>
              <w:rPr>
                <w:rFonts w:ascii="Arial" w:eastAsia="Arial" w:hAnsi="Arial" w:cs="Arial"/>
                <w:color w:val="4EA72E"/>
                <w:sz w:val="22"/>
                <w:szCs w:val="22"/>
              </w:rPr>
              <w:lastRenderedPageBreak/>
              <w:t>qualifications and training courses completed as appropriate.</w:t>
            </w:r>
          </w:p>
        </w:tc>
      </w:tr>
      <w:tr w:rsidR="007E7629">
        <w:trPr>
          <w:trHeight w:val="38"/>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11</w:t>
            </w:r>
          </w:p>
        </w:tc>
        <w:tc>
          <w:tcPr>
            <w:tcW w:w="8316" w:type="dxa"/>
            <w:gridSpan w:val="2"/>
            <w:vMerge w:val="restart"/>
            <w:shd w:val="clear" w:color="auto" w:fill="F2F2F2"/>
          </w:tcPr>
          <w:p w:rsidR="007E7629" w:rsidRDefault="003E360F">
            <w:pPr>
              <w:jc w:val="center"/>
              <w:rPr>
                <w:rFonts w:ascii="Arial" w:eastAsia="Arial" w:hAnsi="Arial" w:cs="Arial"/>
                <w:i/>
                <w:iCs/>
                <w:sz w:val="22"/>
                <w:szCs w:val="22"/>
              </w:rPr>
            </w:pPr>
            <w:r>
              <w:rPr>
                <w:rFonts w:ascii="Arial" w:eastAsia="Arial" w:hAnsi="Arial" w:cs="Arial"/>
                <w:b/>
                <w:bCs/>
                <w:sz w:val="22"/>
                <w:szCs w:val="22"/>
              </w:rPr>
              <w:t>Chemicals and other hazardous substances</w:t>
            </w:r>
            <w:r>
              <w:rPr>
                <w:rFonts w:ascii="Arial" w:eastAsia="Arial" w:hAnsi="Arial" w:cs="Arial"/>
                <w:sz w:val="22"/>
                <w:szCs w:val="22"/>
              </w:rPr>
              <w:t>: t</w:t>
            </w:r>
            <w:r>
              <w:rPr>
                <w:rFonts w:ascii="Arial" w:eastAsia="Arial" w:hAnsi="Arial" w:cs="Arial"/>
                <w:i/>
                <w:iCs/>
                <w:sz w:val="22"/>
                <w:szCs w:val="22"/>
              </w:rPr>
              <w:t>he use, production, storage, waste, transportation and accidental release of chemicals and hazardous substances; flammable, dangerous and explosive substances; asphyxiating gases; allergens; biological agents, blood and blood products.</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37"/>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sz w:val="22"/>
                <w:szCs w:val="22"/>
              </w:rPr>
            </w:pPr>
            <w:sdt>
              <w:sdtPr>
                <w:tag w:val="goog_rdk_71"/>
                <w:id w:val="-738907145"/>
              </w:sdtPr>
              <w:sdtEndPr/>
              <w:sdtContent>
                <w:r w:rsidR="003E360F">
                  <w:rPr>
                    <w:rFonts w:ascii="Arial Unicode MS" w:eastAsia="Arial Unicode MS" w:hAnsi="Arial Unicode MS" w:cs="Arial Unicode MS"/>
                    <w:sz w:val="22"/>
                    <w:szCs w:val="22"/>
                  </w:rPr>
                  <w:t xml:space="preserve">✓ </w:t>
                </w:r>
              </w:sdtContent>
            </w:sdt>
          </w:p>
        </w:tc>
      </w:tr>
      <w:tr w:rsidR="007E7629">
        <w:trPr>
          <w:trHeight w:val="1020"/>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3E360F">
            <w:pPr>
              <w:jc w:val="center"/>
              <w:rPr>
                <w:rFonts w:ascii="Arial" w:eastAsia="Arial" w:hAnsi="Arial" w:cs="Arial"/>
                <w:i/>
                <w:iCs/>
                <w:color w:val="808080"/>
                <w:sz w:val="18"/>
                <w:szCs w:val="18"/>
              </w:rPr>
            </w:pPr>
            <w:r>
              <w:rPr>
                <w:rFonts w:ascii="Arial" w:eastAsia="Arial" w:hAnsi="Arial" w:cs="Arial"/>
                <w:color w:val="4EA72E"/>
                <w:sz w:val="22"/>
                <w:szCs w:val="22"/>
              </w:rPr>
              <w:t>This is particularly required for projects that will include time spent in labs or workshops, or that will include time spent on working sites where chemical are used.</w:t>
            </w: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t>How will you address any risks?</w:t>
            </w:r>
          </w:p>
          <w:p w:rsidR="007E7629" w:rsidRDefault="003E360F">
            <w:pPr>
              <w:jc w:val="center"/>
              <w:rPr>
                <w:rFonts w:ascii="Arial" w:eastAsia="Arial" w:hAnsi="Arial" w:cs="Arial"/>
                <w:i/>
                <w:iCs/>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p w:rsidR="007E7629" w:rsidRDefault="007E7629">
            <w:pPr>
              <w:jc w:val="center"/>
              <w:rPr>
                <w:rFonts w:ascii="Arial" w:eastAsia="Arial" w:hAnsi="Arial" w:cs="Arial"/>
                <w:i/>
                <w:iCs/>
                <w:sz w:val="22"/>
                <w:szCs w:val="22"/>
              </w:rPr>
            </w:pPr>
          </w:p>
          <w:p w:rsidR="007E7629" w:rsidRDefault="007E7629">
            <w:pPr>
              <w:jc w:val="center"/>
              <w:rPr>
                <w:rFonts w:ascii="Arial" w:eastAsia="Arial" w:hAnsi="Arial" w:cs="Arial"/>
                <w:i/>
                <w:iCs/>
                <w:sz w:val="18"/>
                <w:szCs w:val="18"/>
              </w:rPr>
            </w:pPr>
          </w:p>
        </w:tc>
      </w:tr>
      <w:tr w:rsidR="007E7629">
        <w:trPr>
          <w:trHeight w:val="23"/>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rsidR="007E7629" w:rsidRDefault="003E360F">
            <w:pPr>
              <w:jc w:val="center"/>
              <w:rPr>
                <w:rFonts w:ascii="Arial" w:eastAsia="Arial" w:hAnsi="Arial" w:cs="Arial"/>
                <w:i/>
                <w:iCs/>
                <w:sz w:val="22"/>
                <w:szCs w:val="22"/>
              </w:rPr>
            </w:pPr>
            <w:r>
              <w:rPr>
                <w:rFonts w:ascii="Arial" w:eastAsia="Arial" w:hAnsi="Arial" w:cs="Arial"/>
                <w:b/>
                <w:bCs/>
                <w:sz w:val="22"/>
                <w:szCs w:val="22"/>
              </w:rPr>
              <w:t>Physical agents</w:t>
            </w:r>
            <w:r>
              <w:rPr>
                <w:rFonts w:ascii="Arial" w:eastAsia="Arial" w:hAnsi="Arial" w:cs="Arial"/>
                <w:sz w:val="22"/>
                <w:szCs w:val="22"/>
              </w:rPr>
              <w:t>: f</w:t>
            </w:r>
            <w:r>
              <w:rPr>
                <w:rFonts w:ascii="Arial" w:eastAsia="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22"/>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sz w:val="22"/>
                <w:szCs w:val="22"/>
              </w:rPr>
            </w:pPr>
            <w:sdt>
              <w:sdtPr>
                <w:tag w:val="goog_rdk_72"/>
                <w:id w:val="-1885569441"/>
              </w:sdtPr>
              <w:sdtEndPr/>
              <w:sdtContent>
                <w:r w:rsidR="003E360F">
                  <w:rPr>
                    <w:rFonts w:ascii="Arial Unicode MS" w:eastAsia="Arial Unicode MS" w:hAnsi="Arial Unicode MS" w:cs="Arial Unicode MS"/>
                    <w:sz w:val="22"/>
                    <w:szCs w:val="22"/>
                  </w:rPr>
                  <w:t xml:space="preserve">✓ </w:t>
                </w:r>
              </w:sdtContent>
            </w:sdt>
          </w:p>
        </w:tc>
      </w:tr>
      <w:tr w:rsidR="007E7629">
        <w:trPr>
          <w:trHeight w:val="918"/>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3E360F">
            <w:pPr>
              <w:jc w:val="center"/>
              <w:rPr>
                <w:rFonts w:ascii="Arial" w:eastAsia="Arial" w:hAnsi="Arial" w:cs="Arial"/>
                <w:i/>
                <w:iCs/>
                <w:color w:val="808080"/>
                <w:sz w:val="18"/>
                <w:szCs w:val="18"/>
              </w:rPr>
            </w:pPr>
            <w:r>
              <w:rPr>
                <w:rFonts w:ascii="Arial" w:eastAsia="Arial" w:hAnsi="Arial" w:cs="Arial"/>
                <w:color w:val="4EA72E"/>
                <w:sz w:val="22"/>
                <w:szCs w:val="22"/>
              </w:rPr>
              <w:t>This is particularly required for projects that will include time spent in labs or workshops, or that will include time spent on working sites where such systems are used.</w:t>
            </w:r>
          </w:p>
          <w:p w:rsidR="007E7629" w:rsidRDefault="007E7629">
            <w:pPr>
              <w:jc w:val="center"/>
              <w:rPr>
                <w:rFonts w:ascii="Arial" w:eastAsia="Arial" w:hAnsi="Arial" w:cs="Arial"/>
                <w:i/>
                <w:iCs/>
                <w:color w:val="808080"/>
                <w:sz w:val="18"/>
                <w:szCs w:val="18"/>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t>How will you address any risks?</w:t>
            </w:r>
          </w:p>
          <w:p w:rsidR="007E7629" w:rsidRDefault="003E360F">
            <w:pPr>
              <w:jc w:val="center"/>
              <w:rPr>
                <w:rFonts w:ascii="Arial" w:eastAsia="Arial" w:hAnsi="Arial" w:cs="Arial"/>
                <w:i/>
                <w:iCs/>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tc>
      </w:tr>
      <w:tr w:rsidR="007E7629">
        <w:trPr>
          <w:jc w:val="center"/>
        </w:trPr>
        <w:tc>
          <w:tcPr>
            <w:tcW w:w="520"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rsidR="007E7629" w:rsidRDefault="003E360F">
            <w:pPr>
              <w:jc w:val="center"/>
              <w:rPr>
                <w:rFonts w:ascii="Arial" w:eastAsia="Arial" w:hAnsi="Arial" w:cs="Arial"/>
                <w:sz w:val="22"/>
                <w:szCs w:val="22"/>
              </w:rPr>
            </w:pPr>
            <w:r>
              <w:rPr>
                <w:rFonts w:ascii="Arial" w:eastAsia="Arial" w:hAnsi="Arial" w:cs="Arial"/>
                <w:b/>
                <w:bCs/>
                <w:sz w:val="22"/>
                <w:szCs w:val="22"/>
              </w:rPr>
              <w:t xml:space="preserve">Environmental risks: </w:t>
            </w:r>
            <w:r>
              <w:rPr>
                <w:rFonts w:ascii="Arial" w:eastAsia="Arial" w:hAnsi="Arial" w:cs="Arial"/>
                <w:i/>
                <w:iCs/>
                <w:sz w:val="22"/>
                <w:szCs w:val="22"/>
              </w:rPr>
              <w:t>for example: accidental spillage of pollutants, damage to local ecosystems</w:t>
            </w:r>
          </w:p>
        </w:tc>
        <w:tc>
          <w:tcPr>
            <w:tcW w:w="85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68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jc w:val="center"/>
        </w:trPr>
        <w:tc>
          <w:tcPr>
            <w:tcW w:w="520"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316" w:type="dxa"/>
            <w:gridSpan w:val="2"/>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85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86" w:type="dxa"/>
            <w:shd w:val="clear" w:color="auto" w:fill="D9D9D9"/>
            <w:vAlign w:val="center"/>
          </w:tcPr>
          <w:p w:rsidR="007E7629" w:rsidRDefault="00FB5D41">
            <w:pPr>
              <w:jc w:val="center"/>
              <w:rPr>
                <w:rFonts w:ascii="Arial" w:eastAsia="Arial" w:hAnsi="Arial" w:cs="Arial"/>
                <w:sz w:val="22"/>
                <w:szCs w:val="22"/>
              </w:rPr>
            </w:pPr>
            <w:sdt>
              <w:sdtPr>
                <w:tag w:val="goog_rdk_73"/>
                <w:id w:val="-275354127"/>
              </w:sdtPr>
              <w:sdtEndPr/>
              <w:sdtContent>
                <w:r w:rsidR="003E360F">
                  <w:rPr>
                    <w:rFonts w:ascii="Arial Unicode MS" w:eastAsia="Arial Unicode MS" w:hAnsi="Arial Unicode MS" w:cs="Arial Unicode MS"/>
                    <w:sz w:val="22"/>
                    <w:szCs w:val="22"/>
                  </w:rPr>
                  <w:t xml:space="preserve">✓ </w:t>
                </w:r>
              </w:sdtContent>
            </w:sdt>
          </w:p>
        </w:tc>
      </w:tr>
      <w:tr w:rsidR="007E7629">
        <w:trPr>
          <w:jc w:val="center"/>
        </w:trPr>
        <w:tc>
          <w:tcPr>
            <w:tcW w:w="4838" w:type="dxa"/>
            <w:gridSpan w:val="2"/>
            <w:vAlign w:val="center"/>
          </w:tcPr>
          <w:p w:rsidR="007E7629" w:rsidRDefault="003E360F">
            <w:pPr>
              <w:jc w:val="center"/>
              <w:rPr>
                <w:rFonts w:ascii="Arial" w:eastAsia="Arial" w:hAnsi="Arial" w:cs="Arial"/>
                <w:i/>
                <w:iCs/>
                <w:sz w:val="22"/>
                <w:szCs w:val="22"/>
              </w:rPr>
            </w:pPr>
            <w:r>
              <w:rPr>
                <w:rFonts w:ascii="Arial" w:eastAsia="Arial" w:hAnsi="Arial" w:cs="Arial"/>
                <w:i/>
                <w:iCs/>
                <w:sz w:val="22"/>
                <w:szCs w:val="22"/>
              </w:rPr>
              <w:t>Risk:</w:t>
            </w:r>
          </w:p>
          <w:p w:rsidR="007E7629" w:rsidRDefault="003E360F">
            <w:pPr>
              <w:jc w:val="center"/>
              <w:rPr>
                <w:rFonts w:ascii="Arial" w:eastAsia="Arial" w:hAnsi="Arial" w:cs="Arial"/>
                <w:i/>
                <w:iCs/>
                <w:color w:val="808080"/>
                <w:sz w:val="18"/>
                <w:szCs w:val="18"/>
              </w:rPr>
            </w:pPr>
            <w:r>
              <w:rPr>
                <w:rFonts w:ascii="Arial" w:eastAsia="Arial" w:hAnsi="Arial" w:cs="Arial"/>
                <w:color w:val="4EA72E"/>
                <w:sz w:val="22"/>
                <w:szCs w:val="22"/>
              </w:rPr>
              <w:t>This is particularly required for projects that will include time spent on working sites or where activities may impact habitats, heritage, or protected environments.</w:t>
            </w: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5536" w:type="dxa"/>
            <w:gridSpan w:val="3"/>
          </w:tcPr>
          <w:p w:rsidR="007E7629" w:rsidRDefault="003E360F">
            <w:pPr>
              <w:jc w:val="center"/>
              <w:rPr>
                <w:rFonts w:ascii="Arial" w:eastAsia="Arial" w:hAnsi="Arial" w:cs="Arial"/>
                <w:i/>
                <w:iCs/>
                <w:sz w:val="22"/>
                <w:szCs w:val="22"/>
              </w:rPr>
            </w:pPr>
            <w:r>
              <w:rPr>
                <w:rFonts w:ascii="Arial" w:eastAsia="Arial" w:hAnsi="Arial" w:cs="Arial"/>
                <w:i/>
                <w:iCs/>
                <w:sz w:val="22"/>
                <w:szCs w:val="22"/>
              </w:rPr>
              <w:t>How will you address any risks?</w:t>
            </w:r>
          </w:p>
          <w:p w:rsidR="007E7629" w:rsidRDefault="003E360F">
            <w:pPr>
              <w:jc w:val="center"/>
              <w:rPr>
                <w:rFonts w:ascii="Arial" w:eastAsia="Arial" w:hAnsi="Arial" w:cs="Arial"/>
                <w:sz w:val="22"/>
                <w:szCs w:val="22"/>
              </w:rPr>
            </w:pPr>
            <w:r>
              <w:rPr>
                <w:rFonts w:ascii="Arial" w:eastAsia="Arial" w:hAnsi="Arial" w:cs="Arial"/>
                <w:color w:val="4EA72E"/>
                <w:sz w:val="22"/>
                <w:szCs w:val="22"/>
              </w:rPr>
              <w:t>Ideally a full risk assessment document should be submitted with this form. You can also include qualifications and training courses completed as appropriate.</w:t>
            </w:r>
          </w:p>
          <w:p w:rsidR="007E7629" w:rsidRDefault="007E7629">
            <w:pPr>
              <w:jc w:val="center"/>
              <w:rPr>
                <w:rFonts w:ascii="Arial" w:eastAsia="Arial" w:hAnsi="Arial" w:cs="Arial"/>
              </w:rPr>
            </w:pPr>
          </w:p>
        </w:tc>
      </w:tr>
    </w:tbl>
    <w:p w:rsidR="007E7629" w:rsidRDefault="007E7629">
      <w:pPr>
        <w:jc w:val="center"/>
        <w:rPr>
          <w:rFonts w:ascii="Arial" w:eastAsia="Arial" w:hAnsi="Arial" w:cs="Arial"/>
        </w:rPr>
      </w:pPr>
    </w:p>
    <w:p w:rsidR="007E7629" w:rsidRDefault="003E360F">
      <w:pPr>
        <w:jc w:val="center"/>
        <w:rPr>
          <w:rFonts w:ascii="Arial" w:eastAsia="Arial" w:hAnsi="Arial" w:cs="Arial"/>
          <w:b/>
          <w:bCs/>
          <w:sz w:val="22"/>
          <w:szCs w:val="22"/>
        </w:rPr>
      </w:pPr>
      <w:r>
        <w:rPr>
          <w:rFonts w:ascii="Arial" w:eastAsia="Arial" w:hAnsi="Arial" w:cs="Arial"/>
          <w:b/>
          <w:bCs/>
          <w:sz w:val="22"/>
          <w:szCs w:val="22"/>
        </w:rPr>
        <w:t>SECTION R: Disclosure and Barring Service</w:t>
      </w:r>
    </w:p>
    <w:p w:rsidR="007E7629" w:rsidRDefault="007E7629">
      <w:pPr>
        <w:jc w:val="center"/>
        <w:rPr>
          <w:rFonts w:ascii="Arial" w:eastAsia="Arial" w:hAnsi="Arial" w:cs="Arial"/>
        </w:rPr>
      </w:pPr>
    </w:p>
    <w:tbl>
      <w:tblPr>
        <w:tblStyle w:val="aff3"/>
        <w:tblW w:w="1037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7E7629">
        <w:trPr>
          <w:trHeight w:val="483"/>
          <w:jc w:val="center"/>
        </w:trPr>
        <w:tc>
          <w:tcPr>
            <w:tcW w:w="10374" w:type="dxa"/>
            <w:gridSpan w:val="5"/>
            <w:shd w:val="clear" w:color="auto" w:fill="C1E4F5"/>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lastRenderedPageBreak/>
              <w:t>Disclosure and Barring Service</w:t>
            </w:r>
          </w:p>
        </w:tc>
      </w:tr>
      <w:tr w:rsidR="007E7629">
        <w:trPr>
          <w:jc w:val="center"/>
        </w:trPr>
        <w:tc>
          <w:tcPr>
            <w:tcW w:w="57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rsidR="007E7629" w:rsidRDefault="003E360F">
            <w:pPr>
              <w:jc w:val="cente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p w:rsidR="007E7629" w:rsidRDefault="007E7629">
            <w:pPr>
              <w:jc w:val="center"/>
              <w:rPr>
                <w:rFonts w:ascii="Arial" w:eastAsia="Arial" w:hAnsi="Arial" w:cs="Arial"/>
                <w:b/>
                <w:bCs/>
                <w:sz w:val="22"/>
                <w:szCs w:val="22"/>
              </w:rPr>
            </w:pPr>
          </w:p>
        </w:tc>
        <w:tc>
          <w:tcPr>
            <w:tcW w:w="1081" w:type="dxa"/>
            <w:shd w:val="clear" w:color="auto" w:fill="D9D9D9"/>
            <w:vAlign w:val="bottom"/>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p w:rsidR="007E7629" w:rsidRDefault="007E7629">
            <w:pPr>
              <w:jc w:val="center"/>
              <w:rPr>
                <w:rFonts w:ascii="Arial" w:eastAsia="Arial" w:hAnsi="Arial" w:cs="Arial"/>
                <w:b/>
                <w:bCs/>
                <w:sz w:val="22"/>
                <w:szCs w:val="22"/>
              </w:rPr>
            </w:pPr>
          </w:p>
        </w:tc>
        <w:tc>
          <w:tcPr>
            <w:tcW w:w="989" w:type="dxa"/>
            <w:shd w:val="clear" w:color="auto" w:fill="D9D9D9"/>
            <w:vAlign w:val="bottom"/>
          </w:tcPr>
          <w:p w:rsidR="007E7629" w:rsidRDefault="003E360F">
            <w:pPr>
              <w:jc w:val="center"/>
              <w:rPr>
                <w:rFonts w:ascii="Arial" w:eastAsia="Arial" w:hAnsi="Arial" w:cs="Arial"/>
                <w:b/>
                <w:bCs/>
                <w:sz w:val="22"/>
                <w:szCs w:val="22"/>
              </w:rPr>
            </w:pPr>
            <w:r>
              <w:rPr>
                <w:rFonts w:ascii="Arial" w:eastAsia="Arial" w:hAnsi="Arial" w:cs="Arial"/>
                <w:b/>
                <w:bCs/>
                <w:sz w:val="22"/>
                <w:szCs w:val="22"/>
              </w:rPr>
              <w:t>N/A</w:t>
            </w:r>
          </w:p>
          <w:p w:rsidR="007E7629" w:rsidRDefault="007E7629">
            <w:pPr>
              <w:jc w:val="center"/>
              <w:rPr>
                <w:rFonts w:ascii="Arial" w:eastAsia="Arial" w:hAnsi="Arial" w:cs="Arial"/>
                <w:b/>
                <w:bCs/>
                <w:sz w:val="22"/>
                <w:szCs w:val="22"/>
              </w:rPr>
            </w:pPr>
          </w:p>
        </w:tc>
      </w:tr>
      <w:tr w:rsidR="007E7629">
        <w:trPr>
          <w:trHeight w:val="492"/>
          <w:jc w:val="center"/>
        </w:trPr>
        <w:tc>
          <w:tcPr>
            <w:tcW w:w="579" w:type="dxa"/>
            <w:shd w:val="clear" w:color="auto" w:fill="F2F2F2"/>
            <w:vAlign w:val="center"/>
          </w:tcPr>
          <w:p w:rsidR="007E7629" w:rsidRDefault="007E7629">
            <w:pPr>
              <w:jc w:val="center"/>
              <w:rPr>
                <w:rFonts w:ascii="Arial" w:eastAsia="Arial" w:hAnsi="Arial" w:cs="Arial"/>
                <w:sz w:val="22"/>
                <w:szCs w:val="22"/>
              </w:rPr>
            </w:pPr>
          </w:p>
        </w:tc>
        <w:tc>
          <w:tcPr>
            <w:tcW w:w="67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rsidR="007E7629" w:rsidRDefault="003E360F">
            <w:pPr>
              <w:jc w:val="center"/>
              <w:rPr>
                <w:rFonts w:ascii="Arial" w:eastAsia="Arial" w:hAnsi="Arial" w:cs="Arial"/>
                <w:sz w:val="16"/>
                <w:szCs w:val="16"/>
              </w:rPr>
            </w:pPr>
            <w:r>
              <w:rPr>
                <w:rFonts w:ascii="Arial" w:eastAsia="Arial" w:hAnsi="Arial" w:cs="Arial"/>
                <w:sz w:val="22"/>
                <w:szCs w:val="22"/>
              </w:rPr>
              <w:t>☐</w:t>
            </w:r>
          </w:p>
        </w:tc>
        <w:tc>
          <w:tcPr>
            <w:tcW w:w="1081" w:type="dxa"/>
            <w:shd w:val="clear" w:color="auto" w:fill="D9D9D9"/>
            <w:vAlign w:val="center"/>
          </w:tcPr>
          <w:p w:rsidR="007E7629" w:rsidRDefault="003E360F">
            <w:pPr>
              <w:jc w:val="center"/>
              <w:rPr>
                <w:rFonts w:ascii="Arial" w:eastAsia="Arial" w:hAnsi="Arial" w:cs="Arial"/>
                <w:sz w:val="16"/>
                <w:szCs w:val="16"/>
              </w:rPr>
            </w:pPr>
            <w:r>
              <w:rPr>
                <w:rFonts w:ascii="Arial" w:eastAsia="Arial" w:hAnsi="Arial" w:cs="Arial"/>
                <w:sz w:val="22"/>
                <w:szCs w:val="22"/>
              </w:rPr>
              <w:t>☐</w:t>
            </w:r>
          </w:p>
        </w:tc>
        <w:tc>
          <w:tcPr>
            <w:tcW w:w="989" w:type="dxa"/>
            <w:shd w:val="clear" w:color="auto" w:fill="D9D9D9"/>
            <w:vAlign w:val="center"/>
          </w:tcPr>
          <w:p w:rsidR="007E7629" w:rsidRDefault="00FB5D41">
            <w:pPr>
              <w:jc w:val="center"/>
              <w:rPr>
                <w:rFonts w:ascii="Arial" w:eastAsia="Arial" w:hAnsi="Arial" w:cs="Arial"/>
                <w:b/>
                <w:bCs/>
                <w:sz w:val="16"/>
                <w:szCs w:val="16"/>
              </w:rPr>
            </w:pPr>
            <w:sdt>
              <w:sdtPr>
                <w:tag w:val="goog_rdk_74"/>
                <w:id w:val="-26098293"/>
              </w:sdtPr>
              <w:sdtEndPr/>
              <w:sdtContent>
                <w:r w:rsidR="003E360F">
                  <w:rPr>
                    <w:rFonts w:ascii="Arial Unicode MS" w:eastAsia="Arial Unicode MS" w:hAnsi="Arial Unicode MS" w:cs="Arial Unicode MS"/>
                    <w:b/>
                    <w:bCs/>
                    <w:sz w:val="16"/>
                    <w:szCs w:val="16"/>
                  </w:rPr>
                  <w:t xml:space="preserve">✓ </w:t>
                </w:r>
              </w:sdtContent>
            </w:sdt>
          </w:p>
        </w:tc>
      </w:tr>
      <w:tr w:rsidR="007E7629">
        <w:trPr>
          <w:trHeight w:val="492"/>
          <w:jc w:val="center"/>
        </w:trPr>
        <w:tc>
          <w:tcPr>
            <w:tcW w:w="57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007E7629" w:rsidRDefault="007E7629">
            <w:pPr>
              <w:jc w:val="center"/>
              <w:rPr>
                <w:rFonts w:ascii="Arial" w:eastAsia="Arial" w:hAnsi="Arial" w:cs="Arial"/>
                <w:b/>
                <w:bCs/>
                <w:sz w:val="22"/>
                <w:szCs w:val="22"/>
              </w:rPr>
            </w:pPr>
          </w:p>
        </w:tc>
      </w:tr>
    </w:tbl>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3E360F">
      <w:pPr>
        <w:spacing w:after="240"/>
        <w:jc w:val="center"/>
        <w:rPr>
          <w:rFonts w:ascii="Arial" w:eastAsia="Arial" w:hAnsi="Arial" w:cs="Arial"/>
          <w:b/>
          <w:bCs/>
          <w:sz w:val="22"/>
          <w:szCs w:val="22"/>
        </w:rPr>
      </w:pPr>
      <w:bookmarkStart w:id="90" w:name="bookmark=id.5h8o82gom9ge" w:colFirst="0" w:colLast="0"/>
      <w:bookmarkEnd w:id="90"/>
      <w:r>
        <w:rPr>
          <w:rFonts w:ascii="Arial" w:eastAsia="Arial" w:hAnsi="Arial" w:cs="Arial"/>
          <w:b/>
          <w:bCs/>
          <w:sz w:val="22"/>
          <w:szCs w:val="22"/>
        </w:rPr>
        <w:t>SECTION S: Declaration</w:t>
      </w:r>
    </w:p>
    <w:tbl>
      <w:tblPr>
        <w:tblStyle w:val="aff4"/>
        <w:tblW w:w="1038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7E7629">
        <w:trPr>
          <w:trHeight w:val="1807"/>
          <w:jc w:val="center"/>
        </w:trPr>
        <w:tc>
          <w:tcPr>
            <w:tcW w:w="10384" w:type="dxa"/>
            <w:gridSpan w:val="3"/>
            <w:shd w:val="clear" w:color="auto" w:fill="C1E4F5"/>
          </w:tcPr>
          <w:p w:rsidR="007E7629" w:rsidRDefault="003E360F">
            <w:pPr>
              <w:jc w:val="center"/>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rsidR="007E7629" w:rsidRDefault="007E7629">
            <w:pPr>
              <w:jc w:val="center"/>
              <w:rPr>
                <w:rFonts w:ascii="Arial" w:eastAsia="Arial" w:hAnsi="Arial" w:cs="Arial"/>
                <w:b/>
                <w:bCs/>
                <w:color w:val="000000"/>
                <w:sz w:val="22"/>
                <w:szCs w:val="22"/>
              </w:rPr>
            </w:pPr>
          </w:p>
          <w:p w:rsidR="007E7629" w:rsidRDefault="003E360F">
            <w:pPr>
              <w:jc w:val="center"/>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41">
              <w:r>
                <w:rPr>
                  <w:rFonts w:ascii="Arial" w:eastAsia="Arial" w:hAnsi="Arial" w:cs="Arial"/>
                  <w:color w:val="467886"/>
                  <w:sz w:val="22"/>
                  <w:szCs w:val="22"/>
                  <w:u w:val="single"/>
                </w:rPr>
                <w:t>https://www.uwtsd.ac.uk/research/research-ethics/</w:t>
              </w:r>
            </w:hyperlink>
          </w:p>
          <w:p w:rsidR="007E7629" w:rsidRDefault="007E7629">
            <w:pPr>
              <w:jc w:val="center"/>
              <w:rPr>
                <w:rFonts w:ascii="Arial" w:eastAsia="Arial" w:hAnsi="Arial" w:cs="Arial"/>
                <w:sz w:val="22"/>
                <w:szCs w:val="22"/>
              </w:rPr>
            </w:pPr>
          </w:p>
        </w:tc>
      </w:tr>
      <w:tr w:rsidR="007E7629">
        <w:trPr>
          <w:trHeight w:val="657"/>
          <w:jc w:val="cent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Name of applicant</w:t>
            </w:r>
          </w:p>
        </w:tc>
        <w:tc>
          <w:tcPr>
            <w:tcW w:w="7139" w:type="dxa"/>
            <w:tcBorders>
              <w:left w:val="single" w:sz="4" w:space="0" w:color="000000"/>
            </w:tcBorders>
            <w:vAlign w:val="center"/>
          </w:tcPr>
          <w:p w:rsidR="007E7629" w:rsidRDefault="007E7629">
            <w:pPr>
              <w:pBdr>
                <w:top w:val="nil"/>
                <w:left w:val="nil"/>
                <w:bottom w:val="nil"/>
                <w:right w:val="nil"/>
                <w:between w:val="nil"/>
              </w:pBdr>
              <w:jc w:val="center"/>
              <w:rPr>
                <w:rFonts w:ascii="Arial" w:eastAsia="Arial" w:hAnsi="Arial" w:cs="Arial"/>
                <w:color w:val="000000"/>
                <w:sz w:val="22"/>
                <w:szCs w:val="22"/>
              </w:rPr>
            </w:pPr>
          </w:p>
        </w:tc>
      </w:tr>
      <w:tr w:rsidR="007E7629">
        <w:trPr>
          <w:trHeight w:val="657"/>
          <w:jc w:val="cent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rsidR="007E7629" w:rsidRDefault="007E7629">
            <w:pPr>
              <w:pBdr>
                <w:top w:val="nil"/>
                <w:left w:val="nil"/>
                <w:bottom w:val="nil"/>
                <w:right w:val="nil"/>
                <w:between w:val="nil"/>
              </w:pBdr>
              <w:jc w:val="center"/>
              <w:rPr>
                <w:rFonts w:ascii="Arial" w:eastAsia="Arial" w:hAnsi="Arial" w:cs="Arial"/>
                <w:b/>
                <w:bCs/>
                <w:color w:val="000000"/>
                <w:sz w:val="22"/>
                <w:szCs w:val="22"/>
              </w:rPr>
            </w:pPr>
          </w:p>
        </w:tc>
      </w:tr>
      <w:tr w:rsidR="007E7629">
        <w:trPr>
          <w:trHeight w:val="657"/>
          <w:jc w:val="cent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rsidR="007E7629" w:rsidRDefault="007E7629">
            <w:pPr>
              <w:pBdr>
                <w:top w:val="nil"/>
                <w:left w:val="nil"/>
                <w:bottom w:val="nil"/>
                <w:right w:val="nil"/>
                <w:between w:val="nil"/>
              </w:pBdr>
              <w:jc w:val="center"/>
              <w:rPr>
                <w:rFonts w:ascii="Arial" w:eastAsia="Arial" w:hAnsi="Arial" w:cs="Arial"/>
                <w:b/>
                <w:bCs/>
                <w:color w:val="000000"/>
                <w:sz w:val="22"/>
                <w:szCs w:val="22"/>
              </w:rPr>
            </w:pPr>
          </w:p>
        </w:tc>
      </w:tr>
      <w:tr w:rsidR="007E7629">
        <w:trPr>
          <w:trHeight w:val="657"/>
          <w:jc w:val="cent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Name of Director of Studies</w:t>
            </w:r>
          </w:p>
        </w:tc>
        <w:tc>
          <w:tcPr>
            <w:tcW w:w="7139" w:type="dxa"/>
            <w:tcBorders>
              <w:left w:val="single" w:sz="4" w:space="0" w:color="000000"/>
            </w:tcBorders>
            <w:vAlign w:val="center"/>
          </w:tcPr>
          <w:p w:rsidR="007E7629" w:rsidRDefault="007E7629">
            <w:pPr>
              <w:pBdr>
                <w:top w:val="nil"/>
                <w:left w:val="nil"/>
                <w:bottom w:val="nil"/>
                <w:right w:val="nil"/>
                <w:between w:val="nil"/>
              </w:pBdr>
              <w:jc w:val="center"/>
              <w:rPr>
                <w:rFonts w:ascii="Arial" w:eastAsia="Arial" w:hAnsi="Arial" w:cs="Arial"/>
                <w:b/>
                <w:bCs/>
                <w:color w:val="000000"/>
                <w:sz w:val="22"/>
                <w:szCs w:val="22"/>
              </w:rPr>
            </w:pPr>
          </w:p>
        </w:tc>
      </w:tr>
      <w:tr w:rsidR="007E7629">
        <w:trPr>
          <w:trHeight w:val="657"/>
          <w:jc w:val="cent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rsidR="007E7629" w:rsidRDefault="007E7629">
            <w:pPr>
              <w:pBdr>
                <w:top w:val="nil"/>
                <w:left w:val="nil"/>
                <w:bottom w:val="nil"/>
                <w:right w:val="nil"/>
                <w:between w:val="nil"/>
              </w:pBdr>
              <w:jc w:val="center"/>
              <w:rPr>
                <w:rFonts w:ascii="Arial" w:eastAsia="Arial" w:hAnsi="Arial" w:cs="Arial"/>
                <w:b/>
                <w:bCs/>
                <w:color w:val="000000"/>
                <w:sz w:val="22"/>
                <w:szCs w:val="22"/>
              </w:rPr>
            </w:pPr>
          </w:p>
        </w:tc>
      </w:tr>
      <w:tr w:rsidR="007E7629">
        <w:trPr>
          <w:trHeight w:val="657"/>
          <w:jc w:val="cent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Date</w:t>
            </w:r>
          </w:p>
        </w:tc>
        <w:tc>
          <w:tcPr>
            <w:tcW w:w="7139" w:type="dxa"/>
            <w:tcBorders>
              <w:left w:val="single" w:sz="4" w:space="0" w:color="000000"/>
            </w:tcBorders>
            <w:vAlign w:val="center"/>
          </w:tcPr>
          <w:p w:rsidR="007E7629" w:rsidRDefault="007E7629">
            <w:pPr>
              <w:pBdr>
                <w:top w:val="nil"/>
                <w:left w:val="nil"/>
                <w:bottom w:val="nil"/>
                <w:right w:val="nil"/>
                <w:between w:val="nil"/>
              </w:pBdr>
              <w:jc w:val="center"/>
              <w:rPr>
                <w:rFonts w:ascii="Arial" w:eastAsia="Arial" w:hAnsi="Arial" w:cs="Arial"/>
                <w:b/>
                <w:bCs/>
                <w:color w:val="000000"/>
                <w:sz w:val="22"/>
                <w:szCs w:val="22"/>
              </w:rPr>
            </w:pPr>
          </w:p>
        </w:tc>
      </w:tr>
    </w:tbl>
    <w:p w:rsidR="007E7629" w:rsidRDefault="007E7629">
      <w:pPr>
        <w:jc w:val="center"/>
        <w:rPr>
          <w:rFonts w:ascii="Arial" w:eastAsia="Arial" w:hAnsi="Arial" w:cs="Arial"/>
          <w:b/>
          <w:bCs/>
          <w:sz w:val="22"/>
          <w:szCs w:val="22"/>
        </w:rPr>
      </w:pPr>
    </w:p>
    <w:p w:rsidR="007E7629" w:rsidRDefault="003E360F">
      <w:pPr>
        <w:spacing w:after="240"/>
        <w:jc w:val="center"/>
        <w:rPr>
          <w:rFonts w:ascii="Arial" w:eastAsia="Arial" w:hAnsi="Arial" w:cs="Arial"/>
          <w:sz w:val="22"/>
          <w:szCs w:val="22"/>
        </w:rPr>
      </w:pPr>
      <w:r>
        <w:rPr>
          <w:rFonts w:ascii="Arial" w:eastAsia="Arial" w:hAnsi="Arial" w:cs="Arial"/>
          <w:b/>
          <w:bCs/>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f5"/>
        <w:tblW w:w="1048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7E7629">
        <w:trPr>
          <w:trHeight w:val="498"/>
          <w:jc w:val="center"/>
        </w:trPr>
        <w:tc>
          <w:tcPr>
            <w:tcW w:w="460" w:type="dxa"/>
            <w:shd w:val="clear" w:color="auto" w:fill="FFFFFF"/>
            <w:vAlign w:val="center"/>
          </w:tcPr>
          <w:p w:rsidR="007E7629" w:rsidRDefault="003E360F">
            <w:pPr>
              <w:jc w:val="center"/>
              <w:rPr>
                <w:rFonts w:ascii="Arial" w:eastAsia="Arial" w:hAnsi="Arial" w:cs="Arial"/>
              </w:rPr>
            </w:pPr>
            <w:r>
              <w:rPr>
                <w:rFonts w:ascii="Arial" w:eastAsia="Arial" w:hAnsi="Arial" w:cs="Arial"/>
              </w:rPr>
              <w:lastRenderedPageBreak/>
              <w:t>1</w:t>
            </w:r>
          </w:p>
        </w:tc>
        <w:tc>
          <w:tcPr>
            <w:tcW w:w="660" w:type="dxa"/>
            <w:shd w:val="clear" w:color="auto" w:fill="D9D9D9"/>
            <w:vAlign w:val="center"/>
          </w:tcPr>
          <w:p w:rsidR="007E7629" w:rsidRDefault="00FB5D41">
            <w:pPr>
              <w:jc w:val="center"/>
              <w:rPr>
                <w:rFonts w:ascii="Arial" w:eastAsia="Arial" w:hAnsi="Arial" w:cs="Arial"/>
                <w:b/>
                <w:bCs/>
                <w:sz w:val="22"/>
                <w:szCs w:val="22"/>
              </w:rPr>
            </w:pPr>
            <w:sdt>
              <w:sdtPr>
                <w:tag w:val="goog_rdk_75"/>
                <w:id w:val="-2030879565"/>
              </w:sdtPr>
              <w:sdtEndPr/>
              <w:sdtContent>
                <w:r w:rsidR="003E360F">
                  <w:rPr>
                    <w:rFonts w:ascii="Arial Unicode MS" w:eastAsia="Arial Unicode MS" w:hAnsi="Arial Unicode MS" w:cs="Arial Unicode MS"/>
                    <w:b/>
                    <w:bCs/>
                    <w:sz w:val="22"/>
                    <w:szCs w:val="22"/>
                  </w:rPr>
                  <w:t xml:space="preserve">✓ </w:t>
                </w:r>
              </w:sdtContent>
            </w:sdt>
          </w:p>
        </w:tc>
        <w:tc>
          <w:tcPr>
            <w:tcW w:w="9362" w:type="dxa"/>
            <w:gridSpan w:val="9"/>
            <w:vAlign w:val="center"/>
          </w:tcPr>
          <w:p w:rsidR="007E7629" w:rsidRDefault="003E360F">
            <w:pPr>
              <w:jc w:val="cente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7E7629">
        <w:trPr>
          <w:trHeight w:val="576"/>
          <w:jc w:val="center"/>
        </w:trPr>
        <w:tc>
          <w:tcPr>
            <w:tcW w:w="460" w:type="dxa"/>
            <w:shd w:val="clear" w:color="auto" w:fill="FFFFFF"/>
            <w:vAlign w:val="center"/>
          </w:tcPr>
          <w:p w:rsidR="007E7629" w:rsidRDefault="003E360F">
            <w:pPr>
              <w:jc w:val="center"/>
              <w:rPr>
                <w:rFonts w:ascii="Arial" w:eastAsia="Arial" w:hAnsi="Arial" w:cs="Arial"/>
              </w:rPr>
            </w:pPr>
            <w:r>
              <w:rPr>
                <w:rFonts w:ascii="Arial" w:eastAsia="Arial" w:hAnsi="Arial" w:cs="Arial"/>
              </w:rPr>
              <w:t>2</w:t>
            </w:r>
          </w:p>
        </w:tc>
        <w:tc>
          <w:tcPr>
            <w:tcW w:w="660" w:type="dxa"/>
            <w:shd w:val="clear" w:color="auto" w:fill="D9D9D9"/>
            <w:vAlign w:val="center"/>
          </w:tcPr>
          <w:p w:rsidR="007E7629" w:rsidRDefault="00FB5D41">
            <w:pPr>
              <w:jc w:val="center"/>
              <w:rPr>
                <w:rFonts w:ascii="Arial" w:eastAsia="Arial" w:hAnsi="Arial" w:cs="Arial"/>
                <w:b/>
                <w:bCs/>
                <w:sz w:val="22"/>
                <w:szCs w:val="22"/>
              </w:rPr>
            </w:pPr>
            <w:sdt>
              <w:sdtPr>
                <w:tag w:val="goog_rdk_76"/>
                <w:id w:val="-493341938"/>
              </w:sdtPr>
              <w:sdtEndPr/>
              <w:sdtContent>
                <w:r w:rsidR="003E360F">
                  <w:rPr>
                    <w:rFonts w:ascii="Arial Unicode MS" w:eastAsia="Arial Unicode MS" w:hAnsi="Arial Unicode MS" w:cs="Arial Unicode MS"/>
                    <w:b/>
                    <w:bCs/>
                    <w:sz w:val="22"/>
                    <w:szCs w:val="22"/>
                  </w:rPr>
                  <w:t xml:space="preserve">✓ </w:t>
                </w:r>
              </w:sdtContent>
            </w:sdt>
          </w:p>
        </w:tc>
        <w:tc>
          <w:tcPr>
            <w:tcW w:w="9362" w:type="dxa"/>
            <w:gridSpan w:val="9"/>
            <w:vAlign w:val="center"/>
          </w:tcPr>
          <w:p w:rsidR="007E7629" w:rsidRDefault="003E360F">
            <w:pPr>
              <w:jc w:val="center"/>
              <w:rPr>
                <w:rFonts w:ascii="Arial" w:eastAsia="Arial" w:hAnsi="Arial" w:cs="Arial"/>
                <w:sz w:val="22"/>
                <w:szCs w:val="22"/>
              </w:rPr>
            </w:pPr>
            <w:r>
              <w:rPr>
                <w:rFonts w:ascii="Arial" w:eastAsia="Arial" w:hAnsi="Arial" w:cs="Arial"/>
                <w:sz w:val="22"/>
                <w:szCs w:val="22"/>
              </w:rPr>
              <w:t>I have completed all relevant sections of the form in full.</w:t>
            </w:r>
          </w:p>
        </w:tc>
      </w:tr>
      <w:tr w:rsidR="007E7629">
        <w:trPr>
          <w:trHeight w:val="567"/>
          <w:jc w:val="center"/>
        </w:trPr>
        <w:tc>
          <w:tcPr>
            <w:tcW w:w="460" w:type="dxa"/>
            <w:shd w:val="clear" w:color="auto" w:fill="FFFFFF"/>
            <w:vAlign w:val="center"/>
          </w:tcPr>
          <w:p w:rsidR="007E7629" w:rsidRDefault="003E360F">
            <w:pPr>
              <w:jc w:val="center"/>
              <w:rPr>
                <w:rFonts w:ascii="Arial" w:eastAsia="Arial" w:hAnsi="Arial" w:cs="Arial"/>
              </w:rPr>
            </w:pPr>
            <w:r>
              <w:rPr>
                <w:rFonts w:ascii="Arial" w:eastAsia="Arial" w:hAnsi="Arial" w:cs="Arial"/>
              </w:rPr>
              <w:t>3</w:t>
            </w:r>
          </w:p>
        </w:tc>
        <w:tc>
          <w:tcPr>
            <w:tcW w:w="660" w:type="dxa"/>
            <w:shd w:val="clear" w:color="auto" w:fill="D9D9D9"/>
            <w:vAlign w:val="center"/>
          </w:tcPr>
          <w:p w:rsidR="007E7629" w:rsidRDefault="00FB5D41">
            <w:pPr>
              <w:jc w:val="center"/>
              <w:rPr>
                <w:rFonts w:ascii="Arial" w:eastAsia="Arial" w:hAnsi="Arial" w:cs="Arial"/>
                <w:b/>
                <w:bCs/>
                <w:sz w:val="22"/>
                <w:szCs w:val="22"/>
              </w:rPr>
            </w:pPr>
            <w:sdt>
              <w:sdtPr>
                <w:tag w:val="goog_rdk_77"/>
                <w:id w:val="-2026776769"/>
              </w:sdtPr>
              <w:sdtEndPr/>
              <w:sdtContent>
                <w:r w:rsidR="003E360F">
                  <w:rPr>
                    <w:rFonts w:ascii="Arial Unicode MS" w:eastAsia="Arial Unicode MS" w:hAnsi="Arial Unicode MS" w:cs="Arial Unicode MS"/>
                    <w:b/>
                    <w:bCs/>
                    <w:sz w:val="22"/>
                    <w:szCs w:val="22"/>
                  </w:rPr>
                  <w:t xml:space="preserve">✓ </w:t>
                </w:r>
              </w:sdtContent>
            </w:sdt>
          </w:p>
        </w:tc>
        <w:tc>
          <w:tcPr>
            <w:tcW w:w="9362" w:type="dxa"/>
            <w:gridSpan w:val="9"/>
            <w:vAlign w:val="center"/>
          </w:tcPr>
          <w:p w:rsidR="007E7629" w:rsidRDefault="003E360F">
            <w:pPr>
              <w:jc w:val="center"/>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7E7629">
        <w:trPr>
          <w:trHeight w:val="403"/>
          <w:jc w:val="center"/>
        </w:trPr>
        <w:tc>
          <w:tcPr>
            <w:tcW w:w="460" w:type="dxa"/>
            <w:shd w:val="clear" w:color="auto" w:fill="FFFFFF"/>
            <w:vAlign w:val="center"/>
          </w:tcPr>
          <w:p w:rsidR="007E7629" w:rsidRDefault="003E360F">
            <w:pPr>
              <w:jc w:val="center"/>
              <w:rPr>
                <w:rFonts w:ascii="Arial" w:eastAsia="Arial" w:hAnsi="Arial" w:cs="Arial"/>
              </w:rPr>
            </w:pPr>
            <w:r>
              <w:rPr>
                <w:rFonts w:ascii="Arial" w:eastAsia="Arial" w:hAnsi="Arial" w:cs="Arial"/>
              </w:rPr>
              <w:t>4</w:t>
            </w:r>
          </w:p>
        </w:tc>
        <w:tc>
          <w:tcPr>
            <w:tcW w:w="660" w:type="dxa"/>
            <w:shd w:val="clear" w:color="auto" w:fill="D9D9D9"/>
            <w:vAlign w:val="center"/>
          </w:tcPr>
          <w:p w:rsidR="007E7629" w:rsidRDefault="00FB5D41">
            <w:pPr>
              <w:jc w:val="center"/>
              <w:rPr>
                <w:rFonts w:ascii="Arial" w:eastAsia="Arial" w:hAnsi="Arial" w:cs="Arial"/>
                <w:b/>
                <w:bCs/>
              </w:rPr>
            </w:pPr>
            <w:sdt>
              <w:sdtPr>
                <w:tag w:val="goog_rdk_78"/>
                <w:id w:val="1895335224"/>
              </w:sdtPr>
              <w:sdtEndPr/>
              <w:sdtContent>
                <w:r w:rsidR="003E360F">
                  <w:rPr>
                    <w:rFonts w:ascii="Arial Unicode MS" w:eastAsia="Arial Unicode MS" w:hAnsi="Arial Unicode MS" w:cs="Arial Unicode MS"/>
                    <w:b/>
                    <w:bCs/>
                  </w:rPr>
                  <w:t xml:space="preserve">✓ </w:t>
                </w:r>
              </w:sdtContent>
            </w:sdt>
          </w:p>
        </w:tc>
        <w:tc>
          <w:tcPr>
            <w:tcW w:w="9362" w:type="dxa"/>
            <w:gridSpan w:val="9"/>
            <w:vAlign w:val="center"/>
          </w:tcPr>
          <w:p w:rsidR="007E7629" w:rsidRDefault="003E360F">
            <w:pPr>
              <w:jc w:val="center"/>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7E7629">
        <w:trPr>
          <w:trHeight w:val="482"/>
          <w:jc w:val="center"/>
        </w:trPr>
        <w:tc>
          <w:tcPr>
            <w:tcW w:w="460" w:type="dxa"/>
            <w:shd w:val="clear" w:color="auto" w:fill="FFFFFF"/>
            <w:vAlign w:val="center"/>
          </w:tcPr>
          <w:p w:rsidR="007E7629" w:rsidRDefault="003E360F">
            <w:pPr>
              <w:jc w:val="center"/>
              <w:rPr>
                <w:rFonts w:ascii="Arial" w:eastAsia="Arial" w:hAnsi="Arial" w:cs="Arial"/>
              </w:rPr>
            </w:pPr>
            <w:r>
              <w:rPr>
                <w:rFonts w:ascii="Arial" w:eastAsia="Arial" w:hAnsi="Arial" w:cs="Arial"/>
              </w:rPr>
              <w:t>5</w:t>
            </w:r>
          </w:p>
        </w:tc>
        <w:tc>
          <w:tcPr>
            <w:tcW w:w="660" w:type="dxa"/>
            <w:shd w:val="clear" w:color="auto" w:fill="D9D9D9"/>
            <w:vAlign w:val="center"/>
          </w:tcPr>
          <w:p w:rsidR="007E7629" w:rsidRDefault="00FB5D41">
            <w:pPr>
              <w:jc w:val="center"/>
              <w:rPr>
                <w:rFonts w:ascii="Arial" w:eastAsia="Arial" w:hAnsi="Arial" w:cs="Arial"/>
                <w:b/>
                <w:bCs/>
              </w:rPr>
            </w:pPr>
            <w:sdt>
              <w:sdtPr>
                <w:tag w:val="goog_rdk_79"/>
                <w:id w:val="-225120773"/>
              </w:sdtPr>
              <w:sdtEndPr/>
              <w:sdtContent>
                <w:r w:rsidR="003E360F">
                  <w:rPr>
                    <w:rFonts w:ascii="Arial Unicode MS" w:eastAsia="Arial Unicode MS" w:hAnsi="Arial Unicode MS" w:cs="Arial Unicode MS"/>
                    <w:b/>
                    <w:bCs/>
                  </w:rPr>
                  <w:t xml:space="preserve">✓ </w:t>
                </w:r>
              </w:sdtContent>
            </w:sdt>
          </w:p>
        </w:tc>
        <w:tc>
          <w:tcPr>
            <w:tcW w:w="9362" w:type="dxa"/>
            <w:gridSpan w:val="9"/>
            <w:vAlign w:val="center"/>
          </w:tcPr>
          <w:p w:rsidR="007E7629" w:rsidRDefault="003E360F">
            <w:pPr>
              <w:jc w:val="center"/>
              <w:rPr>
                <w:rFonts w:ascii="Arial" w:eastAsia="Arial" w:hAnsi="Arial" w:cs="Arial"/>
                <w:sz w:val="22"/>
                <w:szCs w:val="22"/>
              </w:rPr>
            </w:pPr>
            <w:r>
              <w:rPr>
                <w:rFonts w:ascii="Arial" w:eastAsia="Arial" w:hAnsi="Arial" w:cs="Arial"/>
                <w:sz w:val="22"/>
                <w:szCs w:val="22"/>
              </w:rPr>
              <w:t>I have attached a full risk assessment (where appropriate)</w:t>
            </w:r>
          </w:p>
        </w:tc>
      </w:tr>
      <w:tr w:rsidR="007E7629">
        <w:trPr>
          <w:trHeight w:val="414"/>
          <w:jc w:val="center"/>
        </w:trPr>
        <w:tc>
          <w:tcPr>
            <w:tcW w:w="460" w:type="dxa"/>
            <w:shd w:val="clear" w:color="auto" w:fill="FFFFFF"/>
            <w:vAlign w:val="center"/>
          </w:tcPr>
          <w:p w:rsidR="007E7629" w:rsidRDefault="003E360F">
            <w:pPr>
              <w:jc w:val="center"/>
              <w:rPr>
                <w:rFonts w:ascii="Arial" w:eastAsia="Arial" w:hAnsi="Arial" w:cs="Arial"/>
              </w:rPr>
            </w:pPr>
            <w:r>
              <w:rPr>
                <w:rFonts w:ascii="Arial" w:eastAsia="Arial" w:hAnsi="Arial" w:cs="Arial"/>
              </w:rPr>
              <w:t>6</w:t>
            </w:r>
          </w:p>
        </w:tc>
        <w:tc>
          <w:tcPr>
            <w:tcW w:w="660" w:type="dxa"/>
            <w:shd w:val="clear" w:color="auto" w:fill="D9D9D9"/>
            <w:vAlign w:val="center"/>
          </w:tcPr>
          <w:p w:rsidR="007E7629" w:rsidRDefault="00FB5D41">
            <w:pPr>
              <w:jc w:val="center"/>
              <w:rPr>
                <w:rFonts w:ascii="Arial" w:eastAsia="Arial" w:hAnsi="Arial" w:cs="Arial"/>
                <w:b/>
                <w:bCs/>
                <w:sz w:val="22"/>
                <w:szCs w:val="22"/>
              </w:rPr>
            </w:pPr>
            <w:sdt>
              <w:sdtPr>
                <w:tag w:val="goog_rdk_80"/>
                <w:id w:val="-1909896167"/>
              </w:sdtPr>
              <w:sdtEndPr/>
              <w:sdtContent>
                <w:r w:rsidR="003E360F">
                  <w:rPr>
                    <w:rFonts w:ascii="Arial Unicode MS" w:eastAsia="Arial Unicode MS" w:hAnsi="Arial Unicode MS" w:cs="Arial Unicode MS"/>
                    <w:b/>
                    <w:bCs/>
                    <w:sz w:val="22"/>
                    <w:szCs w:val="22"/>
                  </w:rPr>
                  <w:t xml:space="preserve">✓ </w:t>
                </w:r>
              </w:sdtContent>
            </w:sdt>
          </w:p>
        </w:tc>
        <w:tc>
          <w:tcPr>
            <w:tcW w:w="9362" w:type="dxa"/>
            <w:gridSpan w:val="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7E7629">
        <w:trPr>
          <w:trHeight w:val="399"/>
          <w:jc w:val="center"/>
        </w:trPr>
        <w:tc>
          <w:tcPr>
            <w:tcW w:w="460" w:type="dxa"/>
            <w:shd w:val="clear" w:color="auto" w:fill="FFFFFF"/>
            <w:vAlign w:val="center"/>
          </w:tcPr>
          <w:p w:rsidR="007E7629" w:rsidRDefault="003E360F">
            <w:pPr>
              <w:jc w:val="center"/>
              <w:rPr>
                <w:rFonts w:ascii="Arial" w:eastAsia="Arial" w:hAnsi="Arial" w:cs="Arial"/>
              </w:rPr>
            </w:pPr>
            <w:r>
              <w:rPr>
                <w:rFonts w:ascii="Arial" w:eastAsia="Arial" w:hAnsi="Arial" w:cs="Arial"/>
              </w:rPr>
              <w:t>7</w:t>
            </w:r>
          </w:p>
        </w:tc>
        <w:tc>
          <w:tcPr>
            <w:tcW w:w="660" w:type="dxa"/>
            <w:shd w:val="clear" w:color="auto" w:fill="D9D9D9"/>
            <w:vAlign w:val="center"/>
          </w:tcPr>
          <w:p w:rsidR="007E7629" w:rsidRDefault="00FB5D41">
            <w:pPr>
              <w:jc w:val="center"/>
              <w:rPr>
                <w:rFonts w:ascii="Arial" w:eastAsia="Arial" w:hAnsi="Arial" w:cs="Arial"/>
                <w:b/>
                <w:bCs/>
                <w:sz w:val="22"/>
                <w:szCs w:val="22"/>
              </w:rPr>
            </w:pPr>
            <w:sdt>
              <w:sdtPr>
                <w:tag w:val="goog_rdk_81"/>
                <w:id w:val="-868603887"/>
              </w:sdtPr>
              <w:sdtEndPr/>
              <w:sdtContent>
                <w:r w:rsidR="003E360F">
                  <w:rPr>
                    <w:rFonts w:ascii="Arial Unicode MS" w:eastAsia="Arial Unicode MS" w:hAnsi="Arial Unicode MS" w:cs="Arial Unicode MS"/>
                    <w:b/>
                    <w:bCs/>
                    <w:sz w:val="22"/>
                    <w:szCs w:val="22"/>
                  </w:rPr>
                  <w:t xml:space="preserve">✓ </w:t>
                </w:r>
              </w:sdtContent>
            </w:sdt>
          </w:p>
        </w:tc>
        <w:tc>
          <w:tcPr>
            <w:tcW w:w="9362" w:type="dxa"/>
            <w:gridSpan w:val="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7E7629">
        <w:trPr>
          <w:trHeight w:val="412"/>
          <w:jc w:val="center"/>
        </w:trPr>
        <w:tc>
          <w:tcPr>
            <w:tcW w:w="460" w:type="dxa"/>
            <w:shd w:val="clear" w:color="auto" w:fill="FFFFFF"/>
            <w:vAlign w:val="center"/>
          </w:tcPr>
          <w:p w:rsidR="007E7629" w:rsidRDefault="003E360F">
            <w:pPr>
              <w:jc w:val="center"/>
              <w:rPr>
                <w:rFonts w:ascii="Arial" w:eastAsia="Arial" w:hAnsi="Arial" w:cs="Arial"/>
              </w:rPr>
            </w:pPr>
            <w:r>
              <w:rPr>
                <w:rFonts w:ascii="Arial" w:eastAsia="Arial" w:hAnsi="Arial" w:cs="Arial"/>
              </w:rPr>
              <w:t>8</w:t>
            </w:r>
          </w:p>
        </w:tc>
        <w:tc>
          <w:tcPr>
            <w:tcW w:w="660" w:type="dxa"/>
            <w:shd w:val="clear" w:color="auto" w:fill="D9D9D9"/>
            <w:vAlign w:val="center"/>
          </w:tcPr>
          <w:p w:rsidR="007E7629" w:rsidRDefault="00FB5D41">
            <w:pPr>
              <w:jc w:val="center"/>
              <w:rPr>
                <w:rFonts w:ascii="Arial" w:eastAsia="Arial" w:hAnsi="Arial" w:cs="Arial"/>
                <w:b/>
                <w:bCs/>
              </w:rPr>
            </w:pPr>
            <w:sdt>
              <w:sdtPr>
                <w:tag w:val="goog_rdk_82"/>
                <w:id w:val="38800155"/>
              </w:sdtPr>
              <w:sdtEndPr/>
              <w:sdtContent>
                <w:r w:rsidR="003E360F">
                  <w:rPr>
                    <w:rFonts w:ascii="Arial Unicode MS" w:eastAsia="Arial Unicode MS" w:hAnsi="Arial Unicode MS" w:cs="Arial Unicode MS"/>
                    <w:b/>
                    <w:bCs/>
                  </w:rPr>
                  <w:t xml:space="preserve">✓ </w:t>
                </w:r>
              </w:sdtContent>
            </w:sdt>
          </w:p>
        </w:tc>
        <w:tc>
          <w:tcPr>
            <w:tcW w:w="9362" w:type="dxa"/>
            <w:gridSpan w:val="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7E7629">
        <w:trPr>
          <w:trHeight w:val="565"/>
          <w:jc w:val="center"/>
        </w:trPr>
        <w:tc>
          <w:tcPr>
            <w:tcW w:w="460" w:type="dxa"/>
            <w:shd w:val="clear" w:color="auto" w:fill="FFFFFF"/>
            <w:vAlign w:val="center"/>
          </w:tcPr>
          <w:p w:rsidR="007E7629" w:rsidRDefault="003E360F">
            <w:pPr>
              <w:jc w:val="center"/>
              <w:rPr>
                <w:rFonts w:ascii="Arial" w:eastAsia="Arial" w:hAnsi="Arial" w:cs="Arial"/>
              </w:rPr>
            </w:pPr>
            <w:r>
              <w:rPr>
                <w:rFonts w:ascii="Arial" w:eastAsia="Arial" w:hAnsi="Arial" w:cs="Arial"/>
              </w:rPr>
              <w:t>9</w:t>
            </w:r>
          </w:p>
        </w:tc>
        <w:tc>
          <w:tcPr>
            <w:tcW w:w="660" w:type="dxa"/>
            <w:shd w:val="clear" w:color="auto" w:fill="D9D9D9"/>
            <w:vAlign w:val="center"/>
          </w:tcPr>
          <w:p w:rsidR="007E7629" w:rsidRDefault="00FB5D41">
            <w:pPr>
              <w:jc w:val="center"/>
              <w:rPr>
                <w:rFonts w:ascii="Arial" w:eastAsia="Arial" w:hAnsi="Arial" w:cs="Arial"/>
                <w:b/>
                <w:bCs/>
              </w:rPr>
            </w:pPr>
            <w:sdt>
              <w:sdtPr>
                <w:tag w:val="goog_rdk_83"/>
                <w:id w:val="1479313033"/>
              </w:sdtPr>
              <w:sdtEndPr/>
              <w:sdtContent>
                <w:r w:rsidR="003E360F">
                  <w:rPr>
                    <w:rFonts w:ascii="Arial Unicode MS" w:eastAsia="Arial Unicode MS" w:hAnsi="Arial Unicode MS" w:cs="Arial Unicode MS"/>
                    <w:b/>
                    <w:bCs/>
                  </w:rPr>
                  <w:t xml:space="preserve">✓ </w:t>
                </w:r>
              </w:sdtContent>
            </w:sdt>
          </w:p>
        </w:tc>
        <w:tc>
          <w:tcPr>
            <w:tcW w:w="9362" w:type="dxa"/>
            <w:gridSpan w:val="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7E7629">
        <w:trPr>
          <w:trHeight w:val="432"/>
          <w:jc w:val="center"/>
        </w:trPr>
        <w:tc>
          <w:tcPr>
            <w:tcW w:w="460" w:type="dxa"/>
            <w:vMerge w:val="restart"/>
            <w:shd w:val="clear" w:color="auto" w:fill="FFFFFF"/>
            <w:vAlign w:val="center"/>
          </w:tcPr>
          <w:p w:rsidR="007E7629" w:rsidRDefault="003E360F">
            <w:pPr>
              <w:jc w:val="center"/>
              <w:rPr>
                <w:rFonts w:ascii="Arial" w:eastAsia="Arial" w:hAnsi="Arial" w:cs="Arial"/>
              </w:rPr>
            </w:pPr>
            <w:r>
              <w:rPr>
                <w:rFonts w:ascii="Arial" w:eastAsia="Arial" w:hAnsi="Arial" w:cs="Arial"/>
              </w:rPr>
              <w:t>10</w:t>
            </w:r>
          </w:p>
        </w:tc>
        <w:tc>
          <w:tcPr>
            <w:tcW w:w="3221" w:type="dxa"/>
            <w:gridSpan w:val="2"/>
            <w:vMerge w:val="restart"/>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rsidR="007E7629" w:rsidRDefault="003E360F">
            <w:pPr>
              <w:jc w:val="center"/>
              <w:rPr>
                <w:rFonts w:ascii="Arial" w:eastAsia="Arial" w:hAnsi="Arial" w:cs="Arial"/>
              </w:rPr>
            </w:pPr>
            <w:r>
              <w:rPr>
                <w:rFonts w:ascii="Arial" w:eastAsia="Arial" w:hAnsi="Arial" w:cs="Arial"/>
              </w:rPr>
              <w:t>☐</w:t>
            </w:r>
          </w:p>
        </w:tc>
        <w:tc>
          <w:tcPr>
            <w:tcW w:w="850" w:type="dxa"/>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rsidR="007E7629" w:rsidRDefault="00FB5D41">
            <w:pPr>
              <w:jc w:val="center"/>
              <w:rPr>
                <w:rFonts w:ascii="Arial" w:eastAsia="Arial" w:hAnsi="Arial" w:cs="Arial"/>
                <w:b/>
                <w:bCs/>
              </w:rPr>
            </w:pPr>
            <w:sdt>
              <w:sdtPr>
                <w:tag w:val="goog_rdk_84"/>
                <w:id w:val="570567864"/>
              </w:sdtPr>
              <w:sdtEndPr/>
              <w:sdtContent>
                <w:r w:rsidR="003E360F">
                  <w:rPr>
                    <w:rFonts w:ascii="Arial Unicode MS" w:eastAsia="Arial Unicode MS" w:hAnsi="Arial Unicode MS" w:cs="Arial Unicode MS"/>
                  </w:rPr>
                  <w:t xml:space="preserve">✓ </w:t>
                </w:r>
              </w:sdtContent>
            </w:sdt>
          </w:p>
        </w:tc>
        <w:tc>
          <w:tcPr>
            <w:tcW w:w="850" w:type="dxa"/>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rsidR="007E7629" w:rsidRDefault="003E360F">
            <w:pPr>
              <w:jc w:val="center"/>
              <w:rPr>
                <w:rFonts w:ascii="Arial" w:eastAsia="Arial" w:hAnsi="Arial" w:cs="Arial"/>
              </w:rPr>
            </w:pPr>
            <w:r>
              <w:rPr>
                <w:rFonts w:ascii="Arial" w:eastAsia="Arial" w:hAnsi="Arial" w:cs="Arial"/>
              </w:rPr>
              <w:t>☐</w:t>
            </w:r>
          </w:p>
        </w:tc>
        <w:tc>
          <w:tcPr>
            <w:tcW w:w="850" w:type="dxa"/>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396"/>
          <w:jc w:val="center"/>
        </w:trPr>
        <w:tc>
          <w:tcPr>
            <w:tcW w:w="460" w:type="dxa"/>
            <w:vMerge/>
            <w:shd w:val="clear" w:color="auto" w:fill="FFFFFF"/>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3221" w:type="dxa"/>
            <w:gridSpan w:val="2"/>
            <w:vMerge/>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rsidR="007E7629" w:rsidRDefault="003E360F">
            <w:pPr>
              <w:jc w:val="center"/>
              <w:rPr>
                <w:rFonts w:ascii="Arial" w:eastAsia="Arial" w:hAnsi="Arial" w:cs="Arial"/>
              </w:rPr>
            </w:pPr>
            <w:r>
              <w:rPr>
                <w:rFonts w:ascii="Arial" w:eastAsia="Arial" w:hAnsi="Arial" w:cs="Arial"/>
              </w:rPr>
              <w:t>☐</w:t>
            </w:r>
          </w:p>
        </w:tc>
        <w:tc>
          <w:tcPr>
            <w:tcW w:w="850" w:type="dxa"/>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rsidR="007E7629" w:rsidRDefault="003E360F">
            <w:pPr>
              <w:jc w:val="center"/>
              <w:rPr>
                <w:rFonts w:ascii="Arial" w:eastAsia="Arial" w:hAnsi="Arial" w:cs="Arial"/>
              </w:rPr>
            </w:pPr>
            <w:r>
              <w:rPr>
                <w:rFonts w:ascii="Arial" w:eastAsia="Arial" w:hAnsi="Arial" w:cs="Arial"/>
              </w:rPr>
              <w:t>☐</w:t>
            </w:r>
          </w:p>
        </w:tc>
        <w:tc>
          <w:tcPr>
            <w:tcW w:w="850" w:type="dxa"/>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rsidR="007E7629" w:rsidRDefault="003E360F">
            <w:pPr>
              <w:jc w:val="center"/>
              <w:rPr>
                <w:rFonts w:ascii="Arial" w:eastAsia="Arial" w:hAnsi="Arial" w:cs="Arial"/>
              </w:rPr>
            </w:pPr>
            <w:r>
              <w:rPr>
                <w:rFonts w:ascii="Arial" w:eastAsia="Arial" w:hAnsi="Arial" w:cs="Arial"/>
              </w:rPr>
              <w:t>☐</w:t>
            </w:r>
          </w:p>
        </w:tc>
        <w:tc>
          <w:tcPr>
            <w:tcW w:w="850" w:type="dxa"/>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rsidR="007E7629" w:rsidRDefault="003E360F">
            <w:pPr>
              <w:jc w:val="center"/>
              <w:rPr>
                <w:rFonts w:ascii="Arial" w:eastAsia="Arial" w:hAnsi="Arial" w:cs="Arial"/>
              </w:rPr>
            </w:pPr>
            <w:r>
              <w:rPr>
                <w:rFonts w:ascii="Arial" w:eastAsia="Arial" w:hAnsi="Arial" w:cs="Arial"/>
              </w:rPr>
              <w:t>☐</w:t>
            </w:r>
          </w:p>
        </w:tc>
      </w:tr>
    </w:tbl>
    <w:p w:rsidR="007E7629" w:rsidRDefault="007E7629">
      <w:pPr>
        <w:tabs>
          <w:tab w:val="left" w:pos="5103"/>
        </w:tabs>
        <w:jc w:val="center"/>
        <w:rPr>
          <w:rFonts w:ascii="Arial" w:eastAsia="Arial" w:hAnsi="Arial" w:cs="Arial"/>
          <w:b/>
          <w:bCs/>
          <w:sz w:val="22"/>
          <w:szCs w:val="22"/>
        </w:rPr>
      </w:pPr>
    </w:p>
    <w:tbl>
      <w:tblPr>
        <w:tblStyle w:val="aff6"/>
        <w:tblW w:w="10485" w:type="dxa"/>
        <w:jc w:val="center"/>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7E7629">
        <w:trPr>
          <w:jc w:val="center"/>
        </w:trPr>
        <w:tc>
          <w:tcPr>
            <w:tcW w:w="10485" w:type="dxa"/>
            <w:shd w:val="clear" w:color="auto" w:fill="C1F0C8"/>
          </w:tcPr>
          <w:p w:rsidR="007E7629" w:rsidRDefault="007E7629">
            <w:pPr>
              <w:jc w:val="center"/>
              <w:rPr>
                <w:rFonts w:ascii="Arial" w:eastAsia="Arial" w:hAnsi="Arial" w:cs="Arial"/>
                <w:b/>
                <w:bCs/>
                <w:sz w:val="22"/>
                <w:szCs w:val="22"/>
              </w:rPr>
            </w:pPr>
          </w:p>
          <w:p w:rsidR="007E7629" w:rsidRDefault="003E360F">
            <w:pPr>
              <w:jc w:val="cente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2">
              <w:r>
                <w:rPr>
                  <w:rFonts w:ascii="Arial" w:eastAsia="Arial" w:hAnsi="Arial" w:cs="Arial"/>
                  <w:color w:val="467886"/>
                  <w:sz w:val="22"/>
                  <w:szCs w:val="22"/>
                  <w:u w:val="single"/>
                </w:rPr>
                <w:t>pgresearch@uwtsd.ac.uk</w:t>
              </w:r>
            </w:hyperlink>
            <w:r>
              <w:rPr>
                <w:rFonts w:ascii="Arial" w:eastAsia="Arial" w:hAnsi="Arial" w:cs="Arial"/>
                <w:sz w:val="22"/>
                <w:szCs w:val="22"/>
              </w:rPr>
              <w:t>, with the title ‘Ethical Approval’ followed by your name.</w:t>
            </w:r>
          </w:p>
          <w:p w:rsidR="007E7629" w:rsidRDefault="007E7629">
            <w:pPr>
              <w:jc w:val="center"/>
              <w:rPr>
                <w:rFonts w:ascii="Arial" w:eastAsia="Arial" w:hAnsi="Arial" w:cs="Arial"/>
                <w:sz w:val="22"/>
                <w:szCs w:val="22"/>
              </w:rPr>
            </w:pPr>
          </w:p>
        </w:tc>
      </w:tr>
    </w:tbl>
    <w:p w:rsidR="007E7629" w:rsidRDefault="007E7629">
      <w:pPr>
        <w:jc w:val="center"/>
        <w:rPr>
          <w:rFonts w:ascii="Arial" w:eastAsia="Arial" w:hAnsi="Arial" w:cs="Arial"/>
          <w:b/>
          <w:bCs/>
          <w:sz w:val="22"/>
          <w:szCs w:val="22"/>
        </w:rPr>
      </w:pPr>
    </w:p>
    <w:p w:rsidR="007E7629" w:rsidRDefault="007E7629">
      <w:pPr>
        <w:spacing w:after="240"/>
        <w:jc w:val="center"/>
        <w:rPr>
          <w:rFonts w:ascii="Arial" w:eastAsia="Arial" w:hAnsi="Arial" w:cs="Arial"/>
          <w:b/>
          <w:bCs/>
          <w:sz w:val="22"/>
          <w:szCs w:val="22"/>
        </w:rPr>
      </w:pPr>
    </w:p>
    <w:p w:rsidR="007E7629" w:rsidRDefault="007E7629">
      <w:pPr>
        <w:spacing w:after="240"/>
        <w:jc w:val="center"/>
        <w:rPr>
          <w:rFonts w:ascii="Arial" w:eastAsia="Arial" w:hAnsi="Arial" w:cs="Arial"/>
          <w:b/>
          <w:bCs/>
          <w:sz w:val="22"/>
          <w:szCs w:val="22"/>
        </w:rPr>
      </w:pPr>
    </w:p>
    <w:p w:rsidR="007E7629" w:rsidRDefault="003E360F">
      <w:pPr>
        <w:jc w:val="center"/>
        <w:rPr>
          <w:rFonts w:ascii="Arial" w:eastAsia="Arial" w:hAnsi="Arial" w:cs="Arial"/>
          <w:color w:val="000000"/>
          <w:sz w:val="22"/>
          <w:szCs w:val="22"/>
        </w:rPr>
      </w:pPr>
      <w:r>
        <w:rPr>
          <w:rFonts w:ascii="Arial" w:eastAsia="Arial" w:hAnsi="Arial" w:cs="Arial"/>
          <w:color w:val="000000"/>
          <w:sz w:val="22"/>
          <w:szCs w:val="22"/>
        </w:rPr>
        <w:t>END OF MAIN FORM</w:t>
      </w:r>
      <w:r>
        <w:br w:type="page"/>
      </w:r>
    </w:p>
    <w:p w:rsidR="007E7629" w:rsidRDefault="003E360F">
      <w:pPr>
        <w:tabs>
          <w:tab w:val="left" w:pos="5103"/>
        </w:tabs>
        <w:ind w:right="282"/>
        <w:jc w:val="center"/>
        <w:rPr>
          <w:rFonts w:ascii="Arial" w:eastAsia="Arial" w:hAnsi="Arial" w:cs="Arial"/>
          <w:b/>
          <w:bCs/>
          <w:color w:val="000000"/>
          <w:sz w:val="22"/>
          <w:szCs w:val="22"/>
        </w:rPr>
      </w:pPr>
      <w:bookmarkStart w:id="91" w:name="bookmark=id.h1flk8xwugli" w:colFirst="0" w:colLast="0"/>
      <w:bookmarkEnd w:id="91"/>
      <w:r>
        <w:rPr>
          <w:rFonts w:ascii="Arial" w:eastAsia="Arial" w:hAnsi="Arial" w:cs="Arial"/>
          <w:b/>
          <w:bCs/>
          <w:color w:val="000000"/>
          <w:sz w:val="22"/>
          <w:szCs w:val="22"/>
        </w:rPr>
        <w:lastRenderedPageBreak/>
        <w:t>APPENDIX 1 – Grant or Contract Funding</w:t>
      </w:r>
    </w:p>
    <w:p w:rsidR="007E7629" w:rsidRDefault="007E7629">
      <w:pPr>
        <w:tabs>
          <w:tab w:val="left" w:pos="5103"/>
        </w:tabs>
        <w:ind w:right="282"/>
        <w:jc w:val="center"/>
        <w:rPr>
          <w:rFonts w:ascii="Arial" w:eastAsia="Arial" w:hAnsi="Arial" w:cs="Arial"/>
          <w:color w:val="000000"/>
          <w:sz w:val="22"/>
          <w:szCs w:val="22"/>
        </w:rPr>
      </w:pPr>
    </w:p>
    <w:tbl>
      <w:tblPr>
        <w:tblStyle w:val="aff7"/>
        <w:tblW w:w="104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7E7629">
        <w:trPr>
          <w:trHeight w:val="482"/>
          <w:jc w:val="center"/>
        </w:trPr>
        <w:tc>
          <w:tcPr>
            <w:tcW w:w="84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YES</w:t>
            </w:r>
          </w:p>
        </w:tc>
        <w:tc>
          <w:tcPr>
            <w:tcW w:w="851"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29"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NO</w:t>
            </w:r>
          </w:p>
        </w:tc>
        <w:tc>
          <w:tcPr>
            <w:tcW w:w="99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18"/>
          <w:jc w:val="center"/>
        </w:trPr>
        <w:tc>
          <w:tcPr>
            <w:tcW w:w="84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29"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10"/>
          <w:jc w:val="center"/>
        </w:trPr>
        <w:tc>
          <w:tcPr>
            <w:tcW w:w="84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1129"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16"/>
          <w:jc w:val="center"/>
        </w:trPr>
        <w:tc>
          <w:tcPr>
            <w:tcW w:w="84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rsidR="007E7629" w:rsidRDefault="003E360F">
            <w:pPr>
              <w:jc w:val="center"/>
              <w:rPr>
                <w:rFonts w:ascii="Arial" w:eastAsia="Arial" w:hAnsi="Arial" w:cs="Arial"/>
                <w:sz w:val="22"/>
                <w:szCs w:val="22"/>
              </w:rPr>
            </w:pPr>
            <w:bookmarkStart w:id="92" w:name="_heading=h.cle8dygxjqeb" w:colFirst="0" w:colLast="0"/>
            <w:bookmarkEnd w:id="92"/>
            <w:r>
              <w:rPr>
                <w:rFonts w:ascii="Arial" w:eastAsia="Arial" w:hAnsi="Arial" w:cs="Arial"/>
                <w:sz w:val="22"/>
                <w:szCs w:val="22"/>
              </w:rPr>
              <w:t>Funding Body</w:t>
            </w:r>
          </w:p>
        </w:tc>
        <w:tc>
          <w:tcPr>
            <w:tcW w:w="4248" w:type="dxa"/>
            <w:gridSpan w:val="4"/>
            <w:vAlign w:val="center"/>
          </w:tcPr>
          <w:p w:rsidR="007E7629" w:rsidRDefault="007E7629">
            <w:pPr>
              <w:pBdr>
                <w:top w:val="nil"/>
                <w:left w:val="nil"/>
                <w:bottom w:val="nil"/>
                <w:right w:val="nil"/>
                <w:between w:val="nil"/>
              </w:pBdr>
              <w:jc w:val="center"/>
              <w:rPr>
                <w:rFonts w:ascii="Arial" w:eastAsia="Arial" w:hAnsi="Arial" w:cs="Arial"/>
                <w:color w:val="000000"/>
              </w:rPr>
            </w:pPr>
          </w:p>
        </w:tc>
      </w:tr>
      <w:tr w:rsidR="007E7629">
        <w:trPr>
          <w:trHeight w:val="422"/>
          <w:jc w:val="center"/>
        </w:trPr>
        <w:tc>
          <w:tcPr>
            <w:tcW w:w="84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rsidR="007E7629" w:rsidRDefault="007E7629">
            <w:pPr>
              <w:pBdr>
                <w:top w:val="nil"/>
                <w:left w:val="nil"/>
                <w:bottom w:val="nil"/>
                <w:right w:val="nil"/>
                <w:between w:val="nil"/>
              </w:pBdr>
              <w:jc w:val="center"/>
              <w:rPr>
                <w:rFonts w:ascii="Arial" w:eastAsia="Arial" w:hAnsi="Arial" w:cs="Arial"/>
                <w:color w:val="000000"/>
              </w:rPr>
            </w:pPr>
          </w:p>
        </w:tc>
      </w:tr>
      <w:tr w:rsidR="007E7629">
        <w:trPr>
          <w:trHeight w:val="414"/>
          <w:jc w:val="center"/>
        </w:trPr>
        <w:tc>
          <w:tcPr>
            <w:tcW w:w="84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rsidR="007E7629" w:rsidRDefault="007E7629">
            <w:pPr>
              <w:pBdr>
                <w:top w:val="nil"/>
                <w:left w:val="nil"/>
                <w:bottom w:val="nil"/>
                <w:right w:val="nil"/>
                <w:between w:val="nil"/>
              </w:pBdr>
              <w:jc w:val="center"/>
              <w:rPr>
                <w:rFonts w:ascii="Arial" w:eastAsia="Arial" w:hAnsi="Arial" w:cs="Arial"/>
                <w:color w:val="000000"/>
              </w:rPr>
            </w:pPr>
          </w:p>
        </w:tc>
      </w:tr>
      <w:tr w:rsidR="007E7629">
        <w:trPr>
          <w:trHeight w:val="406"/>
          <w:jc w:val="center"/>
        </w:trPr>
        <w:tc>
          <w:tcPr>
            <w:tcW w:w="84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rsidR="007E7629" w:rsidRDefault="007E7629">
            <w:pPr>
              <w:pBdr>
                <w:top w:val="nil"/>
                <w:left w:val="nil"/>
                <w:bottom w:val="nil"/>
                <w:right w:val="nil"/>
                <w:between w:val="nil"/>
              </w:pBdr>
              <w:jc w:val="center"/>
              <w:rPr>
                <w:rFonts w:ascii="Arial" w:eastAsia="Arial" w:hAnsi="Arial" w:cs="Arial"/>
                <w:color w:val="000000"/>
              </w:rPr>
            </w:pPr>
          </w:p>
        </w:tc>
      </w:tr>
      <w:tr w:rsidR="007E7629">
        <w:trPr>
          <w:trHeight w:val="426"/>
          <w:jc w:val="center"/>
        </w:trPr>
        <w:tc>
          <w:tcPr>
            <w:tcW w:w="84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rsidR="007E7629" w:rsidRDefault="007E7629">
            <w:pPr>
              <w:pBdr>
                <w:top w:val="nil"/>
                <w:left w:val="nil"/>
                <w:bottom w:val="nil"/>
                <w:right w:val="nil"/>
                <w:between w:val="nil"/>
              </w:pBdr>
              <w:jc w:val="center"/>
              <w:rPr>
                <w:rFonts w:ascii="Arial" w:eastAsia="Arial" w:hAnsi="Arial" w:cs="Arial"/>
                <w:color w:val="000000"/>
              </w:rPr>
            </w:pPr>
          </w:p>
        </w:tc>
      </w:tr>
    </w:tbl>
    <w:p w:rsidR="007E7629" w:rsidRDefault="007E7629">
      <w:pPr>
        <w:tabs>
          <w:tab w:val="left" w:pos="5103"/>
        </w:tabs>
        <w:ind w:right="282"/>
        <w:jc w:val="center"/>
        <w:rPr>
          <w:rFonts w:ascii="Arial" w:eastAsia="Arial" w:hAnsi="Arial" w:cs="Arial"/>
          <w:color w:val="000000"/>
          <w:sz w:val="22"/>
          <w:szCs w:val="22"/>
        </w:rPr>
      </w:pPr>
    </w:p>
    <w:tbl>
      <w:tblPr>
        <w:tblStyle w:val="a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c>
          <w:tcPr>
            <w:tcW w:w="562" w:type="dxa"/>
            <w:tcBorders>
              <w:top w:val="nil"/>
              <w:left w:val="nil"/>
              <w:bottom w:val="nil"/>
              <w:right w:val="nil"/>
            </w:tcBorders>
            <w:shd w:val="clear" w:color="auto" w:fill="FFFFFF"/>
          </w:tcPr>
          <w:p w:rsidR="007E7629" w:rsidRDefault="007E7629">
            <w:pPr>
              <w:jc w:val="cente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7E7629" w:rsidRDefault="007E7629">
            <w:pPr>
              <w:jc w:val="cente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tc>
        <w:tc>
          <w:tcPr>
            <w:tcW w:w="1838" w:type="dxa"/>
            <w:shd w:val="clear" w:color="auto" w:fill="D9F2D0"/>
            <w:vAlign w:val="center"/>
          </w:tcPr>
          <w:p w:rsidR="007E7629" w:rsidRDefault="00FB5D41">
            <w:pPr>
              <w:jc w:val="center"/>
              <w:rPr>
                <w:rFonts w:ascii="Arial" w:eastAsia="Arial" w:hAnsi="Arial" w:cs="Arial"/>
                <w:b/>
                <w:bCs/>
                <w:sz w:val="22"/>
                <w:szCs w:val="22"/>
              </w:rPr>
            </w:pPr>
            <w:hyperlink w:anchor="bookmark=id.g8btti3ftx6s">
              <w:r w:rsidR="003E360F">
                <w:rPr>
                  <w:rFonts w:ascii="Arial" w:eastAsia="Arial" w:hAnsi="Arial" w:cs="Arial"/>
                  <w:b/>
                  <w:bCs/>
                  <w:color w:val="467886"/>
                  <w:sz w:val="22"/>
                  <w:szCs w:val="22"/>
                  <w:u w:val="single"/>
                </w:rPr>
                <w:t>Return to the main form</w:t>
              </w:r>
            </w:hyperlink>
          </w:p>
        </w:tc>
      </w:tr>
    </w:tbl>
    <w:p w:rsidR="007E7629" w:rsidRDefault="007E7629">
      <w:pPr>
        <w:jc w:val="center"/>
        <w:rPr>
          <w:rFonts w:ascii="Arial" w:eastAsia="Arial" w:hAnsi="Arial" w:cs="Arial"/>
          <w:b/>
          <w:bCs/>
          <w:sz w:val="22"/>
          <w:szCs w:val="22"/>
        </w:rPr>
      </w:pPr>
    </w:p>
    <w:p w:rsidR="007E7629" w:rsidRDefault="003E360F">
      <w:pPr>
        <w:jc w:val="center"/>
        <w:rPr>
          <w:rFonts w:ascii="Arial" w:eastAsia="Arial" w:hAnsi="Arial" w:cs="Arial"/>
          <w:b/>
          <w:bCs/>
          <w:sz w:val="22"/>
          <w:szCs w:val="22"/>
        </w:rPr>
      </w:pPr>
      <w:bookmarkStart w:id="93" w:name="bookmark=id.78g7tmt74bn" w:colFirst="0" w:colLast="0"/>
      <w:bookmarkEnd w:id="93"/>
      <w:r>
        <w:rPr>
          <w:rFonts w:ascii="Arial" w:eastAsia="Arial" w:hAnsi="Arial" w:cs="Arial"/>
          <w:b/>
          <w:bCs/>
          <w:sz w:val="22"/>
          <w:szCs w:val="22"/>
        </w:rPr>
        <w:t>APPENDIX 2: External Collaborative Research Activity</w:t>
      </w:r>
    </w:p>
    <w:p w:rsidR="007E7629" w:rsidRDefault="007E7629">
      <w:pPr>
        <w:jc w:val="center"/>
        <w:rPr>
          <w:rFonts w:ascii="Arial" w:eastAsia="Arial" w:hAnsi="Arial" w:cs="Arial"/>
          <w:b/>
          <w:bCs/>
          <w:sz w:val="22"/>
          <w:szCs w:val="22"/>
        </w:rPr>
      </w:pPr>
    </w:p>
    <w:tbl>
      <w:tblPr>
        <w:tblStyle w:val="aff9"/>
        <w:tblW w:w="1095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7E7629">
        <w:trPr>
          <w:trHeight w:val="172"/>
          <w:jc w:val="center"/>
        </w:trPr>
        <w:tc>
          <w:tcPr>
            <w:tcW w:w="10956" w:type="dxa"/>
            <w:gridSpan w:val="6"/>
            <w:shd w:val="clear" w:color="auto" w:fill="F2F2F2"/>
          </w:tcPr>
          <w:p w:rsidR="007E7629" w:rsidRDefault="003E360F">
            <w:pPr>
              <w:jc w:val="center"/>
              <w:rPr>
                <w:rFonts w:ascii="Arial" w:eastAsia="Arial" w:hAnsi="Arial" w:cs="Arial"/>
                <w:sz w:val="22"/>
                <w:szCs w:val="22"/>
              </w:rPr>
            </w:pPr>
            <w:r>
              <w:rPr>
                <w:rFonts w:ascii="Arial" w:eastAsia="Arial" w:hAnsi="Arial" w:cs="Arial"/>
                <w:b/>
                <w:bCs/>
                <w:sz w:val="22"/>
                <w:szCs w:val="22"/>
              </w:rPr>
              <w:t>INSTITUTION 1</w:t>
            </w:r>
          </w:p>
        </w:tc>
      </w:tr>
      <w:tr w:rsidR="007E7629">
        <w:trPr>
          <w:trHeight w:val="172"/>
          <w:jc w:val="center"/>
        </w:trPr>
        <w:tc>
          <w:tcPr>
            <w:tcW w:w="816" w:type="dxa"/>
            <w:shd w:val="clear" w:color="auto" w:fill="F2F2F2"/>
            <w:vAlign w:val="center"/>
          </w:tcPr>
          <w:p w:rsidR="007E7629" w:rsidRDefault="003E360F">
            <w:pPr>
              <w:jc w:val="center"/>
              <w:rPr>
                <w:rFonts w:ascii="Arial" w:eastAsia="Arial" w:hAnsi="Arial" w:cs="Arial"/>
                <w:sz w:val="22"/>
                <w:szCs w:val="22"/>
              </w:rPr>
            </w:pPr>
            <w:bookmarkStart w:id="94" w:name="_heading=h.smgoj0qk45n5" w:colFirst="0" w:colLast="0"/>
            <w:bookmarkEnd w:id="94"/>
            <w:r>
              <w:rPr>
                <w:rFonts w:ascii="Arial" w:eastAsia="Arial" w:hAnsi="Arial" w:cs="Arial"/>
                <w:sz w:val="22"/>
                <w:szCs w:val="22"/>
              </w:rPr>
              <w:t>A2.1</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Name</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227"/>
          <w:jc w:val="center"/>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Researcher name and position</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227"/>
          <w:jc w:val="center"/>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227"/>
          <w:jc w:val="center"/>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318"/>
          <w:jc w:val="center"/>
        </w:trPr>
        <w:tc>
          <w:tcPr>
            <w:tcW w:w="816"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rsidR="007E7629" w:rsidRDefault="003E360F">
            <w:pPr>
              <w:jc w:val="center"/>
              <w:rPr>
                <w:rFonts w:ascii="Arial" w:eastAsia="Arial" w:hAnsi="Arial" w:cs="Arial"/>
                <w:b/>
                <w:bCs/>
                <w:sz w:val="22"/>
                <w:szCs w:val="22"/>
              </w:rPr>
            </w:pPr>
            <w:r>
              <w:rPr>
                <w:rFonts w:ascii="Arial" w:eastAsia="Arial" w:hAnsi="Arial" w:cs="Arial"/>
                <w:b/>
                <w:bCs/>
                <w:sz w:val="22"/>
                <w:szCs w:val="22"/>
              </w:rPr>
              <w:t>External Ethical Approval</w:t>
            </w:r>
          </w:p>
          <w:p w:rsidR="007E7629" w:rsidRDefault="003E360F">
            <w:pPr>
              <w:jc w:val="center"/>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See Section 14 of the UWTSD Research Ethics and Integrity Policy. If approved, please supply confirmation.</w:t>
            </w:r>
          </w:p>
        </w:tc>
        <w:tc>
          <w:tcPr>
            <w:tcW w:w="1684" w:type="dxa"/>
            <w:vMerge w:val="restart"/>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PENDING</w:t>
            </w:r>
          </w:p>
        </w:tc>
      </w:tr>
      <w:tr w:rsidR="007E7629">
        <w:trPr>
          <w:trHeight w:val="318"/>
          <w:jc w:val="center"/>
        </w:trPr>
        <w:tc>
          <w:tcPr>
            <w:tcW w:w="816"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4849" w:type="dxa"/>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1684"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1151"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c>
          <w:tcPr>
            <w:tcW w:w="993" w:type="dxa"/>
            <w:shd w:val="clear" w:color="auto" w:fill="D9D9D9"/>
            <w:vAlign w:val="center"/>
          </w:tcPr>
          <w:p w:rsidR="007E7629" w:rsidRDefault="00FB5D41">
            <w:pPr>
              <w:jc w:val="center"/>
              <w:rPr>
                <w:rFonts w:ascii="Arial" w:eastAsia="Arial" w:hAnsi="Arial" w:cs="Arial"/>
                <w:b/>
                <w:bCs/>
                <w:sz w:val="22"/>
                <w:szCs w:val="22"/>
              </w:rPr>
            </w:pPr>
            <w:sdt>
              <w:sdtPr>
                <w:tag w:val="goog_rdk_85"/>
                <w:id w:val="-1362876818"/>
              </w:sdtPr>
              <w:sdtEndPr/>
              <w:sdtContent>
                <w:r w:rsidR="003E360F">
                  <w:rPr>
                    <w:rFonts w:ascii="Arial Unicode MS" w:eastAsia="Arial Unicode MS" w:hAnsi="Arial Unicode MS" w:cs="Arial Unicode MS"/>
                    <w:b/>
                    <w:bCs/>
                    <w:sz w:val="22"/>
                    <w:szCs w:val="22"/>
                  </w:rPr>
                  <w:t xml:space="preserve">✓ </w:t>
                </w:r>
              </w:sdtContent>
            </w:sdt>
          </w:p>
        </w:tc>
        <w:tc>
          <w:tcPr>
            <w:tcW w:w="146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r>
      <w:tr w:rsidR="007E7629">
        <w:trPr>
          <w:trHeight w:val="766"/>
          <w:jc w:val="center"/>
        </w:trPr>
        <w:tc>
          <w:tcPr>
            <w:tcW w:w="816"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4849" w:type="dxa"/>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bl>
    <w:p w:rsidR="007E7629" w:rsidRDefault="007E7629">
      <w:pPr>
        <w:jc w:val="center"/>
        <w:rPr>
          <w:rFonts w:ascii="Arial" w:eastAsia="Arial" w:hAnsi="Arial" w:cs="Arial"/>
          <w:sz w:val="16"/>
          <w:szCs w:val="16"/>
        </w:rPr>
      </w:pPr>
    </w:p>
    <w:tbl>
      <w:tblPr>
        <w:tblStyle w:val="affa"/>
        <w:tblW w:w="1095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7E7629">
        <w:trPr>
          <w:trHeight w:val="172"/>
          <w:jc w:val="center"/>
        </w:trPr>
        <w:tc>
          <w:tcPr>
            <w:tcW w:w="10956" w:type="dxa"/>
            <w:gridSpan w:val="6"/>
            <w:shd w:val="clear" w:color="auto" w:fill="F2F2F2"/>
          </w:tcPr>
          <w:p w:rsidR="007E7629" w:rsidRDefault="003E360F">
            <w:pPr>
              <w:jc w:val="center"/>
              <w:rPr>
                <w:rFonts w:ascii="Arial" w:eastAsia="Arial" w:hAnsi="Arial" w:cs="Arial"/>
                <w:sz w:val="22"/>
                <w:szCs w:val="22"/>
              </w:rPr>
            </w:pPr>
            <w:r>
              <w:rPr>
                <w:rFonts w:ascii="Arial" w:eastAsia="Arial" w:hAnsi="Arial" w:cs="Arial"/>
                <w:b/>
                <w:bCs/>
                <w:sz w:val="22"/>
                <w:szCs w:val="22"/>
              </w:rPr>
              <w:t>INSTITUTION 2</w:t>
            </w:r>
          </w:p>
        </w:tc>
      </w:tr>
      <w:tr w:rsidR="007E7629">
        <w:trPr>
          <w:trHeight w:val="172"/>
          <w:jc w:val="center"/>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Name</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227"/>
          <w:jc w:val="center"/>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A2.7</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Researcher name and position</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227"/>
          <w:jc w:val="center"/>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227"/>
          <w:jc w:val="center"/>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318"/>
          <w:jc w:val="center"/>
        </w:trPr>
        <w:tc>
          <w:tcPr>
            <w:tcW w:w="816"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rsidR="007E7629" w:rsidRDefault="003E360F">
            <w:pPr>
              <w:jc w:val="center"/>
              <w:rPr>
                <w:rFonts w:ascii="Arial" w:eastAsia="Arial" w:hAnsi="Arial" w:cs="Arial"/>
                <w:b/>
                <w:bCs/>
                <w:sz w:val="22"/>
                <w:szCs w:val="22"/>
              </w:rPr>
            </w:pPr>
            <w:r>
              <w:rPr>
                <w:rFonts w:ascii="Arial" w:eastAsia="Arial" w:hAnsi="Arial" w:cs="Arial"/>
                <w:b/>
                <w:bCs/>
                <w:sz w:val="22"/>
                <w:szCs w:val="22"/>
              </w:rPr>
              <w:t>External Ethical Approval</w:t>
            </w:r>
          </w:p>
          <w:p w:rsidR="007E7629" w:rsidRDefault="003E360F">
            <w:pPr>
              <w:jc w:val="center"/>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See Section 14 of the UWTSD Research Ethics and Integrity Policy. If approved, please supply confirmation.</w:t>
            </w:r>
          </w:p>
        </w:tc>
        <w:tc>
          <w:tcPr>
            <w:tcW w:w="1684" w:type="dxa"/>
            <w:vMerge w:val="restart"/>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PENDING</w:t>
            </w:r>
          </w:p>
        </w:tc>
      </w:tr>
      <w:tr w:rsidR="007E7629">
        <w:trPr>
          <w:trHeight w:val="318"/>
          <w:jc w:val="center"/>
        </w:trPr>
        <w:tc>
          <w:tcPr>
            <w:tcW w:w="816"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4849" w:type="dxa"/>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1684"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1151"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c>
          <w:tcPr>
            <w:tcW w:w="99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c>
          <w:tcPr>
            <w:tcW w:w="146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r>
      <w:tr w:rsidR="007E7629">
        <w:trPr>
          <w:trHeight w:val="780"/>
          <w:jc w:val="center"/>
        </w:trPr>
        <w:tc>
          <w:tcPr>
            <w:tcW w:w="816"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4849" w:type="dxa"/>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bl>
    <w:p w:rsidR="007E7629" w:rsidRDefault="007E7629">
      <w:pPr>
        <w:jc w:val="center"/>
        <w:rPr>
          <w:rFonts w:ascii="Arial" w:eastAsia="Arial" w:hAnsi="Arial" w:cs="Arial"/>
          <w:sz w:val="16"/>
          <w:szCs w:val="16"/>
        </w:rPr>
      </w:pPr>
    </w:p>
    <w:tbl>
      <w:tblPr>
        <w:tblStyle w:val="affb"/>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7E7629">
        <w:trPr>
          <w:trHeight w:val="172"/>
        </w:trPr>
        <w:tc>
          <w:tcPr>
            <w:tcW w:w="10956" w:type="dxa"/>
            <w:gridSpan w:val="6"/>
            <w:shd w:val="clear" w:color="auto" w:fill="F2F2F2"/>
          </w:tcPr>
          <w:p w:rsidR="007E7629" w:rsidRDefault="003E360F">
            <w:pPr>
              <w:jc w:val="center"/>
              <w:rPr>
                <w:rFonts w:ascii="Arial" w:eastAsia="Arial" w:hAnsi="Arial" w:cs="Arial"/>
                <w:sz w:val="22"/>
                <w:szCs w:val="22"/>
              </w:rPr>
            </w:pPr>
            <w:r>
              <w:rPr>
                <w:rFonts w:ascii="Arial" w:eastAsia="Arial" w:hAnsi="Arial" w:cs="Arial"/>
                <w:b/>
                <w:bCs/>
                <w:sz w:val="22"/>
                <w:szCs w:val="22"/>
              </w:rPr>
              <w:t>INSTITUTION 3</w:t>
            </w:r>
          </w:p>
        </w:tc>
      </w:tr>
      <w:tr w:rsidR="007E7629">
        <w:trPr>
          <w:trHeight w:val="172"/>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Name</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227"/>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Researcher name and position</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227"/>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227"/>
        </w:trPr>
        <w:tc>
          <w:tcPr>
            <w:tcW w:w="81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r w:rsidR="007E7629">
        <w:trPr>
          <w:trHeight w:val="318"/>
        </w:trPr>
        <w:tc>
          <w:tcPr>
            <w:tcW w:w="816"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rsidR="007E7629" w:rsidRDefault="003E360F">
            <w:pPr>
              <w:jc w:val="center"/>
              <w:rPr>
                <w:rFonts w:ascii="Arial" w:eastAsia="Arial" w:hAnsi="Arial" w:cs="Arial"/>
                <w:b/>
                <w:bCs/>
                <w:sz w:val="22"/>
                <w:szCs w:val="22"/>
              </w:rPr>
            </w:pPr>
            <w:r>
              <w:rPr>
                <w:rFonts w:ascii="Arial" w:eastAsia="Arial" w:hAnsi="Arial" w:cs="Arial"/>
                <w:b/>
                <w:bCs/>
                <w:sz w:val="22"/>
                <w:szCs w:val="22"/>
              </w:rPr>
              <w:t>External Ethical Approval</w:t>
            </w:r>
          </w:p>
          <w:p w:rsidR="007E7629" w:rsidRDefault="003E360F">
            <w:pPr>
              <w:jc w:val="center"/>
              <w:rPr>
                <w:rFonts w:ascii="Arial" w:eastAsia="Arial" w:hAnsi="Arial" w:cs="Arial"/>
                <w:sz w:val="22"/>
                <w:szCs w:val="22"/>
              </w:rPr>
            </w:pPr>
            <w:r>
              <w:rPr>
                <w:rFonts w:ascii="Arial" w:eastAsia="Arial" w:hAnsi="Arial" w:cs="Arial"/>
                <w:i/>
                <w:iCs/>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iCs/>
                <w:sz w:val="22"/>
                <w:szCs w:val="22"/>
              </w:rPr>
              <w:t>See Section 14 of the UWTSD Research Ethics and Integrity Policy. If approved, please supply confirmation.</w:t>
            </w:r>
          </w:p>
        </w:tc>
        <w:tc>
          <w:tcPr>
            <w:tcW w:w="1684" w:type="dxa"/>
            <w:vMerge w:val="restart"/>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Obtained?</w:t>
            </w:r>
          </w:p>
        </w:tc>
        <w:tc>
          <w:tcPr>
            <w:tcW w:w="1151"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99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46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PENDING</w:t>
            </w:r>
          </w:p>
        </w:tc>
      </w:tr>
      <w:tr w:rsidR="007E7629">
        <w:trPr>
          <w:trHeight w:val="318"/>
        </w:trPr>
        <w:tc>
          <w:tcPr>
            <w:tcW w:w="816"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4849" w:type="dxa"/>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1684"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1151"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c>
          <w:tcPr>
            <w:tcW w:w="99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c>
          <w:tcPr>
            <w:tcW w:w="1463"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r>
      <w:tr w:rsidR="007E7629">
        <w:trPr>
          <w:trHeight w:val="780"/>
        </w:trPr>
        <w:tc>
          <w:tcPr>
            <w:tcW w:w="816"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4849" w:type="dxa"/>
            <w:vMerge/>
            <w:shd w:val="clear" w:color="auto" w:fill="F2F2F2"/>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5291" w:type="dxa"/>
            <w:gridSpan w:val="4"/>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tc>
      </w:tr>
    </w:tbl>
    <w:p w:rsidR="007E7629" w:rsidRDefault="007E7629">
      <w:pPr>
        <w:jc w:val="center"/>
        <w:rPr>
          <w:rFonts w:ascii="Arial" w:eastAsia="Arial" w:hAnsi="Arial" w:cs="Arial"/>
          <w:sz w:val="16"/>
          <w:szCs w:val="16"/>
        </w:rPr>
      </w:pPr>
    </w:p>
    <w:p w:rsidR="007E7629" w:rsidRDefault="003E360F">
      <w:pPr>
        <w:jc w:val="center"/>
        <w:rPr>
          <w:rFonts w:ascii="Arial" w:eastAsia="Arial" w:hAnsi="Arial" w:cs="Arial"/>
          <w:i/>
          <w:iCs/>
          <w:sz w:val="22"/>
          <w:szCs w:val="22"/>
        </w:rPr>
      </w:pPr>
      <w:r>
        <w:rPr>
          <w:rFonts w:ascii="Arial" w:eastAsia="Arial" w:hAnsi="Arial" w:cs="Arial"/>
          <w:i/>
          <w:iCs/>
          <w:sz w:val="22"/>
          <w:szCs w:val="22"/>
        </w:rPr>
        <w:t>Add additional collaborators as needed</w:t>
      </w:r>
    </w:p>
    <w:p w:rsidR="007E7629" w:rsidRDefault="007E7629">
      <w:pPr>
        <w:jc w:val="center"/>
        <w:rPr>
          <w:rFonts w:ascii="Arial" w:eastAsia="Arial" w:hAnsi="Arial" w:cs="Arial"/>
          <w:sz w:val="16"/>
          <w:szCs w:val="16"/>
        </w:rPr>
      </w:pPr>
    </w:p>
    <w:tbl>
      <w:tblPr>
        <w:tblStyle w:val="a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c>
          <w:tcPr>
            <w:tcW w:w="562" w:type="dxa"/>
            <w:tcBorders>
              <w:top w:val="nil"/>
              <w:left w:val="nil"/>
              <w:bottom w:val="nil"/>
              <w:right w:val="nil"/>
            </w:tcBorders>
            <w:shd w:val="clear" w:color="auto" w:fill="FFFFFF"/>
          </w:tcPr>
          <w:p w:rsidR="007E7629" w:rsidRDefault="007E7629">
            <w:pPr>
              <w:jc w:val="cente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7E7629" w:rsidRDefault="007E7629">
            <w:pPr>
              <w:jc w:val="cente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tc>
        <w:tc>
          <w:tcPr>
            <w:tcW w:w="1838" w:type="dxa"/>
            <w:shd w:val="clear" w:color="auto" w:fill="D9F2D0"/>
            <w:vAlign w:val="center"/>
          </w:tcPr>
          <w:p w:rsidR="007E7629" w:rsidRDefault="00FB5D41">
            <w:pPr>
              <w:jc w:val="center"/>
              <w:rPr>
                <w:rFonts w:ascii="Arial" w:eastAsia="Arial" w:hAnsi="Arial" w:cs="Arial"/>
                <w:b/>
                <w:bCs/>
                <w:sz w:val="22"/>
                <w:szCs w:val="22"/>
              </w:rPr>
            </w:pPr>
            <w:hyperlink w:anchor="bookmark=id.j8hwfgc4qxyn">
              <w:r w:rsidR="003E360F">
                <w:rPr>
                  <w:rFonts w:ascii="Arial" w:eastAsia="Arial" w:hAnsi="Arial" w:cs="Arial"/>
                  <w:b/>
                  <w:bCs/>
                  <w:color w:val="467886"/>
                  <w:sz w:val="22"/>
                  <w:szCs w:val="22"/>
                  <w:u w:val="single"/>
                </w:rPr>
                <w:t>Return to the main form</w:t>
              </w:r>
            </w:hyperlink>
          </w:p>
        </w:tc>
      </w:tr>
    </w:tbl>
    <w:p w:rsidR="007E7629" w:rsidRDefault="007E7629">
      <w:pPr>
        <w:tabs>
          <w:tab w:val="left" w:pos="5103"/>
        </w:tabs>
        <w:ind w:right="282"/>
        <w:jc w:val="center"/>
        <w:rPr>
          <w:rFonts w:ascii="Arial" w:eastAsia="Arial" w:hAnsi="Arial" w:cs="Arial"/>
          <w:b/>
          <w:bCs/>
          <w:color w:val="000000"/>
          <w:sz w:val="22"/>
          <w:szCs w:val="22"/>
        </w:rPr>
      </w:pPr>
      <w:bookmarkStart w:id="95" w:name="bookmark=id.qdec63o705g" w:colFirst="0" w:colLast="0"/>
      <w:bookmarkEnd w:id="95"/>
    </w:p>
    <w:p w:rsidR="007E7629" w:rsidRDefault="003E360F">
      <w:pPr>
        <w:jc w:val="center"/>
        <w:rPr>
          <w:rFonts w:ascii="Arial" w:eastAsia="Arial" w:hAnsi="Arial" w:cs="Arial"/>
          <w:b/>
          <w:bCs/>
          <w:color w:val="000000"/>
          <w:sz w:val="22"/>
          <w:szCs w:val="22"/>
        </w:rPr>
      </w:pPr>
      <w:r>
        <w:br w:type="page"/>
      </w:r>
    </w:p>
    <w:p w:rsidR="007E7629" w:rsidRDefault="003E360F">
      <w:pPr>
        <w:tabs>
          <w:tab w:val="left" w:pos="5103"/>
        </w:tabs>
        <w:ind w:right="282"/>
        <w:jc w:val="center"/>
        <w:rPr>
          <w:rFonts w:ascii="Arial" w:eastAsia="Arial" w:hAnsi="Arial" w:cs="Arial"/>
          <w:b/>
          <w:bCs/>
          <w:color w:val="000000"/>
          <w:sz w:val="22"/>
          <w:szCs w:val="22"/>
        </w:rPr>
      </w:pPr>
      <w:r>
        <w:rPr>
          <w:rFonts w:ascii="Arial" w:eastAsia="Arial" w:hAnsi="Arial" w:cs="Arial"/>
          <w:b/>
          <w:bCs/>
          <w:color w:val="000000"/>
          <w:sz w:val="22"/>
          <w:szCs w:val="22"/>
        </w:rPr>
        <w:lastRenderedPageBreak/>
        <w:t>APPENDIX 3: Research Undertaken Outside of the UK</w:t>
      </w:r>
    </w:p>
    <w:p w:rsidR="007E7629" w:rsidRDefault="007E7629">
      <w:pPr>
        <w:tabs>
          <w:tab w:val="left" w:pos="5103"/>
        </w:tabs>
        <w:ind w:right="282"/>
        <w:jc w:val="center"/>
        <w:rPr>
          <w:rFonts w:ascii="Arial" w:eastAsia="Arial" w:hAnsi="Arial" w:cs="Arial"/>
          <w:color w:val="000000"/>
          <w:sz w:val="22"/>
          <w:szCs w:val="22"/>
        </w:rPr>
      </w:pPr>
    </w:p>
    <w:tbl>
      <w:tblPr>
        <w:tblStyle w:val="affd"/>
        <w:tblW w:w="1046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7E7629">
        <w:trPr>
          <w:trHeight w:val="2736"/>
          <w:jc w:val="center"/>
        </w:trPr>
        <w:tc>
          <w:tcPr>
            <w:tcW w:w="718" w:type="dxa"/>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Research activity outside of the UK</w:t>
            </w:r>
          </w:p>
          <w:p w:rsidR="007E7629" w:rsidRDefault="003E360F">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7E7629">
        <w:trPr>
          <w:trHeight w:val="454"/>
          <w:jc w:val="center"/>
        </w:trPr>
        <w:tc>
          <w:tcPr>
            <w:tcW w:w="10466" w:type="dxa"/>
            <w:gridSpan w:val="3"/>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rsidR="007E7629" w:rsidRDefault="003E360F">
            <w:pPr>
              <w:jc w:val="center"/>
              <w:rPr>
                <w:rFonts w:ascii="Arial" w:eastAsia="Arial" w:hAnsi="Arial" w:cs="Arial"/>
                <w:sz w:val="22"/>
                <w:szCs w:val="22"/>
              </w:rPr>
            </w:pPr>
            <w:r>
              <w:rPr>
                <w:rFonts w:ascii="Arial" w:eastAsia="Arial" w:hAnsi="Arial" w:cs="Arial"/>
                <w:color w:val="4EA72E"/>
                <w:sz w:val="22"/>
                <w:szCs w:val="22"/>
              </w:rPr>
              <w:t xml:space="preserve">If you plan to work outside your home country then check your government’s recommendations for the country in which you will be working. For the UK this information is available at </w:t>
            </w:r>
            <w:hyperlink r:id="rId143">
              <w:r>
                <w:rPr>
                  <w:rFonts w:ascii="Arial" w:eastAsia="Arial" w:hAnsi="Arial" w:cs="Arial"/>
                  <w:color w:val="467886"/>
                  <w:sz w:val="22"/>
                  <w:szCs w:val="22"/>
                  <w:u w:val="single"/>
                </w:rPr>
                <w:t>https://www.gov.uk/foreign-travel-advice</w:t>
              </w:r>
            </w:hyperlink>
            <w:r>
              <w:rPr>
                <w:rFonts w:ascii="Arial" w:eastAsia="Arial" w:hAnsi="Arial" w:cs="Arial"/>
                <w:color w:val="4EA72E"/>
                <w:sz w:val="22"/>
                <w:szCs w:val="22"/>
              </w:rPr>
              <w:t>. It is also a good idea to make sure that you have the contact details of your nearest embassy or consulate in case of emergency. Travel insurance that covers working outside of your home country is recommended.</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i/>
                <w:iCs/>
                <w:sz w:val="22"/>
                <w:szCs w:val="22"/>
              </w:rPr>
            </w:pPr>
            <w:r>
              <w:rPr>
                <w:rFonts w:ascii="Arial" w:eastAsia="Arial" w:hAnsi="Arial" w:cs="Arial"/>
                <w:i/>
                <w:iCs/>
                <w:color w:val="808080"/>
                <w:sz w:val="18"/>
                <w:szCs w:val="18"/>
              </w:rPr>
              <w:t>(this box should expand as you type)</w:t>
            </w:r>
          </w:p>
        </w:tc>
      </w:tr>
      <w:tr w:rsidR="007E7629">
        <w:trPr>
          <w:trHeight w:val="454"/>
          <w:jc w:val="center"/>
        </w:trPr>
        <w:tc>
          <w:tcPr>
            <w:tcW w:w="71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Responsible Research and Innovation</w:t>
            </w:r>
          </w:p>
          <w:p w:rsidR="007E7629" w:rsidRDefault="003E360F">
            <w:pPr>
              <w:jc w:val="center"/>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7E7629">
        <w:trPr>
          <w:trHeight w:val="454"/>
          <w:jc w:val="center"/>
        </w:trPr>
        <w:tc>
          <w:tcPr>
            <w:tcW w:w="71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r>
    </w:tbl>
    <w:p w:rsidR="007E7629" w:rsidRDefault="007E7629">
      <w:pPr>
        <w:tabs>
          <w:tab w:val="left" w:pos="5103"/>
        </w:tabs>
        <w:ind w:right="282"/>
        <w:jc w:val="center"/>
        <w:rPr>
          <w:rFonts w:ascii="Arial" w:eastAsia="Arial" w:hAnsi="Arial" w:cs="Arial"/>
          <w:color w:val="000000"/>
          <w:sz w:val="22"/>
          <w:szCs w:val="22"/>
        </w:rPr>
      </w:pPr>
    </w:p>
    <w:tbl>
      <w:tblPr>
        <w:tblStyle w:val="a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7E7629">
        <w:tc>
          <w:tcPr>
            <w:tcW w:w="8642" w:type="dxa"/>
            <w:tcBorders>
              <w:top w:val="nil"/>
              <w:left w:val="nil"/>
              <w:bottom w:val="nil"/>
            </w:tcBorders>
            <w:shd w:val="clear" w:color="auto" w:fill="FFFFFF"/>
          </w:tcPr>
          <w:p w:rsidR="007E7629" w:rsidRDefault="003E360F">
            <w:pPr>
              <w:jc w:val="center"/>
              <w:rPr>
                <w:rFonts w:ascii="Arial" w:eastAsia="Arial" w:hAnsi="Arial" w:cs="Arial"/>
                <w:b/>
                <w:bCs/>
                <w:sz w:val="22"/>
                <w:szCs w:val="22"/>
              </w:rPr>
            </w:pPr>
            <w:r>
              <w:rPr>
                <w:rFonts w:ascii="Arial" w:eastAsia="Arial" w:hAnsi="Arial" w:cs="Arial"/>
                <w:b/>
                <w:bCs/>
                <w:sz w:val="22"/>
                <w:szCs w:val="22"/>
              </w:rPr>
              <w:t>If you are a postgraduate research student working with a research supervisor or research advisor at your local university then you do not need to fill in any more sections of this appendix.</w:t>
            </w:r>
          </w:p>
          <w:p w:rsidR="007E7629" w:rsidRDefault="003E360F">
            <w:pPr>
              <w:jc w:val="center"/>
              <w:rPr>
                <w:rFonts w:ascii="Arial" w:eastAsia="Arial" w:hAnsi="Arial" w:cs="Arial"/>
                <w:b/>
                <w:bCs/>
                <w:sz w:val="22"/>
                <w:szCs w:val="22"/>
              </w:rPr>
            </w:pPr>
            <w:r>
              <w:rPr>
                <w:rFonts w:ascii="Arial" w:eastAsia="Arial" w:hAnsi="Arial" w:cs="Arial"/>
                <w:b/>
                <w:bCs/>
                <w:sz w:val="22"/>
                <w:szCs w:val="22"/>
              </w:rPr>
              <w:t>If you are working in a research collaboration with an overseas partner please complete the remaining sections of this appendix.</w:t>
            </w:r>
          </w:p>
        </w:tc>
        <w:tc>
          <w:tcPr>
            <w:tcW w:w="1838" w:type="dxa"/>
            <w:shd w:val="clear" w:color="auto" w:fill="D9F2D0"/>
            <w:vAlign w:val="center"/>
          </w:tcPr>
          <w:p w:rsidR="007E7629" w:rsidRDefault="00FB5D41">
            <w:pPr>
              <w:jc w:val="center"/>
              <w:rPr>
                <w:rFonts w:ascii="Arial" w:eastAsia="Arial" w:hAnsi="Arial" w:cs="Arial"/>
                <w:b/>
                <w:bCs/>
                <w:sz w:val="22"/>
                <w:szCs w:val="22"/>
              </w:rPr>
            </w:pPr>
            <w:hyperlink w:anchor="bookmark=id.mhmt15qnsnpb">
              <w:r w:rsidR="003E360F">
                <w:rPr>
                  <w:rFonts w:ascii="Arial" w:eastAsia="Arial" w:hAnsi="Arial" w:cs="Arial"/>
                  <w:b/>
                  <w:bCs/>
                  <w:color w:val="467886"/>
                  <w:sz w:val="22"/>
                  <w:szCs w:val="22"/>
                  <w:u w:val="single"/>
                </w:rPr>
                <w:t>Return to the main form</w:t>
              </w:r>
            </w:hyperlink>
          </w:p>
        </w:tc>
      </w:tr>
    </w:tbl>
    <w:p w:rsidR="007E7629" w:rsidRDefault="007E7629">
      <w:pPr>
        <w:tabs>
          <w:tab w:val="left" w:pos="5103"/>
        </w:tabs>
        <w:ind w:right="282"/>
        <w:jc w:val="center"/>
        <w:rPr>
          <w:rFonts w:ascii="Arial" w:eastAsia="Arial" w:hAnsi="Arial" w:cs="Arial"/>
          <w:b/>
          <w:bCs/>
          <w:color w:val="000000"/>
          <w:sz w:val="22"/>
          <w:szCs w:val="22"/>
        </w:rPr>
      </w:pPr>
      <w:bookmarkStart w:id="96" w:name="_heading=h.wtckdwl48zo2" w:colFirst="0" w:colLast="0"/>
      <w:bookmarkEnd w:id="96"/>
    </w:p>
    <w:tbl>
      <w:tblPr>
        <w:tblStyle w:val="afff"/>
        <w:tblW w:w="10456" w:type="dxa"/>
        <w:jc w:val="center"/>
        <w:tblLayout w:type="fixed"/>
        <w:tblLook w:val="0400" w:firstRow="0" w:lastRow="0" w:firstColumn="0" w:lastColumn="0" w:noHBand="0" w:noVBand="1"/>
      </w:tblPr>
      <w:tblGrid>
        <w:gridCol w:w="704"/>
        <w:gridCol w:w="9752"/>
      </w:tblGrid>
      <w:tr w:rsidR="007E7629">
        <w:trPr>
          <w:trHeight w:val="421"/>
          <w:jc w:val="cent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b/>
                <w:bCs/>
                <w:color w:val="000000"/>
                <w:sz w:val="22"/>
                <w:szCs w:val="22"/>
              </w:rPr>
              <w:lastRenderedPageBreak/>
              <w:t>Organisational Details</w:t>
            </w:r>
          </w:p>
        </w:tc>
      </w:tr>
      <w:tr w:rsidR="007E7629">
        <w:trPr>
          <w:trHeight w:val="421"/>
          <w:jc w:val="cent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Name of Organisation</w:t>
            </w:r>
          </w:p>
        </w:tc>
      </w:tr>
      <w:tr w:rsidR="007E7629">
        <w:trPr>
          <w:trHeight w:val="541"/>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7E7629">
            <w:pPr>
              <w:tabs>
                <w:tab w:val="left" w:pos="5103"/>
              </w:tabs>
              <w:ind w:right="282"/>
              <w:jc w:val="center"/>
              <w:rPr>
                <w:rFonts w:ascii="Arial" w:eastAsia="Arial" w:hAnsi="Arial" w:cs="Arial"/>
                <w:color w:val="000000"/>
                <w:sz w:val="22"/>
                <w:szCs w:val="22"/>
              </w:rPr>
            </w:pPr>
          </w:p>
        </w:tc>
      </w:tr>
      <w:tr w:rsidR="007E7629">
        <w:trPr>
          <w:trHeight w:val="464"/>
          <w:jc w:val="cent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7E7629">
        <w:trPr>
          <w:trHeight w:val="512"/>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7E7629">
            <w:pPr>
              <w:tabs>
                <w:tab w:val="left" w:pos="5103"/>
              </w:tabs>
              <w:ind w:right="282"/>
              <w:jc w:val="center"/>
              <w:rPr>
                <w:rFonts w:ascii="Arial" w:eastAsia="Arial" w:hAnsi="Arial" w:cs="Arial"/>
                <w:color w:val="000000"/>
                <w:sz w:val="22"/>
                <w:szCs w:val="22"/>
              </w:rPr>
            </w:pPr>
          </w:p>
        </w:tc>
      </w:tr>
      <w:tr w:rsidR="007E7629">
        <w:trPr>
          <w:trHeight w:val="706"/>
          <w:jc w:val="cent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E7629">
        <w:trPr>
          <w:trHeight w:val="1109"/>
          <w:jc w:val="cent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E7629">
        <w:trPr>
          <w:trHeight w:val="682"/>
          <w:jc w:val="cent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E7629">
        <w:trPr>
          <w:trHeight w:val="687"/>
          <w:jc w:val="cent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Name(s) of investigators in the organisation who will be responsible for the collaborative research and innovation</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rsidR="007E7629" w:rsidRDefault="007E7629">
      <w:pPr>
        <w:tabs>
          <w:tab w:val="left" w:pos="5103"/>
        </w:tabs>
        <w:ind w:right="282"/>
        <w:jc w:val="center"/>
        <w:rPr>
          <w:rFonts w:ascii="Arial" w:eastAsia="Arial" w:hAnsi="Arial" w:cs="Arial"/>
          <w:b/>
          <w:bCs/>
          <w:color w:val="000000"/>
          <w:sz w:val="22"/>
          <w:szCs w:val="22"/>
        </w:rPr>
      </w:pPr>
    </w:p>
    <w:p w:rsidR="007E7629" w:rsidRDefault="007E7629">
      <w:pPr>
        <w:tabs>
          <w:tab w:val="left" w:pos="5103"/>
        </w:tabs>
        <w:ind w:right="282"/>
        <w:jc w:val="center"/>
        <w:rPr>
          <w:rFonts w:ascii="Arial" w:eastAsia="Arial" w:hAnsi="Arial" w:cs="Arial"/>
          <w:b/>
          <w:bCs/>
          <w:color w:val="000000"/>
          <w:sz w:val="22"/>
          <w:szCs w:val="22"/>
        </w:rPr>
      </w:pPr>
    </w:p>
    <w:tbl>
      <w:tblPr>
        <w:tblStyle w:val="afff0"/>
        <w:tblW w:w="10456" w:type="dxa"/>
        <w:jc w:val="center"/>
        <w:tblLayout w:type="fixed"/>
        <w:tblLook w:val="0400" w:firstRow="0" w:lastRow="0" w:firstColumn="0" w:lastColumn="0" w:noHBand="0" w:noVBand="1"/>
      </w:tblPr>
      <w:tblGrid>
        <w:gridCol w:w="846"/>
        <w:gridCol w:w="9610"/>
      </w:tblGrid>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b/>
                <w:bCs/>
                <w:color w:val="000000"/>
                <w:sz w:val="22"/>
                <w:szCs w:val="22"/>
              </w:rPr>
              <w:t>About New Partners</w:t>
            </w:r>
          </w:p>
        </w:tc>
      </w:tr>
      <w:tr w:rsidR="007E7629">
        <w:trPr>
          <w:trHeight w:val="468"/>
          <w:jc w:val="cent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Why does a partner want to work with you?</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7E7629">
        <w:trPr>
          <w:trHeight w:val="400"/>
          <w:jc w:val="cent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lastRenderedPageBreak/>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sz w:val="22"/>
                <w:szCs w:val="22"/>
              </w:rPr>
            </w:pPr>
            <w:r>
              <w:rPr>
                <w:rFonts w:ascii="Arial" w:eastAsia="Arial" w:hAnsi="Arial" w:cs="Arial"/>
                <w:i/>
                <w:iCs/>
                <w:color w:val="808080"/>
                <w:sz w:val="18"/>
                <w:szCs w:val="18"/>
              </w:rPr>
              <w:t>(this box should expand as you type)</w:t>
            </w:r>
          </w:p>
        </w:tc>
      </w:tr>
    </w:tbl>
    <w:p w:rsidR="007E7629" w:rsidRDefault="007E7629">
      <w:pPr>
        <w:widowControl w:val="0"/>
        <w:pBdr>
          <w:top w:val="nil"/>
          <w:left w:val="nil"/>
          <w:bottom w:val="nil"/>
          <w:right w:val="nil"/>
          <w:between w:val="nil"/>
        </w:pBdr>
        <w:spacing w:line="276" w:lineRule="auto"/>
        <w:jc w:val="center"/>
        <w:rPr>
          <w:rFonts w:ascii="Arial" w:eastAsia="Arial" w:hAnsi="Arial" w:cs="Arial"/>
          <w:sz w:val="22"/>
          <w:szCs w:val="22"/>
        </w:rPr>
      </w:pPr>
    </w:p>
    <w:tbl>
      <w:tblPr>
        <w:tblStyle w:val="afff1"/>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7E7629">
        <w:trPr>
          <w:trHeight w:val="495"/>
        </w:trPr>
        <w:tc>
          <w:tcPr>
            <w:tcW w:w="851"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718"/>
        </w:trPr>
        <w:tc>
          <w:tcPr>
            <w:tcW w:w="851"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7938"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843"/>
        </w:trPr>
        <w:tc>
          <w:tcPr>
            <w:tcW w:w="10470" w:type="dxa"/>
            <w:gridSpan w:val="4"/>
            <w:tcBorders>
              <w:bottom w:val="single" w:sz="4" w:space="0" w:color="000000"/>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trHeight w:val="495"/>
        </w:trPr>
        <w:tc>
          <w:tcPr>
            <w:tcW w:w="851"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636"/>
        </w:trPr>
        <w:tc>
          <w:tcPr>
            <w:tcW w:w="851"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7938"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843"/>
        </w:trPr>
        <w:tc>
          <w:tcPr>
            <w:tcW w:w="10470" w:type="dxa"/>
            <w:gridSpan w:val="4"/>
            <w:tcBorders>
              <w:bottom w:val="single" w:sz="4" w:space="0" w:color="000000"/>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trHeight w:val="495"/>
        </w:trPr>
        <w:tc>
          <w:tcPr>
            <w:tcW w:w="851"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rsidR="007E7629" w:rsidRDefault="003E360F">
            <w:pPr>
              <w:tabs>
                <w:tab w:val="left" w:pos="5103"/>
              </w:tabs>
              <w:ind w:right="282"/>
              <w:jc w:val="center"/>
              <w:rPr>
                <w:rFonts w:ascii="Arial" w:eastAsia="Arial" w:hAnsi="Arial" w:cs="Arial"/>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637"/>
        </w:trPr>
        <w:tc>
          <w:tcPr>
            <w:tcW w:w="851"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7938"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843"/>
        </w:trPr>
        <w:tc>
          <w:tcPr>
            <w:tcW w:w="10470" w:type="dxa"/>
            <w:gridSpan w:val="4"/>
            <w:tcBorders>
              <w:bottom w:val="single" w:sz="4" w:space="0" w:color="000000"/>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trHeight w:val="495"/>
        </w:trPr>
        <w:tc>
          <w:tcPr>
            <w:tcW w:w="851"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rsidR="007E7629" w:rsidRDefault="003E360F">
            <w:pPr>
              <w:tabs>
                <w:tab w:val="left" w:pos="5103"/>
              </w:tabs>
              <w:ind w:right="282"/>
              <w:jc w:val="center"/>
              <w:rPr>
                <w:rFonts w:ascii="Arial" w:eastAsia="Arial" w:hAnsi="Arial" w:cs="Arial"/>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484"/>
        </w:trPr>
        <w:tc>
          <w:tcPr>
            <w:tcW w:w="851"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7938"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843"/>
        </w:trPr>
        <w:tc>
          <w:tcPr>
            <w:tcW w:w="10470" w:type="dxa"/>
            <w:gridSpan w:val="4"/>
            <w:tcBorders>
              <w:bottom w:val="single" w:sz="4" w:space="0" w:color="000000"/>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trHeight w:val="495"/>
        </w:trPr>
        <w:tc>
          <w:tcPr>
            <w:tcW w:w="851"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A3.16</w:t>
            </w:r>
          </w:p>
        </w:tc>
        <w:tc>
          <w:tcPr>
            <w:tcW w:w="7938" w:type="dxa"/>
            <w:vMerge w:val="restart"/>
            <w:shd w:val="clear" w:color="auto" w:fill="F2F2F2"/>
            <w:vAlign w:val="center"/>
          </w:tcPr>
          <w:p w:rsidR="007E7629" w:rsidRDefault="003E360F">
            <w:pPr>
              <w:tabs>
                <w:tab w:val="left" w:pos="5103"/>
              </w:tabs>
              <w:ind w:right="282"/>
              <w:jc w:val="center"/>
              <w:rPr>
                <w:rFonts w:ascii="Arial" w:eastAsia="Arial" w:hAnsi="Arial" w:cs="Arial"/>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495"/>
        </w:trPr>
        <w:tc>
          <w:tcPr>
            <w:tcW w:w="851"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7938"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843"/>
        </w:trPr>
        <w:tc>
          <w:tcPr>
            <w:tcW w:w="10470" w:type="dxa"/>
            <w:gridSpan w:val="4"/>
            <w:tcBorders>
              <w:bottom w:val="single" w:sz="4" w:space="0" w:color="000000"/>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lastRenderedPageBreak/>
              <w:t>(this box should expand as you type)</w:t>
            </w:r>
          </w:p>
        </w:tc>
      </w:tr>
    </w:tbl>
    <w:p w:rsidR="007E7629" w:rsidRDefault="007E7629">
      <w:pPr>
        <w:jc w:val="center"/>
        <w:rPr>
          <w:rFonts w:ascii="Arial" w:eastAsia="Arial" w:hAnsi="Arial" w:cs="Arial"/>
        </w:rPr>
      </w:pPr>
    </w:p>
    <w:p w:rsidR="007E7629" w:rsidRDefault="007E7629">
      <w:pPr>
        <w:tabs>
          <w:tab w:val="left" w:pos="5103"/>
        </w:tabs>
        <w:ind w:right="282"/>
        <w:jc w:val="center"/>
        <w:rPr>
          <w:rFonts w:ascii="Arial" w:eastAsia="Arial" w:hAnsi="Arial" w:cs="Arial"/>
          <w:color w:val="000000"/>
          <w:sz w:val="22"/>
          <w:szCs w:val="22"/>
        </w:rPr>
      </w:pPr>
    </w:p>
    <w:tbl>
      <w:tblPr>
        <w:tblStyle w:val="afff2"/>
        <w:tblW w:w="1047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7E7629">
        <w:trPr>
          <w:trHeight w:val="351"/>
          <w:jc w:val="center"/>
        </w:trPr>
        <w:tc>
          <w:tcPr>
            <w:tcW w:w="8789" w:type="dxa"/>
            <w:gridSpan w:val="2"/>
            <w:shd w:val="clear" w:color="auto" w:fill="C1E4F5"/>
            <w:vAlign w:val="center"/>
          </w:tcPr>
          <w:p w:rsidR="007E7629" w:rsidRDefault="003E360F">
            <w:pPr>
              <w:jc w:val="center"/>
              <w:rPr>
                <w:rFonts w:ascii="Arial" w:eastAsia="Arial" w:hAnsi="Arial" w:cs="Arial"/>
                <w:b/>
                <w:bCs/>
                <w:sz w:val="22"/>
                <w:szCs w:val="22"/>
              </w:rPr>
            </w:pPr>
            <w:r>
              <w:rPr>
                <w:rFonts w:ascii="Arial" w:eastAsia="Arial" w:hAnsi="Arial" w:cs="Arial"/>
                <w:b/>
                <w:bCs/>
                <w:color w:val="000000"/>
                <w:sz w:val="22"/>
                <w:szCs w:val="22"/>
              </w:rPr>
              <w:t>About Research Relationships</w:t>
            </w:r>
          </w:p>
        </w:tc>
        <w:tc>
          <w:tcPr>
            <w:tcW w:w="850"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831"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705"/>
          <w:jc w:val="center"/>
        </w:trPr>
        <w:tc>
          <w:tcPr>
            <w:tcW w:w="851" w:type="dxa"/>
            <w:tcBorders>
              <w:bottom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rsidR="007E7629" w:rsidRDefault="003E360F">
            <w:pPr>
              <w:jc w:val="center"/>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843"/>
          <w:jc w:val="center"/>
        </w:trPr>
        <w:tc>
          <w:tcPr>
            <w:tcW w:w="851" w:type="dxa"/>
            <w:tcBorders>
              <w:bottom w:val="nil"/>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rsidR="007E7629" w:rsidRDefault="003E360F">
            <w:pPr>
              <w:jc w:val="center"/>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bl>
    <w:p w:rsidR="007E7629" w:rsidRDefault="007E7629">
      <w:pPr>
        <w:widowControl w:val="0"/>
        <w:pBdr>
          <w:top w:val="nil"/>
          <w:left w:val="nil"/>
          <w:bottom w:val="nil"/>
          <w:right w:val="nil"/>
          <w:between w:val="nil"/>
        </w:pBdr>
        <w:spacing w:line="276" w:lineRule="auto"/>
        <w:jc w:val="center"/>
        <w:rPr>
          <w:rFonts w:ascii="Arial" w:eastAsia="Arial" w:hAnsi="Arial" w:cs="Arial"/>
        </w:rPr>
      </w:pPr>
    </w:p>
    <w:tbl>
      <w:tblPr>
        <w:tblStyle w:val="afff3"/>
        <w:tblW w:w="10456" w:type="dxa"/>
        <w:jc w:val="center"/>
        <w:tblLayout w:type="fixed"/>
        <w:tblLook w:val="0400" w:firstRow="0" w:lastRow="0" w:firstColumn="0" w:lastColumn="0" w:noHBand="0" w:noVBand="1"/>
      </w:tblPr>
      <w:tblGrid>
        <w:gridCol w:w="846"/>
        <w:gridCol w:w="9610"/>
      </w:tblGrid>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E7629">
        <w:trPr>
          <w:trHeight w:val="498"/>
          <w:jc w:val="cent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E7629">
        <w:trPr>
          <w:trHeight w:val="544"/>
          <w:jc w:val="cent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E7629">
        <w:trPr>
          <w:trHeight w:val="817"/>
          <w:jc w:val="cent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E7629">
        <w:trPr>
          <w:trHeight w:val="826"/>
          <w:jc w:val="cent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r w:rsidR="007E7629">
        <w:trPr>
          <w:trHeight w:val="536"/>
          <w:jc w:val="cent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7E7629">
        <w:trPr>
          <w:jc w:val="cent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b/>
                <w:bCs/>
                <w:color w:val="000000"/>
                <w:sz w:val="22"/>
                <w:szCs w:val="22"/>
              </w:rPr>
            </w:pPr>
            <w:r>
              <w:rPr>
                <w:rFonts w:ascii="Arial" w:eastAsia="Arial" w:hAnsi="Arial" w:cs="Arial"/>
                <w:i/>
                <w:iCs/>
                <w:color w:val="808080"/>
                <w:sz w:val="18"/>
                <w:szCs w:val="18"/>
              </w:rPr>
              <w:lastRenderedPageBreak/>
              <w:t>(this box should expand as you type)</w:t>
            </w:r>
          </w:p>
        </w:tc>
      </w:tr>
    </w:tbl>
    <w:p w:rsidR="007E7629" w:rsidRDefault="007E7629">
      <w:pPr>
        <w:tabs>
          <w:tab w:val="left" w:pos="5103"/>
        </w:tabs>
        <w:ind w:right="282"/>
        <w:jc w:val="center"/>
        <w:rPr>
          <w:rFonts w:ascii="Arial" w:eastAsia="Arial" w:hAnsi="Arial" w:cs="Arial"/>
          <w:color w:val="000000"/>
          <w:sz w:val="22"/>
          <w:szCs w:val="22"/>
        </w:rPr>
      </w:pPr>
    </w:p>
    <w:p w:rsidR="007E7629" w:rsidRDefault="007E7629">
      <w:pPr>
        <w:tabs>
          <w:tab w:val="left" w:pos="5103"/>
        </w:tabs>
        <w:ind w:right="282"/>
        <w:jc w:val="center"/>
        <w:rPr>
          <w:rFonts w:ascii="Arial" w:eastAsia="Arial" w:hAnsi="Arial" w:cs="Arial"/>
          <w:color w:val="000000"/>
          <w:sz w:val="22"/>
          <w:szCs w:val="22"/>
        </w:rPr>
      </w:pPr>
    </w:p>
    <w:tbl>
      <w:tblPr>
        <w:tblStyle w:val="afff4"/>
        <w:tblW w:w="1047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7E7629">
        <w:trPr>
          <w:trHeight w:val="351"/>
          <w:jc w:val="center"/>
        </w:trPr>
        <w:tc>
          <w:tcPr>
            <w:tcW w:w="10470" w:type="dxa"/>
            <w:gridSpan w:val="4"/>
            <w:shd w:val="clear" w:color="auto" w:fill="C1E4F5"/>
            <w:vAlign w:val="center"/>
          </w:tcPr>
          <w:p w:rsidR="007E7629" w:rsidRDefault="003E360F">
            <w:pPr>
              <w:jc w:val="center"/>
              <w:rPr>
                <w:rFonts w:ascii="Arial" w:eastAsia="Arial" w:hAnsi="Arial" w:cs="Arial"/>
                <w:b/>
                <w:bCs/>
                <w:sz w:val="22"/>
                <w:szCs w:val="22"/>
              </w:rPr>
            </w:pPr>
            <w:r>
              <w:rPr>
                <w:rFonts w:ascii="Arial" w:eastAsia="Arial" w:hAnsi="Arial" w:cs="Arial"/>
                <w:b/>
                <w:bCs/>
                <w:color w:val="000000"/>
                <w:sz w:val="22"/>
                <w:szCs w:val="22"/>
              </w:rPr>
              <w:t>About Existing Partners</w:t>
            </w:r>
          </w:p>
        </w:tc>
      </w:tr>
      <w:tr w:rsidR="007E7629">
        <w:trPr>
          <w:trHeight w:val="495"/>
          <w:jc w:val="center"/>
        </w:trPr>
        <w:tc>
          <w:tcPr>
            <w:tcW w:w="851"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rsidR="007E7629" w:rsidRDefault="003E360F">
            <w:pPr>
              <w:tabs>
                <w:tab w:val="left" w:pos="5103"/>
              </w:tabs>
              <w:ind w:right="282"/>
              <w:jc w:val="center"/>
              <w:rPr>
                <w:rFonts w:ascii="Arial" w:eastAsia="Arial" w:hAnsi="Arial" w:cs="Arial"/>
              </w:rPr>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495"/>
          <w:jc w:val="center"/>
        </w:trPr>
        <w:tc>
          <w:tcPr>
            <w:tcW w:w="851"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7938"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tcBorders>
              <w:bottom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705"/>
          <w:jc w:val="center"/>
        </w:trPr>
        <w:tc>
          <w:tcPr>
            <w:tcW w:w="10470" w:type="dxa"/>
            <w:gridSpan w:val="4"/>
            <w:tcBorders>
              <w:bottom w:val="single" w:sz="4" w:space="0" w:color="000000"/>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trHeight w:val="495"/>
          <w:jc w:val="center"/>
        </w:trPr>
        <w:tc>
          <w:tcPr>
            <w:tcW w:w="851"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495"/>
          <w:jc w:val="center"/>
        </w:trPr>
        <w:tc>
          <w:tcPr>
            <w:tcW w:w="851"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7938"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843"/>
          <w:jc w:val="center"/>
        </w:trPr>
        <w:tc>
          <w:tcPr>
            <w:tcW w:w="10470" w:type="dxa"/>
            <w:gridSpan w:val="4"/>
            <w:tcBorders>
              <w:bottom w:val="single" w:sz="4" w:space="0" w:color="000000"/>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trHeight w:val="383"/>
          <w:jc w:val="center"/>
        </w:trPr>
        <w:tc>
          <w:tcPr>
            <w:tcW w:w="851" w:type="dxa"/>
            <w:vMerge w:val="restart"/>
            <w:tcBorders>
              <w:bottom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rsidR="007E7629" w:rsidRDefault="003E360F">
            <w:pPr>
              <w:jc w:val="center"/>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831" w:type="dxa"/>
            <w:tcBorders>
              <w:bottom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580"/>
          <w:jc w:val="center"/>
        </w:trPr>
        <w:tc>
          <w:tcPr>
            <w:tcW w:w="851" w:type="dxa"/>
            <w:vMerge/>
            <w:tcBorders>
              <w:bottom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7938" w:type="dxa"/>
            <w:vMerge/>
            <w:tcBorders>
              <w:bottom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tcBorders>
              <w:bottom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699"/>
          <w:jc w:val="center"/>
        </w:trPr>
        <w:tc>
          <w:tcPr>
            <w:tcW w:w="10470" w:type="dxa"/>
            <w:gridSpan w:val="4"/>
            <w:tcBorders>
              <w:top w:val="single" w:sz="4" w:space="0" w:color="000000"/>
              <w:bottom w:val="nil"/>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trHeight w:val="488"/>
          <w:jc w:val="center"/>
        </w:trPr>
        <w:tc>
          <w:tcPr>
            <w:tcW w:w="851" w:type="dxa"/>
            <w:vMerge w:val="restart"/>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831"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487"/>
          <w:jc w:val="center"/>
        </w:trPr>
        <w:tc>
          <w:tcPr>
            <w:tcW w:w="851"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7938" w:type="dxa"/>
            <w:vMerge/>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rPr>
            </w:pPr>
          </w:p>
        </w:tc>
        <w:tc>
          <w:tcPr>
            <w:tcW w:w="850"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831" w:type="dxa"/>
            <w:tcBorders>
              <w:bottom w:val="nil"/>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bl>
    <w:p w:rsidR="007E7629" w:rsidRDefault="007E7629">
      <w:pPr>
        <w:widowControl w:val="0"/>
        <w:pBdr>
          <w:top w:val="nil"/>
          <w:left w:val="nil"/>
          <w:bottom w:val="nil"/>
          <w:right w:val="nil"/>
          <w:between w:val="nil"/>
        </w:pBdr>
        <w:spacing w:line="276" w:lineRule="auto"/>
        <w:jc w:val="center"/>
        <w:rPr>
          <w:rFonts w:ascii="Arial" w:eastAsia="Arial" w:hAnsi="Arial" w:cs="Arial"/>
        </w:rPr>
      </w:pPr>
    </w:p>
    <w:tbl>
      <w:tblPr>
        <w:tblStyle w:val="afff5"/>
        <w:tblW w:w="10456" w:type="dxa"/>
        <w:jc w:val="center"/>
        <w:tblLayout w:type="fixed"/>
        <w:tblLook w:val="0400" w:firstRow="0" w:lastRow="0" w:firstColumn="0" w:lastColumn="0" w:noHBand="0" w:noVBand="1"/>
      </w:tblPr>
      <w:tblGrid>
        <w:gridCol w:w="10456"/>
      </w:tblGrid>
      <w:tr w:rsidR="007E7629">
        <w:trPr>
          <w:jc w:val="center"/>
        </w:trPr>
        <w:tc>
          <w:tcPr>
            <w:tcW w:w="10456" w:type="dxa"/>
            <w:tcBorders>
              <w:top w:val="single" w:sz="4" w:space="0" w:color="000000"/>
              <w:left w:val="single" w:sz="4" w:space="0" w:color="000000"/>
              <w:bottom w:val="single" w:sz="4" w:space="0" w:color="000000"/>
              <w:right w:val="single" w:sz="4" w:space="0" w:color="000000"/>
            </w:tcBorders>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tabs>
                <w:tab w:val="left" w:pos="5103"/>
              </w:tabs>
              <w:ind w:right="282"/>
              <w:jc w:val="center"/>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rsidR="007E7629" w:rsidRDefault="007E7629">
      <w:pPr>
        <w:tabs>
          <w:tab w:val="left" w:pos="5103"/>
        </w:tabs>
        <w:ind w:right="282"/>
        <w:jc w:val="center"/>
        <w:rPr>
          <w:rFonts w:ascii="Arial" w:eastAsia="Arial" w:hAnsi="Arial" w:cs="Arial"/>
          <w:color w:val="000000"/>
          <w:sz w:val="22"/>
          <w:szCs w:val="22"/>
        </w:rPr>
      </w:pPr>
    </w:p>
    <w:tbl>
      <w:tblPr>
        <w:tblStyle w:val="afff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c>
          <w:tcPr>
            <w:tcW w:w="562" w:type="dxa"/>
            <w:tcBorders>
              <w:top w:val="nil"/>
              <w:left w:val="nil"/>
              <w:bottom w:val="nil"/>
              <w:right w:val="nil"/>
            </w:tcBorders>
            <w:shd w:val="clear" w:color="auto" w:fill="FFFFFF"/>
          </w:tcPr>
          <w:p w:rsidR="007E7629" w:rsidRDefault="007E7629">
            <w:pPr>
              <w:jc w:val="cente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7E7629" w:rsidRDefault="007E7629">
            <w:pPr>
              <w:jc w:val="cente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tc>
        <w:tc>
          <w:tcPr>
            <w:tcW w:w="1838" w:type="dxa"/>
            <w:shd w:val="clear" w:color="auto" w:fill="D9F2D0"/>
            <w:vAlign w:val="center"/>
          </w:tcPr>
          <w:p w:rsidR="007E7629" w:rsidRDefault="00FB5D41">
            <w:pPr>
              <w:jc w:val="center"/>
              <w:rPr>
                <w:rFonts w:ascii="Arial" w:eastAsia="Arial" w:hAnsi="Arial" w:cs="Arial"/>
                <w:b/>
                <w:bCs/>
                <w:sz w:val="22"/>
                <w:szCs w:val="22"/>
              </w:rPr>
            </w:pPr>
            <w:hyperlink w:anchor="bookmark=id.mhmt15qnsnpb">
              <w:r w:rsidR="003E360F">
                <w:rPr>
                  <w:rFonts w:ascii="Arial" w:eastAsia="Arial" w:hAnsi="Arial" w:cs="Arial"/>
                  <w:b/>
                  <w:bCs/>
                  <w:color w:val="467886"/>
                  <w:sz w:val="22"/>
                  <w:szCs w:val="22"/>
                  <w:u w:val="single"/>
                </w:rPr>
                <w:t>Return to the main form</w:t>
              </w:r>
            </w:hyperlink>
          </w:p>
        </w:tc>
      </w:tr>
    </w:tbl>
    <w:p w:rsidR="007E7629" w:rsidRDefault="007E7629">
      <w:pPr>
        <w:tabs>
          <w:tab w:val="left" w:pos="5103"/>
        </w:tabs>
        <w:ind w:right="282"/>
        <w:jc w:val="center"/>
        <w:rPr>
          <w:rFonts w:ascii="Arial" w:eastAsia="Arial" w:hAnsi="Arial" w:cs="Arial"/>
          <w:b/>
          <w:bCs/>
          <w:color w:val="000000"/>
          <w:sz w:val="22"/>
          <w:szCs w:val="22"/>
        </w:rPr>
      </w:pPr>
    </w:p>
    <w:p w:rsidR="007E7629" w:rsidRDefault="003E360F">
      <w:pPr>
        <w:tabs>
          <w:tab w:val="left" w:pos="5103"/>
        </w:tabs>
        <w:ind w:right="282"/>
        <w:jc w:val="center"/>
        <w:rPr>
          <w:rFonts w:ascii="Arial" w:eastAsia="Arial" w:hAnsi="Arial" w:cs="Arial"/>
          <w:b/>
          <w:bCs/>
          <w:color w:val="000000"/>
          <w:sz w:val="22"/>
          <w:szCs w:val="22"/>
        </w:rPr>
      </w:pPr>
      <w:bookmarkStart w:id="97" w:name="bookmark=id.8cdopilsalky" w:colFirst="0" w:colLast="0"/>
      <w:bookmarkEnd w:id="97"/>
      <w:r>
        <w:rPr>
          <w:rFonts w:ascii="Arial" w:eastAsia="Arial" w:hAnsi="Arial" w:cs="Arial"/>
          <w:b/>
          <w:bCs/>
          <w:color w:val="000000"/>
          <w:sz w:val="22"/>
          <w:szCs w:val="22"/>
        </w:rPr>
        <w:t>APPENDIX 4: Research with Vulnerable People</w:t>
      </w:r>
    </w:p>
    <w:p w:rsidR="007E7629" w:rsidRDefault="007E7629">
      <w:pPr>
        <w:tabs>
          <w:tab w:val="left" w:pos="5103"/>
        </w:tabs>
        <w:ind w:right="282"/>
        <w:jc w:val="center"/>
        <w:rPr>
          <w:rFonts w:ascii="Arial" w:eastAsia="Arial" w:hAnsi="Arial" w:cs="Arial"/>
          <w:color w:val="000000"/>
          <w:sz w:val="22"/>
          <w:szCs w:val="22"/>
        </w:rPr>
      </w:pPr>
    </w:p>
    <w:tbl>
      <w:tblPr>
        <w:tblStyle w:val="afff7"/>
        <w:tblW w:w="1045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7E7629">
        <w:trPr>
          <w:trHeight w:val="369"/>
          <w:jc w:val="center"/>
        </w:trPr>
        <w:tc>
          <w:tcPr>
            <w:tcW w:w="9322" w:type="dxa"/>
            <w:gridSpan w:val="5"/>
            <w:shd w:val="clear" w:color="auto" w:fill="C1E4F5"/>
          </w:tcPr>
          <w:p w:rsidR="007E7629" w:rsidRDefault="003E360F">
            <w:pPr>
              <w:jc w:val="center"/>
              <w:rPr>
                <w:rFonts w:ascii="Arial" w:eastAsia="Arial" w:hAnsi="Arial" w:cs="Arial"/>
                <w:b/>
                <w:bCs/>
                <w:sz w:val="22"/>
                <w:szCs w:val="22"/>
              </w:rPr>
            </w:pPr>
            <w:r>
              <w:rPr>
                <w:rFonts w:ascii="Arial" w:eastAsia="Arial" w:hAnsi="Arial" w:cs="Arial"/>
                <w:b/>
                <w:bCs/>
                <w:sz w:val="22"/>
                <w:szCs w:val="22"/>
              </w:rPr>
              <w:lastRenderedPageBreak/>
              <w:t>Will the research involve data processing involving the following data subjects:</w:t>
            </w:r>
          </w:p>
        </w:tc>
        <w:tc>
          <w:tcPr>
            <w:tcW w:w="617" w:type="dxa"/>
            <w:gridSpan w:val="2"/>
            <w:shd w:val="clear" w:color="auto" w:fill="D9D9D9"/>
            <w:vAlign w:val="center"/>
          </w:tcPr>
          <w:p w:rsidR="007E7629" w:rsidRDefault="003E360F">
            <w:pPr>
              <w:jc w:val="center"/>
              <w:rPr>
                <w:rFonts w:ascii="Arial" w:eastAsia="Arial" w:hAnsi="Arial" w:cs="Arial"/>
                <w:b/>
                <w:bCs/>
              </w:rPr>
            </w:pPr>
            <w:r>
              <w:rPr>
                <w:rFonts w:ascii="Arial" w:eastAsia="Arial" w:hAnsi="Arial" w:cs="Arial"/>
                <w:b/>
                <w:bCs/>
              </w:rPr>
              <w:t>YES</w:t>
            </w:r>
          </w:p>
        </w:tc>
        <w:tc>
          <w:tcPr>
            <w:tcW w:w="516" w:type="dxa"/>
            <w:shd w:val="clear" w:color="auto" w:fill="D9D9D9"/>
            <w:vAlign w:val="center"/>
          </w:tcPr>
          <w:p w:rsidR="007E7629" w:rsidRDefault="003E360F">
            <w:pPr>
              <w:jc w:val="center"/>
              <w:rPr>
                <w:rFonts w:ascii="Arial" w:eastAsia="Arial" w:hAnsi="Arial" w:cs="Arial"/>
                <w:b/>
                <w:bCs/>
              </w:rPr>
            </w:pPr>
            <w:r>
              <w:rPr>
                <w:rFonts w:ascii="Arial" w:eastAsia="Arial" w:hAnsi="Arial" w:cs="Arial"/>
                <w:b/>
                <w:bCs/>
              </w:rPr>
              <w:t>NO</w:t>
            </w:r>
          </w:p>
        </w:tc>
      </w:tr>
      <w:tr w:rsidR="007E7629">
        <w:trPr>
          <w:trHeight w:val="402"/>
          <w:jc w:val="center"/>
        </w:trPr>
        <w:tc>
          <w:tcPr>
            <w:tcW w:w="79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08"/>
          <w:jc w:val="center"/>
        </w:trPr>
        <w:tc>
          <w:tcPr>
            <w:tcW w:w="79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Adults with learning disabilities</w:t>
            </w:r>
          </w:p>
        </w:tc>
        <w:tc>
          <w:tcPr>
            <w:tcW w:w="617"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555"/>
          <w:jc w:val="center"/>
        </w:trPr>
        <w:tc>
          <w:tcPr>
            <w:tcW w:w="79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1"/>
          <w:jc w:val="center"/>
        </w:trPr>
        <w:tc>
          <w:tcPr>
            <w:tcW w:w="79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Adults in emergency situations</w:t>
            </w:r>
          </w:p>
        </w:tc>
        <w:tc>
          <w:tcPr>
            <w:tcW w:w="617"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4"/>
          <w:jc w:val="center"/>
        </w:trPr>
        <w:tc>
          <w:tcPr>
            <w:tcW w:w="79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704"/>
          <w:jc w:val="center"/>
        </w:trPr>
        <w:tc>
          <w:tcPr>
            <w:tcW w:w="79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02"/>
          <w:jc w:val="center"/>
        </w:trPr>
        <w:tc>
          <w:tcPr>
            <w:tcW w:w="79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2"/>
          <w:jc w:val="center"/>
        </w:trPr>
        <w:tc>
          <w:tcPr>
            <w:tcW w:w="79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2"/>
          <w:jc w:val="center"/>
        </w:trPr>
        <w:tc>
          <w:tcPr>
            <w:tcW w:w="79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698"/>
          <w:jc w:val="center"/>
        </w:trPr>
        <w:tc>
          <w:tcPr>
            <w:tcW w:w="10455" w:type="dxa"/>
            <w:gridSpan w:val="8"/>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7E7629">
        <w:trPr>
          <w:trHeight w:val="440"/>
          <w:jc w:val="center"/>
        </w:trPr>
        <w:tc>
          <w:tcPr>
            <w:tcW w:w="791" w:type="dxa"/>
            <w:vAlign w:val="center"/>
          </w:tcPr>
          <w:p w:rsidR="007E7629" w:rsidRDefault="003E360F">
            <w:pPr>
              <w:jc w:val="center"/>
              <w:rPr>
                <w:rFonts w:ascii="Arial" w:eastAsia="Arial" w:hAnsi="Arial" w:cs="Arial"/>
              </w:rPr>
            </w:pPr>
            <w:r>
              <w:rPr>
                <w:rFonts w:ascii="Arial" w:eastAsia="Arial" w:hAnsi="Arial" w:cs="Arial"/>
                <w:sz w:val="22"/>
                <w:szCs w:val="22"/>
              </w:rPr>
              <w:t>A4.10</w:t>
            </w:r>
          </w:p>
        </w:tc>
        <w:tc>
          <w:tcPr>
            <w:tcW w:w="9664" w:type="dxa"/>
            <w:gridSpan w:val="7"/>
            <w:vAlign w:val="center"/>
          </w:tcPr>
          <w:p w:rsidR="007E7629" w:rsidRDefault="003E360F">
            <w:pPr>
              <w:pBdr>
                <w:top w:val="nil"/>
                <w:left w:val="nil"/>
                <w:bottom w:val="nil"/>
                <w:right w:val="nil"/>
                <w:between w:val="nil"/>
              </w:pBdr>
              <w:jc w:val="center"/>
              <w:rPr>
                <w:rFonts w:ascii="Arial" w:eastAsia="Arial" w:hAnsi="Arial" w:cs="Arial"/>
                <w:color w:val="4EA72E"/>
                <w:sz w:val="22"/>
                <w:szCs w:val="22"/>
              </w:rPr>
            </w:pPr>
            <w:r>
              <w:rPr>
                <w:rFonts w:ascii="Arial" w:eastAsia="Arial" w:hAnsi="Arial" w:cs="Arial"/>
                <w:color w:val="4EA72E"/>
                <w:sz w:val="22"/>
                <w:szCs w:val="22"/>
              </w:rPr>
              <w:t>Any inclusion of vulnerable people must be fully justified.</w:t>
            </w:r>
          </w:p>
          <w:p w:rsidR="007E7629" w:rsidRDefault="007E7629">
            <w:pPr>
              <w:jc w:val="center"/>
              <w:rPr>
                <w:rFonts w:ascii="Arial" w:eastAsia="Arial" w:hAnsi="Arial" w:cs="Arial"/>
              </w:rPr>
            </w:pPr>
          </w:p>
          <w:p w:rsidR="007E7629" w:rsidRDefault="007E7629">
            <w:pPr>
              <w:jc w:val="center"/>
              <w:rPr>
                <w:rFonts w:ascii="Arial" w:eastAsia="Arial" w:hAnsi="Arial" w:cs="Arial"/>
              </w:rPr>
            </w:pPr>
          </w:p>
          <w:p w:rsidR="007E7629" w:rsidRDefault="007E7629">
            <w:pPr>
              <w:jc w:val="center"/>
              <w:rPr>
                <w:rFonts w:ascii="Arial" w:eastAsia="Arial" w:hAnsi="Arial" w:cs="Arial"/>
              </w:rPr>
            </w:pPr>
          </w:p>
          <w:p w:rsidR="007E7629" w:rsidRDefault="003E360F">
            <w:pPr>
              <w:jc w:val="center"/>
              <w:rPr>
                <w:rFonts w:ascii="Arial" w:eastAsia="Arial" w:hAnsi="Arial" w:cs="Arial"/>
              </w:rPr>
            </w:pPr>
            <w:r>
              <w:rPr>
                <w:rFonts w:ascii="Arial" w:eastAsia="Arial" w:hAnsi="Arial" w:cs="Arial"/>
                <w:i/>
                <w:iCs/>
                <w:color w:val="808080"/>
                <w:sz w:val="18"/>
                <w:szCs w:val="18"/>
              </w:rPr>
              <w:t>(this box should expand as you type)</w:t>
            </w:r>
          </w:p>
        </w:tc>
      </w:tr>
      <w:tr w:rsidR="007E7629">
        <w:trPr>
          <w:trHeight w:val="979"/>
          <w:jc w:val="center"/>
        </w:trPr>
        <w:tc>
          <w:tcPr>
            <w:tcW w:w="10455" w:type="dxa"/>
            <w:gridSpan w:val="8"/>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7E7629">
        <w:trPr>
          <w:trHeight w:val="440"/>
          <w:jc w:val="center"/>
        </w:trPr>
        <w:tc>
          <w:tcPr>
            <w:tcW w:w="791" w:type="dxa"/>
            <w:shd w:val="clear" w:color="auto" w:fill="FFFFFF"/>
            <w:vAlign w:val="center"/>
          </w:tcPr>
          <w:p w:rsidR="007E7629" w:rsidRDefault="003E360F">
            <w:pPr>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rsidR="007E7629" w:rsidRDefault="007E7629">
            <w:pPr>
              <w:jc w:val="center"/>
              <w:rPr>
                <w:rFonts w:ascii="Arial" w:eastAsia="Arial" w:hAnsi="Arial" w:cs="Arial"/>
              </w:rPr>
            </w:pPr>
          </w:p>
          <w:p w:rsidR="007E7629" w:rsidRDefault="007E7629">
            <w:pPr>
              <w:jc w:val="center"/>
              <w:rPr>
                <w:rFonts w:ascii="Arial" w:eastAsia="Arial" w:hAnsi="Arial" w:cs="Arial"/>
              </w:rPr>
            </w:pPr>
          </w:p>
          <w:p w:rsidR="007E7629" w:rsidRDefault="003E360F">
            <w:pPr>
              <w:jc w:val="cente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7E7629">
        <w:trPr>
          <w:trHeight w:val="698"/>
          <w:jc w:val="center"/>
        </w:trPr>
        <w:tc>
          <w:tcPr>
            <w:tcW w:w="10455" w:type="dxa"/>
            <w:gridSpan w:val="8"/>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7E7629">
        <w:trPr>
          <w:trHeight w:val="440"/>
          <w:jc w:val="center"/>
        </w:trPr>
        <w:tc>
          <w:tcPr>
            <w:tcW w:w="791" w:type="dxa"/>
            <w:vMerge w:val="restart"/>
            <w:vAlign w:val="center"/>
          </w:tcPr>
          <w:p w:rsidR="007E7629" w:rsidRDefault="003E360F">
            <w:pPr>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rsidR="007E7629" w:rsidRDefault="003E360F">
            <w:pPr>
              <w:jc w:val="center"/>
              <w:rPr>
                <w:rFonts w:ascii="Arial" w:eastAsia="Arial" w:hAnsi="Arial" w:cs="Arial"/>
                <w:sz w:val="22"/>
                <w:szCs w:val="22"/>
              </w:rPr>
            </w:pPr>
            <w:r>
              <w:rPr>
                <w:rFonts w:ascii="Arial" w:eastAsia="Arial" w:hAnsi="Arial" w:cs="Arial"/>
                <w:sz w:val="22"/>
                <w:szCs w:val="22"/>
              </w:rPr>
              <w:t>DBS Check required?</w:t>
            </w:r>
          </w:p>
        </w:tc>
        <w:tc>
          <w:tcPr>
            <w:tcW w:w="1418"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529" w:type="dxa"/>
            <w:gridSpan w:val="4"/>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440"/>
          <w:jc w:val="center"/>
        </w:trPr>
        <w:tc>
          <w:tcPr>
            <w:tcW w:w="791" w:type="dxa"/>
            <w:vMerge/>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6717" w:type="dxa"/>
            <w:vMerge/>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1418"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c>
          <w:tcPr>
            <w:tcW w:w="1529" w:type="dxa"/>
            <w:gridSpan w:val="4"/>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r>
      <w:tr w:rsidR="007E7629">
        <w:trPr>
          <w:trHeight w:val="440"/>
          <w:jc w:val="center"/>
        </w:trPr>
        <w:tc>
          <w:tcPr>
            <w:tcW w:w="791" w:type="dxa"/>
            <w:vMerge w:val="restart"/>
            <w:vAlign w:val="center"/>
          </w:tcPr>
          <w:p w:rsidR="007E7629" w:rsidRDefault="003E360F">
            <w:pPr>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rsidR="007E7629" w:rsidRDefault="003E360F">
            <w:pPr>
              <w:jc w:val="center"/>
              <w:rPr>
                <w:rFonts w:ascii="Arial" w:eastAsia="Arial" w:hAnsi="Arial" w:cs="Arial"/>
                <w:sz w:val="22"/>
                <w:szCs w:val="22"/>
              </w:rPr>
            </w:pPr>
            <w:r>
              <w:rPr>
                <w:rFonts w:ascii="Arial" w:eastAsia="Arial" w:hAnsi="Arial" w:cs="Arial"/>
                <w:sz w:val="22"/>
                <w:szCs w:val="22"/>
              </w:rPr>
              <w:t>DBS certificate obtained?</w:t>
            </w:r>
          </w:p>
        </w:tc>
        <w:tc>
          <w:tcPr>
            <w:tcW w:w="99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851" w:type="dxa"/>
            <w:gridSpan w:val="3"/>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104"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N/A</w:t>
            </w:r>
          </w:p>
        </w:tc>
      </w:tr>
      <w:tr w:rsidR="007E7629">
        <w:trPr>
          <w:trHeight w:val="440"/>
          <w:jc w:val="center"/>
        </w:trPr>
        <w:tc>
          <w:tcPr>
            <w:tcW w:w="791" w:type="dxa"/>
            <w:vMerge/>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6717" w:type="dxa"/>
            <w:vMerge/>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992"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c>
          <w:tcPr>
            <w:tcW w:w="851" w:type="dxa"/>
            <w:gridSpan w:val="3"/>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c>
          <w:tcPr>
            <w:tcW w:w="1104" w:type="dxa"/>
            <w:gridSpan w:val="2"/>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t>
            </w:r>
          </w:p>
        </w:tc>
      </w:tr>
    </w:tbl>
    <w:p w:rsidR="007E7629" w:rsidRDefault="007E7629">
      <w:pPr>
        <w:tabs>
          <w:tab w:val="left" w:pos="5103"/>
        </w:tabs>
        <w:ind w:right="282"/>
        <w:jc w:val="center"/>
        <w:rPr>
          <w:rFonts w:ascii="Arial" w:eastAsia="Arial" w:hAnsi="Arial" w:cs="Arial"/>
          <w:color w:val="000000"/>
          <w:sz w:val="22"/>
          <w:szCs w:val="22"/>
        </w:rPr>
      </w:pPr>
    </w:p>
    <w:tbl>
      <w:tblPr>
        <w:tblStyle w:val="af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c>
          <w:tcPr>
            <w:tcW w:w="562" w:type="dxa"/>
            <w:tcBorders>
              <w:top w:val="nil"/>
              <w:left w:val="nil"/>
              <w:bottom w:val="nil"/>
              <w:right w:val="nil"/>
            </w:tcBorders>
            <w:shd w:val="clear" w:color="auto" w:fill="FFFFFF"/>
          </w:tcPr>
          <w:p w:rsidR="007E7629" w:rsidRDefault="007E7629">
            <w:pPr>
              <w:jc w:val="cente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7E7629" w:rsidRDefault="007E7629">
            <w:pPr>
              <w:jc w:val="cente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tc>
        <w:tc>
          <w:tcPr>
            <w:tcW w:w="1838" w:type="dxa"/>
            <w:shd w:val="clear" w:color="auto" w:fill="D9F2D0"/>
            <w:vAlign w:val="center"/>
          </w:tcPr>
          <w:p w:rsidR="007E7629" w:rsidRDefault="00FB5D41">
            <w:pPr>
              <w:jc w:val="center"/>
              <w:rPr>
                <w:rFonts w:ascii="Arial" w:eastAsia="Arial" w:hAnsi="Arial" w:cs="Arial"/>
                <w:b/>
                <w:bCs/>
                <w:sz w:val="22"/>
                <w:szCs w:val="22"/>
              </w:rPr>
            </w:pPr>
            <w:hyperlink w:anchor="bookmark=id.fvd3v9quuero">
              <w:r w:rsidR="003E360F">
                <w:rPr>
                  <w:rFonts w:ascii="Arial" w:eastAsia="Arial" w:hAnsi="Arial" w:cs="Arial"/>
                  <w:b/>
                  <w:bCs/>
                  <w:color w:val="467886"/>
                  <w:sz w:val="22"/>
                  <w:szCs w:val="22"/>
                  <w:u w:val="single"/>
                </w:rPr>
                <w:t>Return to the main form</w:t>
              </w:r>
            </w:hyperlink>
          </w:p>
        </w:tc>
      </w:tr>
    </w:tbl>
    <w:p w:rsidR="007E7629" w:rsidRDefault="003E360F">
      <w:pPr>
        <w:spacing w:after="240"/>
        <w:jc w:val="center"/>
        <w:rPr>
          <w:rFonts w:ascii="Arial" w:eastAsia="Arial" w:hAnsi="Arial" w:cs="Arial"/>
          <w:b/>
          <w:bCs/>
        </w:rPr>
      </w:pPr>
      <w:bookmarkStart w:id="98" w:name="bookmark=id.if5zzwnbtrz5" w:colFirst="0" w:colLast="0"/>
      <w:bookmarkEnd w:id="98"/>
      <w:r>
        <w:rPr>
          <w:rFonts w:ascii="Arial" w:eastAsia="Arial" w:hAnsi="Arial" w:cs="Arial"/>
          <w:b/>
          <w:bCs/>
          <w:sz w:val="22"/>
          <w:szCs w:val="22"/>
        </w:rPr>
        <w:t>APPENDIX 5:</w:t>
      </w:r>
      <w:r>
        <w:rPr>
          <w:rFonts w:ascii="Arial" w:eastAsia="Arial" w:hAnsi="Arial" w:cs="Arial"/>
          <w:b/>
          <w:bCs/>
        </w:rPr>
        <w:t xml:space="preserve"> Research Involving Animals</w:t>
      </w:r>
    </w:p>
    <w:tbl>
      <w:tblPr>
        <w:tblStyle w:val="afff9"/>
        <w:tblW w:w="1048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7E7629">
        <w:trPr>
          <w:trHeight w:val="364"/>
          <w:jc w:val="center"/>
        </w:trPr>
        <w:tc>
          <w:tcPr>
            <w:tcW w:w="10484" w:type="dxa"/>
            <w:gridSpan w:val="4"/>
            <w:shd w:val="clear" w:color="auto" w:fill="C1E4F5"/>
          </w:tcPr>
          <w:p w:rsidR="007E7629" w:rsidRDefault="003E360F">
            <w:pPr>
              <w:jc w:val="center"/>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7E7629">
        <w:trPr>
          <w:trHeight w:val="364"/>
          <w:jc w:val="center"/>
        </w:trPr>
        <w:tc>
          <w:tcPr>
            <w:tcW w:w="9281" w:type="dxa"/>
            <w:gridSpan w:val="2"/>
            <w:shd w:val="clear" w:color="auto" w:fill="CAEDFB"/>
          </w:tcPr>
          <w:p w:rsidR="007E7629" w:rsidRDefault="003E360F">
            <w:pPr>
              <w:jc w:val="center"/>
              <w:rPr>
                <w:rFonts w:ascii="Arial" w:eastAsia="Arial" w:hAnsi="Arial" w:cs="Arial"/>
                <w:b/>
                <w:bCs/>
                <w:sz w:val="22"/>
                <w:szCs w:val="22"/>
              </w:rPr>
            </w:pPr>
            <w:r>
              <w:rPr>
                <w:rFonts w:ascii="Arial" w:eastAsia="Arial" w:hAnsi="Arial" w:cs="Arial"/>
                <w:b/>
                <w:bCs/>
                <w:sz w:val="22"/>
                <w:szCs w:val="22"/>
              </w:rPr>
              <w:t>Will the research involve any work with any of the following animals (including observation in their natural habitat)</w:t>
            </w:r>
          </w:p>
        </w:tc>
        <w:tc>
          <w:tcPr>
            <w:tcW w:w="657"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435"/>
          <w:jc w:val="center"/>
        </w:trPr>
        <w:tc>
          <w:tcPr>
            <w:tcW w:w="701" w:type="dxa"/>
            <w:shd w:val="clear" w:color="auto" w:fill="F2F2F2"/>
            <w:vAlign w:val="center"/>
          </w:tcPr>
          <w:p w:rsidR="007E7629" w:rsidRDefault="003E360F">
            <w:pPr>
              <w:jc w:val="center"/>
              <w:rPr>
                <w:rFonts w:ascii="Arial" w:eastAsia="Arial" w:hAnsi="Arial" w:cs="Arial"/>
                <w:sz w:val="22"/>
                <w:szCs w:val="22"/>
              </w:rPr>
            </w:pPr>
            <w:bookmarkStart w:id="99" w:name="_heading=h.p2g06tolioby" w:colFirst="0" w:colLast="0"/>
            <w:bookmarkEnd w:id="99"/>
            <w:r>
              <w:rPr>
                <w:rFonts w:ascii="Arial" w:eastAsia="Arial" w:hAnsi="Arial" w:cs="Arial"/>
                <w:sz w:val="22"/>
                <w:szCs w:val="22"/>
              </w:rPr>
              <w:t>A5.1</w:t>
            </w:r>
          </w:p>
        </w:tc>
        <w:tc>
          <w:tcPr>
            <w:tcW w:w="8580"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35"/>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35"/>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rsidR="007E7629" w:rsidRDefault="003E360F">
            <w:pPr>
              <w:jc w:val="center"/>
              <w:rPr>
                <w:rFonts w:ascii="Arial" w:eastAsia="Arial" w:hAnsi="Arial" w:cs="Arial"/>
                <w:sz w:val="22"/>
                <w:szCs w:val="22"/>
              </w:rPr>
            </w:pPr>
            <w:bookmarkStart w:id="100" w:name="_heading=h.33ery0l3tz6a" w:colFirst="0" w:colLast="0"/>
            <w:bookmarkEnd w:id="100"/>
            <w:r>
              <w:rPr>
                <w:rFonts w:ascii="Arial" w:eastAsia="Arial" w:hAnsi="Arial" w:cs="Arial"/>
                <w:sz w:val="22"/>
                <w:szCs w:val="22"/>
              </w:rPr>
              <w:t>Has INSPIRE undertaken an initial due diligence exercise?</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35"/>
          <w:jc w:val="center"/>
        </w:trPr>
        <w:tc>
          <w:tcPr>
            <w:tcW w:w="70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rsidR="007E7629" w:rsidRDefault="003E360F">
            <w:pPr>
              <w:jc w:val="center"/>
              <w:rPr>
                <w:rFonts w:ascii="Arial" w:eastAsia="Arial" w:hAnsi="Arial" w:cs="Arial"/>
                <w:sz w:val="22"/>
                <w:szCs w:val="22"/>
              </w:rPr>
            </w:pPr>
            <w:bookmarkStart w:id="101" w:name="_heading=h.5rong1ro5xo4" w:colFirst="0" w:colLast="0"/>
            <w:bookmarkEnd w:id="101"/>
            <w:r>
              <w:rPr>
                <w:rFonts w:ascii="Arial" w:eastAsia="Arial" w:hAnsi="Arial" w:cs="Arial"/>
                <w:sz w:val="22"/>
                <w:szCs w:val="22"/>
              </w:rPr>
              <w:t>Due diligence assessment appended to this application?</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399"/>
          <w:jc w:val="center"/>
        </w:trPr>
        <w:tc>
          <w:tcPr>
            <w:tcW w:w="10484" w:type="dxa"/>
            <w:gridSpan w:val="4"/>
            <w:shd w:val="clear" w:color="auto" w:fill="F2F2F2"/>
          </w:tcPr>
          <w:p w:rsidR="007E7629" w:rsidRDefault="003E360F">
            <w:pPr>
              <w:jc w:val="center"/>
              <w:rPr>
                <w:rFonts w:ascii="Arial" w:eastAsia="Arial" w:hAnsi="Arial" w:cs="Arial"/>
                <w:sz w:val="22"/>
                <w:szCs w:val="22"/>
              </w:rPr>
            </w:pPr>
            <w:r>
              <w:rPr>
                <w:rFonts w:ascii="Arial" w:eastAsia="Arial" w:hAnsi="Arial" w:cs="Arial"/>
                <w:sz w:val="22"/>
                <w:szCs w:val="22"/>
              </w:rPr>
              <w:t>Please provide a summary of the due diligence exercise, noting arrangements for compliance with the necessary regulatory frameworks and legislation. Please append the full due diligence assessment from INSPIRE.</w:t>
            </w:r>
          </w:p>
        </w:tc>
      </w:tr>
      <w:tr w:rsidR="007E7629">
        <w:trPr>
          <w:trHeight w:val="399"/>
          <w:jc w:val="center"/>
        </w:trPr>
        <w:tc>
          <w:tcPr>
            <w:tcW w:w="701" w:type="dxa"/>
            <w:vAlign w:val="center"/>
          </w:tcPr>
          <w:p w:rsidR="007E7629" w:rsidRDefault="003E360F">
            <w:pPr>
              <w:jc w:val="center"/>
              <w:rPr>
                <w:rFonts w:ascii="Arial" w:eastAsia="Arial" w:hAnsi="Arial" w:cs="Arial"/>
                <w:color w:val="002060"/>
              </w:rPr>
            </w:pPr>
            <w:bookmarkStart w:id="102" w:name="_heading=h.p034tqxu12yf" w:colFirst="0" w:colLast="0"/>
            <w:bookmarkEnd w:id="102"/>
            <w:r>
              <w:rPr>
                <w:rFonts w:ascii="Arial" w:eastAsia="Arial" w:hAnsi="Arial" w:cs="Arial"/>
                <w:sz w:val="22"/>
                <w:szCs w:val="22"/>
              </w:rPr>
              <w:lastRenderedPageBreak/>
              <w:t>A5.5</w:t>
            </w:r>
          </w:p>
        </w:tc>
        <w:tc>
          <w:tcPr>
            <w:tcW w:w="9783" w:type="dxa"/>
            <w:gridSpan w:val="3"/>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rsidR="007E7629" w:rsidRDefault="007E7629">
      <w:pPr>
        <w:jc w:val="center"/>
        <w:rPr>
          <w:rFonts w:ascii="Arial" w:eastAsia="Arial" w:hAnsi="Arial" w:cs="Arial"/>
          <w:b/>
          <w:bCs/>
          <w:sz w:val="22"/>
          <w:szCs w:val="22"/>
        </w:rPr>
      </w:pPr>
    </w:p>
    <w:tbl>
      <w:tblPr>
        <w:tblStyle w:val="af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c>
          <w:tcPr>
            <w:tcW w:w="562" w:type="dxa"/>
            <w:tcBorders>
              <w:top w:val="nil"/>
              <w:left w:val="nil"/>
              <w:bottom w:val="nil"/>
              <w:right w:val="nil"/>
            </w:tcBorders>
            <w:shd w:val="clear" w:color="auto" w:fill="FFFFFF"/>
          </w:tcPr>
          <w:p w:rsidR="007E7629" w:rsidRDefault="007E7629">
            <w:pPr>
              <w:jc w:val="cente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7E7629" w:rsidRDefault="007E7629">
            <w:pPr>
              <w:jc w:val="cente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tc>
        <w:tc>
          <w:tcPr>
            <w:tcW w:w="1838" w:type="dxa"/>
            <w:shd w:val="clear" w:color="auto" w:fill="D9F2D0"/>
            <w:vAlign w:val="center"/>
          </w:tcPr>
          <w:p w:rsidR="007E7629" w:rsidRDefault="00FB5D41">
            <w:pPr>
              <w:jc w:val="center"/>
              <w:rPr>
                <w:rFonts w:ascii="Arial" w:eastAsia="Arial" w:hAnsi="Arial" w:cs="Arial"/>
                <w:b/>
                <w:bCs/>
                <w:sz w:val="22"/>
                <w:szCs w:val="22"/>
              </w:rPr>
            </w:pPr>
            <w:hyperlink w:anchor="bookmark=id.fvd3v9quuero">
              <w:r w:rsidR="003E360F">
                <w:rPr>
                  <w:rFonts w:ascii="Arial" w:eastAsia="Arial" w:hAnsi="Arial" w:cs="Arial"/>
                  <w:b/>
                  <w:bCs/>
                  <w:color w:val="467886"/>
                  <w:sz w:val="22"/>
                  <w:szCs w:val="22"/>
                  <w:u w:val="single"/>
                </w:rPr>
                <w:t>Return to the main form</w:t>
              </w:r>
            </w:hyperlink>
          </w:p>
        </w:tc>
      </w:tr>
    </w:tbl>
    <w:p w:rsidR="007E7629" w:rsidRDefault="007E7629">
      <w:pPr>
        <w:tabs>
          <w:tab w:val="left" w:pos="5103"/>
        </w:tabs>
        <w:ind w:right="282"/>
        <w:jc w:val="center"/>
        <w:rPr>
          <w:rFonts w:ascii="Arial" w:eastAsia="Arial" w:hAnsi="Arial" w:cs="Arial"/>
          <w:color w:val="000000"/>
          <w:sz w:val="22"/>
          <w:szCs w:val="22"/>
        </w:rPr>
      </w:pPr>
    </w:p>
    <w:p w:rsidR="007E7629" w:rsidRDefault="003E360F">
      <w:pPr>
        <w:jc w:val="center"/>
        <w:rPr>
          <w:rFonts w:ascii="Arial" w:eastAsia="Arial" w:hAnsi="Arial" w:cs="Arial"/>
          <w:b/>
          <w:bCs/>
          <w:sz w:val="22"/>
          <w:szCs w:val="22"/>
        </w:rPr>
      </w:pPr>
      <w:bookmarkStart w:id="103" w:name="bookmark=id.omxxfrtdmsew" w:colFirst="0" w:colLast="0"/>
      <w:bookmarkEnd w:id="103"/>
      <w:r>
        <w:rPr>
          <w:rFonts w:ascii="Arial" w:eastAsia="Arial" w:hAnsi="Arial" w:cs="Arial"/>
          <w:b/>
          <w:bCs/>
          <w:sz w:val="22"/>
          <w:szCs w:val="22"/>
        </w:rPr>
        <w:t>APPENDIX 6: Research with Staff or Offenders in Prison Establishments and Probation Services</w:t>
      </w:r>
    </w:p>
    <w:p w:rsidR="007E7629" w:rsidRDefault="007E7629">
      <w:pPr>
        <w:jc w:val="center"/>
        <w:rPr>
          <w:rFonts w:ascii="Arial" w:eastAsia="Arial" w:hAnsi="Arial" w:cs="Arial"/>
          <w:b/>
          <w:bCs/>
          <w:sz w:val="22"/>
          <w:szCs w:val="22"/>
        </w:rPr>
      </w:pPr>
    </w:p>
    <w:tbl>
      <w:tblPr>
        <w:tblStyle w:val="afffb"/>
        <w:tblW w:w="10496" w:type="dxa"/>
        <w:jc w:val="center"/>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7E7629">
        <w:trPr>
          <w:trHeight w:val="368"/>
          <w:jc w:val="center"/>
        </w:trPr>
        <w:tc>
          <w:tcPr>
            <w:tcW w:w="10496" w:type="dxa"/>
            <w:gridSpan w:val="4"/>
            <w:shd w:val="clear" w:color="auto" w:fill="C1E4F5"/>
            <w:vAlign w:val="center"/>
          </w:tcPr>
          <w:p w:rsidR="007E7629" w:rsidRDefault="003E360F">
            <w:pPr>
              <w:jc w:val="center"/>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7E7629">
        <w:trPr>
          <w:trHeight w:val="368"/>
          <w:jc w:val="center"/>
        </w:trPr>
        <w:tc>
          <w:tcPr>
            <w:tcW w:w="9293" w:type="dxa"/>
            <w:gridSpan w:val="2"/>
            <w:shd w:val="clear" w:color="auto" w:fill="C1E4F5"/>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Will the research involve any of the following?</w:t>
            </w:r>
          </w:p>
        </w:tc>
        <w:tc>
          <w:tcPr>
            <w:tcW w:w="657"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546"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438"/>
          <w:jc w:val="center"/>
        </w:trPr>
        <w:tc>
          <w:tcPr>
            <w:tcW w:w="70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30"/>
          <w:jc w:val="center"/>
        </w:trPr>
        <w:tc>
          <w:tcPr>
            <w:tcW w:w="70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Offenders in prison establishments</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07"/>
          <w:jc w:val="center"/>
        </w:trPr>
        <w:tc>
          <w:tcPr>
            <w:tcW w:w="70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14"/>
          <w:jc w:val="center"/>
        </w:trPr>
        <w:tc>
          <w:tcPr>
            <w:tcW w:w="70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1412"/>
          <w:jc w:val="center"/>
        </w:trPr>
        <w:tc>
          <w:tcPr>
            <w:tcW w:w="10496" w:type="dxa"/>
            <w:gridSpan w:val="4"/>
            <w:shd w:val="clear" w:color="auto" w:fill="FFFF00"/>
            <w:vAlign w:val="center"/>
          </w:tcPr>
          <w:p w:rsidR="007E7629" w:rsidRDefault="003E360F">
            <w:pPr>
              <w:jc w:val="center"/>
              <w:rPr>
                <w:rFonts w:ascii="Arial" w:eastAsia="Arial" w:hAnsi="Arial" w:cs="Arial"/>
                <w:i/>
                <w:iCs/>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7E7629">
        <w:trPr>
          <w:trHeight w:val="411"/>
          <w:jc w:val="center"/>
        </w:trPr>
        <w:tc>
          <w:tcPr>
            <w:tcW w:w="70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rsidR="007E7629" w:rsidRDefault="003E360F">
            <w:pPr>
              <w:jc w:val="center"/>
              <w:rPr>
                <w:rFonts w:ascii="Arial" w:eastAsia="Arial" w:hAnsi="Arial" w:cs="Arial"/>
                <w:sz w:val="22"/>
                <w:szCs w:val="22"/>
              </w:rPr>
            </w:pPr>
            <w:bookmarkStart w:id="104" w:name="_heading=h.lkexzqabheqr" w:colFirst="0" w:colLast="0"/>
            <w:bookmarkEnd w:id="104"/>
            <w:r>
              <w:rPr>
                <w:rFonts w:ascii="Arial" w:eastAsia="Arial" w:hAnsi="Arial" w:cs="Arial"/>
                <w:sz w:val="22"/>
                <w:szCs w:val="22"/>
              </w:rPr>
              <w:t>Has INSPIRE undertaken an initial due diligence exercise?</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18"/>
          <w:jc w:val="center"/>
        </w:trPr>
        <w:tc>
          <w:tcPr>
            <w:tcW w:w="70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566"/>
          <w:jc w:val="center"/>
        </w:trPr>
        <w:tc>
          <w:tcPr>
            <w:tcW w:w="70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Has HMPPS National Research Committee approval been granted? If yes, please append to this application.</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04"/>
          <w:jc w:val="center"/>
        </w:trPr>
        <w:tc>
          <w:tcPr>
            <w:tcW w:w="706" w:type="dxa"/>
            <w:tcBorders>
              <w:bottom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546" w:type="dxa"/>
            <w:shd w:val="clear" w:color="auto" w:fill="D9D9D9"/>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03"/>
          <w:jc w:val="center"/>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Please provide a summary of the due diligence exercise, noting arrangements for compliance with the necessary regulatory frameworks and legislation. Please append the full due diligence assessment from INSPIRE.</w:t>
            </w:r>
          </w:p>
        </w:tc>
      </w:tr>
      <w:tr w:rsidR="007E7629">
        <w:trPr>
          <w:trHeight w:val="403"/>
          <w:jc w:val="center"/>
        </w:trPr>
        <w:tc>
          <w:tcPr>
            <w:tcW w:w="706" w:type="dxa"/>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color w:val="002060"/>
                <w:sz w:val="22"/>
                <w:szCs w:val="22"/>
              </w:rPr>
            </w:pPr>
          </w:p>
          <w:p w:rsidR="007E7629" w:rsidRDefault="007E7629">
            <w:pPr>
              <w:jc w:val="center"/>
              <w:rPr>
                <w:rFonts w:ascii="Arial" w:eastAsia="Arial" w:hAnsi="Arial" w:cs="Arial"/>
                <w:color w:val="002060"/>
                <w:sz w:val="22"/>
                <w:szCs w:val="22"/>
              </w:rPr>
            </w:pPr>
          </w:p>
          <w:p w:rsidR="007E7629" w:rsidRDefault="007E7629">
            <w:pPr>
              <w:jc w:val="center"/>
              <w:rPr>
                <w:rFonts w:ascii="Arial" w:eastAsia="Arial" w:hAnsi="Arial" w:cs="Arial"/>
                <w:color w:val="002060"/>
                <w:sz w:val="22"/>
                <w:szCs w:val="22"/>
              </w:rPr>
            </w:pPr>
          </w:p>
          <w:p w:rsidR="007E7629" w:rsidRDefault="003E360F">
            <w:pPr>
              <w:jc w:val="center"/>
              <w:rPr>
                <w:rFonts w:ascii="Arial" w:eastAsia="Arial" w:hAnsi="Arial" w:cs="Arial"/>
                <w:b/>
                <w:bCs/>
                <w:i/>
                <w:iCs/>
                <w:color w:val="002060"/>
              </w:rPr>
            </w:pPr>
            <w:r>
              <w:rPr>
                <w:rFonts w:ascii="Arial" w:eastAsia="Arial" w:hAnsi="Arial" w:cs="Arial"/>
                <w:i/>
                <w:iCs/>
                <w:color w:val="A6A6A6"/>
                <w:sz w:val="18"/>
                <w:szCs w:val="18"/>
              </w:rPr>
              <w:t>(this box should expand as you type)</w:t>
            </w:r>
          </w:p>
        </w:tc>
      </w:tr>
    </w:tbl>
    <w:p w:rsidR="007E7629" w:rsidRDefault="007E7629">
      <w:pPr>
        <w:spacing w:after="240"/>
        <w:jc w:val="center"/>
        <w:rPr>
          <w:rFonts w:ascii="Arial" w:eastAsia="Arial" w:hAnsi="Arial" w:cs="Arial"/>
          <w:b/>
          <w:bCs/>
          <w:sz w:val="22"/>
          <w:szCs w:val="22"/>
        </w:rPr>
      </w:pPr>
    </w:p>
    <w:tbl>
      <w:tblPr>
        <w:tblStyle w:val="af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7E7629">
        <w:tc>
          <w:tcPr>
            <w:tcW w:w="562" w:type="dxa"/>
            <w:tcBorders>
              <w:top w:val="nil"/>
              <w:left w:val="nil"/>
              <w:bottom w:val="nil"/>
              <w:right w:val="nil"/>
            </w:tcBorders>
            <w:shd w:val="clear" w:color="auto" w:fill="FFFFFF"/>
          </w:tcPr>
          <w:p w:rsidR="007E7629" w:rsidRDefault="007E7629">
            <w:pPr>
              <w:jc w:val="center"/>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rsidR="007E7629" w:rsidRDefault="007E7629">
            <w:pPr>
              <w:jc w:val="center"/>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1985"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850" w:type="dxa"/>
            <w:tcBorders>
              <w:top w:val="nil"/>
              <w:left w:val="nil"/>
              <w:bottom w:val="nil"/>
            </w:tcBorders>
            <w:shd w:val="clear" w:color="auto" w:fill="FFFFFF"/>
            <w:vAlign w:val="center"/>
          </w:tcPr>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tc>
        <w:tc>
          <w:tcPr>
            <w:tcW w:w="1838" w:type="dxa"/>
            <w:shd w:val="clear" w:color="auto" w:fill="D9F2D0"/>
            <w:vAlign w:val="center"/>
          </w:tcPr>
          <w:p w:rsidR="007E7629" w:rsidRDefault="00FB5D41">
            <w:pPr>
              <w:jc w:val="center"/>
              <w:rPr>
                <w:rFonts w:ascii="Arial" w:eastAsia="Arial" w:hAnsi="Arial" w:cs="Arial"/>
                <w:b/>
                <w:bCs/>
                <w:sz w:val="22"/>
                <w:szCs w:val="22"/>
              </w:rPr>
            </w:pPr>
            <w:hyperlink w:anchor="bookmark=id.odhler3qd8df">
              <w:r w:rsidR="003E360F">
                <w:rPr>
                  <w:rFonts w:ascii="Arial" w:eastAsia="Arial" w:hAnsi="Arial" w:cs="Arial"/>
                  <w:b/>
                  <w:bCs/>
                  <w:color w:val="467886"/>
                  <w:sz w:val="22"/>
                  <w:szCs w:val="22"/>
                  <w:u w:val="single"/>
                </w:rPr>
                <w:t>Return to the main form</w:t>
              </w:r>
            </w:hyperlink>
          </w:p>
        </w:tc>
      </w:tr>
    </w:tbl>
    <w:p w:rsidR="007E7629" w:rsidRDefault="007E7629">
      <w:pPr>
        <w:spacing w:after="240"/>
        <w:jc w:val="center"/>
        <w:rPr>
          <w:rFonts w:ascii="Arial" w:eastAsia="Arial" w:hAnsi="Arial" w:cs="Arial"/>
          <w:b/>
          <w:bCs/>
          <w:sz w:val="22"/>
          <w:szCs w:val="22"/>
        </w:rPr>
      </w:pPr>
    </w:p>
    <w:p w:rsidR="007E7629" w:rsidRDefault="003E360F">
      <w:pPr>
        <w:spacing w:after="240"/>
        <w:jc w:val="center"/>
        <w:rPr>
          <w:rFonts w:ascii="Arial" w:eastAsia="Arial" w:hAnsi="Arial" w:cs="Arial"/>
          <w:b/>
          <w:bCs/>
          <w:sz w:val="22"/>
          <w:szCs w:val="22"/>
        </w:rPr>
      </w:pPr>
      <w:bookmarkStart w:id="105" w:name="bookmark=id.x4ecujun0qe7" w:colFirst="0" w:colLast="0"/>
      <w:bookmarkEnd w:id="105"/>
      <w:r>
        <w:rPr>
          <w:rFonts w:ascii="Arial" w:eastAsia="Arial" w:hAnsi="Arial" w:cs="Arial"/>
          <w:b/>
          <w:bCs/>
          <w:sz w:val="22"/>
          <w:szCs w:val="22"/>
        </w:rPr>
        <w:t>APPENDIX 7:  Health and Social Care Research</w:t>
      </w:r>
    </w:p>
    <w:tbl>
      <w:tblPr>
        <w:tblStyle w:val="afffd"/>
        <w:tblW w:w="10468" w:type="dxa"/>
        <w:jc w:val="center"/>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7E7629">
        <w:trPr>
          <w:trHeight w:val="368"/>
          <w:jc w:val="cent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rsidR="007E7629" w:rsidRDefault="003E360F">
            <w:pPr>
              <w:jc w:val="center"/>
              <w:rPr>
                <w:rFonts w:ascii="Arial" w:eastAsia="Arial" w:hAnsi="Arial" w:cs="Arial"/>
                <w:b/>
                <w:bCs/>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7E7629">
        <w:trPr>
          <w:trHeight w:val="368"/>
          <w:jc w:val="center"/>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662"/>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841"/>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98"/>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620"/>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6"/>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1"/>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31"/>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661"/>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571"/>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lastRenderedPageBreak/>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0"/>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6"/>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2"/>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3"/>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03"/>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568"/>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334"/>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4"/>
          <w:jc w:val="cent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p w:rsidR="007E7629" w:rsidRDefault="007E7629">
            <w:pPr>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3E360F">
            <w:pPr>
              <w:jc w:val="center"/>
              <w:rPr>
                <w:rFonts w:ascii="Arial" w:eastAsia="Arial" w:hAnsi="Arial" w:cs="Arial"/>
              </w:rPr>
            </w:pPr>
            <w:r>
              <w:rPr>
                <w:rFonts w:ascii="Arial" w:eastAsia="Arial" w:hAnsi="Arial" w:cs="Arial"/>
              </w:rPr>
              <w:t>☐</w:t>
            </w:r>
          </w:p>
          <w:p w:rsidR="007E7629" w:rsidRDefault="007E7629">
            <w:pPr>
              <w:jc w:val="center"/>
              <w:rPr>
                <w:rFonts w:ascii="Arial" w:eastAsia="Arial" w:hAnsi="Arial" w:cs="Arial"/>
              </w:rPr>
            </w:pPr>
          </w:p>
        </w:tc>
      </w:tr>
      <w:tr w:rsidR="007E7629">
        <w:trPr>
          <w:trHeight w:val="403"/>
          <w:jc w:val="center"/>
        </w:trPr>
        <w:tc>
          <w:tcPr>
            <w:tcW w:w="9265" w:type="dxa"/>
            <w:gridSpan w:val="4"/>
            <w:tcBorders>
              <w:top w:val="single" w:sz="4" w:space="0" w:color="000000"/>
              <w:left w:val="single" w:sz="4" w:space="0" w:color="000000"/>
              <w:bottom w:val="single" w:sz="4" w:space="0" w:color="000000"/>
              <w:right w:val="single" w:sz="4" w:space="0" w:color="000000"/>
            </w:tcBorders>
          </w:tcPr>
          <w:p w:rsidR="007E7629" w:rsidRDefault="003E360F">
            <w:pPr>
              <w:jc w:val="center"/>
              <w:rPr>
                <w:rFonts w:ascii="Arial" w:eastAsia="Arial" w:hAnsi="Arial" w:cs="Arial"/>
                <w:i/>
                <w:iCs/>
                <w:sz w:val="22"/>
                <w:szCs w:val="22"/>
              </w:rPr>
            </w:pPr>
            <w:r>
              <w:rPr>
                <w:rFonts w:ascii="Arial" w:eastAsia="Arial" w:hAnsi="Arial" w:cs="Arial"/>
                <w:i/>
                <w:iCs/>
                <w:sz w:val="22"/>
                <w:szCs w:val="22"/>
              </w:rPr>
              <w:t>Please specify</w:t>
            </w:r>
          </w:p>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color w:val="002060"/>
                <w:sz w:val="22"/>
                <w:szCs w:val="22"/>
              </w:rPr>
            </w:pPr>
          </w:p>
          <w:p w:rsidR="007E7629" w:rsidRDefault="003E360F">
            <w:pPr>
              <w:jc w:val="center"/>
              <w:rPr>
                <w:rFonts w:ascii="Arial" w:eastAsia="Arial" w:hAnsi="Arial" w:cs="Arial"/>
                <w:i/>
                <w:iCs/>
                <w:sz w:val="22"/>
                <w:szCs w:val="22"/>
              </w:rPr>
            </w:pPr>
            <w:r>
              <w:rPr>
                <w:rFonts w:ascii="Arial" w:eastAsia="Arial" w:hAnsi="Arial" w:cs="Arial"/>
                <w:i/>
                <w:iCs/>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i/>
                <w:iCs/>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i/>
                <w:iCs/>
                <w:sz w:val="22"/>
                <w:szCs w:val="22"/>
              </w:rPr>
            </w:pPr>
          </w:p>
        </w:tc>
      </w:tr>
      <w:tr w:rsidR="007E7629">
        <w:trPr>
          <w:trHeight w:val="403"/>
          <w:jc w:val="cent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7E7629" w:rsidRDefault="003E360F">
            <w:pPr>
              <w:jc w:val="center"/>
              <w:rPr>
                <w:rFonts w:ascii="Arial" w:eastAsia="Arial" w:hAnsi="Arial" w:cs="Arial"/>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bCs/>
                <w:sz w:val="22"/>
                <w:szCs w:val="22"/>
              </w:rPr>
              <w:t>YES</w:t>
            </w:r>
            <w:r>
              <w:rPr>
                <w:rFonts w:ascii="Arial" w:eastAsia="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4">
              <w:r>
                <w:rPr>
                  <w:rFonts w:ascii="Arial" w:eastAsia="Arial" w:hAnsi="Arial" w:cs="Arial"/>
                  <w:u w:val="single"/>
                </w:rPr>
                <w:t>https://www.hra-decisiontools.org.uk/research/</w:t>
              </w:r>
            </w:hyperlink>
          </w:p>
        </w:tc>
      </w:tr>
      <w:tr w:rsidR="007E7629">
        <w:trPr>
          <w:trHeight w:val="424"/>
          <w:jc w:val="cent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N/A</w:t>
            </w:r>
          </w:p>
        </w:tc>
      </w:tr>
      <w:tr w:rsidR="007E7629">
        <w:trPr>
          <w:trHeight w:val="424"/>
          <w:jc w:val="center"/>
        </w:trPr>
        <w:tc>
          <w:tcPr>
            <w:tcW w:w="791" w:type="dxa"/>
            <w:vMerge/>
            <w:tcBorders>
              <w:top w:val="single" w:sz="4" w:space="0" w:color="000000"/>
              <w:left w:val="single" w:sz="4" w:space="0" w:color="000000"/>
              <w:right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03"/>
          <w:jc w:val="cent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YES</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N/A</w:t>
            </w:r>
          </w:p>
        </w:tc>
      </w:tr>
      <w:tr w:rsidR="007E7629">
        <w:trPr>
          <w:trHeight w:val="403"/>
          <w:jc w:val="center"/>
        </w:trPr>
        <w:tc>
          <w:tcPr>
            <w:tcW w:w="791" w:type="dxa"/>
            <w:vMerge/>
            <w:tcBorders>
              <w:top w:val="single" w:sz="4" w:space="0" w:color="000000"/>
              <w:left w:val="single" w:sz="4" w:space="0" w:color="000000"/>
              <w:right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03"/>
          <w:jc w:val="cent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YES</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N/A</w:t>
            </w:r>
          </w:p>
        </w:tc>
      </w:tr>
      <w:tr w:rsidR="007E7629">
        <w:trPr>
          <w:trHeight w:val="403"/>
          <w:jc w:val="center"/>
        </w:trPr>
        <w:tc>
          <w:tcPr>
            <w:tcW w:w="791" w:type="dxa"/>
            <w:vMerge/>
            <w:tcBorders>
              <w:top w:val="single" w:sz="4" w:space="0" w:color="000000"/>
              <w:left w:val="single" w:sz="4" w:space="0" w:color="000000"/>
              <w:right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16"/>
          <w:jc w:val="center"/>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7E7629" w:rsidRDefault="003E360F">
            <w:pPr>
              <w:jc w:val="center"/>
              <w:rPr>
                <w:rFonts w:ascii="Arial" w:eastAsia="Arial" w:hAnsi="Arial" w:cs="Arial"/>
                <w:i/>
                <w:iCs/>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YES</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b/>
                <w:bCs/>
              </w:rPr>
            </w:pPr>
            <w:r>
              <w:rPr>
                <w:rFonts w:ascii="Arial" w:eastAsia="Arial" w:hAnsi="Arial" w:cs="Arial"/>
                <w:b/>
                <w:bCs/>
                <w:sz w:val="22"/>
                <w:szCs w:val="22"/>
              </w:rPr>
              <w:t>NO</w:t>
            </w:r>
          </w:p>
        </w:tc>
      </w:tr>
      <w:tr w:rsidR="007E7629">
        <w:trPr>
          <w:trHeight w:val="416"/>
          <w:jc w:val="center"/>
        </w:trPr>
        <w:tc>
          <w:tcPr>
            <w:tcW w:w="791" w:type="dxa"/>
            <w:vMerge/>
            <w:tcBorders>
              <w:top w:val="single" w:sz="4" w:space="0" w:color="000000"/>
              <w:left w:val="single" w:sz="4" w:space="0" w:color="000000"/>
              <w:right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7E7629" w:rsidRDefault="007E7629">
            <w:pPr>
              <w:widowControl w:val="0"/>
              <w:pBdr>
                <w:top w:val="nil"/>
                <w:left w:val="nil"/>
                <w:bottom w:val="nil"/>
                <w:right w:val="nil"/>
                <w:between w:val="nil"/>
              </w:pBdr>
              <w:shd w:val="clear" w:color="auto" w:fill="auto"/>
              <w:spacing w:line="276" w:lineRule="auto"/>
              <w:jc w:val="left"/>
              <w:rPr>
                <w:rFonts w:ascii="Arial" w:eastAsia="Arial" w:hAnsi="Arial" w:cs="Arial"/>
                <w:b/>
                <w:bCs/>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7E7629" w:rsidRDefault="003E360F">
            <w:pPr>
              <w:jc w:val="center"/>
              <w:rPr>
                <w:rFonts w:ascii="Arial" w:eastAsia="Arial" w:hAnsi="Arial" w:cs="Arial"/>
                <w:sz w:val="22"/>
                <w:szCs w:val="22"/>
              </w:rPr>
            </w:pPr>
            <w:r>
              <w:rPr>
                <w:rFonts w:ascii="Arial" w:eastAsia="Arial" w:hAnsi="Arial" w:cs="Arial"/>
                <w:sz w:val="22"/>
                <w:szCs w:val="22"/>
              </w:rPr>
              <w:t>☐</w:t>
            </w:r>
          </w:p>
        </w:tc>
      </w:tr>
      <w:tr w:rsidR="007E7629">
        <w:trPr>
          <w:trHeight w:val="403"/>
          <w:jc w:val="cent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7E7629" w:rsidRDefault="003E360F">
            <w:pPr>
              <w:jc w:val="center"/>
              <w:rPr>
                <w:rFonts w:ascii="Arial" w:eastAsia="Arial" w:hAnsi="Arial" w:cs="Arial"/>
              </w:rPr>
            </w:pPr>
            <w:r>
              <w:rPr>
                <w:rFonts w:ascii="Arial" w:eastAsia="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 please do immediately.</w:t>
            </w:r>
          </w:p>
        </w:tc>
      </w:tr>
      <w:tr w:rsidR="007E7629">
        <w:trPr>
          <w:trHeight w:val="403"/>
          <w:jc w:val="center"/>
        </w:trPr>
        <w:tc>
          <w:tcPr>
            <w:tcW w:w="791" w:type="dxa"/>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rsidR="007E7629" w:rsidRDefault="003E360F">
            <w:pPr>
              <w:jc w:val="center"/>
              <w:rPr>
                <w:rFonts w:ascii="Arial" w:eastAsia="Arial" w:hAnsi="Arial" w:cs="Arial"/>
                <w:color w:val="4EA72E"/>
                <w:sz w:val="22"/>
                <w:szCs w:val="22"/>
              </w:rPr>
            </w:pPr>
            <w:r>
              <w:rPr>
                <w:rFonts w:ascii="Arial" w:eastAsia="Arial" w:hAnsi="Arial" w:cs="Arial"/>
                <w:color w:val="4EA72E"/>
                <w:sz w:val="22"/>
                <w:szCs w:val="22"/>
              </w:rPr>
              <w:t>Contact INSPIRE for support on this section.</w:t>
            </w:r>
          </w:p>
          <w:p w:rsidR="007E7629" w:rsidRDefault="007E7629">
            <w:pPr>
              <w:jc w:val="center"/>
              <w:rPr>
                <w:rFonts w:ascii="Arial" w:eastAsia="Arial" w:hAnsi="Arial" w:cs="Arial"/>
                <w:sz w:val="22"/>
                <w:szCs w:val="22"/>
              </w:rPr>
            </w:pPr>
          </w:p>
          <w:p w:rsidR="007E7629" w:rsidRDefault="007E7629">
            <w:pPr>
              <w:jc w:val="center"/>
              <w:rPr>
                <w:rFonts w:ascii="Arial" w:eastAsia="Arial" w:hAnsi="Arial" w:cs="Arial"/>
                <w:sz w:val="22"/>
                <w:szCs w:val="22"/>
              </w:rPr>
            </w:pPr>
          </w:p>
          <w:p w:rsidR="007E7629" w:rsidRDefault="003E360F">
            <w:pPr>
              <w:jc w:val="center"/>
              <w:rPr>
                <w:rFonts w:ascii="Arial" w:eastAsia="Arial" w:hAnsi="Arial" w:cs="Arial"/>
                <w:b/>
                <w:bCs/>
                <w:i/>
                <w:iCs/>
              </w:rPr>
            </w:pPr>
            <w:r>
              <w:rPr>
                <w:rFonts w:ascii="Arial" w:eastAsia="Arial" w:hAnsi="Arial" w:cs="Arial"/>
                <w:i/>
                <w:iCs/>
                <w:color w:val="A6A6A6"/>
                <w:sz w:val="18"/>
                <w:szCs w:val="18"/>
              </w:rPr>
              <w:t>(this box should expand as you type)</w:t>
            </w:r>
          </w:p>
        </w:tc>
      </w:tr>
    </w:tbl>
    <w:p w:rsidR="007E7629" w:rsidRDefault="007E7629">
      <w:pPr>
        <w:spacing w:after="240"/>
        <w:jc w:val="center"/>
        <w:rPr>
          <w:rFonts w:ascii="Arial" w:eastAsia="Arial" w:hAnsi="Arial" w:cs="Arial"/>
          <w:b/>
          <w:bCs/>
        </w:rPr>
      </w:pPr>
    </w:p>
    <w:tbl>
      <w:tblPr>
        <w:tblStyle w:val="afffe"/>
        <w:tblW w:w="1022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5"/>
        <w:gridCol w:w="3872"/>
        <w:gridCol w:w="967"/>
        <w:gridCol w:w="1936"/>
        <w:gridCol w:w="829"/>
        <w:gridCol w:w="1793"/>
      </w:tblGrid>
      <w:tr w:rsidR="007E7629">
        <w:trPr>
          <w:trHeight w:val="1272"/>
          <w:jc w:val="center"/>
        </w:trPr>
        <w:tc>
          <w:tcPr>
            <w:tcW w:w="825"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A7.23</w:t>
            </w:r>
          </w:p>
        </w:tc>
        <w:tc>
          <w:tcPr>
            <w:tcW w:w="387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Have you been granted NHS ethical approval?</w:t>
            </w:r>
          </w:p>
        </w:tc>
        <w:tc>
          <w:tcPr>
            <w:tcW w:w="967"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1936" w:type="dxa"/>
            <w:shd w:val="clear" w:color="auto" w:fill="D9F2D0"/>
            <w:vAlign w:val="center"/>
          </w:tcPr>
          <w:p w:rsidR="007E7629" w:rsidRDefault="00FB5D41">
            <w:pPr>
              <w:jc w:val="center"/>
              <w:rPr>
                <w:rFonts w:ascii="Arial" w:eastAsia="Arial" w:hAnsi="Arial" w:cs="Arial"/>
                <w:b/>
                <w:bCs/>
                <w:sz w:val="22"/>
                <w:szCs w:val="22"/>
              </w:rPr>
            </w:pPr>
            <w:hyperlink w:anchor="bookmark=id.5h8o82gom9ge">
              <w:r w:rsidR="003E360F">
                <w:rPr>
                  <w:rFonts w:ascii="Arial" w:eastAsia="Arial" w:hAnsi="Arial" w:cs="Arial"/>
                  <w:b/>
                  <w:bCs/>
                  <w:color w:val="467886"/>
                  <w:sz w:val="22"/>
                  <w:szCs w:val="22"/>
                  <w:u w:val="single"/>
                </w:rPr>
                <w:t>Click to continue to Section R</w:t>
              </w:r>
            </w:hyperlink>
          </w:p>
        </w:tc>
        <w:tc>
          <w:tcPr>
            <w:tcW w:w="829"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c>
          <w:tcPr>
            <w:tcW w:w="1793" w:type="dxa"/>
            <w:shd w:val="clear" w:color="auto" w:fill="D9F2D0"/>
            <w:vAlign w:val="center"/>
          </w:tcPr>
          <w:p w:rsidR="007E7629" w:rsidRDefault="00FB5D41">
            <w:pPr>
              <w:jc w:val="center"/>
              <w:rPr>
                <w:rFonts w:ascii="Arial" w:eastAsia="Arial" w:hAnsi="Arial" w:cs="Arial"/>
                <w:b/>
                <w:bCs/>
                <w:sz w:val="22"/>
                <w:szCs w:val="22"/>
              </w:rPr>
            </w:pPr>
            <w:hyperlink w:anchor="bookmark=id.k0t36fuock1k">
              <w:r w:rsidR="003E360F">
                <w:rPr>
                  <w:rFonts w:ascii="Arial" w:eastAsia="Arial" w:hAnsi="Arial" w:cs="Arial"/>
                  <w:b/>
                  <w:bCs/>
                  <w:color w:val="467886"/>
                  <w:sz w:val="22"/>
                  <w:szCs w:val="22"/>
                  <w:u w:val="single"/>
                </w:rPr>
                <w:t>Return to the main form</w:t>
              </w:r>
            </w:hyperlink>
          </w:p>
        </w:tc>
      </w:tr>
    </w:tbl>
    <w:p w:rsidR="007E7629" w:rsidRDefault="007E7629">
      <w:pPr>
        <w:spacing w:after="240"/>
        <w:jc w:val="center"/>
        <w:rPr>
          <w:rFonts w:ascii="Arial" w:eastAsia="Arial" w:hAnsi="Arial" w:cs="Arial"/>
          <w:b/>
          <w:bCs/>
        </w:rPr>
      </w:pPr>
    </w:p>
    <w:p w:rsidR="007E7629" w:rsidRDefault="007E7629">
      <w:pPr>
        <w:spacing w:after="240"/>
        <w:jc w:val="center"/>
        <w:rPr>
          <w:rFonts w:ascii="Arial" w:eastAsia="Arial" w:hAnsi="Arial" w:cs="Arial"/>
          <w:b/>
          <w:bCs/>
          <w:sz w:val="22"/>
          <w:szCs w:val="22"/>
        </w:rPr>
      </w:pPr>
    </w:p>
    <w:p w:rsidR="007E7629" w:rsidRDefault="003E360F">
      <w:pPr>
        <w:jc w:val="center"/>
        <w:rPr>
          <w:rFonts w:ascii="Arial" w:eastAsia="Arial" w:hAnsi="Arial" w:cs="Arial"/>
          <w:b/>
          <w:bCs/>
          <w:sz w:val="22"/>
          <w:szCs w:val="22"/>
        </w:rPr>
      </w:pPr>
      <w:r>
        <w:br w:type="page"/>
      </w:r>
    </w:p>
    <w:p w:rsidR="007E7629" w:rsidRDefault="003E360F">
      <w:pPr>
        <w:spacing w:after="240"/>
        <w:jc w:val="center"/>
        <w:rPr>
          <w:rFonts w:ascii="Arial" w:eastAsia="Arial" w:hAnsi="Arial" w:cs="Arial"/>
          <w:b/>
          <w:bCs/>
          <w:sz w:val="22"/>
          <w:szCs w:val="22"/>
        </w:rPr>
      </w:pPr>
      <w:bookmarkStart w:id="106" w:name="bookmark=id.1x1njqtyb9e8" w:colFirst="0" w:colLast="0"/>
      <w:bookmarkEnd w:id="106"/>
      <w:r>
        <w:rPr>
          <w:rFonts w:ascii="Arial" w:eastAsia="Arial" w:hAnsi="Arial" w:cs="Arial"/>
          <w:b/>
          <w:bCs/>
          <w:sz w:val="22"/>
          <w:szCs w:val="22"/>
        </w:rPr>
        <w:lastRenderedPageBreak/>
        <w:t>APPENDIX 8: Export Control for Research with Potential Military End Uses</w:t>
      </w:r>
    </w:p>
    <w:tbl>
      <w:tblPr>
        <w:tblStyle w:val="affff"/>
        <w:tblW w:w="1015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
        <w:gridCol w:w="8168"/>
        <w:gridCol w:w="634"/>
        <w:gridCol w:w="528"/>
      </w:tblGrid>
      <w:tr w:rsidR="007E7629">
        <w:trPr>
          <w:trHeight w:val="2638"/>
          <w:jc w:val="center"/>
        </w:trPr>
        <w:tc>
          <w:tcPr>
            <w:tcW w:w="10152" w:type="dxa"/>
            <w:gridSpan w:val="4"/>
            <w:shd w:val="clear" w:color="auto" w:fill="C1E4F5"/>
          </w:tcPr>
          <w:p w:rsidR="007E7629" w:rsidRDefault="003E360F">
            <w:pPr>
              <w:jc w:val="center"/>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7E7629" w:rsidRDefault="003E360F">
            <w:pPr>
              <w:spacing w:before="240"/>
              <w:jc w:val="center"/>
              <w:rPr>
                <w:rFonts w:ascii="Arial" w:eastAsia="Arial" w:hAnsi="Arial" w:cs="Arial"/>
                <w:sz w:val="22"/>
                <w:szCs w:val="22"/>
              </w:rPr>
            </w:pPr>
            <w:r>
              <w:rPr>
                <w:rFonts w:ascii="Arial" w:eastAsia="Arial" w:hAnsi="Arial" w:cs="Arial"/>
                <w:b/>
                <w:bCs/>
                <w:sz w:val="22"/>
                <w:szCs w:val="22"/>
              </w:rPr>
              <w:t>Will the research involve:</w:t>
            </w:r>
          </w:p>
        </w:tc>
      </w:tr>
      <w:tr w:rsidR="007E7629">
        <w:trPr>
          <w:trHeight w:val="370"/>
          <w:jc w:val="center"/>
        </w:trPr>
        <w:tc>
          <w:tcPr>
            <w:tcW w:w="8990" w:type="dxa"/>
            <w:gridSpan w:val="2"/>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Defence</w:t>
            </w:r>
          </w:p>
        </w:tc>
        <w:tc>
          <w:tcPr>
            <w:tcW w:w="634" w:type="dxa"/>
            <w:shd w:val="clear" w:color="auto" w:fill="D9D9D9"/>
            <w:vAlign w:val="center"/>
          </w:tcPr>
          <w:p w:rsidR="007E7629" w:rsidRDefault="003E360F">
            <w:pPr>
              <w:jc w:val="center"/>
              <w:rPr>
                <w:rFonts w:ascii="Arial" w:eastAsia="Arial" w:hAnsi="Arial" w:cs="Arial"/>
                <w:b/>
                <w:bCs/>
              </w:rPr>
            </w:pPr>
            <w:r>
              <w:rPr>
                <w:rFonts w:ascii="Arial" w:eastAsia="Arial" w:hAnsi="Arial" w:cs="Arial"/>
                <w:b/>
                <w:bCs/>
              </w:rPr>
              <w:t>YES</w:t>
            </w:r>
          </w:p>
        </w:tc>
        <w:tc>
          <w:tcPr>
            <w:tcW w:w="528" w:type="dxa"/>
            <w:shd w:val="clear" w:color="auto" w:fill="D9D9D9"/>
            <w:vAlign w:val="center"/>
          </w:tcPr>
          <w:p w:rsidR="007E7629" w:rsidRDefault="003E360F">
            <w:pPr>
              <w:jc w:val="center"/>
              <w:rPr>
                <w:rFonts w:ascii="Arial" w:eastAsia="Arial" w:hAnsi="Arial" w:cs="Arial"/>
                <w:b/>
                <w:bCs/>
              </w:rPr>
            </w:pPr>
            <w:r>
              <w:rPr>
                <w:rFonts w:ascii="Arial" w:eastAsia="Arial" w:hAnsi="Arial" w:cs="Arial"/>
                <w:b/>
                <w:bCs/>
              </w:rPr>
              <w:t>NO</w:t>
            </w:r>
          </w:p>
        </w:tc>
      </w:tr>
      <w:tr w:rsidR="007E7629">
        <w:trPr>
          <w:trHeight w:val="332"/>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w:t>
            </w:r>
          </w:p>
        </w:tc>
        <w:tc>
          <w:tcPr>
            <w:tcW w:w="816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Military equipment and munitions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08"/>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A8.2</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Defence equipment, including satellites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7"/>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A8.3</w:t>
            </w:r>
          </w:p>
        </w:tc>
        <w:tc>
          <w:tcPr>
            <w:tcW w:w="816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Technical data, including some border and port information</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0"/>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A8.4</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Dual use research</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2"/>
          <w:jc w:val="center"/>
        </w:trPr>
        <w:tc>
          <w:tcPr>
            <w:tcW w:w="8990"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Materials and Technologies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418"/>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A8.5</w:t>
            </w:r>
          </w:p>
        </w:tc>
        <w:tc>
          <w:tcPr>
            <w:tcW w:w="816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Nuclear materials, facilities and equipment</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4"/>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A8.6</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Chemicals, microorganisms and toxins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02"/>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A8.7</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Electronics design, development and production</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2"/>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A8.8</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Computers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4"/>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A8.9</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Telecommunications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0"/>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A8.10</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Sensors and lasers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2"/>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A8.11</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Navigation and avionics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8"/>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A8.12</w:t>
            </w:r>
          </w:p>
        </w:tc>
        <w:tc>
          <w:tcPr>
            <w:tcW w:w="816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Marine technology</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4"/>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A8.13</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Composite materials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6"/>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A8.14</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Aerospace and propulsion</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2"/>
          <w:jc w:val="center"/>
        </w:trPr>
        <w:tc>
          <w:tcPr>
            <w:tcW w:w="8990"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b/>
                <w:bCs/>
                <w:sz w:val="22"/>
                <w:szCs w:val="22"/>
              </w:rPr>
              <w:t>Sensitive Information</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414"/>
          <w:jc w:val="center"/>
        </w:trPr>
        <w:tc>
          <w:tcPr>
            <w:tcW w:w="82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lastRenderedPageBreak/>
              <w:t>A8.15</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Cryptology</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0"/>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A8.16</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Counterterrorism</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6"/>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A8.17</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Counternarcotics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8"/>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A8.18</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Cyber-related</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396"/>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A8.19</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Non-proliferation</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6"/>
          <w:jc w:val="center"/>
        </w:trPr>
        <w:tc>
          <w:tcPr>
            <w:tcW w:w="82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A8.20</w:t>
            </w:r>
          </w:p>
        </w:tc>
        <w:tc>
          <w:tcPr>
            <w:tcW w:w="8168"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Transnational criminal organisations</w:t>
            </w:r>
          </w:p>
        </w:tc>
        <w:tc>
          <w:tcPr>
            <w:tcW w:w="63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bl>
    <w:p w:rsidR="007E7629" w:rsidRDefault="007E7629">
      <w:pPr>
        <w:jc w:val="center"/>
        <w:rPr>
          <w:rFonts w:ascii="Arial" w:eastAsia="Arial" w:hAnsi="Arial" w:cs="Arial"/>
        </w:rPr>
      </w:pPr>
    </w:p>
    <w:tbl>
      <w:tblPr>
        <w:tblStyle w:val="affff0"/>
        <w:tblW w:w="989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02"/>
        <w:gridCol w:w="7962"/>
        <w:gridCol w:w="618"/>
        <w:gridCol w:w="514"/>
      </w:tblGrid>
      <w:tr w:rsidR="007E7629">
        <w:trPr>
          <w:trHeight w:val="442"/>
          <w:jc w:val="center"/>
        </w:trPr>
        <w:tc>
          <w:tcPr>
            <w:tcW w:w="8764" w:type="dxa"/>
            <w:gridSpan w:val="2"/>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Genetic Resources</w:t>
            </w:r>
          </w:p>
        </w:tc>
        <w:tc>
          <w:tcPr>
            <w:tcW w:w="618"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514"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435"/>
          <w:jc w:val="center"/>
        </w:trPr>
        <w:tc>
          <w:tcPr>
            <w:tcW w:w="802"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A8.21</w:t>
            </w:r>
          </w:p>
        </w:tc>
        <w:tc>
          <w:tcPr>
            <w:tcW w:w="79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Genetic material of actual or potential value</w:t>
            </w:r>
          </w:p>
        </w:tc>
        <w:tc>
          <w:tcPr>
            <w:tcW w:w="61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41"/>
          <w:jc w:val="center"/>
        </w:trPr>
        <w:tc>
          <w:tcPr>
            <w:tcW w:w="80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A8.22</w:t>
            </w:r>
          </w:p>
        </w:tc>
        <w:tc>
          <w:tcPr>
            <w:tcW w:w="79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Organisms, or parts thereof</w:t>
            </w:r>
          </w:p>
        </w:tc>
        <w:tc>
          <w:tcPr>
            <w:tcW w:w="61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241"/>
          <w:jc w:val="center"/>
        </w:trPr>
        <w:tc>
          <w:tcPr>
            <w:tcW w:w="80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A8.23</w:t>
            </w:r>
          </w:p>
        </w:tc>
        <w:tc>
          <w:tcPr>
            <w:tcW w:w="79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Populations (or organisms)</w:t>
            </w:r>
          </w:p>
        </w:tc>
        <w:tc>
          <w:tcPr>
            <w:tcW w:w="61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42"/>
          <w:jc w:val="center"/>
        </w:trPr>
        <w:tc>
          <w:tcPr>
            <w:tcW w:w="80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A8.24</w:t>
            </w:r>
          </w:p>
        </w:tc>
        <w:tc>
          <w:tcPr>
            <w:tcW w:w="79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Other biotic components of ecosystems</w:t>
            </w:r>
          </w:p>
        </w:tc>
        <w:tc>
          <w:tcPr>
            <w:tcW w:w="61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732"/>
          <w:jc w:val="center"/>
        </w:trPr>
        <w:tc>
          <w:tcPr>
            <w:tcW w:w="80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A8.25</w:t>
            </w:r>
          </w:p>
        </w:tc>
        <w:tc>
          <w:tcPr>
            <w:tcW w:w="7962"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18"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4"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bl>
    <w:p w:rsidR="007E7629" w:rsidRDefault="007E7629">
      <w:pPr>
        <w:jc w:val="center"/>
        <w:rPr>
          <w:rFonts w:ascii="Arial" w:eastAsia="Arial" w:hAnsi="Arial" w:cs="Arial"/>
        </w:rPr>
      </w:pPr>
    </w:p>
    <w:tbl>
      <w:tblPr>
        <w:tblStyle w:val="affff1"/>
        <w:tblW w:w="98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8"/>
        <w:gridCol w:w="7926"/>
        <w:gridCol w:w="615"/>
        <w:gridCol w:w="511"/>
      </w:tblGrid>
      <w:tr w:rsidR="007E7629">
        <w:trPr>
          <w:trHeight w:val="736"/>
          <w:jc w:val="center"/>
        </w:trPr>
        <w:tc>
          <w:tcPr>
            <w:tcW w:w="8724" w:type="dxa"/>
            <w:gridSpan w:val="2"/>
            <w:shd w:val="clear" w:color="auto" w:fill="C1E4F5"/>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Will you be exporting military or dual-use technology, now or possibly in the future? This information may take many forms, including:</w:t>
            </w:r>
          </w:p>
        </w:tc>
        <w:tc>
          <w:tcPr>
            <w:tcW w:w="615"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YES</w:t>
            </w:r>
          </w:p>
        </w:tc>
        <w:tc>
          <w:tcPr>
            <w:tcW w:w="511" w:type="dxa"/>
            <w:shd w:val="clear" w:color="auto" w:fill="D9D9D9"/>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NO</w:t>
            </w:r>
          </w:p>
        </w:tc>
      </w:tr>
      <w:tr w:rsidR="007E7629">
        <w:trPr>
          <w:trHeight w:val="412"/>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A8.26</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32"/>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A8.27</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Blueprints</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5"/>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A8.28</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Plans</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31"/>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A8.29</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Diagrams</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3"/>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A8.30</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Models</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9"/>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A8.31</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Formulae</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1"/>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lastRenderedPageBreak/>
              <w:t>A8.32</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Tables</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2"/>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A8.33</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Engineering designs and specifications</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33"/>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A8.34</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Manuals and instructions</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5"/>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A8.35</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Software</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31"/>
          <w:jc w:val="center"/>
        </w:trPr>
        <w:tc>
          <w:tcPr>
            <w:tcW w:w="798"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A8.36</w:t>
            </w:r>
          </w:p>
        </w:tc>
        <w:tc>
          <w:tcPr>
            <w:tcW w:w="7926"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Know-how</w:t>
            </w:r>
          </w:p>
        </w:tc>
        <w:tc>
          <w:tcPr>
            <w:tcW w:w="615"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11"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bl>
    <w:p w:rsidR="007E7629" w:rsidRDefault="007E7629">
      <w:pPr>
        <w:jc w:val="center"/>
        <w:rPr>
          <w:rFonts w:ascii="Arial" w:eastAsia="Arial" w:hAnsi="Arial" w:cs="Arial"/>
        </w:rPr>
      </w:pPr>
    </w:p>
    <w:tbl>
      <w:tblPr>
        <w:tblStyle w:val="affff2"/>
        <w:tblW w:w="974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0"/>
        <w:gridCol w:w="7841"/>
        <w:gridCol w:w="609"/>
        <w:gridCol w:w="506"/>
      </w:tblGrid>
      <w:tr w:rsidR="007E7629">
        <w:trPr>
          <w:trHeight w:val="430"/>
          <w:jc w:val="center"/>
        </w:trPr>
        <w:tc>
          <w:tcPr>
            <w:tcW w:w="8631" w:type="dxa"/>
            <w:gridSpan w:val="2"/>
            <w:shd w:val="clear" w:color="auto" w:fill="C1E4F5"/>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Will your project transfer technology using any of the following physical methods?</w:t>
            </w:r>
          </w:p>
        </w:tc>
        <w:tc>
          <w:tcPr>
            <w:tcW w:w="609"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506" w:type="dxa"/>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trHeight w:val="434"/>
          <w:jc w:val="center"/>
        </w:trPr>
        <w:tc>
          <w:tcPr>
            <w:tcW w:w="79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A8.37</w:t>
            </w:r>
          </w:p>
        </w:tc>
        <w:tc>
          <w:tcPr>
            <w:tcW w:w="7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USB flash drives</w:t>
            </w:r>
          </w:p>
        </w:tc>
        <w:tc>
          <w:tcPr>
            <w:tcW w:w="609"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0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6"/>
          <w:jc w:val="center"/>
        </w:trPr>
        <w:tc>
          <w:tcPr>
            <w:tcW w:w="79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A8.38</w:t>
            </w:r>
          </w:p>
        </w:tc>
        <w:tc>
          <w:tcPr>
            <w:tcW w:w="7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Portable hard drives</w:t>
            </w:r>
          </w:p>
        </w:tc>
        <w:tc>
          <w:tcPr>
            <w:tcW w:w="609"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0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18"/>
          <w:jc w:val="center"/>
        </w:trPr>
        <w:tc>
          <w:tcPr>
            <w:tcW w:w="79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A8.39</w:t>
            </w:r>
          </w:p>
        </w:tc>
        <w:tc>
          <w:tcPr>
            <w:tcW w:w="7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Laptops</w:t>
            </w:r>
          </w:p>
        </w:tc>
        <w:tc>
          <w:tcPr>
            <w:tcW w:w="609"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0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4"/>
          <w:jc w:val="center"/>
        </w:trPr>
        <w:tc>
          <w:tcPr>
            <w:tcW w:w="79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A8.40</w:t>
            </w:r>
          </w:p>
        </w:tc>
        <w:tc>
          <w:tcPr>
            <w:tcW w:w="7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Tablets</w:t>
            </w:r>
          </w:p>
        </w:tc>
        <w:tc>
          <w:tcPr>
            <w:tcW w:w="609"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0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574"/>
          <w:jc w:val="center"/>
        </w:trPr>
        <w:tc>
          <w:tcPr>
            <w:tcW w:w="79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A8.41</w:t>
            </w:r>
          </w:p>
        </w:tc>
        <w:tc>
          <w:tcPr>
            <w:tcW w:w="7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09"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0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424"/>
          <w:jc w:val="center"/>
        </w:trPr>
        <w:tc>
          <w:tcPr>
            <w:tcW w:w="790"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A8.42</w:t>
            </w:r>
          </w:p>
        </w:tc>
        <w:tc>
          <w:tcPr>
            <w:tcW w:w="7841" w:type="dxa"/>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Physical exports</w:t>
            </w:r>
          </w:p>
        </w:tc>
        <w:tc>
          <w:tcPr>
            <w:tcW w:w="609"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06" w:type="dxa"/>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bl>
    <w:p w:rsidR="007E7629" w:rsidRDefault="007E7629">
      <w:pPr>
        <w:jc w:val="center"/>
        <w:rPr>
          <w:rFonts w:ascii="Arial" w:eastAsia="Arial" w:hAnsi="Arial" w:cs="Arial"/>
        </w:rPr>
      </w:pPr>
    </w:p>
    <w:tbl>
      <w:tblPr>
        <w:tblStyle w:val="affff3"/>
        <w:tblW w:w="1051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9"/>
        <w:gridCol w:w="33"/>
        <w:gridCol w:w="8098"/>
        <w:gridCol w:w="359"/>
        <w:gridCol w:w="272"/>
        <w:gridCol w:w="385"/>
        <w:gridCol w:w="139"/>
        <w:gridCol w:w="407"/>
      </w:tblGrid>
      <w:tr w:rsidR="007E7629">
        <w:trPr>
          <w:gridAfter w:val="1"/>
          <w:wAfter w:w="407" w:type="dxa"/>
          <w:trHeight w:val="456"/>
          <w:jc w:val="center"/>
        </w:trPr>
        <w:tc>
          <w:tcPr>
            <w:tcW w:w="8950" w:type="dxa"/>
            <w:gridSpan w:val="3"/>
            <w:shd w:val="clear" w:color="auto" w:fill="C1E4F5"/>
            <w:vAlign w:val="center"/>
          </w:tcPr>
          <w:p w:rsidR="007E7629" w:rsidRDefault="003E360F">
            <w:pPr>
              <w:jc w:val="center"/>
              <w:rPr>
                <w:rFonts w:ascii="Arial" w:eastAsia="Arial" w:hAnsi="Arial" w:cs="Arial"/>
                <w:b/>
                <w:bCs/>
                <w:sz w:val="22"/>
                <w:szCs w:val="22"/>
              </w:rPr>
            </w:pPr>
            <w:r>
              <w:rPr>
                <w:rFonts w:ascii="Arial" w:eastAsia="Arial" w:hAnsi="Arial" w:cs="Arial"/>
                <w:b/>
                <w:bCs/>
                <w:sz w:val="22"/>
                <w:szCs w:val="22"/>
              </w:rPr>
              <w:t>Will your project involve any of the following?</w:t>
            </w:r>
          </w:p>
        </w:tc>
        <w:tc>
          <w:tcPr>
            <w:tcW w:w="631"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YES</w:t>
            </w:r>
          </w:p>
        </w:tc>
        <w:tc>
          <w:tcPr>
            <w:tcW w:w="524"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b/>
                <w:bCs/>
                <w:sz w:val="22"/>
                <w:szCs w:val="22"/>
              </w:rPr>
              <w:t>NO</w:t>
            </w:r>
          </w:p>
        </w:tc>
      </w:tr>
      <w:tr w:rsidR="007E7629">
        <w:trPr>
          <w:gridAfter w:val="1"/>
          <w:wAfter w:w="407" w:type="dxa"/>
          <w:trHeight w:val="463"/>
          <w:jc w:val="center"/>
        </w:trPr>
        <w:tc>
          <w:tcPr>
            <w:tcW w:w="819"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A8.43</w:t>
            </w:r>
          </w:p>
        </w:tc>
        <w:tc>
          <w:tcPr>
            <w:tcW w:w="8131"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31"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4"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gridAfter w:val="1"/>
          <w:wAfter w:w="407" w:type="dxa"/>
          <w:trHeight w:val="454"/>
          <w:jc w:val="center"/>
        </w:trPr>
        <w:tc>
          <w:tcPr>
            <w:tcW w:w="819"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A8.44</w:t>
            </w:r>
          </w:p>
        </w:tc>
        <w:tc>
          <w:tcPr>
            <w:tcW w:w="8131"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31"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4"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gridAfter w:val="1"/>
          <w:wAfter w:w="407" w:type="dxa"/>
          <w:trHeight w:val="461"/>
          <w:jc w:val="center"/>
        </w:trPr>
        <w:tc>
          <w:tcPr>
            <w:tcW w:w="819" w:type="dxa"/>
            <w:shd w:val="clear" w:color="auto" w:fill="F2F2F2"/>
            <w:vAlign w:val="center"/>
          </w:tcPr>
          <w:p w:rsidR="007E7629" w:rsidRDefault="003E360F">
            <w:pPr>
              <w:jc w:val="center"/>
              <w:rPr>
                <w:rFonts w:ascii="Arial" w:eastAsia="Arial" w:hAnsi="Arial" w:cs="Arial"/>
                <w:b/>
                <w:bCs/>
                <w:sz w:val="22"/>
                <w:szCs w:val="22"/>
              </w:rPr>
            </w:pPr>
            <w:r>
              <w:rPr>
                <w:rFonts w:ascii="Arial" w:eastAsia="Arial" w:hAnsi="Arial" w:cs="Arial"/>
                <w:sz w:val="22"/>
                <w:szCs w:val="22"/>
              </w:rPr>
              <w:t>A8.45</w:t>
            </w:r>
          </w:p>
        </w:tc>
        <w:tc>
          <w:tcPr>
            <w:tcW w:w="8131" w:type="dxa"/>
            <w:gridSpan w:val="2"/>
            <w:shd w:val="clear" w:color="auto" w:fill="F2F2F2"/>
            <w:vAlign w:val="center"/>
          </w:tcPr>
          <w:p w:rsidR="007E7629" w:rsidRDefault="003E360F">
            <w:pPr>
              <w:jc w:val="center"/>
              <w:rPr>
                <w:rFonts w:ascii="Arial" w:eastAsia="Arial" w:hAnsi="Arial" w:cs="Arial"/>
                <w:sz w:val="22"/>
                <w:szCs w:val="22"/>
              </w:rPr>
            </w:pPr>
            <w:r>
              <w:rPr>
                <w:rFonts w:ascii="Arial" w:eastAsia="Arial" w:hAnsi="Arial" w:cs="Arial"/>
                <w:sz w:val="22"/>
                <w:szCs w:val="22"/>
              </w:rPr>
              <w:t>Will you be hosting foreign visitors?</w:t>
            </w:r>
          </w:p>
        </w:tc>
        <w:tc>
          <w:tcPr>
            <w:tcW w:w="631"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c>
          <w:tcPr>
            <w:tcW w:w="524" w:type="dxa"/>
            <w:gridSpan w:val="2"/>
            <w:shd w:val="clear" w:color="auto" w:fill="D9D9D9"/>
            <w:vAlign w:val="center"/>
          </w:tcPr>
          <w:p w:rsidR="007E7629" w:rsidRDefault="003E360F">
            <w:pPr>
              <w:jc w:val="center"/>
              <w:rPr>
                <w:rFonts w:ascii="Arial" w:eastAsia="Arial" w:hAnsi="Arial" w:cs="Arial"/>
              </w:rPr>
            </w:pPr>
            <w:r>
              <w:rPr>
                <w:rFonts w:ascii="Arial" w:eastAsia="Arial" w:hAnsi="Arial" w:cs="Arial"/>
              </w:rPr>
              <w:t>☐</w:t>
            </w:r>
          </w:p>
        </w:tc>
      </w:tr>
      <w:tr w:rsidR="007E7629">
        <w:trPr>
          <w:trHeight w:val="694"/>
          <w:jc w:val="center"/>
        </w:trPr>
        <w:tc>
          <w:tcPr>
            <w:tcW w:w="9309" w:type="dxa"/>
            <w:gridSpan w:val="4"/>
            <w:shd w:val="clear" w:color="auto" w:fill="FFFF00"/>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b/>
                <w:bCs/>
                <w:color w:val="000000"/>
                <w:sz w:val="22"/>
                <w:szCs w:val="22"/>
              </w:rPr>
              <w:t>If you answer YES to any of questions A8,1-A8.45 then you should complete a full export control assessment and append that to this application. Before doing this please contact INSPIRE who will advise further.</w:t>
            </w:r>
          </w:p>
        </w:tc>
        <w:tc>
          <w:tcPr>
            <w:tcW w:w="657" w:type="dxa"/>
            <w:gridSpan w:val="2"/>
            <w:shd w:val="clear" w:color="auto" w:fill="D9D9D9"/>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546" w:type="dxa"/>
            <w:gridSpan w:val="2"/>
            <w:shd w:val="clear" w:color="auto" w:fill="D9D9D9"/>
            <w:vAlign w:val="center"/>
          </w:tcPr>
          <w:p w:rsidR="007E7629" w:rsidRDefault="003E360F">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7E7629">
        <w:trPr>
          <w:trHeight w:val="371"/>
          <w:jc w:val="center"/>
        </w:trPr>
        <w:tc>
          <w:tcPr>
            <w:tcW w:w="852" w:type="dxa"/>
            <w:gridSpan w:val="2"/>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A8.46</w:t>
            </w:r>
          </w:p>
        </w:tc>
        <w:tc>
          <w:tcPr>
            <w:tcW w:w="8457" w:type="dxa"/>
            <w:gridSpan w:val="2"/>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gridSpan w:val="2"/>
            <w:shd w:val="clear" w:color="auto" w:fill="D9D9D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w:t>
            </w:r>
          </w:p>
          <w:p w:rsidR="007E7629" w:rsidRDefault="007E7629">
            <w:pPr>
              <w:pBdr>
                <w:top w:val="nil"/>
                <w:left w:val="nil"/>
                <w:bottom w:val="nil"/>
                <w:right w:val="nil"/>
                <w:between w:val="nil"/>
              </w:pBdr>
              <w:jc w:val="center"/>
              <w:rPr>
                <w:rFonts w:ascii="Arial" w:eastAsia="Arial" w:hAnsi="Arial" w:cs="Arial"/>
                <w:color w:val="000000"/>
                <w:sz w:val="22"/>
                <w:szCs w:val="22"/>
              </w:rPr>
            </w:pPr>
          </w:p>
        </w:tc>
        <w:tc>
          <w:tcPr>
            <w:tcW w:w="546" w:type="dxa"/>
            <w:gridSpan w:val="2"/>
            <w:shd w:val="clear" w:color="auto" w:fill="D9D9D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w:t>
            </w:r>
          </w:p>
          <w:p w:rsidR="007E7629" w:rsidRDefault="007E7629">
            <w:pPr>
              <w:pBdr>
                <w:top w:val="nil"/>
                <w:left w:val="nil"/>
                <w:bottom w:val="nil"/>
                <w:right w:val="nil"/>
                <w:between w:val="nil"/>
              </w:pBdr>
              <w:jc w:val="center"/>
              <w:rPr>
                <w:rFonts w:ascii="Arial" w:eastAsia="Arial" w:hAnsi="Arial" w:cs="Arial"/>
                <w:color w:val="000000"/>
                <w:sz w:val="22"/>
                <w:szCs w:val="22"/>
              </w:rPr>
            </w:pPr>
          </w:p>
        </w:tc>
      </w:tr>
      <w:tr w:rsidR="007E7629">
        <w:trPr>
          <w:trHeight w:val="251"/>
          <w:jc w:val="center"/>
        </w:trPr>
        <w:tc>
          <w:tcPr>
            <w:tcW w:w="852" w:type="dxa"/>
            <w:gridSpan w:val="2"/>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gridSpan w:val="2"/>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gridSpan w:val="2"/>
            <w:shd w:val="clear" w:color="auto" w:fill="D9D9D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w:t>
            </w:r>
          </w:p>
          <w:p w:rsidR="007E7629" w:rsidRDefault="007E7629">
            <w:pPr>
              <w:pBdr>
                <w:top w:val="nil"/>
                <w:left w:val="nil"/>
                <w:bottom w:val="nil"/>
                <w:right w:val="nil"/>
                <w:between w:val="nil"/>
              </w:pBdr>
              <w:jc w:val="center"/>
              <w:rPr>
                <w:rFonts w:ascii="Arial" w:eastAsia="Arial" w:hAnsi="Arial" w:cs="Arial"/>
                <w:color w:val="000000"/>
                <w:sz w:val="22"/>
                <w:szCs w:val="22"/>
              </w:rPr>
            </w:pPr>
          </w:p>
        </w:tc>
        <w:tc>
          <w:tcPr>
            <w:tcW w:w="546" w:type="dxa"/>
            <w:gridSpan w:val="2"/>
            <w:shd w:val="clear" w:color="auto" w:fill="D9D9D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w:t>
            </w:r>
          </w:p>
          <w:p w:rsidR="007E7629" w:rsidRDefault="007E7629">
            <w:pPr>
              <w:pBdr>
                <w:top w:val="nil"/>
                <w:left w:val="nil"/>
                <w:bottom w:val="nil"/>
                <w:right w:val="nil"/>
                <w:between w:val="nil"/>
              </w:pBdr>
              <w:jc w:val="center"/>
              <w:rPr>
                <w:rFonts w:ascii="Arial" w:eastAsia="Arial" w:hAnsi="Arial" w:cs="Arial"/>
                <w:color w:val="000000"/>
                <w:sz w:val="22"/>
                <w:szCs w:val="22"/>
              </w:rPr>
            </w:pPr>
          </w:p>
        </w:tc>
      </w:tr>
      <w:tr w:rsidR="007E7629">
        <w:trPr>
          <w:trHeight w:val="403"/>
          <w:jc w:val="center"/>
        </w:trPr>
        <w:tc>
          <w:tcPr>
            <w:tcW w:w="852" w:type="dxa"/>
            <w:gridSpan w:val="2"/>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gridSpan w:val="2"/>
            <w:shd w:val="clear" w:color="auto" w:fill="F2F2F2"/>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gridSpan w:val="2"/>
            <w:shd w:val="clear" w:color="auto" w:fill="D9D9D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w:t>
            </w:r>
          </w:p>
          <w:p w:rsidR="007E7629" w:rsidRDefault="007E7629">
            <w:pPr>
              <w:pBdr>
                <w:top w:val="nil"/>
                <w:left w:val="nil"/>
                <w:bottom w:val="nil"/>
                <w:right w:val="nil"/>
                <w:between w:val="nil"/>
              </w:pBdr>
              <w:jc w:val="center"/>
              <w:rPr>
                <w:rFonts w:ascii="Arial" w:eastAsia="Arial" w:hAnsi="Arial" w:cs="Arial"/>
                <w:color w:val="000000"/>
                <w:sz w:val="22"/>
                <w:szCs w:val="22"/>
              </w:rPr>
            </w:pPr>
          </w:p>
        </w:tc>
        <w:tc>
          <w:tcPr>
            <w:tcW w:w="546" w:type="dxa"/>
            <w:gridSpan w:val="2"/>
            <w:shd w:val="clear" w:color="auto" w:fill="D9D9D9"/>
            <w:vAlign w:val="center"/>
          </w:tcPr>
          <w:p w:rsidR="007E7629" w:rsidRDefault="003E360F">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w:t>
            </w:r>
          </w:p>
          <w:p w:rsidR="007E7629" w:rsidRDefault="007E7629">
            <w:pPr>
              <w:pBdr>
                <w:top w:val="nil"/>
                <w:left w:val="nil"/>
                <w:bottom w:val="nil"/>
                <w:right w:val="nil"/>
                <w:between w:val="nil"/>
              </w:pBdr>
              <w:jc w:val="center"/>
              <w:rPr>
                <w:rFonts w:ascii="Arial" w:eastAsia="Arial" w:hAnsi="Arial" w:cs="Arial"/>
                <w:color w:val="000000"/>
                <w:sz w:val="22"/>
                <w:szCs w:val="22"/>
              </w:rPr>
            </w:pPr>
          </w:p>
        </w:tc>
      </w:tr>
    </w:tbl>
    <w:p w:rsidR="007E7629" w:rsidRDefault="007E7629">
      <w:pPr>
        <w:spacing w:after="240"/>
        <w:jc w:val="center"/>
        <w:rPr>
          <w:rFonts w:ascii="Arial" w:eastAsia="Arial" w:hAnsi="Arial" w:cs="Arial"/>
          <w:b/>
          <w:bCs/>
          <w:sz w:val="4"/>
          <w:szCs w:val="4"/>
        </w:rPr>
      </w:pPr>
    </w:p>
    <w:tbl>
      <w:tblPr>
        <w:tblStyle w:val="affff4"/>
        <w:tblW w:w="1038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7"/>
        <w:gridCol w:w="4216"/>
        <w:gridCol w:w="983"/>
        <w:gridCol w:w="1967"/>
        <w:gridCol w:w="842"/>
        <w:gridCol w:w="1822"/>
      </w:tblGrid>
      <w:tr w:rsidR="007E7629">
        <w:trPr>
          <w:trHeight w:val="782"/>
          <w:jc w:val="center"/>
        </w:trPr>
        <w:tc>
          <w:tcPr>
            <w:tcW w:w="557" w:type="dxa"/>
            <w:tcBorders>
              <w:top w:val="nil"/>
              <w:left w:val="nil"/>
              <w:bottom w:val="nil"/>
              <w:right w:val="nil"/>
            </w:tcBorders>
            <w:shd w:val="clear" w:color="auto" w:fill="FFFFFF"/>
          </w:tcPr>
          <w:p w:rsidR="007E7629" w:rsidRDefault="007E7629">
            <w:pPr>
              <w:jc w:val="center"/>
              <w:rPr>
                <w:rFonts w:ascii="Arial" w:eastAsia="Arial" w:hAnsi="Arial" w:cs="Arial"/>
                <w:sz w:val="22"/>
                <w:szCs w:val="22"/>
              </w:rPr>
            </w:pPr>
          </w:p>
        </w:tc>
        <w:tc>
          <w:tcPr>
            <w:tcW w:w="4216" w:type="dxa"/>
            <w:tcBorders>
              <w:top w:val="nil"/>
              <w:left w:val="nil"/>
              <w:bottom w:val="nil"/>
              <w:right w:val="nil"/>
            </w:tcBorders>
            <w:shd w:val="clear" w:color="auto" w:fill="FFFFFF"/>
            <w:vAlign w:val="center"/>
          </w:tcPr>
          <w:p w:rsidR="007E7629" w:rsidRDefault="007E7629">
            <w:pPr>
              <w:jc w:val="center"/>
              <w:rPr>
                <w:rFonts w:ascii="Arial" w:eastAsia="Arial" w:hAnsi="Arial" w:cs="Arial"/>
                <w:sz w:val="22"/>
                <w:szCs w:val="22"/>
              </w:rPr>
            </w:pPr>
          </w:p>
        </w:tc>
        <w:tc>
          <w:tcPr>
            <w:tcW w:w="983"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1967" w:type="dxa"/>
            <w:tcBorders>
              <w:top w:val="nil"/>
              <w:left w:val="nil"/>
              <w:bottom w:val="nil"/>
              <w:right w:val="nil"/>
            </w:tcBorders>
            <w:shd w:val="clear" w:color="auto" w:fill="FFFFFF"/>
            <w:vAlign w:val="center"/>
          </w:tcPr>
          <w:p w:rsidR="007E7629" w:rsidRDefault="007E7629">
            <w:pPr>
              <w:jc w:val="center"/>
              <w:rPr>
                <w:rFonts w:ascii="Arial" w:eastAsia="Arial" w:hAnsi="Arial" w:cs="Arial"/>
                <w:b/>
                <w:bCs/>
                <w:sz w:val="22"/>
                <w:szCs w:val="22"/>
              </w:rPr>
            </w:pPr>
          </w:p>
        </w:tc>
        <w:tc>
          <w:tcPr>
            <w:tcW w:w="842" w:type="dxa"/>
            <w:tcBorders>
              <w:top w:val="nil"/>
              <w:left w:val="nil"/>
              <w:bottom w:val="nil"/>
            </w:tcBorders>
            <w:shd w:val="clear" w:color="auto" w:fill="FFFFFF"/>
            <w:vAlign w:val="center"/>
          </w:tcPr>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p w:rsidR="007E7629" w:rsidRDefault="007E7629">
            <w:pPr>
              <w:jc w:val="center"/>
              <w:rPr>
                <w:rFonts w:ascii="Arial" w:eastAsia="Arial" w:hAnsi="Arial" w:cs="Arial"/>
                <w:b/>
                <w:bCs/>
                <w:sz w:val="22"/>
                <w:szCs w:val="22"/>
              </w:rPr>
            </w:pPr>
          </w:p>
        </w:tc>
        <w:tc>
          <w:tcPr>
            <w:tcW w:w="1822" w:type="dxa"/>
            <w:shd w:val="clear" w:color="auto" w:fill="D9F2D0"/>
            <w:vAlign w:val="center"/>
          </w:tcPr>
          <w:p w:rsidR="007E7629" w:rsidRDefault="00FB5D41">
            <w:pPr>
              <w:jc w:val="center"/>
              <w:rPr>
                <w:rFonts w:ascii="Arial" w:eastAsia="Arial" w:hAnsi="Arial" w:cs="Arial"/>
                <w:b/>
                <w:bCs/>
                <w:sz w:val="22"/>
                <w:szCs w:val="22"/>
              </w:rPr>
            </w:pPr>
            <w:hyperlink w:anchor="bookmark=id.rkgz1z3djska">
              <w:r w:rsidR="003E360F">
                <w:rPr>
                  <w:rFonts w:ascii="Arial" w:eastAsia="Arial" w:hAnsi="Arial" w:cs="Arial"/>
                  <w:b/>
                  <w:bCs/>
                  <w:color w:val="467886"/>
                  <w:sz w:val="22"/>
                  <w:szCs w:val="22"/>
                  <w:u w:val="single"/>
                </w:rPr>
                <w:t>Return to the main form</w:t>
              </w:r>
            </w:hyperlink>
          </w:p>
        </w:tc>
      </w:tr>
    </w:tbl>
    <w:p w:rsidR="007E7629" w:rsidRDefault="007E7629"/>
    <w:sectPr w:rsidR="007E7629">
      <w:headerReference w:type="default" r:id="rId145"/>
      <w:footerReference w:type="default" r:id="rId14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5D41" w:rsidRDefault="00FB5D41">
      <w:pPr>
        <w:spacing w:line="240" w:lineRule="auto"/>
      </w:pPr>
      <w:r>
        <w:separator/>
      </w:r>
    </w:p>
  </w:endnote>
  <w:endnote w:type="continuationSeparator" w:id="0">
    <w:p w:rsidR="00FB5D41" w:rsidRDefault="00FB5D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charset w:val="00"/>
    <w:family w:val="auto"/>
    <w:pitch w:val="default"/>
    <w:embedRegular r:id="rId1" w:fontKey="{54AB4BB3-CB11-4220-A546-C212EDDE4818}"/>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2" w:fontKey="{8A403594-B900-476A-B767-E0B9985E611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3" w:fontKey="{B8C54A98-FF69-4787-9227-227E4E9B7054}"/>
  </w:font>
  <w:font w:name="Cambria">
    <w:panose1 w:val="02040503050406030204"/>
    <w:charset w:val="00"/>
    <w:family w:val="roman"/>
    <w:pitch w:val="variable"/>
    <w:sig w:usb0="E00006FF" w:usb1="420024FF" w:usb2="02000000" w:usb3="00000000" w:csb0="0000019F" w:csb1="00000000"/>
    <w:embedRegular r:id="rId4" w:fontKey="{D11420DE-2213-47AD-AB41-8DF9A0935455}"/>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7629" w:rsidRDefault="003E360F">
    <w:pPr>
      <w:pBdr>
        <w:top w:val="nil"/>
        <w:left w:val="nil"/>
        <w:bottom w:val="nil"/>
        <w:right w:val="nil"/>
        <w:between w:val="nil"/>
      </w:pBdr>
      <w:tabs>
        <w:tab w:val="center" w:pos="4513"/>
        <w:tab w:val="right" w:pos="9026"/>
      </w:tabs>
      <w:spacing w:line="240" w:lineRule="auto"/>
      <w:jc w:val="right"/>
    </w:pPr>
    <w:r>
      <w:t xml:space="preserve">Page </w:t>
    </w:r>
    <w:r>
      <w:fldChar w:fldCharType="begin"/>
    </w:r>
    <w:r>
      <w:instrText>PAGE</w:instrText>
    </w:r>
    <w:r>
      <w:fldChar w:fldCharType="separate"/>
    </w:r>
    <w:r w:rsidR="001B23B1">
      <w:rPr>
        <w:noProof/>
      </w:rPr>
      <w:t>1</w:t>
    </w:r>
    <w:r>
      <w:fldChar w:fldCharType="end"/>
    </w:r>
    <w:r>
      <w:t xml:space="preserve"> of </w:t>
    </w:r>
    <w:r>
      <w:fldChar w:fldCharType="begin"/>
    </w:r>
    <w:r>
      <w:instrText>NUMPAGES</w:instrText>
    </w:r>
    <w:r>
      <w:fldChar w:fldCharType="separate"/>
    </w:r>
    <w:r w:rsidR="001B23B1">
      <w:rPr>
        <w:noProof/>
      </w:rPr>
      <w:t>1</w:t>
    </w:r>
    <w:r>
      <w:fldChar w:fldCharType="end"/>
    </w:r>
  </w:p>
  <w:p w:rsidR="007E7629" w:rsidRDefault="007E7629">
    <w:pPr>
      <w:pBdr>
        <w:top w:val="nil"/>
        <w:left w:val="nil"/>
        <w:bottom w:val="nil"/>
        <w:right w:val="nil"/>
        <w:between w:val="nil"/>
      </w:pBdr>
      <w:tabs>
        <w:tab w:val="center" w:pos="4513"/>
        <w:tab w:val="right" w:pos="9026"/>
      </w:tabs>
      <w:spacing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5D41" w:rsidRDefault="00FB5D41">
      <w:pPr>
        <w:spacing w:line="240" w:lineRule="auto"/>
      </w:pPr>
      <w:r>
        <w:separator/>
      </w:r>
    </w:p>
  </w:footnote>
  <w:footnote w:type="continuationSeparator" w:id="0">
    <w:p w:rsidR="00FB5D41" w:rsidRDefault="00FB5D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E7629" w:rsidRDefault="003E360F">
    <w:pPr>
      <w:pBdr>
        <w:top w:val="nil"/>
        <w:left w:val="nil"/>
        <w:bottom w:val="nil"/>
        <w:right w:val="nil"/>
        <w:between w:val="nil"/>
      </w:pBdr>
      <w:tabs>
        <w:tab w:val="center" w:pos="4513"/>
        <w:tab w:val="right" w:pos="9026"/>
      </w:tabs>
      <w:spacing w:line="240" w:lineRule="auto"/>
      <w:jc w:val="right"/>
    </w:pPr>
    <w:r>
      <w:t xml:space="preserve">Final Dissertation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4200E"/>
    <w:multiLevelType w:val="multilevel"/>
    <w:tmpl w:val="EC784B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0141364"/>
    <w:multiLevelType w:val="multilevel"/>
    <w:tmpl w:val="155834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A6C45B1"/>
    <w:multiLevelType w:val="multilevel"/>
    <w:tmpl w:val="D7B263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2E140F2"/>
    <w:multiLevelType w:val="multilevel"/>
    <w:tmpl w:val="A1945C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60C6057"/>
    <w:multiLevelType w:val="multilevel"/>
    <w:tmpl w:val="45449A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62D488C"/>
    <w:multiLevelType w:val="multilevel"/>
    <w:tmpl w:val="A7C476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29E97A40"/>
    <w:multiLevelType w:val="multilevel"/>
    <w:tmpl w:val="71A676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54730C0"/>
    <w:multiLevelType w:val="multilevel"/>
    <w:tmpl w:val="C06EEB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3E405CB6"/>
    <w:multiLevelType w:val="multilevel"/>
    <w:tmpl w:val="FA647D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4FB52230"/>
    <w:multiLevelType w:val="multilevel"/>
    <w:tmpl w:val="723A8E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5A790C54"/>
    <w:multiLevelType w:val="multilevel"/>
    <w:tmpl w:val="679AFD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56E7BD1"/>
    <w:multiLevelType w:val="multilevel"/>
    <w:tmpl w:val="CCBE1724"/>
    <w:lvl w:ilvl="0">
      <w:start w:val="1"/>
      <w:numFmt w:val="bullet"/>
      <w:lvlText w:val="●"/>
      <w:lvlJc w:val="left"/>
      <w:pPr>
        <w:ind w:left="784" w:hanging="358"/>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12" w15:restartNumberingAfterBreak="0">
    <w:nsid w:val="66F51B8D"/>
    <w:multiLevelType w:val="multilevel"/>
    <w:tmpl w:val="71FA1D6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6F5C5E15"/>
    <w:multiLevelType w:val="multilevel"/>
    <w:tmpl w:val="15F4A0B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7B7F0D3B"/>
    <w:multiLevelType w:val="multilevel"/>
    <w:tmpl w:val="6016C1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12"/>
  </w:num>
  <w:num w:numId="3">
    <w:abstractNumId w:val="5"/>
  </w:num>
  <w:num w:numId="4">
    <w:abstractNumId w:val="3"/>
  </w:num>
  <w:num w:numId="5">
    <w:abstractNumId w:val="4"/>
  </w:num>
  <w:num w:numId="6">
    <w:abstractNumId w:val="10"/>
  </w:num>
  <w:num w:numId="7">
    <w:abstractNumId w:val="6"/>
  </w:num>
  <w:num w:numId="8">
    <w:abstractNumId w:val="14"/>
  </w:num>
  <w:num w:numId="9">
    <w:abstractNumId w:val="7"/>
  </w:num>
  <w:num w:numId="10">
    <w:abstractNumId w:val="13"/>
  </w:num>
  <w:num w:numId="11">
    <w:abstractNumId w:val="1"/>
  </w:num>
  <w:num w:numId="12">
    <w:abstractNumId w:val="11"/>
  </w:num>
  <w:num w:numId="13">
    <w:abstractNumId w:val="0"/>
  </w:num>
  <w:num w:numId="14">
    <w:abstractNumId w:val="8"/>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629"/>
    <w:rsid w:val="000830DC"/>
    <w:rsid w:val="000935A0"/>
    <w:rsid w:val="000C0899"/>
    <w:rsid w:val="0013217A"/>
    <w:rsid w:val="001B23B1"/>
    <w:rsid w:val="003504FD"/>
    <w:rsid w:val="003E360F"/>
    <w:rsid w:val="005C4A31"/>
    <w:rsid w:val="00716978"/>
    <w:rsid w:val="007175CD"/>
    <w:rsid w:val="00782D09"/>
    <w:rsid w:val="007B75D4"/>
    <w:rsid w:val="007E7629"/>
    <w:rsid w:val="008D2EC4"/>
    <w:rsid w:val="00971CB9"/>
    <w:rsid w:val="00B02212"/>
    <w:rsid w:val="00C57A84"/>
    <w:rsid w:val="00C90FE3"/>
    <w:rsid w:val="00CC6BBF"/>
    <w:rsid w:val="00D56F0F"/>
    <w:rsid w:val="00F70496"/>
    <w:rsid w:val="00FB5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7CDB5"/>
  <w15:docId w15:val="{5DF99166-850E-4350-869F-8B7D24B11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222222"/>
        <w:sz w:val="24"/>
        <w:szCs w:val="24"/>
        <w:lang w:val="en" w:eastAsia="en-GB" w:bidi="ar-SA"/>
      </w:rPr>
    </w:rPrDefault>
    <w:pPrDefault>
      <w:pPr>
        <w:shd w:val="clear" w:color="auto" w:fill="FFFFFF"/>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hd w:val="clear" w:color="auto" w:fill="auto"/>
      <w:spacing w:before="480"/>
      <w:outlineLvl w:val="0"/>
    </w:pPr>
    <w:rPr>
      <w:b/>
      <w:bCs/>
      <w:color w:val="000000"/>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unhideWhenUsed/>
    <w:qFormat/>
    <w:pPr>
      <w:jc w:val="center"/>
      <w:outlineLvl w:val="4"/>
    </w:pPr>
    <w:rPr>
      <w:b/>
      <w:bCs/>
      <w:color w:val="0070C0"/>
    </w:rPr>
  </w:style>
  <w:style w:type="paragraph" w:styleId="Heading6">
    <w:name w:val="heading 6"/>
    <w:basedOn w:val="Normal"/>
    <w:next w:val="Normal"/>
    <w:uiPriority w:val="9"/>
    <w:unhideWhenUsed/>
    <w:qFormat/>
    <w:pPr>
      <w:jc w:val="center"/>
      <w:outlineLvl w:val="5"/>
    </w:pPr>
    <w:rPr>
      <w:b/>
      <w:bCs/>
      <w:i/>
      <w:iCs/>
      <w:color w:val="0070C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table" w:customStyle="1" w:styleId="a1">
    <w:basedOn w:val="TableNormal2"/>
    <w:tblPr>
      <w:tblStyleRowBandSize w:val="1"/>
      <w:tblStyleColBandSize w:val="1"/>
    </w:tblPr>
  </w:style>
  <w:style w:type="table" w:customStyle="1" w:styleId="a2">
    <w:basedOn w:val="TableNormal2"/>
    <w:tblPr>
      <w:tblStyleRowBandSize w:val="1"/>
      <w:tblStyleColBandSize w:val="1"/>
    </w:tblPr>
  </w:style>
  <w:style w:type="paragraph" w:styleId="TOC1">
    <w:name w:val="toc 1"/>
    <w:basedOn w:val="Normal"/>
    <w:next w:val="Normal"/>
    <w:autoRedefine/>
    <w:uiPriority w:val="39"/>
    <w:unhideWhenUsed/>
    <w:rsid w:val="005F59D3"/>
    <w:pPr>
      <w:spacing w:after="100"/>
    </w:pPr>
  </w:style>
  <w:style w:type="paragraph" w:styleId="TOC2">
    <w:name w:val="toc 2"/>
    <w:basedOn w:val="Normal"/>
    <w:next w:val="Normal"/>
    <w:autoRedefine/>
    <w:uiPriority w:val="39"/>
    <w:unhideWhenUsed/>
    <w:rsid w:val="005F59D3"/>
    <w:pPr>
      <w:spacing w:after="100"/>
      <w:ind w:left="240"/>
    </w:pPr>
  </w:style>
  <w:style w:type="paragraph" w:styleId="TOC3">
    <w:name w:val="toc 3"/>
    <w:basedOn w:val="Normal"/>
    <w:next w:val="Normal"/>
    <w:autoRedefine/>
    <w:uiPriority w:val="39"/>
    <w:unhideWhenUsed/>
    <w:rsid w:val="005F59D3"/>
    <w:pPr>
      <w:spacing w:after="100"/>
      <w:ind w:left="480"/>
    </w:pPr>
  </w:style>
  <w:style w:type="character" w:styleId="Hyperlink">
    <w:name w:val="Hyperlink"/>
    <w:basedOn w:val="DefaultParagraphFont"/>
    <w:uiPriority w:val="99"/>
    <w:unhideWhenUsed/>
    <w:rsid w:val="005F59D3"/>
    <w:rPr>
      <w:color w:val="0000FF" w:themeColor="hyperlink"/>
      <w:u w:val="single"/>
    </w:rPr>
  </w:style>
  <w:style w:type="paragraph" w:styleId="BalloonText">
    <w:name w:val="Balloon Text"/>
    <w:basedOn w:val="Normal"/>
    <w:link w:val="BalloonTextChar"/>
    <w:uiPriority w:val="99"/>
    <w:semiHidden/>
    <w:unhideWhenUsed/>
    <w:rsid w:val="00C81B5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1B52"/>
    <w:rPr>
      <w:rFonts w:ascii="Segoe UI" w:hAnsi="Segoe UI" w:cs="Segoe UI"/>
      <w:sz w:val="18"/>
      <w:szCs w:val="18"/>
      <w:shd w:val="clear" w:color="auto" w:fill="FFFFFF"/>
    </w:r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paragraph" w:styleId="TableofFigures">
    <w:name w:val="table of figures"/>
    <w:basedOn w:val="Normal"/>
    <w:next w:val="Normal"/>
    <w:uiPriority w:val="99"/>
    <w:unhideWhenUsed/>
    <w:rsid w:val="00677F80"/>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tblPr>
      <w:tblStyleRowBandSize w:val="1"/>
      <w:tblStyleColBandSize w:val="1"/>
      <w:tblCellMar>
        <w:left w:w="115" w:type="dxa"/>
        <w:right w:w="115" w:type="dxa"/>
      </w:tblCellMar>
    </w:tblPr>
  </w:style>
  <w:style w:type="table" w:customStyle="1" w:styleId="afe">
    <w:basedOn w:val="TableNormal"/>
    <w:tblPr>
      <w:tblStyleRowBandSize w:val="1"/>
      <w:tblStyleColBandSize w:val="1"/>
      <w:tblCellMar>
        <w:left w:w="115" w:type="dxa"/>
        <w:right w:w="115" w:type="dxa"/>
      </w:tblCellMar>
    </w:tblPr>
  </w:style>
  <w:style w:type="table" w:customStyle="1" w:styleId="aff">
    <w:basedOn w:val="TableNormal"/>
    <w:tblPr>
      <w:tblStyleRowBandSize w:val="1"/>
      <w:tblStyleColBandSize w:val="1"/>
      <w:tblCellMar>
        <w:left w:w="115" w:type="dxa"/>
        <w:right w:w="115" w:type="dxa"/>
      </w:tblCellMar>
    </w:tblPr>
  </w:style>
  <w:style w:type="table" w:customStyle="1" w:styleId="aff0">
    <w:basedOn w:val="TableNormal"/>
    <w:tblPr>
      <w:tblStyleRowBandSize w:val="1"/>
      <w:tblStyleColBandSize w:val="1"/>
      <w:tblCellMar>
        <w:left w:w="115" w:type="dxa"/>
        <w:right w:w="115" w:type="dxa"/>
      </w:tblCellMar>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CellMar>
        <w:left w:w="115" w:type="dxa"/>
        <w:right w:w="115" w:type="dxa"/>
      </w:tblCellMar>
    </w:tblPr>
  </w:style>
  <w:style w:type="table" w:customStyle="1" w:styleId="aff4">
    <w:basedOn w:val="TableNormal"/>
    <w:tblPr>
      <w:tblStyleRowBandSize w:val="1"/>
      <w:tblStyleColBandSize w:val="1"/>
      <w:tblCellMar>
        <w:left w:w="115" w:type="dxa"/>
        <w:right w:w="115" w:type="dxa"/>
      </w:tblCellMar>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CellMar>
        <w:left w:w="115" w:type="dxa"/>
        <w:right w:w="115" w:type="dxa"/>
      </w:tblCellMar>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CellMar>
        <w:left w:w="115" w:type="dxa"/>
        <w:right w:w="115" w:type="dxa"/>
      </w:tblCellMar>
    </w:tblPr>
  </w:style>
  <w:style w:type="table" w:customStyle="1" w:styleId="aff9">
    <w:basedOn w:val="TableNormal"/>
    <w:tblPr>
      <w:tblStyleRowBandSize w:val="1"/>
      <w:tblStyleColBandSize w:val="1"/>
      <w:tblCellMar>
        <w:left w:w="115" w:type="dxa"/>
        <w:right w:w="115" w:type="dxa"/>
      </w:tblCellMar>
    </w:tblPr>
  </w:style>
  <w:style w:type="table" w:customStyle="1" w:styleId="affa">
    <w:basedOn w:val="TableNormal"/>
    <w:tblPr>
      <w:tblStyleRowBandSize w:val="1"/>
      <w:tblStyleColBandSize w:val="1"/>
      <w:tblCellMar>
        <w:left w:w="115" w:type="dxa"/>
        <w:right w:w="115" w:type="dxa"/>
      </w:tblCellMar>
    </w:tblPr>
  </w:style>
  <w:style w:type="table" w:customStyle="1" w:styleId="affb">
    <w:basedOn w:val="TableNormal"/>
    <w:tblPr>
      <w:tblStyleRowBandSize w:val="1"/>
      <w:tblStyleColBandSize w:val="1"/>
      <w:tblCellMar>
        <w:left w:w="115" w:type="dxa"/>
        <w:right w:w="115" w:type="dxa"/>
      </w:tblCellMar>
    </w:tblPr>
  </w:style>
  <w:style w:type="table" w:customStyle="1" w:styleId="affc">
    <w:basedOn w:val="TableNormal"/>
    <w:tblPr>
      <w:tblStyleRowBandSize w:val="1"/>
      <w:tblStyleColBandSize w:val="1"/>
      <w:tblCellMar>
        <w:left w:w="115" w:type="dxa"/>
        <w:right w:w="115" w:type="dxa"/>
      </w:tblCellMar>
    </w:tblPr>
  </w:style>
  <w:style w:type="table" w:customStyle="1" w:styleId="affd">
    <w:basedOn w:val="TableNormal"/>
    <w:tblPr>
      <w:tblStyleRowBandSize w:val="1"/>
      <w:tblStyleColBandSize w:val="1"/>
      <w:tblCellMar>
        <w:left w:w="115" w:type="dxa"/>
        <w:right w:w="115" w:type="dxa"/>
      </w:tblCellMar>
    </w:tblPr>
  </w:style>
  <w:style w:type="table" w:customStyle="1" w:styleId="affe">
    <w:basedOn w:val="TableNormal"/>
    <w:tblPr>
      <w:tblStyleRowBandSize w:val="1"/>
      <w:tblStyleColBandSize w:val="1"/>
      <w:tblCellMar>
        <w:left w:w="115" w:type="dxa"/>
        <w:right w:w="115" w:type="dxa"/>
      </w:tblCellMar>
    </w:tblPr>
  </w:style>
  <w:style w:type="table" w:customStyle="1" w:styleId="afff">
    <w:basedOn w:val="TableNormal"/>
    <w:tblPr>
      <w:tblStyleRowBandSize w:val="1"/>
      <w:tblStyleColBandSize w:val="1"/>
      <w:tblCellMar>
        <w:left w:w="115" w:type="dxa"/>
        <w:right w:w="115" w:type="dxa"/>
      </w:tblCellMar>
    </w:tblPr>
  </w:style>
  <w:style w:type="table" w:customStyle="1" w:styleId="afff0">
    <w:basedOn w:val="TableNormal"/>
    <w:tblPr>
      <w:tblStyleRowBandSize w:val="1"/>
      <w:tblStyleColBandSize w:val="1"/>
      <w:tblCellMar>
        <w:left w:w="115" w:type="dxa"/>
        <w:right w:w="115" w:type="dxa"/>
      </w:tblCellMar>
    </w:tblPr>
  </w:style>
  <w:style w:type="table" w:customStyle="1" w:styleId="afff1">
    <w:basedOn w:val="TableNormal"/>
    <w:tblPr>
      <w:tblStyleRowBandSize w:val="1"/>
      <w:tblStyleColBandSize w:val="1"/>
      <w:tblCellMar>
        <w:left w:w="115" w:type="dxa"/>
        <w:right w:w="115" w:type="dxa"/>
      </w:tblCellMar>
    </w:tblPr>
  </w:style>
  <w:style w:type="table" w:customStyle="1" w:styleId="afff2">
    <w:basedOn w:val="TableNormal"/>
    <w:tblPr>
      <w:tblStyleRowBandSize w:val="1"/>
      <w:tblStyleColBandSize w:val="1"/>
      <w:tblCellMar>
        <w:left w:w="115" w:type="dxa"/>
        <w:right w:w="115" w:type="dxa"/>
      </w:tblCellMar>
    </w:tblPr>
  </w:style>
  <w:style w:type="table" w:customStyle="1" w:styleId="afff3">
    <w:basedOn w:val="TableNormal"/>
    <w:tblPr>
      <w:tblStyleRowBandSize w:val="1"/>
      <w:tblStyleColBandSize w:val="1"/>
      <w:tblCellMar>
        <w:left w:w="115" w:type="dxa"/>
        <w:right w:w="115" w:type="dxa"/>
      </w:tblCellMar>
    </w:tblPr>
  </w:style>
  <w:style w:type="table" w:customStyle="1" w:styleId="afff4">
    <w:basedOn w:val="TableNormal"/>
    <w:tblPr>
      <w:tblStyleRowBandSize w:val="1"/>
      <w:tblStyleColBandSize w:val="1"/>
      <w:tblCellMar>
        <w:left w:w="115" w:type="dxa"/>
        <w:right w:w="115" w:type="dxa"/>
      </w:tblCellMar>
    </w:tblPr>
  </w:style>
  <w:style w:type="table" w:customStyle="1" w:styleId="afff5">
    <w:basedOn w:val="TableNormal"/>
    <w:tblPr>
      <w:tblStyleRowBandSize w:val="1"/>
      <w:tblStyleColBandSize w:val="1"/>
      <w:tblCellMar>
        <w:left w:w="115" w:type="dxa"/>
        <w:right w:w="115" w:type="dxa"/>
      </w:tblCellMar>
    </w:tblPr>
  </w:style>
  <w:style w:type="table" w:customStyle="1" w:styleId="afff6">
    <w:basedOn w:val="TableNormal"/>
    <w:tblPr>
      <w:tblStyleRowBandSize w:val="1"/>
      <w:tblStyleColBandSize w:val="1"/>
      <w:tblCellMar>
        <w:left w:w="115" w:type="dxa"/>
        <w:right w:w="115" w:type="dxa"/>
      </w:tblCellMar>
    </w:tblPr>
  </w:style>
  <w:style w:type="table" w:customStyle="1" w:styleId="afff7">
    <w:basedOn w:val="TableNormal"/>
    <w:tblPr>
      <w:tblStyleRowBandSize w:val="1"/>
      <w:tblStyleColBandSize w:val="1"/>
      <w:tblCellMar>
        <w:left w:w="115" w:type="dxa"/>
        <w:right w:w="115" w:type="dxa"/>
      </w:tblCellMar>
    </w:tblPr>
  </w:style>
  <w:style w:type="table" w:customStyle="1" w:styleId="afff8">
    <w:basedOn w:val="TableNormal"/>
    <w:tblPr>
      <w:tblStyleRowBandSize w:val="1"/>
      <w:tblStyleColBandSize w:val="1"/>
      <w:tblCellMar>
        <w:left w:w="115" w:type="dxa"/>
        <w:right w:w="115" w:type="dxa"/>
      </w:tblCellMar>
    </w:tblPr>
  </w:style>
  <w:style w:type="table" w:customStyle="1" w:styleId="afff9">
    <w:basedOn w:val="TableNormal"/>
    <w:tblPr>
      <w:tblStyleRowBandSize w:val="1"/>
      <w:tblStyleColBandSize w:val="1"/>
      <w:tblCellMar>
        <w:left w:w="115" w:type="dxa"/>
        <w:right w:w="115" w:type="dxa"/>
      </w:tblCellMar>
    </w:tblPr>
  </w:style>
  <w:style w:type="table" w:customStyle="1" w:styleId="afffa">
    <w:basedOn w:val="TableNormal"/>
    <w:tblPr>
      <w:tblStyleRowBandSize w:val="1"/>
      <w:tblStyleColBandSize w:val="1"/>
      <w:tblCellMar>
        <w:left w:w="115" w:type="dxa"/>
        <w:right w:w="115" w:type="dxa"/>
      </w:tblCellMar>
    </w:tblPr>
  </w:style>
  <w:style w:type="table" w:customStyle="1" w:styleId="afffb">
    <w:basedOn w:val="TableNormal"/>
    <w:tblPr>
      <w:tblStyleRowBandSize w:val="1"/>
      <w:tblStyleColBandSize w:val="1"/>
      <w:tblCellMar>
        <w:left w:w="115" w:type="dxa"/>
        <w:right w:w="115" w:type="dxa"/>
      </w:tblCellMar>
    </w:tblPr>
  </w:style>
  <w:style w:type="table" w:customStyle="1" w:styleId="afffc">
    <w:basedOn w:val="TableNormal"/>
    <w:tblPr>
      <w:tblStyleRowBandSize w:val="1"/>
      <w:tblStyleColBandSize w:val="1"/>
      <w:tblCellMar>
        <w:left w:w="115" w:type="dxa"/>
        <w:right w:w="115" w:type="dxa"/>
      </w:tblCellMar>
    </w:tblPr>
  </w:style>
  <w:style w:type="table" w:customStyle="1" w:styleId="afffd">
    <w:basedOn w:val="TableNormal"/>
    <w:tblPr>
      <w:tblStyleRowBandSize w:val="1"/>
      <w:tblStyleColBandSize w:val="1"/>
      <w:tblCellMar>
        <w:left w:w="115" w:type="dxa"/>
        <w:right w:w="115" w:type="dxa"/>
      </w:tblCellMar>
    </w:tblPr>
  </w:style>
  <w:style w:type="table" w:customStyle="1" w:styleId="afffe">
    <w:basedOn w:val="TableNormal"/>
    <w:tblPr>
      <w:tblStyleRowBandSize w:val="1"/>
      <w:tblStyleColBandSize w:val="1"/>
      <w:tblCellMar>
        <w:left w:w="115" w:type="dxa"/>
        <w:right w:w="115" w:type="dxa"/>
      </w:tblCellMar>
    </w:tblPr>
  </w:style>
  <w:style w:type="table" w:customStyle="1" w:styleId="affff">
    <w:basedOn w:val="TableNormal"/>
    <w:tblPr>
      <w:tblStyleRowBandSize w:val="1"/>
      <w:tblStyleColBandSize w:val="1"/>
      <w:tblCellMar>
        <w:left w:w="115" w:type="dxa"/>
        <w:right w:w="115" w:type="dxa"/>
      </w:tblCellMar>
    </w:tblPr>
  </w:style>
  <w:style w:type="table" w:customStyle="1" w:styleId="affff0">
    <w:basedOn w:val="TableNormal"/>
    <w:tblPr>
      <w:tblStyleRowBandSize w:val="1"/>
      <w:tblStyleColBandSize w:val="1"/>
      <w:tblCellMar>
        <w:left w:w="115" w:type="dxa"/>
        <w:right w:w="115" w:type="dxa"/>
      </w:tblCellMar>
    </w:tblPr>
  </w:style>
  <w:style w:type="table" w:customStyle="1" w:styleId="affff1">
    <w:basedOn w:val="TableNormal"/>
    <w:tblPr>
      <w:tblStyleRowBandSize w:val="1"/>
      <w:tblStyleColBandSize w:val="1"/>
      <w:tblCellMar>
        <w:left w:w="115" w:type="dxa"/>
        <w:right w:w="115" w:type="dxa"/>
      </w:tblCellMar>
    </w:tblPr>
  </w:style>
  <w:style w:type="table" w:customStyle="1" w:styleId="affff2">
    <w:basedOn w:val="TableNormal"/>
    <w:tblPr>
      <w:tblStyleRowBandSize w:val="1"/>
      <w:tblStyleColBandSize w:val="1"/>
      <w:tblCellMar>
        <w:left w:w="115" w:type="dxa"/>
        <w:right w:w="115" w:type="dxa"/>
      </w:tblCellMar>
    </w:tblPr>
  </w:style>
  <w:style w:type="table" w:customStyle="1" w:styleId="affff3">
    <w:basedOn w:val="TableNormal"/>
    <w:tblPr>
      <w:tblStyleRowBandSize w:val="1"/>
      <w:tblStyleColBandSize w:val="1"/>
      <w:tblCellMar>
        <w:left w:w="115" w:type="dxa"/>
        <w:right w:w="115" w:type="dxa"/>
      </w:tblCellMar>
    </w:tblPr>
  </w:style>
  <w:style w:type="table" w:customStyle="1" w:styleId="affff4">
    <w:basedOn w:val="TableNormal"/>
    <w:tblPr>
      <w:tblStyleRowBandSize w:val="1"/>
      <w:tblStyleColBandSize w:val="1"/>
      <w:tblCellMar>
        <w:left w:w="115" w:type="dxa"/>
        <w:right w:w="115" w:type="dxa"/>
      </w:tblCellMar>
    </w:tblPr>
  </w:style>
  <w:style w:type="paragraph" w:styleId="TOC6">
    <w:name w:val="toc 6"/>
    <w:basedOn w:val="Normal"/>
    <w:next w:val="Normal"/>
    <w:autoRedefine/>
    <w:uiPriority w:val="39"/>
    <w:unhideWhenUsed/>
    <w:rsid w:val="00B02212"/>
    <w:pPr>
      <w:spacing w:after="100"/>
      <w:ind w:left="1200"/>
    </w:pPr>
  </w:style>
  <w:style w:type="paragraph" w:styleId="TOC5">
    <w:name w:val="toc 5"/>
    <w:basedOn w:val="Normal"/>
    <w:next w:val="Normal"/>
    <w:autoRedefine/>
    <w:uiPriority w:val="39"/>
    <w:unhideWhenUsed/>
    <w:rsid w:val="00B02212"/>
    <w:pPr>
      <w:spacing w:after="100"/>
      <w:ind w:left="960"/>
    </w:pPr>
  </w:style>
  <w:style w:type="paragraph" w:styleId="Caption">
    <w:name w:val="caption"/>
    <w:basedOn w:val="Normal"/>
    <w:next w:val="Normal"/>
    <w:uiPriority w:val="35"/>
    <w:unhideWhenUsed/>
    <w:qFormat/>
    <w:rsid w:val="00B02212"/>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esidottorato.depositolegale.it/bitstream/20.500.14242/312550/1/Thesis_Shaocong%20BO_FV.pdf" TargetMode="External"/><Relationship Id="rId117" Type="http://schemas.openxmlformats.org/officeDocument/2006/relationships/hyperlink" Target="https://doi.org/10.1016/j.rcradv.2024.200232" TargetMode="External"/><Relationship Id="rId21" Type="http://schemas.openxmlformats.org/officeDocument/2006/relationships/hyperlink" Target="https://doi.org/10.3390/su16031050" TargetMode="External"/><Relationship Id="rId42" Type="http://schemas.openxmlformats.org/officeDocument/2006/relationships/hyperlink" Target="https://esgnews.com/consumers-willing-to-pay-average-of-9-7-more-for-sustainable-goods-pwc-survey/" TargetMode="External"/><Relationship Id="rId47" Type="http://schemas.openxmlformats.org/officeDocument/2006/relationships/hyperlink" Target="https://doi.org/10.1177/00380385211043679" TargetMode="External"/><Relationship Id="rId63" Type="http://schemas.openxmlformats.org/officeDocument/2006/relationships/hyperlink" Target="https://doi.org/10.3390/su17188273" TargetMode="External"/><Relationship Id="rId68" Type="http://schemas.openxmlformats.org/officeDocument/2006/relationships/hyperlink" Target="https://doi.org/10.1016/j.cdnut.2025.107573" TargetMode="External"/><Relationship Id="rId84" Type="http://schemas.openxmlformats.org/officeDocument/2006/relationships/hyperlink" Target="https://doi.org/10.1016/j.tifs.2022.04.025" TargetMode="External"/><Relationship Id="rId89" Type="http://schemas.openxmlformats.org/officeDocument/2006/relationships/hyperlink" Target="https://doi.org/10.1016/j.irfa.2025.104045" TargetMode="External"/><Relationship Id="rId112" Type="http://schemas.openxmlformats.org/officeDocument/2006/relationships/hyperlink" Target="https://doi.org/10.1080/20016689.2023.2241234" TargetMode="External"/><Relationship Id="rId133" Type="http://schemas.openxmlformats.org/officeDocument/2006/relationships/hyperlink" Target="https://doi.org/10.1016/j.pursup.2023.100817" TargetMode="External"/><Relationship Id="rId138" Type="http://schemas.openxmlformats.org/officeDocument/2006/relationships/hyperlink" Target="https://www.mdpi.com/2071-1050/17/5/2222" TargetMode="External"/><Relationship Id="rId16" Type="http://schemas.openxmlformats.org/officeDocument/2006/relationships/hyperlink" Target="https://doi.org/10.1016/j.clrc.2025.100298" TargetMode="External"/><Relationship Id="rId107" Type="http://schemas.openxmlformats.org/officeDocument/2006/relationships/hyperlink" Target="https://time.com/article/2026/06/18/top-10-percent-global-consumers-biggest-climate-impact/" TargetMode="External"/><Relationship Id="rId11" Type="http://schemas.openxmlformats.org/officeDocument/2006/relationships/image" Target="media/image3.png"/><Relationship Id="rId32" Type="http://schemas.openxmlformats.org/officeDocument/2006/relationships/hyperlink" Target="https://www.gov.uk/government/news/global-sweep-finds-40-of-firms-green-claims-could-be-misleading" TargetMode="External"/><Relationship Id="rId37" Type="http://schemas.openxmlformats.org/officeDocument/2006/relationships/hyperlink" Target="https://doi.org/10.1007/s10611-023-10116-8" TargetMode="External"/><Relationship Id="rId53" Type="http://schemas.openxmlformats.org/officeDocument/2006/relationships/hyperlink" Target="http://gov.uk" TargetMode="External"/><Relationship Id="rId58" Type="http://schemas.openxmlformats.org/officeDocument/2006/relationships/hyperlink" Target="https://www.gov.uk/government/publications/making-green-claims-getting-it-right-across-the-supply-chain/making-green-claims-getting-it-right-across-the-supply-chain" TargetMode="External"/><Relationship Id="rId74" Type="http://schemas.openxmlformats.org/officeDocument/2006/relationships/hyperlink" Target="https://doi.org/10.1016/j.joitmc.2026.100812" TargetMode="External"/><Relationship Id="rId79" Type="http://schemas.openxmlformats.org/officeDocument/2006/relationships/hyperlink" Target="https://pdf.sciencedirectassets.com/271680/1-s2.0-S0148296322X00155/1-s2.0-S014829632200858X/am.pdf?X-Amz-Security-Token=IQoJb3JpZ2luX2VjEOn%2F%2F%2F%2F%2F%2F%2F%2F%2F%2FwEaCXVzLWVhc3QtMSJHMEUCIQDfjAuV7ElBPu4p3T77J7S2ivZcK8A1dX2e1EIELK7c1QIgRlk6tBiVM3ptpu037%2BuY2wQPLNp8f0mmc14J8Dbbav4qvAUIsv%2F%2F%2F%2F%2F%2F%2F%2F%2F%2FARAFGgwwNTkwMDM1NDY4NjUiDBgiZZUYa%2B1C6N9B4iqQBSs0oPv1cX8H05f2B5C5VEgEfhrnuI37tbZn9EMNsHZwus3Vaj0i6oJlgI1gRGkSktBwX7d4NOoIh7aQteKZT2nL%2BB0giS9PtqMks3WreyDICz4A11eOsjtT7asQGuXhwTUs%2FFtNuhLkYXaB0zXq1UzTOK9mYPyAKBRcKRGSowzyug8%2B%2Ff4SGCRrfkTLk5U3Jr750e2bUGgnzPwurYVmbUsR1Lmb48VfMe7IjOkLM81ktQEpjsEAeFvrShZ7n1rlwArHmhrLJ%2FDt2L4erICVl7izN3mmxis7%2BSbmHfkzt2jJT5VZSUgPc1h8Y6wqNEMHvTcyDoUScQ6EQ8lX9ciGzTrKgLW8GZk9mAW1JkfX%2B%2FCT1kYN%2BHMxMLdf%2B1E3MqpgHIiCkK0sRkRJmNHI%2FxT7eWd59103L%2FWBdRQGw3HwuCVN817JXJloQFGVtibMlZ%2BJrn%2Bn03PCnmEL776ENekIyTDiL08gloVzEFxT7A8hjXW6PU8Q%2B0DQ1xGuqAUV1pglsKEEh4ES4DS1v5WeRtHEk2VMIt4gD4lC4OrxTePRCJEGqYtzgeSxe%2BDl93V%2BpSYYkZ40HgpMQp2GNwtKxrvTsI203C9EQwo7ehJ7LH%2B3ZzUURxMm9kxp84tCOTcePMoVTUnWMu4gIB660kv9KiCpTi7WOdHzWHO%2FVhsR%2BVCqTFf07gIguhTBL1%2BHOyZBh%2BsCMVk6DqebvNR2tT3du%2BaIU4w8VlFui%2FqRw3LYtdLz8eZ4TQv3r%2FX4QQ3ySdpIs75DgVMAAwS4DwBzOTyldnehw%2BCNA2hzzi4kzlTw5%2BtIXPT5u2g2UWkrQ43CjEXYYGXBPy%2FAWpH3czkt051ay5E8DW0xMhVDcw2XsujtxoWsvY7JMLa869MGOrEBIgPhWBaNdCCyE%2FC3uUembapbQzdnmtus1UUdiq%2F%2BO1bOdMut0wuYVBrHCH6ST2PdCuc1rfy%2B8Ct9pCzt5yC%2Fmn6wOeAz9%2FvLfVulpSkTct0or4Grqly2I%2BKJQRZwhmWZLU3D2wsdFGi1Hmqc4bAGDP8aFbhZPsPmwPx3Mh15HX%2FtXfiSTUjJupKMQ1Rfk9PduyJhsUajTPd3k621VI4bX5fxBRWNGKWFLxPqaXKeB7fW&amp;X-Amz-Algorithm=AWS4-HMAC-SHA256&amp;X-Amz-Date=20260811T092915Z&amp;X-Amz-SignedHeaders=host&amp;X-Amz-Expires=300&amp;X-Amz-Credential=ASIAQ3PHCVTY46YKJECQ%2F20260811%2Fus-east-1%2Fs3%2Faws4_request&amp;X-Amz-Signature=6583c972f1e5fa3ad3fc80124f88198a0fa70c9c6288b1ff7ddd985687e79589&amp;hash=e4cd268fe208f1f0e6d3a3782e700eb6a557446cf622b61f324da8c75b8e5abf&amp;host=68042c943591013ac2b2430a89b270f6af2c76d8dfd086a07176afe7c76c2c61&amp;pii=S014829632200858X&amp;tid=pdf-1d8df7e0-89c2-4b5f-92d3-130e33f9fd84&amp;sid=131805c473194642df9b5b3316235009038bgxrqa" TargetMode="External"/><Relationship Id="rId102" Type="http://schemas.openxmlformats.org/officeDocument/2006/relationships/hyperlink" Target="https://doi.org/10.1016/j.techfore.2025.124262" TargetMode="External"/><Relationship Id="rId123" Type="http://schemas.openxmlformats.org/officeDocument/2006/relationships/hyperlink" Target="https://doi.org/10.1016/j.clrc.2026.100425" TargetMode="External"/><Relationship Id="rId128" Type="http://schemas.openxmlformats.org/officeDocument/2006/relationships/hyperlink" Target="https://doi.org/10.1016/j.indmarman.2023.10.002" TargetMode="External"/><Relationship Id="rId144" Type="http://schemas.openxmlformats.org/officeDocument/2006/relationships/hyperlink" Target="https://www.hra-decisiontools.org.uk/research/" TargetMode="External"/><Relationship Id="rId5" Type="http://schemas.openxmlformats.org/officeDocument/2006/relationships/settings" Target="settings.xml"/><Relationship Id="rId90" Type="http://schemas.openxmlformats.org/officeDocument/2006/relationships/hyperlink" Target="https://doi.org/10.1016/j.jafr.2026.102839" TargetMode="External"/><Relationship Id="rId95" Type="http://schemas.openxmlformats.org/officeDocument/2006/relationships/hyperlink" Target="https://doi.org/10.1177/0734242X20983427" TargetMode="External"/><Relationship Id="rId22" Type="http://schemas.openxmlformats.org/officeDocument/2006/relationships/hyperlink" Target="https://doi.org/10.5281/zenodo.21271931" TargetMode="External"/><Relationship Id="rId27" Type="http://schemas.openxmlformats.org/officeDocument/2006/relationships/hyperlink" Target="https://doi.org/10.1016/j.fufo.2025.100881" TargetMode="External"/><Relationship Id="rId43" Type="http://schemas.openxmlformats.org/officeDocument/2006/relationships/hyperlink" Target="http://fao.org" TargetMode="External"/><Relationship Id="rId48" Type="http://schemas.openxmlformats.org/officeDocument/2006/relationships/hyperlink" Target="https://doi.org/10.46756/001c.145735" TargetMode="External"/><Relationship Id="rId64" Type="http://schemas.openxmlformats.org/officeDocument/2006/relationships/hyperlink" Target="https://doi.org/10.1016/j.cesys.2023.100136" TargetMode="External"/><Relationship Id="rId69" Type="http://schemas.openxmlformats.org/officeDocument/2006/relationships/hyperlink" Target="https://doi.org/10.1016/j.clrc.2026.100433" TargetMode="External"/><Relationship Id="rId113" Type="http://schemas.openxmlformats.org/officeDocument/2006/relationships/hyperlink" Target="https://doi.org/10.1016/j.ribaf.2024.102720" TargetMode="External"/><Relationship Id="rId118" Type="http://schemas.openxmlformats.org/officeDocument/2006/relationships/hyperlink" Target="https://journals.vilniustech.lt/index.php/BTP/article/download/22033/12885" TargetMode="External"/><Relationship Id="rId134" Type="http://schemas.openxmlformats.org/officeDocument/2006/relationships/hyperlink" Target="https://doi.org/10.3390/foods10102490" TargetMode="External"/><Relationship Id="rId139" Type="http://schemas.openxmlformats.org/officeDocument/2006/relationships/hyperlink" Target="https://doi.org/10.1177/21582440231216276" TargetMode="External"/><Relationship Id="rId80" Type="http://schemas.openxmlformats.org/officeDocument/2006/relationships/hyperlink" Target="https://doi.org/10.1016/j.jenvman.2025.128185" TargetMode="External"/><Relationship Id="rId85" Type="http://schemas.openxmlformats.org/officeDocument/2006/relationships/hyperlink" Target="https://doi.org/10.1177/00081256211045993"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doi.org/10.1007/s11135-024-02022-5" TargetMode="External"/><Relationship Id="rId25" Type="http://schemas.openxmlformats.org/officeDocument/2006/relationships/hyperlink" Target="https://doi.org/10.3390/su16219215" TargetMode="External"/><Relationship Id="rId33" Type="http://schemas.openxmlformats.org/officeDocument/2006/relationships/hyperlink" Target="https://www.cambridge.org/core/services/aop-cambridge-core/content/view/3F8A7BF4C22A4CF75B72487A27B6A6CE/S1759287924000085a.pdf/prioritizing_qualitative_metasynthesis_findings_in_a_mixed_methods_systematic_review_study_a_description_of_the_method.pdf" TargetMode="External"/><Relationship Id="rId38" Type="http://schemas.openxmlformats.org/officeDocument/2006/relationships/hyperlink" Target="https://doi.org/10.1016/j.envadv.2022.100295" TargetMode="External"/><Relationship Id="rId46" Type="http://schemas.openxmlformats.org/officeDocument/2006/relationships/hyperlink" Target="https://brc.org.uk/news-and-events/news/associate-insight/2026/what-the-cma-s-new-green-claims-guidance-mean-for-businesses/" TargetMode="External"/><Relationship Id="rId59" Type="http://schemas.openxmlformats.org/officeDocument/2006/relationships/hyperlink" Target="https://iopscience.iop.org/article/10.1088/2976-601X/ad7ff3" TargetMode="External"/><Relationship Id="rId67" Type="http://schemas.openxmlformats.org/officeDocument/2006/relationships/hyperlink" Target="https://www.researchgate.net/profile/Nurul-Jamil-6/publication/385297441_Unveiling_greenwashing_Risks_in_sustainability_and_ESG_reporting/links/671f36d255a5271cdeded013/Unveiling-greenwashing-Risks-in-sustainability-and-ESG-reporting.pdf" TargetMode="External"/><Relationship Id="rId103" Type="http://schemas.openxmlformats.org/officeDocument/2006/relationships/hyperlink" Target="https://doi.org/10.1016/j.indic.2025.100730" TargetMode="External"/><Relationship Id="rId108" Type="http://schemas.openxmlformats.org/officeDocument/2006/relationships/hyperlink" Target="https://doi.org/10.2308/TAR-2020-0178" TargetMode="External"/><Relationship Id="rId116" Type="http://schemas.openxmlformats.org/officeDocument/2006/relationships/hyperlink" Target="https://doi.org/10.1016/j.sftr.2025.100445" TargetMode="External"/><Relationship Id="rId124" Type="http://schemas.openxmlformats.org/officeDocument/2006/relationships/hyperlink" Target="https://www.researchgate.net/publication/358969398_The_Customer_Engagement_Effect_on_Customer_Satisfaction_and_Brand_Trust_and_Its_Impact_on_Brand_Loyalty" TargetMode="External"/><Relationship Id="rId129" Type="http://schemas.openxmlformats.org/officeDocument/2006/relationships/hyperlink" Target="https://doi.org/10.3390/foods15101626" TargetMode="External"/><Relationship Id="rId137" Type="http://schemas.openxmlformats.org/officeDocument/2006/relationships/hyperlink" Target="https://doi.org/10.1177/21582440241266660" TargetMode="External"/><Relationship Id="rId20" Type="http://schemas.openxmlformats.org/officeDocument/2006/relationships/hyperlink" Target="https://doi.org/10.3390/su172411015" TargetMode="External"/><Relationship Id="rId41" Type="http://schemas.openxmlformats.org/officeDocument/2006/relationships/hyperlink" Target="https://doi.org/10.1016/j.jclepro.2022.133466" TargetMode="External"/><Relationship Id="rId54" Type="http://schemas.openxmlformats.org/officeDocument/2006/relationships/hyperlink" Target="https://www.gov.uk/government/publications/environmental-sustainability-and-the-uk-competition-and-consumer-regimes-cma-advice-to-the-government/environmental-sustainability-and-the-uk-competition-and-consumer-regimes-cma-advice-to-the-government" TargetMode="External"/><Relationship Id="rId62" Type="http://schemas.openxmlformats.org/officeDocument/2006/relationships/hyperlink" Target="https://doi.org/10.1177/21582440251404749" TargetMode="External"/><Relationship Id="rId70" Type="http://schemas.openxmlformats.org/officeDocument/2006/relationships/hyperlink" Target="https://doi.org/10.1016/j.fufo.2025.100831" TargetMode="External"/><Relationship Id="rId75" Type="http://schemas.openxmlformats.org/officeDocument/2006/relationships/hyperlink" Target="https://doi.org/10.1016/j.jclepro.2022.133063" TargetMode="External"/><Relationship Id="rId83" Type="http://schemas.openxmlformats.org/officeDocument/2006/relationships/hyperlink" Target="https://doi.org/10.1016/j.foodqual.2024.105386" TargetMode="External"/><Relationship Id="rId88" Type="http://schemas.openxmlformats.org/officeDocument/2006/relationships/hyperlink" Target="https://doi.org/10.1177/16094069231205789" TargetMode="External"/><Relationship Id="rId91" Type="http://schemas.openxmlformats.org/officeDocument/2006/relationships/hyperlink" Target="https://doi.org/10.1016/j.clrc.2024.100227" TargetMode="External"/><Relationship Id="rId96" Type="http://schemas.openxmlformats.org/officeDocument/2006/relationships/hyperlink" Target="https://doi.org/10.1108/AAAJ-05-2024-7069" TargetMode="External"/><Relationship Id="rId111" Type="http://schemas.openxmlformats.org/officeDocument/2006/relationships/hyperlink" Target="https://papers.ssrn.com/sol3/papers.cfm?abstract_id=5094766" TargetMode="External"/><Relationship Id="rId132" Type="http://schemas.openxmlformats.org/officeDocument/2006/relationships/hyperlink" Target="https://doi.org/10.1016/j.igd.2025.100260" TargetMode="External"/><Relationship Id="rId140" Type="http://schemas.openxmlformats.org/officeDocument/2006/relationships/hyperlink" Target="mailto:2433834@student.uwtsd.ac.uk" TargetMode="External"/><Relationship Id="rId14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3390/publications12030025" TargetMode="External"/><Relationship Id="rId23" Type="http://schemas.openxmlformats.org/officeDocument/2006/relationships/hyperlink" Target="https://doi.org/10.1016/j.jbusres.2024.114803" TargetMode="External"/><Relationship Id="rId28" Type="http://schemas.openxmlformats.org/officeDocument/2006/relationships/hyperlink" Target="https://www.researchgate.net/profile/Nur-Afifah-Binti-Abas/post/How_many_interviews_are_needed_in_a_qualitative_research_Is_there_any_rule_or_popular_practice/attachment/66265a7653d234443fee0400/AS%3A11431281237994675%401713789399766/download/One+size+fits+all+-++What+counts+as+quality+practice+in+%28reflexive%29+thematic+analysis+%281%29.pdf" TargetMode="External"/><Relationship Id="rId36" Type="http://schemas.openxmlformats.org/officeDocument/2006/relationships/hyperlink" Target="https://doi.org/10.3390/su17229979" TargetMode="External"/><Relationship Id="rId49" Type="http://schemas.openxmlformats.org/officeDocument/2006/relationships/hyperlink" Target="https://doi.org/10.3390/jrfm19050360" TargetMode="External"/><Relationship Id="rId57" Type="http://schemas.openxmlformats.org/officeDocument/2006/relationships/hyperlink" Target="http://gov.uk" TargetMode="External"/><Relationship Id="rId106" Type="http://schemas.openxmlformats.org/officeDocument/2006/relationships/hyperlink" Target="https://doi.org/10.3390/foods15101626" TargetMode="External"/><Relationship Id="rId114" Type="http://schemas.openxmlformats.org/officeDocument/2006/relationships/hyperlink" Target="https://doi.org/10.32996/jcsts.2025.7.5.56" TargetMode="External"/><Relationship Id="rId119" Type="http://schemas.openxmlformats.org/officeDocument/2006/relationships/hyperlink" Target="https://www.academia.edu/download/125563284/Blockchain_and_Federated_Analytics_for_Ethical_and_Secure_CPG_Supply_Chains_Vol._31_No._3_2023_2_.pdf" TargetMode="External"/><Relationship Id="rId127" Type="http://schemas.openxmlformats.org/officeDocument/2006/relationships/hyperlink" Target="https://doi.org/10.1016/j.joitmc.2025.100581" TargetMode="External"/><Relationship Id="rId10" Type="http://schemas.openxmlformats.org/officeDocument/2006/relationships/image" Target="media/image2.png"/><Relationship Id="rId31" Type="http://schemas.openxmlformats.org/officeDocument/2006/relationships/hyperlink" Target="https://assets.publishing.service.gov.uk/media/61482fd4e90e070433f6c3ea/Guidance_for_businesses_on_making_environmental_claims_.pdf" TargetMode="External"/><Relationship Id="rId44" Type="http://schemas.openxmlformats.org/officeDocument/2006/relationships/hyperlink" Target="https://www.fao.org/food-safety/world-food-safety-day-2026-materials/world-food-safety-day-2026--turning-evidence-into-action-for-safer-food/en" TargetMode="External"/><Relationship Id="rId52" Type="http://schemas.openxmlformats.org/officeDocument/2006/relationships/hyperlink" Target="https://www.gov.uk/government/publications/green-claims-code-making-environmental-claims/environmental-claims-on-goods-and-services" TargetMode="External"/><Relationship Id="rId60" Type="http://schemas.openxmlformats.org/officeDocument/2006/relationships/hyperlink" Target="https://doi.org/10.3389/fsufs.2026.1835925" TargetMode="External"/><Relationship Id="rId65" Type="http://schemas.openxmlformats.org/officeDocument/2006/relationships/hyperlink" Target="https://doi.org/10.1007/s10668-023-04352-0" TargetMode="External"/><Relationship Id="rId73" Type="http://schemas.openxmlformats.org/officeDocument/2006/relationships/hyperlink" Target="https://hau.repository.guildhe.ac.uk/id/eprint/18274" TargetMode="External"/><Relationship Id="rId78" Type="http://schemas.openxmlformats.org/officeDocument/2006/relationships/hyperlink" Target="https://doi.org/10.1177/17579139221095326" TargetMode="External"/><Relationship Id="rId81" Type="http://schemas.openxmlformats.org/officeDocument/2006/relationships/hyperlink" Target="https://doi.org/10.1177/1469540520926252" TargetMode="External"/><Relationship Id="rId86" Type="http://schemas.openxmlformats.org/officeDocument/2006/relationships/hyperlink" Target="https://gala.gre.ac.uk/id/eprint/27963/3/27963%20MOGAJI_Examinig_Consumer_Behaviour_In_The_UK_Energy_Sector_%28AAM%29_2020.pdf" TargetMode="External"/><Relationship Id="rId94" Type="http://schemas.openxmlformats.org/officeDocument/2006/relationships/hyperlink" Target="https://food.blog.gov.uk/2021/11/09/understanding-consumer-attitudes-to-healthy-and-sustainable-diets/" TargetMode="External"/><Relationship Id="rId99" Type="http://schemas.openxmlformats.org/officeDocument/2006/relationships/hyperlink" Target="https://doi.org/10.1016/j.afres.2024.100455" TargetMode="External"/><Relationship Id="rId101" Type="http://schemas.openxmlformats.org/officeDocument/2006/relationships/hyperlink" Target="https://doi.org/10.1016/j.jik.2024.100628" TargetMode="External"/><Relationship Id="rId122" Type="http://schemas.openxmlformats.org/officeDocument/2006/relationships/hyperlink" Target="https://doi.org/10.1016/j.jclepro.2023.140024" TargetMode="External"/><Relationship Id="rId130" Type="http://schemas.openxmlformats.org/officeDocument/2006/relationships/hyperlink" Target="https://doi.org/10.3390/foods15101626" TargetMode="External"/><Relationship Id="rId135" Type="http://schemas.openxmlformats.org/officeDocument/2006/relationships/hyperlink" Target="https://doi.org/10.1016/j.jrurstud.2026.104053" TargetMode="External"/><Relationship Id="rId143" Type="http://schemas.openxmlformats.org/officeDocument/2006/relationships/hyperlink" Target="https://www.gov.uk/foreign-travel-advice" TargetMode="External"/><Relationship Id="rId14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3" Type="http://schemas.openxmlformats.org/officeDocument/2006/relationships/hyperlink" Target="https://doi.org/10.1016/j.jbusres.2024.115035" TargetMode="External"/><Relationship Id="rId18" Type="http://schemas.openxmlformats.org/officeDocument/2006/relationships/hyperlink" Target="https://doi.org/10.3390/jtaer19020055" TargetMode="External"/><Relationship Id="rId39" Type="http://schemas.openxmlformats.org/officeDocument/2006/relationships/hyperlink" Target="https://doi.org/10.1016/j.resglo.2025.100293" TargetMode="External"/><Relationship Id="rId109" Type="http://schemas.openxmlformats.org/officeDocument/2006/relationships/hyperlink" Target="https://doi.org/10.1016/j.actpsy.2026.107375" TargetMode="External"/><Relationship Id="rId34" Type="http://schemas.openxmlformats.org/officeDocument/2006/relationships/hyperlink" Target="https://www.consultancy.uk/news/43589/paying-sustainability-premiums-remains-sticking-point-for-uk-consumers" TargetMode="External"/><Relationship Id="rId50" Type="http://schemas.openxmlformats.org/officeDocument/2006/relationships/hyperlink" Target="https://doi.org/10.1016/j.spc.2021.11.005" TargetMode="External"/><Relationship Id="rId55" Type="http://schemas.openxmlformats.org/officeDocument/2006/relationships/hyperlink" Target="http://gov.uk" TargetMode="External"/><Relationship Id="rId76" Type="http://schemas.openxmlformats.org/officeDocument/2006/relationships/hyperlink" Target="https://doi.org/10.1016/j.pubrev.2024.102521" TargetMode="External"/><Relationship Id="rId97" Type="http://schemas.openxmlformats.org/officeDocument/2006/relationships/hyperlink" Target="https://doi.org/10.1016/j.grets.2026.100400" TargetMode="External"/><Relationship Id="rId104" Type="http://schemas.openxmlformats.org/officeDocument/2006/relationships/hyperlink" Target="https://doi.org/10.1016/j.clrc.2026.100439" TargetMode="External"/><Relationship Id="rId120" Type="http://schemas.openxmlformats.org/officeDocument/2006/relationships/hyperlink" Target="https://doi.org/10.1016/j.iref.2024.103530" TargetMode="External"/><Relationship Id="rId125" Type="http://schemas.openxmlformats.org/officeDocument/2006/relationships/hyperlink" Target="https://doi.org/10.1016/j.jretai.2026.03.001" TargetMode="External"/><Relationship Id="rId141" Type="http://schemas.openxmlformats.org/officeDocument/2006/relationships/hyperlink" Target="https://www.uwtsd.ac.uk/research/research-ethics/" TargetMode="External"/><Relationship Id="rId146"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doi.org/10.1016/j.clpl.2024.100079" TargetMode="External"/><Relationship Id="rId92" Type="http://schemas.openxmlformats.org/officeDocument/2006/relationships/hyperlink" Target="https://doi.org/10.1016/j.pursup.2023.100821" TargetMode="External"/><Relationship Id="rId2" Type="http://schemas.openxmlformats.org/officeDocument/2006/relationships/customXml" Target="../customXml/item2.xml"/><Relationship Id="rId29" Type="http://schemas.openxmlformats.org/officeDocument/2006/relationships/hyperlink" Target="https://doi.org/10.1080/26895269.2022.2129597" TargetMode="External"/><Relationship Id="rId24" Type="http://schemas.openxmlformats.org/officeDocument/2006/relationships/hyperlink" Target="https://link.springer.com/article/10.1186/s40991-024-00094-y" TargetMode="External"/><Relationship Id="rId40" Type="http://schemas.openxmlformats.org/officeDocument/2006/relationships/hyperlink" Target="https://doi.org/10.1016/j.clrc.2025.100368" TargetMode="External"/><Relationship Id="rId45" Type="http://schemas.openxmlformats.org/officeDocument/2006/relationships/hyperlink" Target="https://www.tandfonline.com/doi/full/10.1080/19460171.2025.2536645" TargetMode="External"/><Relationship Id="rId66" Type="http://schemas.openxmlformats.org/officeDocument/2006/relationships/hyperlink" Target="https://doi.org/10.1080/0144929X.2026.2655870" TargetMode="External"/><Relationship Id="rId87" Type="http://schemas.openxmlformats.org/officeDocument/2006/relationships/hyperlink" Target="https://doi.org/10.3390/su162410894" TargetMode="External"/><Relationship Id="rId110" Type="http://schemas.openxmlformats.org/officeDocument/2006/relationships/hyperlink" Target="https://doi.org/10.46756/sci.fsa.rzz911" TargetMode="External"/><Relationship Id="rId115" Type="http://schemas.openxmlformats.org/officeDocument/2006/relationships/hyperlink" Target="https://doi.org/10.1016/j.clscn.2026.100353" TargetMode="External"/><Relationship Id="rId131" Type="http://schemas.openxmlformats.org/officeDocument/2006/relationships/hyperlink" Target="https://doi.org/10.1016/j.sftr.2025.100593" TargetMode="External"/><Relationship Id="rId136" Type="http://schemas.openxmlformats.org/officeDocument/2006/relationships/hyperlink" Target="https://doi.org/10.60022/sis.4.(01).4" TargetMode="External"/><Relationship Id="rId61" Type="http://schemas.openxmlformats.org/officeDocument/2006/relationships/hyperlink" Target="https://doi.org/10.1007/s10551-021-05013-w" TargetMode="External"/><Relationship Id="rId82" Type="http://schemas.openxmlformats.org/officeDocument/2006/relationships/hyperlink" Target="https://doi.org/10.3390/jcm14238552" TargetMode="External"/><Relationship Id="rId19" Type="http://schemas.openxmlformats.org/officeDocument/2006/relationships/hyperlink" Target="https://doi.org/10.1016/j.clrc.2025.100255" TargetMode="External"/><Relationship Id="rId14" Type="http://schemas.openxmlformats.org/officeDocument/2006/relationships/hyperlink" Target="https://papers.ssrn.com/sol3/Delivery.cfm?abstractid=3748130" TargetMode="External"/><Relationship Id="rId30" Type="http://schemas.openxmlformats.org/officeDocument/2006/relationships/hyperlink" Target="https://doi.org/10.1177_16094069231180160" TargetMode="External"/><Relationship Id="rId35" Type="http://schemas.openxmlformats.org/officeDocument/2006/relationships/hyperlink" Target="https://doi.org/10.1016/j.sftr.2026.102008" TargetMode="External"/><Relationship Id="rId56" Type="http://schemas.openxmlformats.org/officeDocument/2006/relationships/hyperlink" Target="https://www.gov.uk/government/publications/food-data-transparency-partnership-agri-food-environmental-data/fdtp-towards-consistent-accurate-and-accessible-environmental-impact-quantification-for-the-agri-food-industry" TargetMode="External"/><Relationship Id="rId77" Type="http://schemas.openxmlformats.org/officeDocument/2006/relationships/hyperlink" Target="https://doi.org/10.3390/su14084515" TargetMode="External"/><Relationship Id="rId100" Type="http://schemas.openxmlformats.org/officeDocument/2006/relationships/hyperlink" Target="https://doi.org/10.1016/j.foodqual.2022.104772" TargetMode="External"/><Relationship Id="rId105" Type="http://schemas.openxmlformats.org/officeDocument/2006/relationships/hyperlink" Target="https://doi.org/10.3390/foods12030538" TargetMode="External"/><Relationship Id="rId126" Type="http://schemas.openxmlformats.org/officeDocument/2006/relationships/hyperlink" Target="https://www.emerald.com/jsm/article-pdf/40/2/96/10318880/jsm-01-2025-0059en.pdf" TargetMode="External"/><Relationship Id="rId147"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gov.uk" TargetMode="External"/><Relationship Id="rId72" Type="http://schemas.openxmlformats.org/officeDocument/2006/relationships/hyperlink" Target="https://doi.org/10.1016/j.clpl.2024.100079" TargetMode="External"/><Relationship Id="rId93" Type="http://schemas.openxmlformats.org/officeDocument/2006/relationships/hyperlink" Target="https://doi.org/10.3390/su18052179" TargetMode="External"/><Relationship Id="rId98" Type="http://schemas.openxmlformats.org/officeDocument/2006/relationships/hyperlink" Target="https://doi.org/10.1016/j.ssaho.2025.102422" TargetMode="External"/><Relationship Id="rId121" Type="http://schemas.openxmlformats.org/officeDocument/2006/relationships/hyperlink" Target="https://doi.org/10.51193/IJAER.2024.10401" TargetMode="External"/><Relationship Id="rId142"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V0lBCxsfQBRIjfwB7ey+/89Ilg==">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F82FDD5-B6A7-480E-82FE-C69DA9DCB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109</Pages>
  <Words>34776</Words>
  <Characters>198225</Characters>
  <Application>Microsoft Office Word</Application>
  <DocSecurity>0</DocSecurity>
  <Lines>1651</Lines>
  <Paragraphs>465</Paragraphs>
  <ScaleCrop>false</ScaleCrop>
  <Company/>
  <LinksUpToDate>false</LinksUpToDate>
  <CharactersWithSpaces>232536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17</cp:revision>
  <dcterms:created xsi:type="dcterms:W3CDTF">2026-07-29T10:20:00Z</dcterms:created>
  <dcterms:modified xsi:type="dcterms:W3CDTF">2026-08-27T07:25:00Z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3da893e3-6eab-4847-a15e-78b2da81c29d</vt:lpwstr>
  </property>
</Properties>
</file>