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DF27C" w14:textId="15B21BBE" w:rsidR="00045BCE" w:rsidRPr="00045BCE" w:rsidRDefault="00A60EA9" w:rsidP="00A529B9">
      <w:pPr>
        <w:pStyle w:val="Title"/>
      </w:pPr>
      <w:r>
        <w:t xml:space="preserve">business review of </w:t>
      </w:r>
      <w:r w:rsidR="003801F7">
        <w:t>aston martin</w:t>
      </w:r>
      <w:r>
        <w:t xml:space="preserve"> utilising their financial statements</w:t>
      </w:r>
    </w:p>
    <w:p w14:paraId="60CC42A1" w14:textId="77777777" w:rsidR="00045BCE" w:rsidRDefault="00045BCE" w:rsidP="00045BCE">
      <w:pPr>
        <w:pStyle w:val="Body"/>
      </w:pPr>
    </w:p>
    <w:p w14:paraId="11C4730E" w14:textId="77777777" w:rsidR="008865C4" w:rsidRDefault="008865C4" w:rsidP="00045BCE">
      <w:pPr>
        <w:pStyle w:val="Body"/>
      </w:pPr>
    </w:p>
    <w:p w14:paraId="343ED552" w14:textId="75BA2C62" w:rsidR="008865C4" w:rsidRPr="00045BCE" w:rsidRDefault="008865C4" w:rsidP="008865C4">
      <w:pPr>
        <w:pStyle w:val="Body"/>
        <w:jc w:val="right"/>
      </w:pPr>
      <w:r>
        <w:t xml:space="preserve">Michael Waite - </w:t>
      </w:r>
      <w:r w:rsidR="00256264">
        <w:t>2</w:t>
      </w:r>
      <w:r w:rsidR="00654F07">
        <w:t>134221</w:t>
      </w:r>
    </w:p>
    <w:p w14:paraId="1725148D" w14:textId="53987ADE" w:rsidR="00A529B9" w:rsidRDefault="00A529B9" w:rsidP="008865C4">
      <w:pPr>
        <w:jc w:val="right"/>
        <w:rPr>
          <w:lang w:eastAsia="en-US"/>
        </w:rPr>
      </w:pPr>
      <w:r>
        <w:br w:type="page"/>
      </w:r>
    </w:p>
    <w:p w14:paraId="4774E493" w14:textId="77777777" w:rsidR="00A60EA9" w:rsidRPr="00A60EA9" w:rsidRDefault="00A60EA9" w:rsidP="00A60EA9">
      <w:pPr>
        <w:rPr>
          <w:rFonts w:asciiTheme="majorHAnsi" w:hAnsiTheme="majorHAnsi"/>
          <w:color w:val="A55A43" w:themeColor="accent5"/>
          <w:sz w:val="36"/>
          <w:szCs w:val="36"/>
        </w:rPr>
      </w:pPr>
      <w:bookmarkStart w:id="0" w:name="_Toc140237601"/>
      <w:r w:rsidRPr="00A60EA9">
        <w:rPr>
          <w:rFonts w:asciiTheme="majorHAnsi" w:hAnsiTheme="majorHAnsi"/>
          <w:color w:val="A55A43" w:themeColor="accent5"/>
          <w:sz w:val="36"/>
          <w:szCs w:val="36"/>
        </w:rPr>
        <w:lastRenderedPageBreak/>
        <w:t>Contents</w:t>
      </w:r>
      <w:bookmarkEnd w:id="0"/>
    </w:p>
    <w:sdt>
      <w:sdtPr>
        <w:id w:val="-1533794326"/>
        <w:docPartObj>
          <w:docPartGallery w:val="Table of Contents"/>
          <w:docPartUnique/>
        </w:docPartObj>
      </w:sdtPr>
      <w:sdtEndPr>
        <w:rPr>
          <w:b w:val="0"/>
          <w:bCs w:val="0"/>
          <w:noProof/>
        </w:rPr>
      </w:sdtEndPr>
      <w:sdtContent>
        <w:p w14:paraId="2CBC977B" w14:textId="2AC8BF60" w:rsidR="00421D22" w:rsidRDefault="00A60EA9">
          <w:pPr>
            <w:pStyle w:val="TOC1"/>
            <w:tabs>
              <w:tab w:val="right" w:pos="9317"/>
            </w:tabs>
            <w:rPr>
              <w:b w:val="0"/>
              <w:bCs w:val="0"/>
              <w:caps w:val="0"/>
              <w:noProof/>
              <w:kern w:val="2"/>
              <w:u w:val="none"/>
              <w14:ligatures w14:val="standardContextual"/>
            </w:rPr>
          </w:pPr>
          <w:r>
            <w:fldChar w:fldCharType="begin"/>
          </w:r>
          <w:r>
            <w:instrText xml:space="preserve"> TOC \o "1-3" \h \z \u </w:instrText>
          </w:r>
          <w:r>
            <w:fldChar w:fldCharType="separate"/>
          </w:r>
          <w:hyperlink w:anchor="_Toc145871013" w:history="1">
            <w:r w:rsidR="00421D22" w:rsidRPr="00EE6B4C">
              <w:rPr>
                <w:rStyle w:val="Hyperlink"/>
              </w:rPr>
              <w:t>Executive Summary</w:t>
            </w:r>
            <w:r w:rsidR="00421D22">
              <w:rPr>
                <w:noProof/>
                <w:webHidden/>
              </w:rPr>
              <w:tab/>
            </w:r>
            <w:r w:rsidR="00421D22">
              <w:rPr>
                <w:noProof/>
                <w:webHidden/>
              </w:rPr>
              <w:fldChar w:fldCharType="begin"/>
            </w:r>
            <w:r w:rsidR="00421D22">
              <w:rPr>
                <w:noProof/>
                <w:webHidden/>
              </w:rPr>
              <w:instrText xml:space="preserve"> PAGEREF _Toc145871013 \h </w:instrText>
            </w:r>
            <w:r w:rsidR="00421D22">
              <w:rPr>
                <w:noProof/>
                <w:webHidden/>
              </w:rPr>
            </w:r>
            <w:r w:rsidR="00421D22">
              <w:rPr>
                <w:noProof/>
                <w:webHidden/>
              </w:rPr>
              <w:fldChar w:fldCharType="separate"/>
            </w:r>
            <w:r w:rsidR="00421D22">
              <w:rPr>
                <w:noProof/>
                <w:webHidden/>
              </w:rPr>
              <w:t>3</w:t>
            </w:r>
            <w:r w:rsidR="00421D22">
              <w:rPr>
                <w:noProof/>
                <w:webHidden/>
              </w:rPr>
              <w:fldChar w:fldCharType="end"/>
            </w:r>
          </w:hyperlink>
        </w:p>
        <w:p w14:paraId="5A0C1F53" w14:textId="1A29AF27" w:rsidR="00421D22" w:rsidRDefault="00000000">
          <w:pPr>
            <w:pStyle w:val="TOC1"/>
            <w:tabs>
              <w:tab w:val="right" w:pos="9317"/>
            </w:tabs>
            <w:rPr>
              <w:b w:val="0"/>
              <w:bCs w:val="0"/>
              <w:caps w:val="0"/>
              <w:noProof/>
              <w:kern w:val="2"/>
              <w:u w:val="none"/>
              <w14:ligatures w14:val="standardContextual"/>
            </w:rPr>
          </w:pPr>
          <w:hyperlink w:anchor="_Toc145871014" w:history="1">
            <w:r w:rsidR="00421D22" w:rsidRPr="00EE6B4C">
              <w:rPr>
                <w:rStyle w:val="Hyperlink"/>
              </w:rPr>
              <w:t>Introduction</w:t>
            </w:r>
            <w:r w:rsidR="00421D22">
              <w:rPr>
                <w:noProof/>
                <w:webHidden/>
              </w:rPr>
              <w:tab/>
            </w:r>
            <w:r w:rsidR="00421D22">
              <w:rPr>
                <w:noProof/>
                <w:webHidden/>
              </w:rPr>
              <w:fldChar w:fldCharType="begin"/>
            </w:r>
            <w:r w:rsidR="00421D22">
              <w:rPr>
                <w:noProof/>
                <w:webHidden/>
              </w:rPr>
              <w:instrText xml:space="preserve"> PAGEREF _Toc145871014 \h </w:instrText>
            </w:r>
            <w:r w:rsidR="00421D22">
              <w:rPr>
                <w:noProof/>
                <w:webHidden/>
              </w:rPr>
            </w:r>
            <w:r w:rsidR="00421D22">
              <w:rPr>
                <w:noProof/>
                <w:webHidden/>
              </w:rPr>
              <w:fldChar w:fldCharType="separate"/>
            </w:r>
            <w:r w:rsidR="00421D22">
              <w:rPr>
                <w:noProof/>
                <w:webHidden/>
              </w:rPr>
              <w:t>4</w:t>
            </w:r>
            <w:r w:rsidR="00421D22">
              <w:rPr>
                <w:noProof/>
                <w:webHidden/>
              </w:rPr>
              <w:fldChar w:fldCharType="end"/>
            </w:r>
          </w:hyperlink>
        </w:p>
        <w:p w14:paraId="1E1AA499" w14:textId="548F3B5A" w:rsidR="00421D22" w:rsidRDefault="00000000">
          <w:pPr>
            <w:pStyle w:val="TOC1"/>
            <w:tabs>
              <w:tab w:val="right" w:pos="9317"/>
            </w:tabs>
            <w:rPr>
              <w:b w:val="0"/>
              <w:bCs w:val="0"/>
              <w:caps w:val="0"/>
              <w:noProof/>
              <w:kern w:val="2"/>
              <w:u w:val="none"/>
              <w14:ligatures w14:val="standardContextual"/>
            </w:rPr>
          </w:pPr>
          <w:hyperlink w:anchor="_Toc145871015" w:history="1">
            <w:r w:rsidR="00421D22" w:rsidRPr="00EE6B4C">
              <w:rPr>
                <w:rStyle w:val="Hyperlink"/>
              </w:rPr>
              <w:t>Use and Limitation of Ratios</w:t>
            </w:r>
            <w:r w:rsidR="00421D22">
              <w:rPr>
                <w:noProof/>
                <w:webHidden/>
              </w:rPr>
              <w:tab/>
            </w:r>
            <w:r w:rsidR="00421D22">
              <w:rPr>
                <w:noProof/>
                <w:webHidden/>
              </w:rPr>
              <w:fldChar w:fldCharType="begin"/>
            </w:r>
            <w:r w:rsidR="00421D22">
              <w:rPr>
                <w:noProof/>
                <w:webHidden/>
              </w:rPr>
              <w:instrText xml:space="preserve"> PAGEREF _Toc145871015 \h </w:instrText>
            </w:r>
            <w:r w:rsidR="00421D22">
              <w:rPr>
                <w:noProof/>
                <w:webHidden/>
              </w:rPr>
            </w:r>
            <w:r w:rsidR="00421D22">
              <w:rPr>
                <w:noProof/>
                <w:webHidden/>
              </w:rPr>
              <w:fldChar w:fldCharType="separate"/>
            </w:r>
            <w:r w:rsidR="00421D22">
              <w:rPr>
                <w:noProof/>
                <w:webHidden/>
              </w:rPr>
              <w:t>5</w:t>
            </w:r>
            <w:r w:rsidR="00421D22">
              <w:rPr>
                <w:noProof/>
                <w:webHidden/>
              </w:rPr>
              <w:fldChar w:fldCharType="end"/>
            </w:r>
          </w:hyperlink>
        </w:p>
        <w:p w14:paraId="7F293534" w14:textId="4534EB01" w:rsidR="00421D22" w:rsidRDefault="00000000">
          <w:pPr>
            <w:pStyle w:val="TOC1"/>
            <w:tabs>
              <w:tab w:val="right" w:pos="9317"/>
            </w:tabs>
            <w:rPr>
              <w:b w:val="0"/>
              <w:bCs w:val="0"/>
              <w:caps w:val="0"/>
              <w:noProof/>
              <w:kern w:val="2"/>
              <w:u w:val="none"/>
              <w14:ligatures w14:val="standardContextual"/>
            </w:rPr>
          </w:pPr>
          <w:hyperlink w:anchor="_Toc145871016" w:history="1">
            <w:r w:rsidR="00421D22" w:rsidRPr="00EE6B4C">
              <w:rPr>
                <w:rStyle w:val="Hyperlink"/>
              </w:rPr>
              <w:t>Ratios Analysis</w:t>
            </w:r>
            <w:r w:rsidR="00421D22">
              <w:rPr>
                <w:noProof/>
                <w:webHidden/>
              </w:rPr>
              <w:tab/>
            </w:r>
            <w:r w:rsidR="00421D22">
              <w:rPr>
                <w:noProof/>
                <w:webHidden/>
              </w:rPr>
              <w:fldChar w:fldCharType="begin"/>
            </w:r>
            <w:r w:rsidR="00421D22">
              <w:rPr>
                <w:noProof/>
                <w:webHidden/>
              </w:rPr>
              <w:instrText xml:space="preserve"> PAGEREF _Toc145871016 \h </w:instrText>
            </w:r>
            <w:r w:rsidR="00421D22">
              <w:rPr>
                <w:noProof/>
                <w:webHidden/>
              </w:rPr>
            </w:r>
            <w:r w:rsidR="00421D22">
              <w:rPr>
                <w:noProof/>
                <w:webHidden/>
              </w:rPr>
              <w:fldChar w:fldCharType="separate"/>
            </w:r>
            <w:r w:rsidR="00421D22">
              <w:rPr>
                <w:noProof/>
                <w:webHidden/>
              </w:rPr>
              <w:t>7</w:t>
            </w:r>
            <w:r w:rsidR="00421D22">
              <w:rPr>
                <w:noProof/>
                <w:webHidden/>
              </w:rPr>
              <w:fldChar w:fldCharType="end"/>
            </w:r>
          </w:hyperlink>
        </w:p>
        <w:p w14:paraId="6AEB11DC" w14:textId="6A7F3679" w:rsidR="00421D22" w:rsidRDefault="00000000">
          <w:pPr>
            <w:pStyle w:val="TOC2"/>
            <w:tabs>
              <w:tab w:val="right" w:pos="9317"/>
            </w:tabs>
            <w:rPr>
              <w:b w:val="0"/>
              <w:bCs w:val="0"/>
              <w:smallCaps w:val="0"/>
              <w:noProof/>
              <w:kern w:val="2"/>
              <w14:ligatures w14:val="standardContextual"/>
            </w:rPr>
          </w:pPr>
          <w:hyperlink w:anchor="_Toc145871017" w:history="1">
            <w:r w:rsidR="00421D22" w:rsidRPr="00EE6B4C">
              <w:rPr>
                <w:rStyle w:val="Hyperlink"/>
              </w:rPr>
              <w:t>Profitability Ratio</w:t>
            </w:r>
            <w:r w:rsidR="00421D22">
              <w:rPr>
                <w:noProof/>
                <w:webHidden/>
              </w:rPr>
              <w:tab/>
            </w:r>
            <w:r w:rsidR="00421D22">
              <w:rPr>
                <w:noProof/>
                <w:webHidden/>
              </w:rPr>
              <w:fldChar w:fldCharType="begin"/>
            </w:r>
            <w:r w:rsidR="00421D22">
              <w:rPr>
                <w:noProof/>
                <w:webHidden/>
              </w:rPr>
              <w:instrText xml:space="preserve"> PAGEREF _Toc145871017 \h </w:instrText>
            </w:r>
            <w:r w:rsidR="00421D22">
              <w:rPr>
                <w:noProof/>
                <w:webHidden/>
              </w:rPr>
            </w:r>
            <w:r w:rsidR="00421D22">
              <w:rPr>
                <w:noProof/>
                <w:webHidden/>
              </w:rPr>
              <w:fldChar w:fldCharType="separate"/>
            </w:r>
            <w:r w:rsidR="00421D22">
              <w:rPr>
                <w:noProof/>
                <w:webHidden/>
              </w:rPr>
              <w:t>7</w:t>
            </w:r>
            <w:r w:rsidR="00421D22">
              <w:rPr>
                <w:noProof/>
                <w:webHidden/>
              </w:rPr>
              <w:fldChar w:fldCharType="end"/>
            </w:r>
          </w:hyperlink>
        </w:p>
        <w:p w14:paraId="57191C6E" w14:textId="75E4A1D5" w:rsidR="00421D22" w:rsidRDefault="00000000">
          <w:pPr>
            <w:pStyle w:val="TOC2"/>
            <w:tabs>
              <w:tab w:val="right" w:pos="9317"/>
            </w:tabs>
            <w:rPr>
              <w:b w:val="0"/>
              <w:bCs w:val="0"/>
              <w:smallCaps w:val="0"/>
              <w:noProof/>
              <w:kern w:val="2"/>
              <w14:ligatures w14:val="standardContextual"/>
            </w:rPr>
          </w:pPr>
          <w:hyperlink w:anchor="_Toc145871018" w:history="1">
            <w:r w:rsidR="00421D22" w:rsidRPr="00EE6B4C">
              <w:rPr>
                <w:rStyle w:val="Hyperlink"/>
              </w:rPr>
              <w:t>Liquidity Ratios</w:t>
            </w:r>
            <w:r w:rsidR="00421D22">
              <w:rPr>
                <w:noProof/>
                <w:webHidden/>
              </w:rPr>
              <w:tab/>
            </w:r>
            <w:r w:rsidR="00421D22">
              <w:rPr>
                <w:noProof/>
                <w:webHidden/>
              </w:rPr>
              <w:fldChar w:fldCharType="begin"/>
            </w:r>
            <w:r w:rsidR="00421D22">
              <w:rPr>
                <w:noProof/>
                <w:webHidden/>
              </w:rPr>
              <w:instrText xml:space="preserve"> PAGEREF _Toc145871018 \h </w:instrText>
            </w:r>
            <w:r w:rsidR="00421D22">
              <w:rPr>
                <w:noProof/>
                <w:webHidden/>
              </w:rPr>
            </w:r>
            <w:r w:rsidR="00421D22">
              <w:rPr>
                <w:noProof/>
                <w:webHidden/>
              </w:rPr>
              <w:fldChar w:fldCharType="separate"/>
            </w:r>
            <w:r w:rsidR="00421D22">
              <w:rPr>
                <w:noProof/>
                <w:webHidden/>
              </w:rPr>
              <w:t>8</w:t>
            </w:r>
            <w:r w:rsidR="00421D22">
              <w:rPr>
                <w:noProof/>
                <w:webHidden/>
              </w:rPr>
              <w:fldChar w:fldCharType="end"/>
            </w:r>
          </w:hyperlink>
        </w:p>
        <w:p w14:paraId="79649D5F" w14:textId="71FE5477" w:rsidR="00421D22" w:rsidRDefault="00000000">
          <w:pPr>
            <w:pStyle w:val="TOC2"/>
            <w:tabs>
              <w:tab w:val="right" w:pos="9317"/>
            </w:tabs>
            <w:rPr>
              <w:b w:val="0"/>
              <w:bCs w:val="0"/>
              <w:smallCaps w:val="0"/>
              <w:noProof/>
              <w:kern w:val="2"/>
              <w14:ligatures w14:val="standardContextual"/>
            </w:rPr>
          </w:pPr>
          <w:hyperlink w:anchor="_Toc145871019" w:history="1">
            <w:r w:rsidR="00421D22" w:rsidRPr="00EE6B4C">
              <w:rPr>
                <w:rStyle w:val="Hyperlink"/>
              </w:rPr>
              <w:t>Leverage Ratios</w:t>
            </w:r>
            <w:r w:rsidR="00421D22">
              <w:rPr>
                <w:noProof/>
                <w:webHidden/>
              </w:rPr>
              <w:tab/>
            </w:r>
            <w:r w:rsidR="00421D22">
              <w:rPr>
                <w:noProof/>
                <w:webHidden/>
              </w:rPr>
              <w:fldChar w:fldCharType="begin"/>
            </w:r>
            <w:r w:rsidR="00421D22">
              <w:rPr>
                <w:noProof/>
                <w:webHidden/>
              </w:rPr>
              <w:instrText xml:space="preserve"> PAGEREF _Toc145871019 \h </w:instrText>
            </w:r>
            <w:r w:rsidR="00421D22">
              <w:rPr>
                <w:noProof/>
                <w:webHidden/>
              </w:rPr>
            </w:r>
            <w:r w:rsidR="00421D22">
              <w:rPr>
                <w:noProof/>
                <w:webHidden/>
              </w:rPr>
              <w:fldChar w:fldCharType="separate"/>
            </w:r>
            <w:r w:rsidR="00421D22">
              <w:rPr>
                <w:noProof/>
                <w:webHidden/>
              </w:rPr>
              <w:t>8</w:t>
            </w:r>
            <w:r w:rsidR="00421D22">
              <w:rPr>
                <w:noProof/>
                <w:webHidden/>
              </w:rPr>
              <w:fldChar w:fldCharType="end"/>
            </w:r>
          </w:hyperlink>
        </w:p>
        <w:p w14:paraId="23F6378E" w14:textId="53F8C42B" w:rsidR="00421D22" w:rsidRDefault="00000000">
          <w:pPr>
            <w:pStyle w:val="TOC2"/>
            <w:tabs>
              <w:tab w:val="right" w:pos="9317"/>
            </w:tabs>
            <w:rPr>
              <w:b w:val="0"/>
              <w:bCs w:val="0"/>
              <w:smallCaps w:val="0"/>
              <w:noProof/>
              <w:kern w:val="2"/>
              <w14:ligatures w14:val="standardContextual"/>
            </w:rPr>
          </w:pPr>
          <w:hyperlink w:anchor="_Toc145871020" w:history="1">
            <w:r w:rsidR="00421D22" w:rsidRPr="00EE6B4C">
              <w:rPr>
                <w:rStyle w:val="Hyperlink"/>
              </w:rPr>
              <w:t>Activity or Efficiency Ratio</w:t>
            </w:r>
            <w:r w:rsidR="00421D22">
              <w:rPr>
                <w:noProof/>
                <w:webHidden/>
              </w:rPr>
              <w:tab/>
            </w:r>
            <w:r w:rsidR="00421D22">
              <w:rPr>
                <w:noProof/>
                <w:webHidden/>
              </w:rPr>
              <w:fldChar w:fldCharType="begin"/>
            </w:r>
            <w:r w:rsidR="00421D22">
              <w:rPr>
                <w:noProof/>
                <w:webHidden/>
              </w:rPr>
              <w:instrText xml:space="preserve"> PAGEREF _Toc145871020 \h </w:instrText>
            </w:r>
            <w:r w:rsidR="00421D22">
              <w:rPr>
                <w:noProof/>
                <w:webHidden/>
              </w:rPr>
            </w:r>
            <w:r w:rsidR="00421D22">
              <w:rPr>
                <w:noProof/>
                <w:webHidden/>
              </w:rPr>
              <w:fldChar w:fldCharType="separate"/>
            </w:r>
            <w:r w:rsidR="00421D22">
              <w:rPr>
                <w:noProof/>
                <w:webHidden/>
              </w:rPr>
              <w:t>9</w:t>
            </w:r>
            <w:r w:rsidR="00421D22">
              <w:rPr>
                <w:noProof/>
                <w:webHidden/>
              </w:rPr>
              <w:fldChar w:fldCharType="end"/>
            </w:r>
          </w:hyperlink>
        </w:p>
        <w:p w14:paraId="37BE07BF" w14:textId="062016E9" w:rsidR="00421D22" w:rsidRDefault="00000000">
          <w:pPr>
            <w:pStyle w:val="TOC2"/>
            <w:tabs>
              <w:tab w:val="right" w:pos="9317"/>
            </w:tabs>
            <w:rPr>
              <w:b w:val="0"/>
              <w:bCs w:val="0"/>
              <w:smallCaps w:val="0"/>
              <w:noProof/>
              <w:kern w:val="2"/>
              <w14:ligatures w14:val="standardContextual"/>
            </w:rPr>
          </w:pPr>
          <w:hyperlink w:anchor="_Toc145871021" w:history="1">
            <w:r w:rsidR="00421D22" w:rsidRPr="00EE6B4C">
              <w:rPr>
                <w:rStyle w:val="Hyperlink"/>
              </w:rPr>
              <w:t>Investment Ratio</w:t>
            </w:r>
            <w:r w:rsidR="00421D22">
              <w:rPr>
                <w:noProof/>
                <w:webHidden/>
              </w:rPr>
              <w:tab/>
            </w:r>
            <w:r w:rsidR="00421D22">
              <w:rPr>
                <w:noProof/>
                <w:webHidden/>
              </w:rPr>
              <w:fldChar w:fldCharType="begin"/>
            </w:r>
            <w:r w:rsidR="00421D22">
              <w:rPr>
                <w:noProof/>
                <w:webHidden/>
              </w:rPr>
              <w:instrText xml:space="preserve"> PAGEREF _Toc145871021 \h </w:instrText>
            </w:r>
            <w:r w:rsidR="00421D22">
              <w:rPr>
                <w:noProof/>
                <w:webHidden/>
              </w:rPr>
            </w:r>
            <w:r w:rsidR="00421D22">
              <w:rPr>
                <w:noProof/>
                <w:webHidden/>
              </w:rPr>
              <w:fldChar w:fldCharType="separate"/>
            </w:r>
            <w:r w:rsidR="00421D22">
              <w:rPr>
                <w:noProof/>
                <w:webHidden/>
              </w:rPr>
              <w:t>10</w:t>
            </w:r>
            <w:r w:rsidR="00421D22">
              <w:rPr>
                <w:noProof/>
                <w:webHidden/>
              </w:rPr>
              <w:fldChar w:fldCharType="end"/>
            </w:r>
          </w:hyperlink>
        </w:p>
        <w:p w14:paraId="103BF6F7" w14:textId="16AB110A" w:rsidR="00421D22" w:rsidRDefault="00000000">
          <w:pPr>
            <w:pStyle w:val="TOC1"/>
            <w:tabs>
              <w:tab w:val="right" w:pos="9317"/>
            </w:tabs>
            <w:rPr>
              <w:b w:val="0"/>
              <w:bCs w:val="0"/>
              <w:caps w:val="0"/>
              <w:noProof/>
              <w:kern w:val="2"/>
              <w:u w:val="none"/>
              <w14:ligatures w14:val="standardContextual"/>
            </w:rPr>
          </w:pPr>
          <w:hyperlink w:anchor="_Toc145871022" w:history="1">
            <w:r w:rsidR="00421D22" w:rsidRPr="00EE6B4C">
              <w:rPr>
                <w:rStyle w:val="Hyperlink"/>
              </w:rPr>
              <w:t>Summary of Findings</w:t>
            </w:r>
            <w:r w:rsidR="00421D22">
              <w:rPr>
                <w:noProof/>
                <w:webHidden/>
              </w:rPr>
              <w:tab/>
            </w:r>
            <w:r w:rsidR="00421D22">
              <w:rPr>
                <w:noProof/>
                <w:webHidden/>
              </w:rPr>
              <w:fldChar w:fldCharType="begin"/>
            </w:r>
            <w:r w:rsidR="00421D22">
              <w:rPr>
                <w:noProof/>
                <w:webHidden/>
              </w:rPr>
              <w:instrText xml:space="preserve"> PAGEREF _Toc145871022 \h </w:instrText>
            </w:r>
            <w:r w:rsidR="00421D22">
              <w:rPr>
                <w:noProof/>
                <w:webHidden/>
              </w:rPr>
            </w:r>
            <w:r w:rsidR="00421D22">
              <w:rPr>
                <w:noProof/>
                <w:webHidden/>
              </w:rPr>
              <w:fldChar w:fldCharType="separate"/>
            </w:r>
            <w:r w:rsidR="00421D22">
              <w:rPr>
                <w:noProof/>
                <w:webHidden/>
              </w:rPr>
              <w:t>11</w:t>
            </w:r>
            <w:r w:rsidR="00421D22">
              <w:rPr>
                <w:noProof/>
                <w:webHidden/>
              </w:rPr>
              <w:fldChar w:fldCharType="end"/>
            </w:r>
          </w:hyperlink>
        </w:p>
        <w:p w14:paraId="677E2DA1" w14:textId="4EA535BF" w:rsidR="00421D22" w:rsidRDefault="00000000">
          <w:pPr>
            <w:pStyle w:val="TOC1"/>
            <w:tabs>
              <w:tab w:val="right" w:pos="9317"/>
            </w:tabs>
            <w:rPr>
              <w:b w:val="0"/>
              <w:bCs w:val="0"/>
              <w:caps w:val="0"/>
              <w:noProof/>
              <w:kern w:val="2"/>
              <w:u w:val="none"/>
              <w14:ligatures w14:val="standardContextual"/>
            </w:rPr>
          </w:pPr>
          <w:hyperlink w:anchor="_Toc145871023" w:history="1">
            <w:r w:rsidR="00421D22" w:rsidRPr="00EE6B4C">
              <w:rPr>
                <w:rStyle w:val="Hyperlink"/>
              </w:rPr>
              <w:t>Conclusion &amp; Recommendations</w:t>
            </w:r>
            <w:r w:rsidR="00421D22">
              <w:rPr>
                <w:noProof/>
                <w:webHidden/>
              </w:rPr>
              <w:tab/>
            </w:r>
            <w:r w:rsidR="00421D22">
              <w:rPr>
                <w:noProof/>
                <w:webHidden/>
              </w:rPr>
              <w:fldChar w:fldCharType="begin"/>
            </w:r>
            <w:r w:rsidR="00421D22">
              <w:rPr>
                <w:noProof/>
                <w:webHidden/>
              </w:rPr>
              <w:instrText xml:space="preserve"> PAGEREF _Toc145871023 \h </w:instrText>
            </w:r>
            <w:r w:rsidR="00421D22">
              <w:rPr>
                <w:noProof/>
                <w:webHidden/>
              </w:rPr>
            </w:r>
            <w:r w:rsidR="00421D22">
              <w:rPr>
                <w:noProof/>
                <w:webHidden/>
              </w:rPr>
              <w:fldChar w:fldCharType="separate"/>
            </w:r>
            <w:r w:rsidR="00421D22">
              <w:rPr>
                <w:noProof/>
                <w:webHidden/>
              </w:rPr>
              <w:t>12</w:t>
            </w:r>
            <w:r w:rsidR="00421D22">
              <w:rPr>
                <w:noProof/>
                <w:webHidden/>
              </w:rPr>
              <w:fldChar w:fldCharType="end"/>
            </w:r>
          </w:hyperlink>
        </w:p>
        <w:p w14:paraId="6EA979C3" w14:textId="0FC8C3C0" w:rsidR="00421D22" w:rsidRDefault="00000000">
          <w:pPr>
            <w:pStyle w:val="TOC1"/>
            <w:tabs>
              <w:tab w:val="right" w:pos="9317"/>
            </w:tabs>
            <w:rPr>
              <w:b w:val="0"/>
              <w:bCs w:val="0"/>
              <w:caps w:val="0"/>
              <w:noProof/>
              <w:kern w:val="2"/>
              <w:u w:val="none"/>
              <w14:ligatures w14:val="standardContextual"/>
            </w:rPr>
          </w:pPr>
          <w:hyperlink w:anchor="_Toc145871024" w:history="1">
            <w:r w:rsidR="00421D22" w:rsidRPr="00EE6B4C">
              <w:rPr>
                <w:rStyle w:val="Hyperlink"/>
              </w:rPr>
              <w:t>Appendices</w:t>
            </w:r>
            <w:r w:rsidR="00421D22">
              <w:rPr>
                <w:noProof/>
                <w:webHidden/>
              </w:rPr>
              <w:tab/>
            </w:r>
            <w:r w:rsidR="00421D22">
              <w:rPr>
                <w:noProof/>
                <w:webHidden/>
              </w:rPr>
              <w:fldChar w:fldCharType="begin"/>
            </w:r>
            <w:r w:rsidR="00421D22">
              <w:rPr>
                <w:noProof/>
                <w:webHidden/>
              </w:rPr>
              <w:instrText xml:space="preserve"> PAGEREF _Toc145871024 \h </w:instrText>
            </w:r>
            <w:r w:rsidR="00421D22">
              <w:rPr>
                <w:noProof/>
                <w:webHidden/>
              </w:rPr>
            </w:r>
            <w:r w:rsidR="00421D22">
              <w:rPr>
                <w:noProof/>
                <w:webHidden/>
              </w:rPr>
              <w:fldChar w:fldCharType="separate"/>
            </w:r>
            <w:r w:rsidR="00421D22">
              <w:rPr>
                <w:noProof/>
                <w:webHidden/>
              </w:rPr>
              <w:t>13</w:t>
            </w:r>
            <w:r w:rsidR="00421D22">
              <w:rPr>
                <w:noProof/>
                <w:webHidden/>
              </w:rPr>
              <w:fldChar w:fldCharType="end"/>
            </w:r>
          </w:hyperlink>
        </w:p>
        <w:p w14:paraId="76B12CD7" w14:textId="7CE55A04" w:rsidR="00421D22" w:rsidRDefault="00000000">
          <w:pPr>
            <w:pStyle w:val="TOC1"/>
            <w:tabs>
              <w:tab w:val="right" w:pos="9317"/>
            </w:tabs>
            <w:rPr>
              <w:b w:val="0"/>
              <w:bCs w:val="0"/>
              <w:caps w:val="0"/>
              <w:noProof/>
              <w:kern w:val="2"/>
              <w:u w:val="none"/>
              <w14:ligatures w14:val="standardContextual"/>
            </w:rPr>
          </w:pPr>
          <w:hyperlink w:anchor="_Toc145871025" w:history="1">
            <w:r w:rsidR="00421D22" w:rsidRPr="00EE6B4C">
              <w:rPr>
                <w:rStyle w:val="Hyperlink"/>
              </w:rPr>
              <w:t>References</w:t>
            </w:r>
            <w:r w:rsidR="00421D22">
              <w:rPr>
                <w:noProof/>
                <w:webHidden/>
              </w:rPr>
              <w:tab/>
            </w:r>
            <w:r w:rsidR="00421D22">
              <w:rPr>
                <w:noProof/>
                <w:webHidden/>
              </w:rPr>
              <w:fldChar w:fldCharType="begin"/>
            </w:r>
            <w:r w:rsidR="00421D22">
              <w:rPr>
                <w:noProof/>
                <w:webHidden/>
              </w:rPr>
              <w:instrText xml:space="preserve"> PAGEREF _Toc145871025 \h </w:instrText>
            </w:r>
            <w:r w:rsidR="00421D22">
              <w:rPr>
                <w:noProof/>
                <w:webHidden/>
              </w:rPr>
            </w:r>
            <w:r w:rsidR="00421D22">
              <w:rPr>
                <w:noProof/>
                <w:webHidden/>
              </w:rPr>
              <w:fldChar w:fldCharType="separate"/>
            </w:r>
            <w:r w:rsidR="00421D22">
              <w:rPr>
                <w:noProof/>
                <w:webHidden/>
              </w:rPr>
              <w:t>13</w:t>
            </w:r>
            <w:r w:rsidR="00421D22">
              <w:rPr>
                <w:noProof/>
                <w:webHidden/>
              </w:rPr>
              <w:fldChar w:fldCharType="end"/>
            </w:r>
          </w:hyperlink>
        </w:p>
        <w:p w14:paraId="06122FD1" w14:textId="2E513A6F" w:rsidR="00421D22" w:rsidRDefault="00000000">
          <w:pPr>
            <w:pStyle w:val="TOC2"/>
            <w:tabs>
              <w:tab w:val="right" w:pos="9317"/>
            </w:tabs>
            <w:rPr>
              <w:b w:val="0"/>
              <w:bCs w:val="0"/>
              <w:smallCaps w:val="0"/>
              <w:noProof/>
              <w:kern w:val="2"/>
              <w14:ligatures w14:val="standardContextual"/>
            </w:rPr>
          </w:pPr>
          <w:hyperlink w:anchor="_Toc145871026" w:history="1">
            <w:r w:rsidR="00421D22" w:rsidRPr="00EE6B4C">
              <w:rPr>
                <w:rStyle w:val="Hyperlink"/>
              </w:rPr>
              <w:t>Calculation details of all ratios utilised.</w:t>
            </w:r>
            <w:r w:rsidR="00421D22">
              <w:rPr>
                <w:noProof/>
                <w:webHidden/>
              </w:rPr>
              <w:tab/>
            </w:r>
            <w:r w:rsidR="00421D22">
              <w:rPr>
                <w:noProof/>
                <w:webHidden/>
              </w:rPr>
              <w:fldChar w:fldCharType="begin"/>
            </w:r>
            <w:r w:rsidR="00421D22">
              <w:rPr>
                <w:noProof/>
                <w:webHidden/>
              </w:rPr>
              <w:instrText xml:space="preserve"> PAGEREF _Toc145871026 \h </w:instrText>
            </w:r>
            <w:r w:rsidR="00421D22">
              <w:rPr>
                <w:noProof/>
                <w:webHidden/>
              </w:rPr>
            </w:r>
            <w:r w:rsidR="00421D22">
              <w:rPr>
                <w:noProof/>
                <w:webHidden/>
              </w:rPr>
              <w:fldChar w:fldCharType="separate"/>
            </w:r>
            <w:r w:rsidR="00421D22">
              <w:rPr>
                <w:noProof/>
                <w:webHidden/>
              </w:rPr>
              <w:t>14</w:t>
            </w:r>
            <w:r w:rsidR="00421D22">
              <w:rPr>
                <w:noProof/>
                <w:webHidden/>
              </w:rPr>
              <w:fldChar w:fldCharType="end"/>
            </w:r>
          </w:hyperlink>
        </w:p>
        <w:p w14:paraId="02C11436" w14:textId="1512375F" w:rsidR="00421D22" w:rsidRDefault="00000000">
          <w:pPr>
            <w:pStyle w:val="TOC3"/>
            <w:tabs>
              <w:tab w:val="right" w:pos="9317"/>
            </w:tabs>
            <w:rPr>
              <w:smallCaps w:val="0"/>
              <w:noProof/>
              <w:kern w:val="2"/>
              <w14:ligatures w14:val="standardContextual"/>
            </w:rPr>
          </w:pPr>
          <w:hyperlink w:anchor="_Toc145871027" w:history="1">
            <w:r w:rsidR="00421D22" w:rsidRPr="00EE6B4C">
              <w:rPr>
                <w:rStyle w:val="Hyperlink"/>
              </w:rPr>
              <w:t>Profitability Ratio</w:t>
            </w:r>
            <w:r w:rsidR="00421D22">
              <w:rPr>
                <w:noProof/>
                <w:webHidden/>
              </w:rPr>
              <w:tab/>
            </w:r>
            <w:r w:rsidR="00421D22">
              <w:rPr>
                <w:noProof/>
                <w:webHidden/>
              </w:rPr>
              <w:fldChar w:fldCharType="begin"/>
            </w:r>
            <w:r w:rsidR="00421D22">
              <w:rPr>
                <w:noProof/>
                <w:webHidden/>
              </w:rPr>
              <w:instrText xml:space="preserve"> PAGEREF _Toc145871027 \h </w:instrText>
            </w:r>
            <w:r w:rsidR="00421D22">
              <w:rPr>
                <w:noProof/>
                <w:webHidden/>
              </w:rPr>
            </w:r>
            <w:r w:rsidR="00421D22">
              <w:rPr>
                <w:noProof/>
                <w:webHidden/>
              </w:rPr>
              <w:fldChar w:fldCharType="separate"/>
            </w:r>
            <w:r w:rsidR="00421D22">
              <w:rPr>
                <w:noProof/>
                <w:webHidden/>
              </w:rPr>
              <w:t>14</w:t>
            </w:r>
            <w:r w:rsidR="00421D22">
              <w:rPr>
                <w:noProof/>
                <w:webHidden/>
              </w:rPr>
              <w:fldChar w:fldCharType="end"/>
            </w:r>
          </w:hyperlink>
        </w:p>
        <w:p w14:paraId="44310055" w14:textId="2CA3D20A" w:rsidR="00421D22" w:rsidRDefault="00000000">
          <w:pPr>
            <w:pStyle w:val="TOC3"/>
            <w:tabs>
              <w:tab w:val="right" w:pos="9317"/>
            </w:tabs>
            <w:rPr>
              <w:smallCaps w:val="0"/>
              <w:noProof/>
              <w:kern w:val="2"/>
              <w14:ligatures w14:val="standardContextual"/>
            </w:rPr>
          </w:pPr>
          <w:hyperlink w:anchor="_Toc145871028" w:history="1">
            <w:r w:rsidR="00421D22" w:rsidRPr="00EE6B4C">
              <w:rPr>
                <w:rStyle w:val="Hyperlink"/>
              </w:rPr>
              <w:t>Liquidity Ratio</w:t>
            </w:r>
            <w:r w:rsidR="00421D22">
              <w:rPr>
                <w:noProof/>
                <w:webHidden/>
              </w:rPr>
              <w:tab/>
            </w:r>
            <w:r w:rsidR="00421D22">
              <w:rPr>
                <w:noProof/>
                <w:webHidden/>
              </w:rPr>
              <w:fldChar w:fldCharType="begin"/>
            </w:r>
            <w:r w:rsidR="00421D22">
              <w:rPr>
                <w:noProof/>
                <w:webHidden/>
              </w:rPr>
              <w:instrText xml:space="preserve"> PAGEREF _Toc145871028 \h </w:instrText>
            </w:r>
            <w:r w:rsidR="00421D22">
              <w:rPr>
                <w:noProof/>
                <w:webHidden/>
              </w:rPr>
            </w:r>
            <w:r w:rsidR="00421D22">
              <w:rPr>
                <w:noProof/>
                <w:webHidden/>
              </w:rPr>
              <w:fldChar w:fldCharType="separate"/>
            </w:r>
            <w:r w:rsidR="00421D22">
              <w:rPr>
                <w:noProof/>
                <w:webHidden/>
              </w:rPr>
              <w:t>15</w:t>
            </w:r>
            <w:r w:rsidR="00421D22">
              <w:rPr>
                <w:noProof/>
                <w:webHidden/>
              </w:rPr>
              <w:fldChar w:fldCharType="end"/>
            </w:r>
          </w:hyperlink>
        </w:p>
        <w:p w14:paraId="26E696DF" w14:textId="124B2942" w:rsidR="00421D22" w:rsidRDefault="00000000">
          <w:pPr>
            <w:pStyle w:val="TOC3"/>
            <w:tabs>
              <w:tab w:val="right" w:pos="9317"/>
            </w:tabs>
            <w:rPr>
              <w:smallCaps w:val="0"/>
              <w:noProof/>
              <w:kern w:val="2"/>
              <w14:ligatures w14:val="standardContextual"/>
            </w:rPr>
          </w:pPr>
          <w:hyperlink w:anchor="_Toc145871029" w:history="1">
            <w:r w:rsidR="00421D22" w:rsidRPr="00EE6B4C">
              <w:rPr>
                <w:rStyle w:val="Hyperlink"/>
              </w:rPr>
              <w:t>Leverage Ratios</w:t>
            </w:r>
            <w:r w:rsidR="00421D22">
              <w:rPr>
                <w:noProof/>
                <w:webHidden/>
              </w:rPr>
              <w:tab/>
            </w:r>
            <w:r w:rsidR="00421D22">
              <w:rPr>
                <w:noProof/>
                <w:webHidden/>
              </w:rPr>
              <w:fldChar w:fldCharType="begin"/>
            </w:r>
            <w:r w:rsidR="00421D22">
              <w:rPr>
                <w:noProof/>
                <w:webHidden/>
              </w:rPr>
              <w:instrText xml:space="preserve"> PAGEREF _Toc145871029 \h </w:instrText>
            </w:r>
            <w:r w:rsidR="00421D22">
              <w:rPr>
                <w:noProof/>
                <w:webHidden/>
              </w:rPr>
            </w:r>
            <w:r w:rsidR="00421D22">
              <w:rPr>
                <w:noProof/>
                <w:webHidden/>
              </w:rPr>
              <w:fldChar w:fldCharType="separate"/>
            </w:r>
            <w:r w:rsidR="00421D22">
              <w:rPr>
                <w:noProof/>
                <w:webHidden/>
              </w:rPr>
              <w:t>16</w:t>
            </w:r>
            <w:r w:rsidR="00421D22">
              <w:rPr>
                <w:noProof/>
                <w:webHidden/>
              </w:rPr>
              <w:fldChar w:fldCharType="end"/>
            </w:r>
          </w:hyperlink>
        </w:p>
        <w:p w14:paraId="7736B942" w14:textId="56CD6DC7" w:rsidR="00421D22" w:rsidRDefault="00000000">
          <w:pPr>
            <w:pStyle w:val="TOC3"/>
            <w:tabs>
              <w:tab w:val="right" w:pos="9317"/>
            </w:tabs>
            <w:rPr>
              <w:smallCaps w:val="0"/>
              <w:noProof/>
              <w:kern w:val="2"/>
              <w14:ligatures w14:val="standardContextual"/>
            </w:rPr>
          </w:pPr>
          <w:hyperlink w:anchor="_Toc145871030" w:history="1">
            <w:r w:rsidR="00421D22" w:rsidRPr="00EE6B4C">
              <w:rPr>
                <w:rStyle w:val="Hyperlink"/>
              </w:rPr>
              <w:t>Activity or Efficiency Ratio</w:t>
            </w:r>
            <w:r w:rsidR="00421D22">
              <w:rPr>
                <w:noProof/>
                <w:webHidden/>
              </w:rPr>
              <w:tab/>
            </w:r>
            <w:r w:rsidR="00421D22">
              <w:rPr>
                <w:noProof/>
                <w:webHidden/>
              </w:rPr>
              <w:fldChar w:fldCharType="begin"/>
            </w:r>
            <w:r w:rsidR="00421D22">
              <w:rPr>
                <w:noProof/>
                <w:webHidden/>
              </w:rPr>
              <w:instrText xml:space="preserve"> PAGEREF _Toc145871030 \h </w:instrText>
            </w:r>
            <w:r w:rsidR="00421D22">
              <w:rPr>
                <w:noProof/>
                <w:webHidden/>
              </w:rPr>
            </w:r>
            <w:r w:rsidR="00421D22">
              <w:rPr>
                <w:noProof/>
                <w:webHidden/>
              </w:rPr>
              <w:fldChar w:fldCharType="separate"/>
            </w:r>
            <w:r w:rsidR="00421D22">
              <w:rPr>
                <w:noProof/>
                <w:webHidden/>
              </w:rPr>
              <w:t>17</w:t>
            </w:r>
            <w:r w:rsidR="00421D22">
              <w:rPr>
                <w:noProof/>
                <w:webHidden/>
              </w:rPr>
              <w:fldChar w:fldCharType="end"/>
            </w:r>
          </w:hyperlink>
        </w:p>
        <w:p w14:paraId="096E076D" w14:textId="2F0336AC" w:rsidR="00421D22" w:rsidRDefault="00000000">
          <w:pPr>
            <w:pStyle w:val="TOC3"/>
            <w:tabs>
              <w:tab w:val="right" w:pos="9317"/>
            </w:tabs>
            <w:rPr>
              <w:smallCaps w:val="0"/>
              <w:noProof/>
              <w:kern w:val="2"/>
              <w14:ligatures w14:val="standardContextual"/>
            </w:rPr>
          </w:pPr>
          <w:hyperlink w:anchor="_Toc145871031" w:history="1">
            <w:r w:rsidR="00421D22" w:rsidRPr="00EE6B4C">
              <w:rPr>
                <w:rStyle w:val="Hyperlink"/>
              </w:rPr>
              <w:t>Investment Ratio</w:t>
            </w:r>
            <w:r w:rsidR="00421D22">
              <w:rPr>
                <w:noProof/>
                <w:webHidden/>
              </w:rPr>
              <w:tab/>
            </w:r>
            <w:r w:rsidR="00421D22">
              <w:rPr>
                <w:noProof/>
                <w:webHidden/>
              </w:rPr>
              <w:fldChar w:fldCharType="begin"/>
            </w:r>
            <w:r w:rsidR="00421D22">
              <w:rPr>
                <w:noProof/>
                <w:webHidden/>
              </w:rPr>
              <w:instrText xml:space="preserve"> PAGEREF _Toc145871031 \h </w:instrText>
            </w:r>
            <w:r w:rsidR="00421D22">
              <w:rPr>
                <w:noProof/>
                <w:webHidden/>
              </w:rPr>
            </w:r>
            <w:r w:rsidR="00421D22">
              <w:rPr>
                <w:noProof/>
                <w:webHidden/>
              </w:rPr>
              <w:fldChar w:fldCharType="separate"/>
            </w:r>
            <w:r w:rsidR="00421D22">
              <w:rPr>
                <w:noProof/>
                <w:webHidden/>
              </w:rPr>
              <w:t>18</w:t>
            </w:r>
            <w:r w:rsidR="00421D22">
              <w:rPr>
                <w:noProof/>
                <w:webHidden/>
              </w:rPr>
              <w:fldChar w:fldCharType="end"/>
            </w:r>
          </w:hyperlink>
        </w:p>
        <w:p w14:paraId="5D1F8A2E" w14:textId="65FBE858" w:rsidR="00421D22" w:rsidRDefault="00000000">
          <w:pPr>
            <w:pStyle w:val="TOC2"/>
            <w:tabs>
              <w:tab w:val="right" w:pos="9317"/>
            </w:tabs>
            <w:rPr>
              <w:b w:val="0"/>
              <w:bCs w:val="0"/>
              <w:smallCaps w:val="0"/>
              <w:noProof/>
              <w:kern w:val="2"/>
              <w14:ligatures w14:val="standardContextual"/>
            </w:rPr>
          </w:pPr>
          <w:hyperlink w:anchor="_Toc145871032" w:history="1">
            <w:r w:rsidR="00421D22" w:rsidRPr="00EE6B4C">
              <w:rPr>
                <w:rStyle w:val="Hyperlink"/>
              </w:rPr>
              <w:t>The Statements</w:t>
            </w:r>
            <w:r w:rsidR="00421D22">
              <w:rPr>
                <w:noProof/>
                <w:webHidden/>
              </w:rPr>
              <w:tab/>
            </w:r>
            <w:r w:rsidR="00421D22">
              <w:rPr>
                <w:noProof/>
                <w:webHidden/>
              </w:rPr>
              <w:fldChar w:fldCharType="begin"/>
            </w:r>
            <w:r w:rsidR="00421D22">
              <w:rPr>
                <w:noProof/>
                <w:webHidden/>
              </w:rPr>
              <w:instrText xml:space="preserve"> PAGEREF _Toc145871032 \h </w:instrText>
            </w:r>
            <w:r w:rsidR="00421D22">
              <w:rPr>
                <w:noProof/>
                <w:webHidden/>
              </w:rPr>
            </w:r>
            <w:r w:rsidR="00421D22">
              <w:rPr>
                <w:noProof/>
                <w:webHidden/>
              </w:rPr>
              <w:fldChar w:fldCharType="separate"/>
            </w:r>
            <w:r w:rsidR="00421D22">
              <w:rPr>
                <w:noProof/>
                <w:webHidden/>
              </w:rPr>
              <w:t>20</w:t>
            </w:r>
            <w:r w:rsidR="00421D22">
              <w:rPr>
                <w:noProof/>
                <w:webHidden/>
              </w:rPr>
              <w:fldChar w:fldCharType="end"/>
            </w:r>
          </w:hyperlink>
        </w:p>
        <w:p w14:paraId="17EF3874" w14:textId="1E04FFA6" w:rsidR="00A60EA9" w:rsidRDefault="00A60EA9" w:rsidP="00A60EA9">
          <w:pPr>
            <w:pStyle w:val="TOC1"/>
          </w:pPr>
          <w:r>
            <w:fldChar w:fldCharType="end"/>
          </w:r>
        </w:p>
      </w:sdtContent>
    </w:sdt>
    <w:p w14:paraId="5310BD06" w14:textId="169AB094" w:rsidR="00A60EA9" w:rsidRDefault="00A60EA9" w:rsidP="00A60EA9">
      <w:pPr>
        <w:pStyle w:val="Heading1"/>
      </w:pPr>
      <w:r>
        <w:br w:type="page"/>
      </w:r>
    </w:p>
    <w:p w14:paraId="1DEBD3FE" w14:textId="3B3F6723" w:rsidR="00045BCE" w:rsidRDefault="00F9410C" w:rsidP="00A529B9">
      <w:pPr>
        <w:pStyle w:val="Heading1"/>
      </w:pPr>
      <w:bookmarkStart w:id="1" w:name="_Toc145871013"/>
      <w:r>
        <w:lastRenderedPageBreak/>
        <w:t xml:space="preserve">Executive </w:t>
      </w:r>
      <w:r w:rsidR="00A529B9">
        <w:t>Summary</w:t>
      </w:r>
      <w:bookmarkEnd w:id="1"/>
    </w:p>
    <w:p w14:paraId="7E49AC5C" w14:textId="653A2EE0" w:rsidR="00375133" w:rsidRPr="00375133" w:rsidRDefault="00375133" w:rsidP="00375133">
      <w:r w:rsidRPr="00375133">
        <w:t xml:space="preserve">This executive summary encapsulates the key findings and recommendations from </w:t>
      </w:r>
      <w:r w:rsidR="0090049F">
        <w:t>an</w:t>
      </w:r>
      <w:r w:rsidRPr="00375133">
        <w:t xml:space="preserve"> in-depth analysis of the potential</w:t>
      </w:r>
      <w:r w:rsidR="0090049F">
        <w:t xml:space="preserve"> £5M</w:t>
      </w:r>
      <w:r w:rsidRPr="00375133">
        <w:t xml:space="preserve"> joint venture opportunity with Aston Martin. The following insights have been derived from a thorough examination of financial statements, ratio analysis, and a critical evaluation of the financial health of Aston Martin plc.</w:t>
      </w:r>
    </w:p>
    <w:p w14:paraId="6B6632AA" w14:textId="5019756C" w:rsidR="00375133" w:rsidRPr="00375133" w:rsidRDefault="00375133" w:rsidP="00375133">
      <w:r w:rsidRPr="00375133">
        <w:rPr>
          <w:b/>
          <w:bCs/>
        </w:rPr>
        <w:t>Financial Performance Overview:</w:t>
      </w:r>
      <w:r w:rsidRPr="00375133">
        <w:t xml:space="preserve"> </w:t>
      </w:r>
      <w:r w:rsidR="001925CD">
        <w:t>Aston Martin</w:t>
      </w:r>
      <w:r w:rsidRPr="00375133">
        <w:t>'s financial performance in 2022 was characteri</w:t>
      </w:r>
      <w:r w:rsidR="00C21C44">
        <w:t>s</w:t>
      </w:r>
      <w:r w:rsidRPr="00375133">
        <w:t>ed by a significant loss of £527.7 million, a marked increase from the £189.3 million loss reported in 2021. This downturn raises concerns regarding the company's financial stability and underscores the importance of a cautious approach.</w:t>
      </w:r>
    </w:p>
    <w:p w14:paraId="4AB29DAA" w14:textId="072250E6" w:rsidR="00375133" w:rsidRPr="00375133" w:rsidRDefault="00375133" w:rsidP="00375133">
      <w:r w:rsidRPr="00375133">
        <w:rPr>
          <w:b/>
          <w:bCs/>
        </w:rPr>
        <w:t>Liquidity and Leverage Assessment:</w:t>
      </w:r>
      <w:r w:rsidRPr="00375133">
        <w:t xml:space="preserve"> </w:t>
      </w:r>
      <w:r w:rsidR="001837EF">
        <w:t>Aston Martin</w:t>
      </w:r>
      <w:r w:rsidR="005D34F5">
        <w:t>’s</w:t>
      </w:r>
      <w:r w:rsidRPr="00375133">
        <w:t xml:space="preserve"> liquidity, as indicated by the current ratio of 1.08 in 2022, is modest, necessitating a focus on strengthening short-term liquidity. The </w:t>
      </w:r>
      <w:r w:rsidR="005D34F5" w:rsidRPr="00375133">
        <w:t>debt-to-equity</w:t>
      </w:r>
      <w:r w:rsidRPr="00375133">
        <w:t xml:space="preserve"> ratio has risen</w:t>
      </w:r>
      <w:r w:rsidR="00B0356B">
        <w:t xml:space="preserve"> from 0.96</w:t>
      </w:r>
      <w:r w:rsidR="00C927D1">
        <w:t>in 2021</w:t>
      </w:r>
      <w:r w:rsidRPr="00375133">
        <w:t>, signifying increased financial leverage that warrants careful debt management.</w:t>
      </w:r>
    </w:p>
    <w:p w14:paraId="415770FA" w14:textId="064F04F8" w:rsidR="00375133" w:rsidRPr="00375133" w:rsidRDefault="00375133" w:rsidP="00375133">
      <w:r w:rsidRPr="00375133">
        <w:rPr>
          <w:b/>
          <w:bCs/>
        </w:rPr>
        <w:t>Profitability Challenges:</w:t>
      </w:r>
      <w:r w:rsidRPr="00375133">
        <w:t xml:space="preserve"> The analysis of gross margin, operating margin, and net profit margin reveals profitability challenges, with losses recorded in 2022. Addressing these challenges </w:t>
      </w:r>
      <w:r w:rsidR="00F120BA">
        <w:t xml:space="preserve">will </w:t>
      </w:r>
      <w:r w:rsidRPr="00375133">
        <w:t>involve implementing cost control measures and revenue enhancement strategies.</w:t>
      </w:r>
    </w:p>
    <w:p w14:paraId="52960814" w14:textId="77777777" w:rsidR="00375133" w:rsidRPr="00375133" w:rsidRDefault="00375133" w:rsidP="00375133">
      <w:r w:rsidRPr="00375133">
        <w:rPr>
          <w:b/>
          <w:bCs/>
        </w:rPr>
        <w:t>Recommendations:</w:t>
      </w:r>
    </w:p>
    <w:p w14:paraId="60C0B843" w14:textId="77777777" w:rsidR="00375133" w:rsidRPr="00375133" w:rsidRDefault="00375133" w:rsidP="00375133">
      <w:pPr>
        <w:numPr>
          <w:ilvl w:val="0"/>
          <w:numId w:val="28"/>
        </w:numPr>
      </w:pPr>
      <w:r w:rsidRPr="00375133">
        <w:rPr>
          <w:b/>
          <w:bCs/>
        </w:rPr>
        <w:t>Due Diligence:</w:t>
      </w:r>
      <w:r w:rsidRPr="00375133">
        <w:t xml:space="preserve"> Prior to proceeding with the joint venture, an exhaustive due diligence process is imperative. This should encompass a comprehensive analysis of Aston Martin plc's financials, operational capabilities, market positioning, and the specifics of the joint venture agreement.</w:t>
      </w:r>
    </w:p>
    <w:p w14:paraId="5C69C9BD" w14:textId="40D0CFBC" w:rsidR="00375133" w:rsidRPr="00375133" w:rsidRDefault="00375133" w:rsidP="00375133">
      <w:pPr>
        <w:numPr>
          <w:ilvl w:val="0"/>
          <w:numId w:val="28"/>
        </w:numPr>
      </w:pPr>
      <w:r w:rsidRPr="00375133">
        <w:rPr>
          <w:b/>
          <w:bCs/>
        </w:rPr>
        <w:t>Cost Control:</w:t>
      </w:r>
      <w:r w:rsidRPr="00375133">
        <w:t xml:space="preserve"> Immediate measures to control costs are essential for restoring profitability. Streamlining operations, renegotiating supplier contracts, and optimi</w:t>
      </w:r>
      <w:r w:rsidR="00C21C44">
        <w:t>s</w:t>
      </w:r>
      <w:r w:rsidRPr="00375133">
        <w:t>ing resource allocation are viable strategies.</w:t>
      </w:r>
    </w:p>
    <w:p w14:paraId="616D4AF9" w14:textId="77777777" w:rsidR="00375133" w:rsidRPr="00375133" w:rsidRDefault="00375133" w:rsidP="00375133">
      <w:pPr>
        <w:numPr>
          <w:ilvl w:val="0"/>
          <w:numId w:val="28"/>
        </w:numPr>
      </w:pPr>
      <w:r w:rsidRPr="00375133">
        <w:rPr>
          <w:b/>
          <w:bCs/>
        </w:rPr>
        <w:t>Liquidity and Debt Management:</w:t>
      </w:r>
      <w:r w:rsidRPr="00375133">
        <w:t xml:space="preserve"> Focusing on bolstering short-term liquidity and prudently managing debt levels will enhance financial stability.</w:t>
      </w:r>
    </w:p>
    <w:p w14:paraId="38E22134" w14:textId="77777777" w:rsidR="00375133" w:rsidRPr="00375133" w:rsidRDefault="00375133" w:rsidP="00375133">
      <w:pPr>
        <w:numPr>
          <w:ilvl w:val="0"/>
          <w:numId w:val="28"/>
        </w:numPr>
      </w:pPr>
      <w:r w:rsidRPr="00375133">
        <w:rPr>
          <w:b/>
          <w:bCs/>
        </w:rPr>
        <w:t>Operational Efficiency:</w:t>
      </w:r>
      <w:r w:rsidRPr="00375133">
        <w:t xml:space="preserve"> A deeper analysis of efficiency ratios is needed to identify operational inefficiencies and implement improvements.</w:t>
      </w:r>
    </w:p>
    <w:p w14:paraId="56208D33" w14:textId="77777777" w:rsidR="00375133" w:rsidRPr="00375133" w:rsidRDefault="00375133" w:rsidP="00375133">
      <w:pPr>
        <w:numPr>
          <w:ilvl w:val="0"/>
          <w:numId w:val="28"/>
        </w:numPr>
      </w:pPr>
      <w:r w:rsidRPr="00375133">
        <w:rPr>
          <w:b/>
          <w:bCs/>
        </w:rPr>
        <w:t>Investor Relations:</w:t>
      </w:r>
      <w:r w:rsidRPr="00375133">
        <w:t xml:space="preserve"> Enhancing communication with investors and rebuilding investor confidence is crucial, especially after a challenging financial year.</w:t>
      </w:r>
    </w:p>
    <w:p w14:paraId="39D5B80B" w14:textId="453A52E8" w:rsidR="00375133" w:rsidRDefault="00375133" w:rsidP="00375133">
      <w:r w:rsidRPr="00375133">
        <w:rPr>
          <w:b/>
          <w:bCs/>
        </w:rPr>
        <w:t>Conclusion:</w:t>
      </w:r>
      <w:r w:rsidRPr="00375133">
        <w:t xml:space="preserve"> In conclusion, while the joint venture opportunity with Aston Martin </w:t>
      </w:r>
      <w:r w:rsidR="004B6A5A">
        <w:t xml:space="preserve">may </w:t>
      </w:r>
      <w:r w:rsidRPr="00375133">
        <w:t xml:space="preserve">hold promise, it must be approached with caution and a commitment to meticulous evaluation. The decision-making process should be guided by a </w:t>
      </w:r>
      <w:r w:rsidR="008C7BAC">
        <w:t>wider</w:t>
      </w:r>
      <w:r w:rsidRPr="00375133">
        <w:t xml:space="preserve"> understanding of the financial landscape and the broader strategic context.</w:t>
      </w:r>
    </w:p>
    <w:p w14:paraId="2F25DF6B" w14:textId="77777777" w:rsidR="00FB7C86" w:rsidRPr="00375133" w:rsidRDefault="00FB7C86" w:rsidP="00FB7C86">
      <w:r w:rsidRPr="00375133">
        <w:t>The journey toward a</w:t>
      </w:r>
      <w:r>
        <w:t xml:space="preserve"> £5M</w:t>
      </w:r>
      <w:r w:rsidRPr="00375133">
        <w:t xml:space="preserve"> joint venture with Aston Martin plc is one that requires careful consideration </w:t>
      </w:r>
      <w:r>
        <w:t>of the risks</w:t>
      </w:r>
      <w:r w:rsidRPr="00375133">
        <w:t xml:space="preserve">. </w:t>
      </w:r>
      <w:r>
        <w:t>To</w:t>
      </w:r>
      <w:r w:rsidRPr="00375133">
        <w:t xml:space="preserve"> embark on this </w:t>
      </w:r>
      <w:r>
        <w:t>project</w:t>
      </w:r>
      <w:r w:rsidRPr="00375133">
        <w:t xml:space="preserve">, </w:t>
      </w:r>
      <w:r>
        <w:t>we should</w:t>
      </w:r>
      <w:r w:rsidRPr="00375133">
        <w:t xml:space="preserve"> </w:t>
      </w:r>
      <w:r>
        <w:t>consider</w:t>
      </w:r>
      <w:r w:rsidRPr="00375133">
        <w:t xml:space="preserve"> </w:t>
      </w:r>
      <w:r>
        <w:t>suitable contractual protections should Aston Martins financial position continue to perform poorly.</w:t>
      </w:r>
    </w:p>
    <w:p w14:paraId="45AD947A" w14:textId="77777777" w:rsidR="00FB7C86" w:rsidRPr="00375133" w:rsidRDefault="00FB7C86" w:rsidP="00375133"/>
    <w:p w14:paraId="7DF5AD4B" w14:textId="7777EB42" w:rsidR="00375133" w:rsidRPr="00375133" w:rsidRDefault="00375133">
      <w:r>
        <w:br w:type="page"/>
      </w:r>
    </w:p>
    <w:p w14:paraId="725FB907" w14:textId="2B51D8C4" w:rsidR="00333C64" w:rsidRDefault="00333C64" w:rsidP="00333C64">
      <w:pPr>
        <w:pStyle w:val="Heading1"/>
      </w:pPr>
      <w:bookmarkStart w:id="2" w:name="_Toc145871014"/>
      <w:r>
        <w:lastRenderedPageBreak/>
        <w:t>Introduction</w:t>
      </w:r>
      <w:bookmarkEnd w:id="2"/>
    </w:p>
    <w:p w14:paraId="6745E91C" w14:textId="20380997" w:rsidR="00375133" w:rsidRPr="00375133" w:rsidRDefault="00375133" w:rsidP="00375133">
      <w:r w:rsidRPr="00375133">
        <w:t xml:space="preserve">The report is structured to provide clarity and depth, beginning with a detailed review of financial statements, followed by the calculation and analysis of key financial ratios. We will critically evaluate these ratios, considering the reasons for changes over time and acknowledging the limitations of ratio analysis. Finally, we will conclude with recommendations that consider the </w:t>
      </w:r>
      <w:r w:rsidR="003738C1">
        <w:t xml:space="preserve">key </w:t>
      </w:r>
      <w:r w:rsidR="00935941">
        <w:t>aspects to consider regarding the proposed joint venture opportunity.</w:t>
      </w:r>
    </w:p>
    <w:p w14:paraId="74C41E4E" w14:textId="77777777" w:rsidR="00333C64" w:rsidRDefault="00333C64" w:rsidP="00333C64"/>
    <w:p w14:paraId="77B419F1" w14:textId="77777777" w:rsidR="00333C64" w:rsidRDefault="00333C64" w:rsidP="00333C64"/>
    <w:p w14:paraId="604B8683" w14:textId="77777777" w:rsidR="00333C64" w:rsidRDefault="00333C64" w:rsidP="00333C64"/>
    <w:p w14:paraId="20604762" w14:textId="77777777" w:rsidR="00333C64" w:rsidRDefault="00333C64" w:rsidP="00333C64"/>
    <w:p w14:paraId="01693C65" w14:textId="77777777" w:rsidR="00333C64" w:rsidRDefault="00333C64" w:rsidP="00333C64"/>
    <w:p w14:paraId="24D7D4B4" w14:textId="77777777" w:rsidR="00333C64" w:rsidRDefault="00333C64" w:rsidP="00333C64"/>
    <w:p w14:paraId="4C90BCA4" w14:textId="77777777" w:rsidR="00F9410C" w:rsidRDefault="00F9410C">
      <w:pPr>
        <w:rPr>
          <w:rFonts w:asciiTheme="majorHAnsi" w:eastAsiaTheme="majorEastAsia" w:hAnsiTheme="majorHAnsi" w:cstheme="majorBidi"/>
          <w:color w:val="5E220D" w:themeColor="accent1" w:themeShade="80"/>
          <w:sz w:val="36"/>
          <w:szCs w:val="36"/>
        </w:rPr>
      </w:pPr>
      <w:r>
        <w:br w:type="page"/>
      </w:r>
    </w:p>
    <w:p w14:paraId="7F7FAA17" w14:textId="2B468CB5" w:rsidR="00333C64" w:rsidRDefault="00333C64" w:rsidP="00333C64">
      <w:pPr>
        <w:pStyle w:val="Heading1"/>
      </w:pPr>
      <w:bookmarkStart w:id="3" w:name="_Toc145871015"/>
      <w:r>
        <w:lastRenderedPageBreak/>
        <w:t>Use and Limitation of Ratios</w:t>
      </w:r>
      <w:bookmarkEnd w:id="3"/>
    </w:p>
    <w:p w14:paraId="5A9A31C4" w14:textId="77777777" w:rsidR="00520059" w:rsidRDefault="00520059" w:rsidP="00520059">
      <w:r>
        <w:t>Using financial ratios in financial analysis provides valuable insights into a company's performance and financial health. However, it's essential to understand both their use and limitations to make informed decisions. Here's an overview:</w:t>
      </w:r>
    </w:p>
    <w:p w14:paraId="68740EBB" w14:textId="77777777" w:rsidR="00520059" w:rsidRDefault="00520059" w:rsidP="00520059"/>
    <w:p w14:paraId="476616AA" w14:textId="77777777" w:rsidR="00520059" w:rsidRPr="00520059" w:rsidRDefault="00520059" w:rsidP="00520059">
      <w:pPr>
        <w:rPr>
          <w:b/>
          <w:bCs/>
        </w:rPr>
      </w:pPr>
      <w:r w:rsidRPr="00520059">
        <w:rPr>
          <w:b/>
          <w:bCs/>
        </w:rPr>
        <w:t>Use of Financial Ratios:</w:t>
      </w:r>
    </w:p>
    <w:p w14:paraId="02CF4957" w14:textId="77777777" w:rsidR="00520059" w:rsidRDefault="00520059" w:rsidP="00520059">
      <w:r w:rsidRPr="00520059">
        <w:rPr>
          <w:b/>
          <w:bCs/>
        </w:rPr>
        <w:t>Performance Evaluation:</w:t>
      </w:r>
      <w:r>
        <w:t xml:space="preserve"> Ratios help evaluate a company's financial performance over time, highlighting trends and areas that need improvement. They are used to assess profitability, liquidity, solvency, and efficiency.</w:t>
      </w:r>
    </w:p>
    <w:p w14:paraId="7A05F256" w14:textId="77777777" w:rsidR="00520059" w:rsidRDefault="00520059" w:rsidP="00520059">
      <w:r w:rsidRPr="00520059">
        <w:rPr>
          <w:b/>
          <w:bCs/>
        </w:rPr>
        <w:t>Comparison:</w:t>
      </w:r>
      <w:r>
        <w:t xml:space="preserve"> Ratios enable companies to compare their financial performance with industry peers, competitors, or benchmarks. This helps identify strengths and weaknesses relative to others in the same industry.</w:t>
      </w:r>
    </w:p>
    <w:p w14:paraId="085EE4B0" w14:textId="77777777" w:rsidR="00520059" w:rsidRDefault="00520059" w:rsidP="00520059">
      <w:r w:rsidRPr="00520059">
        <w:rPr>
          <w:b/>
          <w:bCs/>
        </w:rPr>
        <w:t>Forecasting:</w:t>
      </w:r>
      <w:r>
        <w:t xml:space="preserve"> Ratios are often used in financial forecasting. Historical data can inform future projections, helping with budgeting and financial planning.</w:t>
      </w:r>
    </w:p>
    <w:p w14:paraId="0431A573" w14:textId="77777777" w:rsidR="00520059" w:rsidRDefault="00520059" w:rsidP="00520059">
      <w:r w:rsidRPr="00520059">
        <w:rPr>
          <w:b/>
          <w:bCs/>
        </w:rPr>
        <w:t>Risk Assessment:</w:t>
      </w:r>
      <w:r>
        <w:t xml:space="preserve"> Ratios can help identify financial risks, such as liquidity issues or high debt levels, allowing companies to take corrective actions before problems escalate.</w:t>
      </w:r>
    </w:p>
    <w:p w14:paraId="70FFE905" w14:textId="77777777" w:rsidR="00520059" w:rsidRDefault="00520059" w:rsidP="00520059">
      <w:r w:rsidRPr="00520059">
        <w:rPr>
          <w:b/>
          <w:bCs/>
        </w:rPr>
        <w:t>Investor Decision-Making:</w:t>
      </w:r>
      <w:r>
        <w:t xml:space="preserve"> Investors use ratios to assess the financial health of potential investment targets. They help investors make informed decisions about buying, holding, or selling securities.</w:t>
      </w:r>
    </w:p>
    <w:p w14:paraId="249B4CBE" w14:textId="6E55E03C" w:rsidR="00520059" w:rsidRDefault="00000000" w:rsidP="008C0087">
      <w:pPr>
        <w:jc w:val="right"/>
      </w:pPr>
      <w:sdt>
        <w:sdtPr>
          <w:id w:val="1095592277"/>
          <w:citation/>
        </w:sdtPr>
        <w:sdtContent>
          <w:r w:rsidR="008C0087">
            <w:fldChar w:fldCharType="begin"/>
          </w:r>
          <w:r w:rsidR="008C0087">
            <w:instrText xml:space="preserve"> CITATION Pau13 \l 2057 </w:instrText>
          </w:r>
          <w:r w:rsidR="008C0087">
            <w:fldChar w:fldCharType="separate"/>
          </w:r>
          <w:r w:rsidR="00354BF0" w:rsidRPr="00354BF0">
            <w:rPr>
              <w:noProof/>
            </w:rPr>
            <w:t>(Weetman, 2013)</w:t>
          </w:r>
          <w:r w:rsidR="008C0087">
            <w:fldChar w:fldCharType="end"/>
          </w:r>
        </w:sdtContent>
      </w:sdt>
    </w:p>
    <w:p w14:paraId="74DBEC76" w14:textId="77777777" w:rsidR="00520059" w:rsidRPr="00520059" w:rsidRDefault="00520059" w:rsidP="00520059">
      <w:pPr>
        <w:rPr>
          <w:b/>
          <w:bCs/>
        </w:rPr>
      </w:pPr>
      <w:r w:rsidRPr="00520059">
        <w:rPr>
          <w:b/>
          <w:bCs/>
        </w:rPr>
        <w:t>Limitations of Financial Ratios:</w:t>
      </w:r>
    </w:p>
    <w:p w14:paraId="34F2050B" w14:textId="77777777" w:rsidR="00520059" w:rsidRDefault="00520059" w:rsidP="00520059">
      <w:r w:rsidRPr="00520059">
        <w:rPr>
          <w:b/>
          <w:bCs/>
        </w:rPr>
        <w:t>Historical Data:</w:t>
      </w:r>
      <w:r>
        <w:t xml:space="preserve"> Ratios are based on historical financial statements, which may not reflect current market conditions or future trends. They provide a snapshot of the past but may not predict the future accurately.</w:t>
      </w:r>
    </w:p>
    <w:p w14:paraId="0F8F241A" w14:textId="77777777" w:rsidR="00520059" w:rsidRDefault="00520059" w:rsidP="00520059">
      <w:r w:rsidRPr="00520059">
        <w:rPr>
          <w:b/>
          <w:bCs/>
        </w:rPr>
        <w:t>Industry Differences:</w:t>
      </w:r>
      <w:r>
        <w:t xml:space="preserve"> Different industries have varying financial structures and operating norms. Comparing ratios across industries may not be meaningful due to these variations.</w:t>
      </w:r>
    </w:p>
    <w:p w14:paraId="26DB95A0" w14:textId="77777777" w:rsidR="00520059" w:rsidRDefault="00520059" w:rsidP="00520059">
      <w:r w:rsidRPr="00520059">
        <w:rPr>
          <w:b/>
          <w:bCs/>
        </w:rPr>
        <w:t>Lack of Context:</w:t>
      </w:r>
      <w:r>
        <w:t xml:space="preserve"> Ratios provide numbers but not the context behind them. A high or low ratio may not tell the full story without understanding the company's unique circumstances.</w:t>
      </w:r>
    </w:p>
    <w:p w14:paraId="364847B2" w14:textId="0DD68310" w:rsidR="00520059" w:rsidRDefault="00520059" w:rsidP="00520059">
      <w:r w:rsidRPr="00520059">
        <w:rPr>
          <w:b/>
          <w:bCs/>
        </w:rPr>
        <w:t>Manipulation:</w:t>
      </w:r>
      <w:r>
        <w:t xml:space="preserve"> Companies can manipulate financial statements to improve ratios temporarily. This can mislead stakeholders, emphasi</w:t>
      </w:r>
      <w:r w:rsidR="00C21C44">
        <w:t>s</w:t>
      </w:r>
      <w:r>
        <w:t>ing the need for additional due diligence.</w:t>
      </w:r>
    </w:p>
    <w:p w14:paraId="4654A408" w14:textId="77777777" w:rsidR="00520059" w:rsidRDefault="00520059" w:rsidP="00520059">
      <w:r w:rsidRPr="00520059">
        <w:rPr>
          <w:b/>
          <w:bCs/>
        </w:rPr>
        <w:t>No Accounting for Non-Financial Factors:</w:t>
      </w:r>
      <w:r>
        <w:t xml:space="preserve"> Ratios focus solely on financial data and do not account for non-financial factors like management quality, market dynamics, or industry disruptions.</w:t>
      </w:r>
    </w:p>
    <w:p w14:paraId="18241F16" w14:textId="77777777" w:rsidR="00520059" w:rsidRDefault="00520059" w:rsidP="00520059">
      <w:r w:rsidRPr="00520059">
        <w:rPr>
          <w:b/>
          <w:bCs/>
        </w:rPr>
        <w:t>Incomplete Picture:</w:t>
      </w:r>
      <w:r>
        <w:t xml:space="preserve"> Ratios provide a limited view of a company's overall health. Other factors like competitive positioning, customer satisfaction, and market trends must also be considered.</w:t>
      </w:r>
    </w:p>
    <w:p w14:paraId="105B2385" w14:textId="77777777" w:rsidR="00520059" w:rsidRDefault="00520059" w:rsidP="00520059">
      <w:r w:rsidRPr="00520059">
        <w:rPr>
          <w:b/>
          <w:bCs/>
        </w:rPr>
        <w:t>Not All Ratios Are Relevant:</w:t>
      </w:r>
      <w:r>
        <w:t xml:space="preserve"> Some ratios may not be applicable to certain industries or companies. Using irrelevant ratios can lead to misinterpretation.</w:t>
      </w:r>
    </w:p>
    <w:p w14:paraId="0A965DD4" w14:textId="77777777" w:rsidR="00520059" w:rsidRDefault="00520059" w:rsidP="00520059">
      <w:r w:rsidRPr="00520059">
        <w:rPr>
          <w:b/>
          <w:bCs/>
        </w:rPr>
        <w:lastRenderedPageBreak/>
        <w:t>Ratios Alone Aren't Decisive:</w:t>
      </w:r>
      <w:r>
        <w:t xml:space="preserve"> Ratios are a part of financial analysis but should not be the sole basis for decision-making. They should be considered alongside qualitative factors and a broader understanding of the business.</w:t>
      </w:r>
    </w:p>
    <w:p w14:paraId="459A405E" w14:textId="57ED230E" w:rsidR="00520059" w:rsidRDefault="00000000" w:rsidP="00FC7B8F">
      <w:pPr>
        <w:jc w:val="right"/>
      </w:pPr>
      <w:sdt>
        <w:sdtPr>
          <w:id w:val="1957367969"/>
          <w:citation/>
        </w:sdtPr>
        <w:sdtContent>
          <w:r w:rsidR="00FC7B8F">
            <w:fldChar w:fldCharType="begin"/>
          </w:r>
          <w:r w:rsidR="00FC7B8F">
            <w:instrText xml:space="preserve"> CITATION Jos15 \l 2057 </w:instrText>
          </w:r>
          <w:r w:rsidR="00FC7B8F">
            <w:fldChar w:fldCharType="separate"/>
          </w:r>
          <w:r w:rsidR="00354BF0" w:rsidRPr="00354BF0">
            <w:rPr>
              <w:noProof/>
            </w:rPr>
            <w:t>(Faello, 2015)</w:t>
          </w:r>
          <w:r w:rsidR="00FC7B8F">
            <w:fldChar w:fldCharType="end"/>
          </w:r>
        </w:sdtContent>
      </w:sdt>
    </w:p>
    <w:p w14:paraId="4AEB5BD8" w14:textId="49A43263" w:rsidR="00333C64" w:rsidRDefault="00520059" w:rsidP="00520059">
      <w:r>
        <w:t>In summary, financial ratios are valuable tools for assessing financial performance and risk, but they have limitations. It's crucial to use them in conjunction with other information, consider the context, and be aware of the inherent constraints when making financial decisions or evaluating a company's financial health.</w:t>
      </w:r>
    </w:p>
    <w:p w14:paraId="4E985C4F" w14:textId="77777777" w:rsidR="009F0164" w:rsidRDefault="009F0164">
      <w:pPr>
        <w:rPr>
          <w:rFonts w:asciiTheme="majorHAnsi" w:eastAsiaTheme="majorEastAsia" w:hAnsiTheme="majorHAnsi" w:cstheme="majorBidi"/>
          <w:color w:val="5E220D" w:themeColor="accent1" w:themeShade="80"/>
          <w:sz w:val="36"/>
          <w:szCs w:val="36"/>
        </w:rPr>
      </w:pPr>
      <w:r>
        <w:br w:type="page"/>
      </w:r>
    </w:p>
    <w:p w14:paraId="6EEEDA2A" w14:textId="001C092B" w:rsidR="00A60EA9" w:rsidRDefault="00A60EA9" w:rsidP="00A60EA9">
      <w:pPr>
        <w:pStyle w:val="Heading1"/>
      </w:pPr>
      <w:bookmarkStart w:id="4" w:name="_Toc145871016"/>
      <w:r>
        <w:lastRenderedPageBreak/>
        <w:t>Ratios</w:t>
      </w:r>
      <w:r w:rsidR="00333C64">
        <w:t xml:space="preserve"> Analysis</w:t>
      </w:r>
      <w:bookmarkEnd w:id="4"/>
    </w:p>
    <w:p w14:paraId="7A8A01F5" w14:textId="77777777" w:rsidR="003855C5" w:rsidRDefault="003855C5"/>
    <w:p w14:paraId="3422B09E" w14:textId="77777777" w:rsidR="003855C5" w:rsidRDefault="003855C5" w:rsidP="003855C5">
      <w:pPr>
        <w:pStyle w:val="Heading2"/>
      </w:pPr>
      <w:bookmarkStart w:id="5" w:name="_Toc145871017"/>
      <w:r>
        <w:t>Profitability Ratio</w:t>
      </w:r>
      <w:bookmarkEnd w:id="5"/>
    </w:p>
    <w:p w14:paraId="5C88AEE1" w14:textId="77777777" w:rsidR="003855C5" w:rsidRDefault="003855C5"/>
    <w:p w14:paraId="30E35DD3" w14:textId="77777777" w:rsidR="004D5786" w:rsidRPr="004D5786" w:rsidRDefault="003855C5">
      <w:pPr>
        <w:rPr>
          <w:b/>
          <w:bCs/>
        </w:rPr>
      </w:pPr>
      <w:r w:rsidRPr="004D5786">
        <w:rPr>
          <w:b/>
          <w:bCs/>
        </w:rPr>
        <w:t>Margin Ratios</w:t>
      </w:r>
    </w:p>
    <w:p w14:paraId="2782A32E" w14:textId="1D48EAAC" w:rsidR="00C1645C" w:rsidRDefault="004D5786" w:rsidP="00C1645C">
      <w:pPr>
        <w:ind w:firstLine="720"/>
      </w:pPr>
      <w:r w:rsidRPr="004D5786">
        <w:rPr>
          <w:b/>
          <w:bCs/>
        </w:rPr>
        <w:t>Gross Margin</w:t>
      </w:r>
      <w:r>
        <w:t>-</w:t>
      </w:r>
      <w:r w:rsidR="00C1645C">
        <w:t xml:space="preserve"> Aston Martin’s gross profit margin increased from approximately 31.</w:t>
      </w:r>
      <w:r w:rsidR="00BA6DC0">
        <w:t>38</w:t>
      </w:r>
      <w:r w:rsidR="00C1645C">
        <w:t>% in 2021 to 32.6</w:t>
      </w:r>
      <w:r w:rsidR="00BA6DC0">
        <w:t>2</w:t>
      </w:r>
      <w:r w:rsidR="00C1645C">
        <w:t>% in 2022. This indicates that the company became more efficient in generating profits from its core business activities.  An increasing gross profit margin can be a positive sign, as it suggests that the company may have improved its pricing strategy, cost management, or product mix, resulting in higher profitability at the gross level.</w:t>
      </w:r>
    </w:p>
    <w:p w14:paraId="71729D82" w14:textId="7889EFF9" w:rsidR="00C1645C" w:rsidRDefault="00C1645C" w:rsidP="00C1645C">
      <w:pPr>
        <w:ind w:firstLine="720"/>
      </w:pPr>
      <w:r>
        <w:t xml:space="preserve">The gross profit margin </w:t>
      </w:r>
      <w:r w:rsidR="001F3EDD">
        <w:t>indicates Aston Martin spends just under 70p direct costs for every £1 in sales</w:t>
      </w:r>
      <w:r>
        <w:t xml:space="preserve">. </w:t>
      </w:r>
      <w:sdt>
        <w:sdtPr>
          <w:id w:val="-1672250160"/>
          <w:citation/>
        </w:sdtPr>
        <w:sdtContent>
          <w:r w:rsidR="009D20C1">
            <w:fldChar w:fldCharType="begin"/>
          </w:r>
          <w:r w:rsidR="009D20C1">
            <w:instrText xml:space="preserve"> CITATION Ber12 \l 2057 </w:instrText>
          </w:r>
          <w:r w:rsidR="009D20C1">
            <w:fldChar w:fldCharType="separate"/>
          </w:r>
          <w:r w:rsidR="00354BF0" w:rsidRPr="00354BF0">
            <w:rPr>
              <w:noProof/>
            </w:rPr>
            <w:t>(Marr, 2012)</w:t>
          </w:r>
          <w:r w:rsidR="009D20C1">
            <w:fldChar w:fldCharType="end"/>
          </w:r>
        </w:sdtContent>
      </w:sdt>
      <w:r w:rsidR="00492D25">
        <w:t xml:space="preserve">. </w:t>
      </w:r>
      <w:r>
        <w:t>It provides insights into the company's ability to cover its variable costs and contribute to fixed expenses and profits.</w:t>
      </w:r>
      <w:r w:rsidR="00984E48">
        <w:t xml:space="preserve">  </w:t>
      </w:r>
    </w:p>
    <w:p w14:paraId="251D8D3D" w14:textId="072D9EF5" w:rsidR="002F5714" w:rsidRDefault="004D5786" w:rsidP="002F5714">
      <w:pPr>
        <w:ind w:firstLine="720"/>
      </w:pPr>
      <w:r w:rsidRPr="004D5786">
        <w:rPr>
          <w:b/>
          <w:bCs/>
        </w:rPr>
        <w:t>Operating Margin</w:t>
      </w:r>
      <w:r>
        <w:t xml:space="preserve"> -</w:t>
      </w:r>
      <w:r w:rsidR="002F5714">
        <w:t xml:space="preserve"> Both in 2022 and 2021, </w:t>
      </w:r>
      <w:r w:rsidR="001F3EDD">
        <w:t>Aston Martin</w:t>
      </w:r>
      <w:r w:rsidR="002F5714">
        <w:t xml:space="preserve"> had negative operating profit margins, indicating that the company's core operations were not profitable during those years.</w:t>
      </w:r>
    </w:p>
    <w:p w14:paraId="79EF8826" w14:textId="3A80307E" w:rsidR="00382262" w:rsidRDefault="002F5714" w:rsidP="002F5714">
      <w:pPr>
        <w:ind w:firstLine="720"/>
      </w:pPr>
      <w:r>
        <w:t>The decrease in operating profit margin from -6.78% in 2021 to -8.5</w:t>
      </w:r>
      <w:r w:rsidR="008576D7">
        <w:t>3</w:t>
      </w:r>
      <w:r>
        <w:t>% in 2022 suggests that the company's operating performance deteriorated over this period.</w:t>
      </w:r>
      <w:r w:rsidR="0049212B">
        <w:t xml:space="preserve">  </w:t>
      </w:r>
      <w:r>
        <w:t>Negative operating margins may raise concerns about the company's ability to cover its operating expenses with its revenue</w:t>
      </w:r>
      <w:r w:rsidR="00D57A7F">
        <w:t>.</w:t>
      </w:r>
      <w:r w:rsidR="007369C6">
        <w:t xml:space="preserve"> </w:t>
      </w:r>
    </w:p>
    <w:p w14:paraId="78AC0DA8" w14:textId="77777777" w:rsidR="006A5A4B" w:rsidRDefault="006A5A4B" w:rsidP="006A5A4B">
      <w:pPr>
        <w:ind w:firstLine="720"/>
      </w:pPr>
    </w:p>
    <w:p w14:paraId="32D9B5BA" w14:textId="2C05E196" w:rsidR="006A5A4B" w:rsidRDefault="00382262" w:rsidP="006A5A4B">
      <w:pPr>
        <w:rPr>
          <w:b/>
          <w:bCs/>
        </w:rPr>
      </w:pPr>
      <w:r w:rsidRPr="006A5A4B">
        <w:rPr>
          <w:b/>
          <w:bCs/>
        </w:rPr>
        <w:t>Return Ratios</w:t>
      </w:r>
    </w:p>
    <w:p w14:paraId="41E39145" w14:textId="6AE12E81" w:rsidR="002476FA" w:rsidRPr="002476FA" w:rsidRDefault="006A5A4B" w:rsidP="00020479">
      <w:r>
        <w:rPr>
          <w:b/>
          <w:bCs/>
        </w:rPr>
        <w:tab/>
        <w:t xml:space="preserve">Net Profit Margin – </w:t>
      </w:r>
      <w:r w:rsidR="002476FA">
        <w:t>Aston Martin’s</w:t>
      </w:r>
      <w:r w:rsidR="002476FA" w:rsidRPr="002476FA">
        <w:t xml:space="preserve"> net profit margin deteriorated from approximately </w:t>
      </w:r>
      <w:r w:rsidR="00BA6DC0">
        <w:t>-17.28</w:t>
      </w:r>
      <w:r w:rsidR="002476FA" w:rsidRPr="002476FA">
        <w:t>% in 2021 to -</w:t>
      </w:r>
      <w:r w:rsidR="00BA6DC0">
        <w:t>38.2</w:t>
      </w:r>
      <w:r w:rsidR="002476FA" w:rsidRPr="002476FA">
        <w:t>% in 2022. This indicates a larger net loss relative to revenue in 2022 compared to the previous year.</w:t>
      </w:r>
      <w:r w:rsidR="002476FA">
        <w:t xml:space="preserve">  </w:t>
      </w:r>
      <w:r w:rsidR="002476FA" w:rsidRPr="002476FA">
        <w:t>The negative net profit margin for both years indicates that the company incurred net losses. This is a concern, as it suggests that the company's expenses, including operating expenses, interest, and taxes, exceeded its revenue.</w:t>
      </w:r>
      <w:r w:rsidR="009C597B">
        <w:tab/>
      </w:r>
      <w:r w:rsidR="002476FA" w:rsidRPr="002476FA">
        <w:t>The decrease in net profit margin indicates worsening profitability.</w:t>
      </w:r>
      <w:r w:rsidR="009C597B">
        <w:t xml:space="preserve"> </w:t>
      </w:r>
      <w:sdt>
        <w:sdtPr>
          <w:id w:val="-1047759605"/>
          <w:citation/>
        </w:sdtPr>
        <w:sdtContent>
          <w:r w:rsidR="00020479">
            <w:fldChar w:fldCharType="begin"/>
          </w:r>
          <w:r w:rsidR="00020479">
            <w:instrText xml:space="preserve"> CITATION Nar20 \l 2057 </w:instrText>
          </w:r>
          <w:r w:rsidR="00020479">
            <w:fldChar w:fldCharType="separate"/>
          </w:r>
          <w:r w:rsidR="00354BF0" w:rsidRPr="00354BF0">
            <w:rPr>
              <w:noProof/>
            </w:rPr>
            <w:t>(Nariswari &amp; Nugraha, 2020)</w:t>
          </w:r>
          <w:r w:rsidR="00020479">
            <w:fldChar w:fldCharType="end"/>
          </w:r>
        </w:sdtContent>
      </w:sdt>
    </w:p>
    <w:p w14:paraId="0EDDEE16" w14:textId="26BE54EF" w:rsidR="006E7D6A" w:rsidRPr="006E7D6A" w:rsidRDefault="009E681E" w:rsidP="006E7D6A">
      <w:r>
        <w:rPr>
          <w:b/>
          <w:bCs/>
        </w:rPr>
        <w:tab/>
        <w:t>Return on Assets</w:t>
      </w:r>
      <w:r w:rsidR="0099254A">
        <w:rPr>
          <w:b/>
          <w:bCs/>
        </w:rPr>
        <w:t xml:space="preserve"> (ROA)</w:t>
      </w:r>
      <w:r>
        <w:rPr>
          <w:b/>
          <w:bCs/>
        </w:rPr>
        <w:t xml:space="preserve"> – </w:t>
      </w:r>
      <w:r w:rsidR="006E7D6A" w:rsidRPr="006E7D6A">
        <w:t xml:space="preserve">Both in 2022 and 2021, </w:t>
      </w:r>
      <w:r w:rsidR="006E7D6A">
        <w:t>Aston Martin</w:t>
      </w:r>
      <w:r w:rsidR="006E7D6A" w:rsidRPr="006E7D6A">
        <w:t xml:space="preserve"> had negative ROA, indicating that the company's assets did not generate sufficient earnings to cover expenses.</w:t>
      </w:r>
      <w:r w:rsidR="006E7D6A">
        <w:t xml:space="preserve">  </w:t>
      </w:r>
      <w:r w:rsidR="006E7D6A" w:rsidRPr="006E7D6A">
        <w:t>The decrease in ROA from -</w:t>
      </w:r>
      <w:r w:rsidR="00745D4D">
        <w:t>6.66</w:t>
      </w:r>
      <w:r w:rsidR="006E7D6A" w:rsidRPr="006E7D6A">
        <w:t>% in 2021 to -</w:t>
      </w:r>
      <w:r w:rsidR="00745D4D">
        <w:t>17</w:t>
      </w:r>
      <w:r w:rsidR="006E7D6A" w:rsidRPr="006E7D6A">
        <w:t>% in 2022 suggests a worsening in the company's ability to generate earnings relative to its asset base.</w:t>
      </w:r>
      <w:r w:rsidR="006E7D6A">
        <w:t xml:space="preserve">  </w:t>
      </w:r>
      <w:r w:rsidR="006E7D6A" w:rsidRPr="006E7D6A">
        <w:t>Negative ROA is a significant concern, as it indicates inefficiency in asset utili</w:t>
      </w:r>
      <w:r w:rsidR="00C21C44">
        <w:t>s</w:t>
      </w:r>
      <w:r w:rsidR="006E7D6A" w:rsidRPr="006E7D6A">
        <w:t>ation and a failure to generate profits from investments in assets.</w:t>
      </w:r>
    </w:p>
    <w:p w14:paraId="26B8A88E" w14:textId="506D0277" w:rsidR="006E7D6A" w:rsidRPr="006E7D6A" w:rsidRDefault="00DC584E" w:rsidP="00C73DB7">
      <w:pPr>
        <w:ind w:firstLine="720"/>
      </w:pPr>
      <w:r>
        <w:t>T</w:t>
      </w:r>
      <w:r w:rsidR="006E7D6A" w:rsidRPr="006E7D6A">
        <w:t xml:space="preserve">he negative ROA for </w:t>
      </w:r>
      <w:r w:rsidR="003E4F50">
        <w:t>Aston Martin</w:t>
      </w:r>
      <w:r w:rsidR="006E7D6A" w:rsidRPr="006E7D6A">
        <w:t xml:space="preserve"> in both 2022 and 2021 highlights the need for significant improvements in asset utili</w:t>
      </w:r>
      <w:r w:rsidR="00C21C44">
        <w:t>s</w:t>
      </w:r>
      <w:r w:rsidR="006E7D6A" w:rsidRPr="006E7D6A">
        <w:t>ation and overall financial performance. Addressing the underlying issues affecting ROA is crucial for the company's long-term sustainability and profitability.</w:t>
      </w:r>
      <w:r w:rsidR="00F36D27">
        <w:t xml:space="preserve"> </w:t>
      </w:r>
      <w:sdt>
        <w:sdtPr>
          <w:id w:val="-1694919684"/>
          <w:citation/>
        </w:sdtPr>
        <w:sdtContent>
          <w:r w:rsidR="00F257A6">
            <w:fldChar w:fldCharType="begin"/>
          </w:r>
          <w:r w:rsidR="00F257A6">
            <w:instrText xml:space="preserve"> CITATION Fil19 \l 2057 </w:instrText>
          </w:r>
          <w:r w:rsidR="00F257A6">
            <w:fldChar w:fldCharType="separate"/>
          </w:r>
          <w:r w:rsidR="00354BF0" w:rsidRPr="00354BF0">
            <w:rPr>
              <w:noProof/>
            </w:rPr>
            <w:t>(Filatov, 2019)</w:t>
          </w:r>
          <w:r w:rsidR="00F257A6">
            <w:fldChar w:fldCharType="end"/>
          </w:r>
        </w:sdtContent>
      </w:sdt>
    </w:p>
    <w:p w14:paraId="65D7650A" w14:textId="4912B619" w:rsidR="007926E1" w:rsidRPr="007926E1" w:rsidRDefault="004936B3" w:rsidP="007926E1">
      <w:r>
        <w:rPr>
          <w:b/>
          <w:bCs/>
        </w:rPr>
        <w:tab/>
        <w:t>Return on Equity</w:t>
      </w:r>
      <w:r w:rsidR="0099254A">
        <w:rPr>
          <w:b/>
          <w:bCs/>
        </w:rPr>
        <w:t xml:space="preserve"> (ROE)</w:t>
      </w:r>
      <w:r>
        <w:rPr>
          <w:b/>
          <w:bCs/>
        </w:rPr>
        <w:t xml:space="preserve"> – </w:t>
      </w:r>
      <w:r w:rsidR="007926E1" w:rsidRPr="007926E1">
        <w:t xml:space="preserve">Both in 2022 and 2021, </w:t>
      </w:r>
      <w:r w:rsidR="007926E1">
        <w:t>Aston Martin</w:t>
      </w:r>
      <w:r w:rsidR="007926E1" w:rsidRPr="007926E1">
        <w:t xml:space="preserve"> had negative ROE, indicating that the company incurred losses that exceeded its shareholders' equity.</w:t>
      </w:r>
      <w:r w:rsidR="007926E1">
        <w:t xml:space="preserve">  </w:t>
      </w:r>
      <w:r w:rsidR="007926E1" w:rsidRPr="007926E1">
        <w:t>The decrease in ROE from -</w:t>
      </w:r>
      <w:r w:rsidR="008F5602">
        <w:t>28.6</w:t>
      </w:r>
      <w:r w:rsidR="00E931EA">
        <w:t>6</w:t>
      </w:r>
      <w:r w:rsidR="007926E1" w:rsidRPr="007926E1">
        <w:t>% in 2021 to -</w:t>
      </w:r>
      <w:r w:rsidR="008F5602">
        <w:t>68.3</w:t>
      </w:r>
      <w:r w:rsidR="000F5D44">
        <w:t>1</w:t>
      </w:r>
      <w:r w:rsidR="007926E1" w:rsidRPr="007926E1">
        <w:t>% in 2022 suggests a significant deterioration in the company's ability to generate returns for its shareholders' equity.</w:t>
      </w:r>
      <w:r w:rsidR="0049111A">
        <w:t xml:space="preserve">  </w:t>
      </w:r>
      <w:r w:rsidR="007926E1" w:rsidRPr="007926E1">
        <w:t>Negative ROE is a</w:t>
      </w:r>
      <w:r w:rsidR="0049111A">
        <w:t>nother</w:t>
      </w:r>
      <w:r w:rsidR="007926E1" w:rsidRPr="007926E1">
        <w:t xml:space="preserve"> significant concern, </w:t>
      </w:r>
      <w:r w:rsidR="007926E1" w:rsidRPr="007926E1">
        <w:lastRenderedPageBreak/>
        <w:t>as it indicates that the company's losses have eroded shareholders' equity, potentially affecting the company's financial stability.</w:t>
      </w:r>
    </w:p>
    <w:p w14:paraId="3CCD6AF7" w14:textId="77777777" w:rsidR="00401B7A" w:rsidRDefault="00401B7A" w:rsidP="002F5714">
      <w:pPr>
        <w:ind w:firstLine="720"/>
      </w:pPr>
    </w:p>
    <w:p w14:paraId="133F6BB8" w14:textId="78A4F1E5" w:rsidR="00401B7A" w:rsidRDefault="00401B7A" w:rsidP="00401B7A">
      <w:pPr>
        <w:pStyle w:val="Heading2"/>
      </w:pPr>
      <w:bookmarkStart w:id="6" w:name="_Toc145871018"/>
      <w:r>
        <w:t>Liquidity Ratio</w:t>
      </w:r>
      <w:r w:rsidR="0077722A">
        <w:t>s</w:t>
      </w:r>
      <w:bookmarkEnd w:id="6"/>
    </w:p>
    <w:p w14:paraId="613A4394" w14:textId="77777777" w:rsidR="00401B7A" w:rsidRDefault="00401B7A" w:rsidP="002F5714">
      <w:pPr>
        <w:ind w:firstLine="720"/>
      </w:pPr>
    </w:p>
    <w:p w14:paraId="51672780" w14:textId="07C97004" w:rsidR="0077722A" w:rsidRDefault="0077722A" w:rsidP="002F5714">
      <w:pPr>
        <w:ind w:firstLine="720"/>
      </w:pPr>
      <w:r>
        <w:rPr>
          <w:b/>
          <w:bCs/>
        </w:rPr>
        <w:t xml:space="preserve">Current Ratio </w:t>
      </w:r>
      <w:r>
        <w:t xml:space="preserve">- </w:t>
      </w:r>
      <w:r w:rsidRPr="0077722A">
        <w:t>The increase in the Current Ratio from 2021 to 2022 (0.96 to 1.08) indicates an improvement in short-term liquidity, as the company had a higher proportion of current assets relative to current liabilities in 2022.</w:t>
      </w:r>
      <w:r>
        <w:t xml:space="preserve">  </w:t>
      </w:r>
      <w:r w:rsidRPr="0077722A">
        <w:t>However, it's essential to assess the company's specific working capital needs to determine if this level of liquidity is adequate for its operations and financial obligations.</w:t>
      </w:r>
      <w:r w:rsidR="002440BD">
        <w:t xml:space="preserve"> </w:t>
      </w:r>
      <w:sdt>
        <w:sdtPr>
          <w:id w:val="16516579"/>
          <w:citation/>
        </w:sdtPr>
        <w:sdtContent>
          <w:r w:rsidR="00EF0D58">
            <w:fldChar w:fldCharType="begin"/>
          </w:r>
          <w:r w:rsidR="00EF0D58">
            <w:instrText xml:space="preserve"> CITATION Mao23 \l 2057 </w:instrText>
          </w:r>
          <w:r w:rsidR="00EF0D58">
            <w:fldChar w:fldCharType="separate"/>
          </w:r>
          <w:r w:rsidR="00354BF0" w:rsidRPr="00354BF0">
            <w:rPr>
              <w:noProof/>
            </w:rPr>
            <w:t>(Mao, 2023)</w:t>
          </w:r>
          <w:r w:rsidR="00EF0D58">
            <w:fldChar w:fldCharType="end"/>
          </w:r>
        </w:sdtContent>
      </w:sdt>
    </w:p>
    <w:p w14:paraId="53BED6E6" w14:textId="15D04A89" w:rsidR="0077722A" w:rsidRDefault="0077722A" w:rsidP="002F5714">
      <w:pPr>
        <w:ind w:firstLine="720"/>
      </w:pPr>
      <w:r w:rsidRPr="0077722A">
        <w:t>Overall, the Current Ratio provides a snapshot of a company's liquidity position, and an increase in this ratio is generally viewed positively in terms of short-term financial health.</w:t>
      </w:r>
    </w:p>
    <w:p w14:paraId="6B2E88F2" w14:textId="0A987603" w:rsidR="004A5DF1" w:rsidRDefault="004A5DF1" w:rsidP="004A5DF1">
      <w:pPr>
        <w:ind w:firstLine="720"/>
      </w:pPr>
      <w:r w:rsidRPr="00B6134A">
        <w:rPr>
          <w:b/>
          <w:bCs/>
        </w:rPr>
        <w:t>Quick Ratio/Acid Test Ratio</w:t>
      </w:r>
      <w:r>
        <w:t xml:space="preserve">: </w:t>
      </w:r>
      <w:r w:rsidR="00842AB0" w:rsidRPr="00842AB0">
        <w:t xml:space="preserve">The </w:t>
      </w:r>
      <w:r w:rsidR="00BB1079">
        <w:t>Quick</w:t>
      </w:r>
      <w:r w:rsidR="00842AB0" w:rsidRPr="00842AB0">
        <w:t xml:space="preserve"> Ratio for </w:t>
      </w:r>
      <w:r w:rsidR="00650913">
        <w:t>Aston Martin</w:t>
      </w:r>
      <w:r w:rsidR="00842AB0" w:rsidRPr="00842AB0">
        <w:t xml:space="preserve"> improved from </w:t>
      </w:r>
      <w:r w:rsidR="00443022">
        <w:t>131.4</w:t>
      </w:r>
      <w:r w:rsidR="00842AB0" w:rsidRPr="00842AB0">
        <w:t xml:space="preserve">% in 2021 to </w:t>
      </w:r>
      <w:r w:rsidR="00443022">
        <w:t>145.7</w:t>
      </w:r>
      <w:r w:rsidR="00842AB0" w:rsidRPr="00842AB0">
        <w:t>% in 2022. This indicates an enhancement in the company's short-term liquidity position. A higher ratio suggests a larger proportion of highly liquid assets relative to short-term liabilities in 2022, which is generally a positive sign</w:t>
      </w:r>
      <w:r w:rsidR="00370932">
        <w:t xml:space="preserve"> and the</w:t>
      </w:r>
      <w:r w:rsidR="00250E0D">
        <w:t xml:space="preserve"> </w:t>
      </w:r>
      <w:r w:rsidR="00250E0D" w:rsidRPr="00250E0D">
        <w:t>comfortable level of short-term liquidity to meet its immediate financial obligations may provide a sense of security to stakeholders and creditors.</w:t>
      </w:r>
    </w:p>
    <w:p w14:paraId="619C988C" w14:textId="4C02C24B" w:rsidR="00173155" w:rsidRDefault="00173155" w:rsidP="004A5DF1">
      <w:pPr>
        <w:ind w:firstLine="720"/>
      </w:pPr>
      <w:r w:rsidRPr="00173155">
        <w:t xml:space="preserve">The improvement in the </w:t>
      </w:r>
      <w:r w:rsidR="00AD3D75">
        <w:t>Quick</w:t>
      </w:r>
      <w:r w:rsidRPr="00173155">
        <w:t xml:space="preserve"> Ratio from 2021 to 2022 indicates that the company may have taken measures to strengthen its liquidity position. This is particularly important given the challenging financial year in 2022, as reflected in the reported losses.</w:t>
      </w:r>
    </w:p>
    <w:p w14:paraId="0BDEE95E" w14:textId="6BC98040" w:rsidR="00F12E3E" w:rsidRDefault="00F12E3E" w:rsidP="004A5DF1">
      <w:pPr>
        <w:ind w:firstLine="720"/>
      </w:pPr>
      <w:r w:rsidRPr="00F12E3E">
        <w:t xml:space="preserve">In summary, the improvement in the </w:t>
      </w:r>
      <w:r w:rsidR="00AD3D75">
        <w:t>Quick</w:t>
      </w:r>
      <w:r w:rsidRPr="00F12E3E">
        <w:t xml:space="preserve"> Ratio for </w:t>
      </w:r>
      <w:r>
        <w:t xml:space="preserve">Aston </w:t>
      </w:r>
      <w:r w:rsidR="00C36E20">
        <w:t>Martin</w:t>
      </w:r>
      <w:r w:rsidRPr="00F12E3E">
        <w:t xml:space="preserve"> in 2022 is a positive sign for short-term liquidity</w:t>
      </w:r>
      <w:r w:rsidR="00C36E20">
        <w:t>.</w:t>
      </w:r>
    </w:p>
    <w:p w14:paraId="5B350B2F" w14:textId="648C4AEA" w:rsidR="002757C9" w:rsidRDefault="004A5DF1" w:rsidP="002F5714">
      <w:pPr>
        <w:ind w:firstLine="720"/>
      </w:pPr>
      <w:r w:rsidRPr="00B6134A">
        <w:rPr>
          <w:b/>
          <w:bCs/>
        </w:rPr>
        <w:t>Cash Ratio</w:t>
      </w:r>
      <w:r>
        <w:t>:</w:t>
      </w:r>
      <w:r w:rsidR="00046FF5">
        <w:t xml:space="preserve">  </w:t>
      </w:r>
      <w:r w:rsidR="00B55652" w:rsidRPr="00B55652">
        <w:t>The Cash Ratio increased from 46% in 2021 to 5</w:t>
      </w:r>
      <w:r w:rsidR="008946F2">
        <w:t>6</w:t>
      </w:r>
      <w:r w:rsidR="00B55652" w:rsidRPr="00B55652">
        <w:t xml:space="preserve">% in 2022. This indicates an improvement in </w:t>
      </w:r>
      <w:r w:rsidR="00B55652">
        <w:t>Aston Martin’s</w:t>
      </w:r>
      <w:r w:rsidR="00B55652" w:rsidRPr="00B55652">
        <w:t xml:space="preserve"> ability to cover its short-term liabilities using cash and cash equivalents alone.</w:t>
      </w:r>
    </w:p>
    <w:p w14:paraId="2D34CE68" w14:textId="7ABF4C05" w:rsidR="00B55652" w:rsidRDefault="00F55724" w:rsidP="002F5714">
      <w:pPr>
        <w:ind w:firstLine="720"/>
      </w:pPr>
      <w:r w:rsidRPr="00F55724">
        <w:t xml:space="preserve">Both ratios are significantly below 100%. This suggests that </w:t>
      </w:r>
      <w:r>
        <w:t>Aston Martin</w:t>
      </w:r>
      <w:r w:rsidRPr="00F55724">
        <w:t xml:space="preserve"> follows a conservative liquidity management strategy, holding a portion of its short-term liabilities in cash and cash equivalents but relying on other highly liquid assets, such as accounts receivable and inventory, to meet its obligations.</w:t>
      </w:r>
    </w:p>
    <w:p w14:paraId="12D745C5" w14:textId="206ABE06" w:rsidR="00D77338" w:rsidRDefault="00D77338" w:rsidP="002F5714">
      <w:pPr>
        <w:ind w:firstLine="720"/>
      </w:pPr>
      <w:r w:rsidRPr="00D77338">
        <w:t xml:space="preserve">The increase in the </w:t>
      </w:r>
      <w:r w:rsidR="00D37329">
        <w:t>Liquidity</w:t>
      </w:r>
      <w:r w:rsidRPr="00D77338">
        <w:t xml:space="preserve"> Ratio</w:t>
      </w:r>
      <w:r w:rsidR="00D37329">
        <w:t>s</w:t>
      </w:r>
      <w:r w:rsidRPr="00D77338">
        <w:t xml:space="preserve"> from 2021 to 2022 </w:t>
      </w:r>
      <w:r w:rsidR="004869BF">
        <w:t xml:space="preserve">is </w:t>
      </w:r>
      <w:r w:rsidR="00F835A4">
        <w:t xml:space="preserve">likely </w:t>
      </w:r>
      <w:r w:rsidR="004869BF">
        <w:t>a res</w:t>
      </w:r>
      <w:r w:rsidR="00F43948">
        <w:t xml:space="preserve">ult of </w:t>
      </w:r>
      <w:r w:rsidR="00A25D69">
        <w:t xml:space="preserve">Yew Tree Overseas Ltd, </w:t>
      </w:r>
      <w:r w:rsidR="003F2B3D">
        <w:t xml:space="preserve">Geely International and </w:t>
      </w:r>
      <w:r w:rsidR="009E5E9D">
        <w:t xml:space="preserve">Mercedes-Benz </w:t>
      </w:r>
      <w:r w:rsidR="004B58E3">
        <w:t>investment</w:t>
      </w:r>
      <w:r w:rsidR="00991CEC">
        <w:t xml:space="preserve"> subscribing to £335M of shares offered</w:t>
      </w:r>
      <w:r w:rsidR="00F835A4">
        <w:t xml:space="preserve"> through a £575M rights issue</w:t>
      </w:r>
      <w:r w:rsidR="00710336">
        <w:t>.  This was aiming to provide a “liquid</w:t>
      </w:r>
      <w:r w:rsidR="0043773E">
        <w:t>ity cushion to underpin and accelerate future capital expenditure”.</w:t>
      </w:r>
      <w:r w:rsidR="00595F3E">
        <w:t xml:space="preserve"> </w:t>
      </w:r>
      <w:sdt>
        <w:sdtPr>
          <w:id w:val="-1335527566"/>
          <w:citation/>
        </w:sdtPr>
        <w:sdtContent>
          <w:r w:rsidR="00595F3E">
            <w:fldChar w:fldCharType="begin"/>
          </w:r>
          <w:r w:rsidR="00595F3E">
            <w:instrText xml:space="preserve"> CITATION Mic22 \l 2057 </w:instrText>
          </w:r>
          <w:r w:rsidR="00595F3E">
            <w:fldChar w:fldCharType="separate"/>
          </w:r>
          <w:r w:rsidR="00354BF0" w:rsidRPr="00354BF0">
            <w:rPr>
              <w:noProof/>
            </w:rPr>
            <w:t>(Fahy, 2022)</w:t>
          </w:r>
          <w:r w:rsidR="00595F3E">
            <w:fldChar w:fldCharType="end"/>
          </w:r>
        </w:sdtContent>
      </w:sdt>
    </w:p>
    <w:p w14:paraId="0F18CA68" w14:textId="77777777" w:rsidR="000F161F" w:rsidRDefault="000F161F" w:rsidP="002F5714">
      <w:pPr>
        <w:ind w:firstLine="720"/>
      </w:pPr>
    </w:p>
    <w:p w14:paraId="2ECDF10B" w14:textId="750992AD" w:rsidR="000B6A8C" w:rsidRDefault="000B6A8C" w:rsidP="000B6A8C">
      <w:pPr>
        <w:pStyle w:val="Heading2"/>
      </w:pPr>
      <w:bookmarkStart w:id="7" w:name="_Toc145871019"/>
      <w:r>
        <w:t>L</w:t>
      </w:r>
      <w:r w:rsidR="00520059">
        <w:t>everage</w:t>
      </w:r>
      <w:r>
        <w:t xml:space="preserve"> Ratios</w:t>
      </w:r>
      <w:bookmarkEnd w:id="7"/>
    </w:p>
    <w:p w14:paraId="238615D9" w14:textId="2065330B" w:rsidR="00520059" w:rsidRDefault="00520059" w:rsidP="002F5714">
      <w:pPr>
        <w:ind w:firstLine="720"/>
        <w:rPr>
          <w:b/>
          <w:bCs/>
        </w:rPr>
      </w:pPr>
      <w:r>
        <w:rPr>
          <w:b/>
          <w:bCs/>
        </w:rPr>
        <w:t xml:space="preserve">Gearing Ratio – </w:t>
      </w:r>
      <w:r w:rsidR="00904078" w:rsidRPr="00904078">
        <w:t>This ratio provides insights into the extent to which non-current liabilities (long-term debt and obligations) contribute to the company's overall capital structure.</w:t>
      </w:r>
      <w:r w:rsidR="00EA04E6">
        <w:t xml:space="preserve"> </w:t>
      </w:r>
      <w:r w:rsidR="00EA04E6" w:rsidRPr="00EA04E6">
        <w:t>In 2021, the ratio was 65.9%, indicating that non-current liabilities contributed significantly to the company's capital structure.</w:t>
      </w:r>
      <w:r w:rsidR="00DC5E20">
        <w:t xml:space="preserve">  </w:t>
      </w:r>
      <w:r w:rsidR="00DC5E20" w:rsidRPr="00DC5E20">
        <w:t xml:space="preserve">Comparing this ratio to the 2022 ratio of 62.5%, we can see a slight reduction in </w:t>
      </w:r>
      <w:r w:rsidR="00DC5E20" w:rsidRPr="00DC5E20">
        <w:lastRenderedPageBreak/>
        <w:t>the proportion of non-current liabilities in the capital structure. This reduction reflect</w:t>
      </w:r>
      <w:r w:rsidR="00802F1C">
        <w:t>s</w:t>
      </w:r>
      <w:r w:rsidR="00DC5E20" w:rsidRPr="00DC5E20">
        <w:t xml:space="preserve"> efforts to manage and optimi</w:t>
      </w:r>
      <w:r w:rsidR="00C21C44">
        <w:t>s</w:t>
      </w:r>
      <w:r w:rsidR="00DC5E20" w:rsidRPr="00DC5E20">
        <w:t>e the company's long-term obligations.</w:t>
      </w:r>
    </w:p>
    <w:p w14:paraId="63030E48" w14:textId="63FBA1D2" w:rsidR="002757C9" w:rsidRDefault="00520059" w:rsidP="002F5714">
      <w:pPr>
        <w:ind w:firstLine="720"/>
      </w:pPr>
      <w:r>
        <w:rPr>
          <w:b/>
          <w:bCs/>
        </w:rPr>
        <w:t>Debt/Equity</w:t>
      </w:r>
      <w:r w:rsidRPr="00B6134A">
        <w:rPr>
          <w:b/>
          <w:bCs/>
        </w:rPr>
        <w:t xml:space="preserve"> Ratio</w:t>
      </w:r>
      <w:r>
        <w:t xml:space="preserve"> </w:t>
      </w:r>
      <w:r w:rsidR="002757C9">
        <w:t xml:space="preserve">- </w:t>
      </w:r>
      <w:r w:rsidR="002757C9" w:rsidRPr="002757C9">
        <w:t xml:space="preserve">The </w:t>
      </w:r>
      <w:r>
        <w:t>Debt/Equity</w:t>
      </w:r>
      <w:r w:rsidR="002757C9" w:rsidRPr="002757C9">
        <w:t xml:space="preserve"> Ratio provides insights into the company's financial risk. A higher </w:t>
      </w:r>
      <w:r>
        <w:t>Debt/Equity</w:t>
      </w:r>
      <w:r w:rsidR="002757C9" w:rsidRPr="002757C9">
        <w:t xml:space="preserve"> Ratio indicates a higher level of financial leverage, which can increase the company's risk, especially if it faces challenges in servicing its debt obligations.</w:t>
      </w:r>
      <w:r w:rsidR="002757C9">
        <w:t xml:space="preserve">  Aston Martin’s </w:t>
      </w:r>
      <w:r>
        <w:t>Debt/Equity</w:t>
      </w:r>
      <w:r w:rsidR="002757C9" w:rsidRPr="002757C9">
        <w:t xml:space="preserve"> Ratio decreased from</w:t>
      </w:r>
      <w:r w:rsidR="007F4955">
        <w:t xml:space="preserve"> 3.3 in</w:t>
      </w:r>
      <w:r w:rsidR="002757C9" w:rsidRPr="002757C9">
        <w:t xml:space="preserve"> 2021 to </w:t>
      </w:r>
      <w:r w:rsidR="00E94D68">
        <w:t xml:space="preserve">3.02 in </w:t>
      </w:r>
      <w:r w:rsidR="002757C9" w:rsidRPr="002757C9">
        <w:t>2022, which suggests a relative reduction in financial risk in terms of debt utili</w:t>
      </w:r>
      <w:r w:rsidR="00C21C44">
        <w:t>s</w:t>
      </w:r>
      <w:r w:rsidR="002757C9" w:rsidRPr="002757C9">
        <w:t>ation.</w:t>
      </w:r>
    </w:p>
    <w:p w14:paraId="5134A4A1" w14:textId="0B7565F4" w:rsidR="002757C9" w:rsidRPr="002757C9" w:rsidRDefault="002757C9" w:rsidP="002F5714">
      <w:pPr>
        <w:ind w:firstLine="720"/>
      </w:pPr>
      <w:r w:rsidRPr="002757C9">
        <w:t>Overall, a decreasing Leverage Ratio can be viewed positively as it signifies a reduction in the relative reliance on debt financing, potentially reducing financial risk for the company.</w:t>
      </w:r>
    </w:p>
    <w:p w14:paraId="1CA39264" w14:textId="4C564C74" w:rsidR="00520059" w:rsidRDefault="00520059" w:rsidP="005F7844">
      <w:pPr>
        <w:ind w:firstLine="720"/>
      </w:pPr>
      <w:r>
        <w:rPr>
          <w:b/>
          <w:bCs/>
        </w:rPr>
        <w:t>Long Term Debt/Equity Ratio:</w:t>
      </w:r>
      <w:r w:rsidR="00D85914">
        <w:rPr>
          <w:b/>
          <w:bCs/>
        </w:rPr>
        <w:t xml:space="preserve">  </w:t>
      </w:r>
      <w:r w:rsidR="00D85914" w:rsidRPr="00D85914">
        <w:t>In 2021, the ratio was approximately 1.</w:t>
      </w:r>
      <w:r w:rsidR="0013612D">
        <w:t>89</w:t>
      </w:r>
      <w:r w:rsidR="00D85914" w:rsidRPr="00D85914">
        <w:t>, indicating a significant reliance on long-term debt financing in the company's capital structure.</w:t>
      </w:r>
      <w:r w:rsidR="00821200">
        <w:t xml:space="preserve"> </w:t>
      </w:r>
      <w:r w:rsidR="00821200" w:rsidRPr="00821200">
        <w:t>Comparing the 2022 ratio of 1.</w:t>
      </w:r>
      <w:r w:rsidR="000F3A21">
        <w:t>63</w:t>
      </w:r>
      <w:r w:rsidR="00821200" w:rsidRPr="00821200">
        <w:t>, we observe a slight reduction in the ratio. This reduction suggests a potential effort to optimi</w:t>
      </w:r>
      <w:r w:rsidR="00C21C44">
        <w:t>s</w:t>
      </w:r>
      <w:r w:rsidR="00821200" w:rsidRPr="00821200">
        <w:t>e the capital structure and manage long-term debt obligations.</w:t>
      </w:r>
      <w:r w:rsidR="00B332C1">
        <w:t xml:space="preserve">  This is reflected in a recent article stating that Aston Martin </w:t>
      </w:r>
      <w:r w:rsidR="0080080A">
        <w:t xml:space="preserve">proposes a £210M placing </w:t>
      </w:r>
      <w:r w:rsidR="001C2F3D">
        <w:t xml:space="preserve">of new shares to support its balance sheet. </w:t>
      </w:r>
      <w:sdt>
        <w:sdtPr>
          <w:id w:val="248319950"/>
          <w:citation/>
        </w:sdtPr>
        <w:sdtContent>
          <w:r w:rsidR="001C2F3D">
            <w:fldChar w:fldCharType="begin"/>
          </w:r>
          <w:r w:rsidR="001C2F3D">
            <w:instrText xml:space="preserve"> CITATION All23 \l 2057 </w:instrText>
          </w:r>
          <w:r w:rsidR="001C2F3D">
            <w:fldChar w:fldCharType="separate"/>
          </w:r>
          <w:r w:rsidR="00354BF0" w:rsidRPr="00354BF0">
            <w:rPr>
              <w:noProof/>
            </w:rPr>
            <w:t>(Alliance News, 2023)</w:t>
          </w:r>
          <w:r w:rsidR="001C2F3D">
            <w:fldChar w:fldCharType="end"/>
          </w:r>
        </w:sdtContent>
      </w:sdt>
    </w:p>
    <w:p w14:paraId="5BD4B2CF" w14:textId="6FB73853" w:rsidR="00BC4D96" w:rsidRDefault="00520059" w:rsidP="00784CB4">
      <w:pPr>
        <w:ind w:firstLine="720"/>
      </w:pPr>
      <w:r>
        <w:rPr>
          <w:b/>
          <w:bCs/>
        </w:rPr>
        <w:t xml:space="preserve">Interest Coverage: </w:t>
      </w:r>
      <w:r w:rsidR="00784CB4" w:rsidRPr="00784CB4">
        <w:t xml:space="preserve">In 2021, the ratio of approximately </w:t>
      </w:r>
      <w:r w:rsidR="00CF31E9">
        <w:t>-</w:t>
      </w:r>
      <w:r w:rsidR="00784CB4" w:rsidRPr="00784CB4">
        <w:t>0.</w:t>
      </w:r>
      <w:r w:rsidR="002E3DD7">
        <w:t>65</w:t>
      </w:r>
      <w:r w:rsidR="00784CB4" w:rsidRPr="00784CB4">
        <w:t xml:space="preserve"> indicates that </w:t>
      </w:r>
      <w:r w:rsidR="00784CB4">
        <w:t>Aston Matin</w:t>
      </w:r>
      <w:r w:rsidR="00784CB4" w:rsidRPr="00784CB4">
        <w:t>'s operating profit was not sufficient to cover its interest expenses. This suggests a higher risk of potential difficulties in meeting interest obligations.</w:t>
      </w:r>
      <w:r w:rsidR="00087C92">
        <w:t xml:space="preserve">  </w:t>
      </w:r>
    </w:p>
    <w:p w14:paraId="3D3B07B5" w14:textId="59A56515" w:rsidR="00520059" w:rsidRDefault="00087C92" w:rsidP="00784CB4">
      <w:pPr>
        <w:ind w:firstLine="720"/>
        <w:rPr>
          <w:b/>
          <w:bCs/>
        </w:rPr>
      </w:pPr>
      <w:r w:rsidRPr="00087C92">
        <w:t xml:space="preserve">Comparing this ratio to the 2022 ratio of approximately </w:t>
      </w:r>
      <w:r w:rsidR="0025495C">
        <w:t>-1.00</w:t>
      </w:r>
      <w:r w:rsidRPr="00087C92">
        <w:t xml:space="preserve">, we observe </w:t>
      </w:r>
      <w:r w:rsidR="00987C32">
        <w:t>a further drop</w:t>
      </w:r>
      <w:r w:rsidRPr="00087C92">
        <w:t xml:space="preserve"> in the interest coverage in 2022. </w:t>
      </w:r>
      <w:r w:rsidR="00987C32">
        <w:t>B</w:t>
      </w:r>
      <w:r w:rsidRPr="00087C92">
        <w:t xml:space="preserve">oth years show a </w:t>
      </w:r>
      <w:r w:rsidR="00987C32">
        <w:t>l</w:t>
      </w:r>
      <w:r w:rsidRPr="00087C92">
        <w:t>ow ability to cover interest expenses</w:t>
      </w:r>
      <w:r w:rsidR="00D677F4">
        <w:t xml:space="preserve"> and highlight </w:t>
      </w:r>
      <w:r w:rsidR="00BC4D96">
        <w:t>poor financial stability and high risk associated with high levels of debt.</w:t>
      </w:r>
    </w:p>
    <w:p w14:paraId="6EF3B48E" w14:textId="77777777" w:rsidR="00401B7A" w:rsidRDefault="00401B7A" w:rsidP="00401B7A">
      <w:pPr>
        <w:pStyle w:val="Heading2"/>
      </w:pPr>
    </w:p>
    <w:p w14:paraId="2F8D5036" w14:textId="2A49DEC3" w:rsidR="00401B7A" w:rsidRDefault="00401B7A" w:rsidP="00401B7A">
      <w:pPr>
        <w:pStyle w:val="Heading2"/>
      </w:pPr>
      <w:bookmarkStart w:id="8" w:name="_Toc145871020"/>
      <w:r>
        <w:t>Activity or Efficiency Ratio</w:t>
      </w:r>
      <w:bookmarkEnd w:id="8"/>
    </w:p>
    <w:p w14:paraId="5FC5950D" w14:textId="555644D2" w:rsidR="000B6A8C" w:rsidRDefault="000B6A8C" w:rsidP="002F5714">
      <w:pPr>
        <w:ind w:firstLine="720"/>
      </w:pPr>
      <w:r w:rsidRPr="000B6A8C">
        <w:rPr>
          <w:b/>
          <w:bCs/>
        </w:rPr>
        <w:t>Days Sales Outstanding (DSO)</w:t>
      </w:r>
      <w:r>
        <w:t xml:space="preserve"> - </w:t>
      </w:r>
      <w:r w:rsidRPr="000B6A8C">
        <w:t xml:space="preserve">This DSO figure indicates that, on average, it took </w:t>
      </w:r>
      <w:r>
        <w:t>Aston Martin</w:t>
      </w:r>
      <w:r w:rsidRPr="000B6A8C">
        <w:t xml:space="preserve"> approximately </w:t>
      </w:r>
      <w:r>
        <w:t>64.92</w:t>
      </w:r>
      <w:r w:rsidRPr="000B6A8C">
        <w:t xml:space="preserve"> days to collect payment from its customers after making a sale during the year 2022.</w:t>
      </w:r>
      <w:r>
        <w:t xml:space="preserve">  </w:t>
      </w:r>
      <w:r w:rsidRPr="000B6A8C">
        <w:t xml:space="preserve">In contrast, in 2021, </w:t>
      </w:r>
      <w:r>
        <w:t>Aston Martin</w:t>
      </w:r>
      <w:r w:rsidRPr="000B6A8C">
        <w:t xml:space="preserve"> had a DSO of approximately </w:t>
      </w:r>
      <w:r>
        <w:t>81.1</w:t>
      </w:r>
      <w:r w:rsidR="0028552D">
        <w:t>1</w:t>
      </w:r>
      <w:r w:rsidRPr="000B6A8C">
        <w:t xml:space="preserve"> days, meaning it took longer to collect payments from customers during that year.</w:t>
      </w:r>
      <w:r>
        <w:t xml:space="preserve"> This decrease </w:t>
      </w:r>
      <w:r w:rsidRPr="000B6A8C">
        <w:t xml:space="preserve">indicates an improvement in accounts receivable efficiency. </w:t>
      </w:r>
      <w:r>
        <w:t>Aston Martin</w:t>
      </w:r>
      <w:r w:rsidRPr="000B6A8C">
        <w:t xml:space="preserve"> was able to collect payments from customers more quickly in 2022 compared to the previous year.</w:t>
      </w:r>
      <w:r>
        <w:t xml:space="preserve">  </w:t>
      </w:r>
    </w:p>
    <w:p w14:paraId="7DD72214" w14:textId="3618A00F" w:rsidR="000B6A8C" w:rsidRDefault="000B6A8C" w:rsidP="002F5714">
      <w:pPr>
        <w:ind w:firstLine="720"/>
      </w:pPr>
      <w:r>
        <w:t xml:space="preserve">That means that </w:t>
      </w:r>
      <w:r w:rsidRPr="000B6A8C">
        <w:t>the company's credit and collection policies were more effective in 2022, resulting in improved cash flow and liquidity.</w:t>
      </w:r>
      <w:r>
        <w:t xml:space="preserve">  This </w:t>
      </w:r>
      <w:r w:rsidRPr="000B6A8C">
        <w:t>is often a positive sign, but it's important to strike a balance. Extremely low DSO can also indicate overly aggressive credit policies that may discourage potential customers.</w:t>
      </w:r>
    </w:p>
    <w:p w14:paraId="49FCEF77" w14:textId="0B2F0AEB" w:rsidR="00520059" w:rsidRDefault="00520059" w:rsidP="00B76D3C">
      <w:pPr>
        <w:ind w:firstLine="720"/>
      </w:pPr>
      <w:r w:rsidRPr="00B6134A">
        <w:rPr>
          <w:b/>
          <w:bCs/>
        </w:rPr>
        <w:t>Inventory Turnover</w:t>
      </w:r>
      <w:r>
        <w:t>:</w:t>
      </w:r>
      <w:r w:rsidR="00F509CF">
        <w:t xml:space="preserve">  </w:t>
      </w:r>
      <w:r w:rsidR="00B76D3C" w:rsidRPr="00B76D3C">
        <w:t>The ratio of approximately 3.8</w:t>
      </w:r>
      <w:r w:rsidR="00442FDC">
        <w:t>2</w:t>
      </w:r>
      <w:r w:rsidR="00B76D3C" w:rsidRPr="00B76D3C">
        <w:t xml:space="preserve"> indicates that </w:t>
      </w:r>
      <w:r w:rsidR="00B76D3C">
        <w:t>Aston Martin</w:t>
      </w:r>
      <w:r w:rsidR="00B76D3C" w:rsidRPr="00B76D3C">
        <w:t xml:space="preserve"> efficiently managed its inventory in 2021, similar to 2022</w:t>
      </w:r>
      <w:r w:rsidR="00C53321">
        <w:t xml:space="preserve"> at 3.8</w:t>
      </w:r>
      <w:r w:rsidR="007B5D2C">
        <w:t>5</w:t>
      </w:r>
      <w:r w:rsidR="00B76D3C" w:rsidRPr="00B76D3C">
        <w:t>. It sold and replaced its average inventory approximately 3.8</w:t>
      </w:r>
      <w:r w:rsidR="00442FDC">
        <w:t>2</w:t>
      </w:r>
      <w:r w:rsidR="00B76D3C" w:rsidRPr="00B76D3C">
        <w:t xml:space="preserve"> times during the year</w:t>
      </w:r>
      <w:r w:rsidR="007B5D2C">
        <w:t xml:space="preserve"> 2021 and 3.85 during 2022</w:t>
      </w:r>
      <w:r w:rsidR="00B76D3C" w:rsidRPr="00B76D3C">
        <w:t>.</w:t>
      </w:r>
      <w:r w:rsidR="007E2E61">
        <w:t xml:space="preserve">  </w:t>
      </w:r>
      <w:r w:rsidR="007E2E61" w:rsidRPr="007E2E61">
        <w:t>The relatively consistent inventory turnover ratio between 2021 and 2022 suggests that the company maintained stable inventory management practices over the two years.</w:t>
      </w:r>
    </w:p>
    <w:p w14:paraId="16769E37" w14:textId="1C880780" w:rsidR="007E2E61" w:rsidRDefault="0038674D" w:rsidP="00B76D3C">
      <w:pPr>
        <w:ind w:firstLine="720"/>
      </w:pPr>
      <w:r w:rsidRPr="0038674D">
        <w:t>Consistently high inventory turnover ratios are generally positive as they indicate that the company is efficiently managing its inventory</w:t>
      </w:r>
      <w:r>
        <w:t xml:space="preserve"> and that there is a stable demand for it</w:t>
      </w:r>
      <w:r w:rsidR="00433118">
        <w:t>s product.</w:t>
      </w:r>
    </w:p>
    <w:p w14:paraId="0184D399" w14:textId="1E808CA9" w:rsidR="00CB33BC" w:rsidRDefault="00520059" w:rsidP="000E14F5">
      <w:pPr>
        <w:ind w:firstLine="720"/>
      </w:pPr>
      <w:r w:rsidRPr="00B6134A">
        <w:rPr>
          <w:b/>
          <w:bCs/>
        </w:rPr>
        <w:lastRenderedPageBreak/>
        <w:t>Days Payable Outstanding (DPO)</w:t>
      </w:r>
      <w:r>
        <w:t xml:space="preserve">:  </w:t>
      </w:r>
      <w:r w:rsidR="00D3280F" w:rsidRPr="00D3280F">
        <w:t xml:space="preserve">The DPO </w:t>
      </w:r>
      <w:r w:rsidR="005B78A4">
        <w:t>in</w:t>
      </w:r>
      <w:r w:rsidR="00F506CA">
        <w:t xml:space="preserve"> </w:t>
      </w:r>
      <w:r w:rsidR="005B78A4">
        <w:t xml:space="preserve">2022 </w:t>
      </w:r>
      <w:r w:rsidR="00D3280F" w:rsidRPr="00D3280F">
        <w:t xml:space="preserve">of approximately </w:t>
      </w:r>
      <w:r w:rsidR="00BE740A">
        <w:t>346.63</w:t>
      </w:r>
      <w:r w:rsidR="00D3280F" w:rsidRPr="00D3280F">
        <w:t xml:space="preserve"> days suggests that </w:t>
      </w:r>
      <w:r w:rsidR="00D3280F">
        <w:t>Aston Martin</w:t>
      </w:r>
      <w:r w:rsidR="00D3280F" w:rsidRPr="00D3280F">
        <w:t xml:space="preserve"> takes an average of </w:t>
      </w:r>
      <w:r w:rsidR="00BE740A">
        <w:t>346.63</w:t>
      </w:r>
      <w:r w:rsidR="00BE740A" w:rsidRPr="00D3280F">
        <w:t xml:space="preserve"> </w:t>
      </w:r>
      <w:r w:rsidR="00D3280F" w:rsidRPr="00D3280F">
        <w:t>days to pay its suppliers. This indicates that the company tends to delay payments to its suppliers, potentially optimi</w:t>
      </w:r>
      <w:r w:rsidR="00C21C44">
        <w:t>s</w:t>
      </w:r>
      <w:r w:rsidR="00D3280F" w:rsidRPr="00D3280F">
        <w:t>ing its cash flow.</w:t>
      </w:r>
      <w:r w:rsidR="003372B2">
        <w:t xml:space="preserve">  </w:t>
      </w:r>
      <w:r w:rsidR="003372B2" w:rsidRPr="003372B2">
        <w:t>The DPO in 2021 is relatively consistent with 2022</w:t>
      </w:r>
      <w:r w:rsidR="005B78A4">
        <w:t xml:space="preserve"> at </w:t>
      </w:r>
      <w:r w:rsidR="00F506CA">
        <w:t>350.14</w:t>
      </w:r>
      <w:r w:rsidR="003372B2" w:rsidRPr="003372B2">
        <w:t>, indicating that the company maintained a similar approach to managing accounts payable over the two years.</w:t>
      </w:r>
      <w:r w:rsidR="00865122">
        <w:t xml:space="preserve">  </w:t>
      </w:r>
    </w:p>
    <w:p w14:paraId="27456935" w14:textId="678887A0" w:rsidR="00520059" w:rsidRDefault="00336E57" w:rsidP="000E14F5">
      <w:pPr>
        <w:ind w:firstLine="720"/>
      </w:pPr>
      <w:r>
        <w:t xml:space="preserve">Executive Chairman Lawrence Stroll told CNBC </w:t>
      </w:r>
      <w:r w:rsidR="009F5E80">
        <w:t>that they are targeting to become “sustainably free</w:t>
      </w:r>
      <w:r w:rsidR="00DA2263">
        <w:t xml:space="preserve"> cash flow positive from 2024”</w:t>
      </w:r>
      <w:r w:rsidR="00CB33BC">
        <w:t xml:space="preserve"> and this may be part of their strategy in achieving that. </w:t>
      </w:r>
      <w:sdt>
        <w:sdtPr>
          <w:id w:val="1434707236"/>
          <w:citation/>
        </w:sdtPr>
        <w:sdtContent>
          <w:r w:rsidR="00CB33BC">
            <w:fldChar w:fldCharType="begin"/>
          </w:r>
          <w:r w:rsidR="00CB33BC">
            <w:instrText xml:space="preserve"> CITATION Rux23 \l 2057 </w:instrText>
          </w:r>
          <w:r w:rsidR="00CB33BC">
            <w:fldChar w:fldCharType="separate"/>
          </w:r>
          <w:r w:rsidR="00354BF0" w:rsidRPr="00354BF0">
            <w:rPr>
              <w:noProof/>
            </w:rPr>
            <w:t>(Iordache, 2023)</w:t>
          </w:r>
          <w:r w:rsidR="00CB33BC">
            <w:fldChar w:fldCharType="end"/>
          </w:r>
        </w:sdtContent>
      </w:sdt>
    </w:p>
    <w:p w14:paraId="25D84217" w14:textId="77777777" w:rsidR="00401B7A" w:rsidRDefault="00401B7A" w:rsidP="002F5714">
      <w:pPr>
        <w:ind w:firstLine="720"/>
      </w:pPr>
    </w:p>
    <w:p w14:paraId="746C3662" w14:textId="77777777" w:rsidR="00401B7A" w:rsidRDefault="00401B7A" w:rsidP="00401B7A">
      <w:pPr>
        <w:pStyle w:val="Heading2"/>
      </w:pPr>
      <w:bookmarkStart w:id="9" w:name="_Toc145871021"/>
      <w:r>
        <w:t>Investment Ratio</w:t>
      </w:r>
      <w:bookmarkEnd w:id="9"/>
    </w:p>
    <w:p w14:paraId="516D2472" w14:textId="77777777" w:rsidR="00537B57" w:rsidRDefault="00537B57" w:rsidP="002F5714">
      <w:pPr>
        <w:ind w:firstLine="720"/>
      </w:pPr>
    </w:p>
    <w:p w14:paraId="34C7A920" w14:textId="3A2865D2" w:rsidR="00C20266" w:rsidRDefault="00537B57" w:rsidP="002F5714">
      <w:pPr>
        <w:ind w:firstLine="720"/>
      </w:pPr>
      <w:r w:rsidRPr="00F86634">
        <w:rPr>
          <w:b/>
          <w:bCs/>
        </w:rPr>
        <w:t>Earnings per Ordinary Share (EPS):</w:t>
      </w:r>
      <w:r>
        <w:t xml:space="preserve"> </w:t>
      </w:r>
      <w:r w:rsidR="00F86634" w:rsidRPr="00F86634">
        <w:t xml:space="preserve">Both years have negative EPS values, indicating that </w:t>
      </w:r>
      <w:r w:rsidR="00F86634">
        <w:t>Aston Martin</w:t>
      </w:r>
      <w:r w:rsidR="00F86634" w:rsidRPr="00F86634">
        <w:t xml:space="preserve"> incurred losses in both 2021 and 2022</w:t>
      </w:r>
      <w:r w:rsidR="00C85F47">
        <w:t xml:space="preserve"> with values of </w:t>
      </w:r>
      <w:r w:rsidR="009B70E0">
        <w:t>-</w:t>
      </w:r>
      <w:r w:rsidR="00174E4C">
        <w:t>£</w:t>
      </w:r>
      <w:r w:rsidR="009B70E0">
        <w:t>1.6</w:t>
      </w:r>
      <w:r w:rsidR="00046F50">
        <w:t>3</w:t>
      </w:r>
      <w:r w:rsidR="009B70E0">
        <w:t xml:space="preserve"> and -£0.76 respectively</w:t>
      </w:r>
      <w:r w:rsidR="00F86634" w:rsidRPr="00F86634">
        <w:t>. This suggests that the company's expenses exceeded its revenue during these periods.</w:t>
      </w:r>
      <w:r w:rsidR="007C16AC">
        <w:t xml:space="preserve">  </w:t>
      </w:r>
      <w:r w:rsidR="00581BDD">
        <w:t xml:space="preserve">Although </w:t>
      </w:r>
      <w:r w:rsidR="00581BDD" w:rsidRPr="00581BDD">
        <w:t>the company continued to experience losses in 2022, the EPS improved compared to 2021. This could be seen as a positive sign, but it's essential to assess whether this improvement is sustainable.</w:t>
      </w:r>
    </w:p>
    <w:p w14:paraId="5C7B3EB0" w14:textId="65C85E46" w:rsidR="0077628C" w:rsidRDefault="00C20266" w:rsidP="002F5714">
      <w:pPr>
        <w:ind w:firstLine="720"/>
      </w:pPr>
      <w:r w:rsidRPr="00C20266">
        <w:t>Negative EPS values can be concerning for investors, as they indicate that the company is not generating sufficient profits to cover its expenses and provide returns to shareholders.</w:t>
      </w:r>
      <w:r w:rsidR="00034E93">
        <w:t xml:space="preserve"> </w:t>
      </w:r>
      <w:r w:rsidR="00EE6FA8">
        <w:t xml:space="preserve">Many </w:t>
      </w:r>
      <w:r w:rsidR="003B11CC">
        <w:t xml:space="preserve">investment analysts regard EPS ratio as a key measure of </w:t>
      </w:r>
      <w:r w:rsidR="004074CC">
        <w:t xml:space="preserve">investment potential. </w:t>
      </w:r>
      <w:sdt>
        <w:sdtPr>
          <w:id w:val="2003153773"/>
          <w:citation/>
        </w:sdtPr>
        <w:sdtContent>
          <w:r w:rsidR="0026162A">
            <w:fldChar w:fldCharType="begin"/>
          </w:r>
          <w:r w:rsidR="0026162A">
            <w:instrText xml:space="preserve"> CITATION Pet12 \l 2057 </w:instrText>
          </w:r>
          <w:r w:rsidR="0026162A">
            <w:fldChar w:fldCharType="separate"/>
          </w:r>
          <w:r w:rsidR="00354BF0" w:rsidRPr="00354BF0">
            <w:rPr>
              <w:noProof/>
            </w:rPr>
            <w:t>(Atrill, 2012)</w:t>
          </w:r>
          <w:r w:rsidR="0026162A">
            <w:fldChar w:fldCharType="end"/>
          </w:r>
        </w:sdtContent>
      </w:sdt>
    </w:p>
    <w:p w14:paraId="2E1270EB" w14:textId="6777129F" w:rsidR="0077628C" w:rsidRPr="0029102A" w:rsidRDefault="007C16AC" w:rsidP="0077628C">
      <w:r>
        <w:t xml:space="preserve"> </w:t>
      </w:r>
      <w:r w:rsidR="0029102A">
        <w:tab/>
      </w:r>
      <w:r w:rsidR="0077628C">
        <w:rPr>
          <w:b/>
          <w:bCs/>
        </w:rPr>
        <w:t xml:space="preserve">Dividend Cover: </w:t>
      </w:r>
      <w:r w:rsidR="0029102A" w:rsidRPr="0029102A">
        <w:t>Since no dividends were declared or paid in the year ended 31 December 2022</w:t>
      </w:r>
      <w:r w:rsidR="00F05832">
        <w:t xml:space="preserve"> or 2021</w:t>
      </w:r>
      <w:r w:rsidR="0029102A" w:rsidRPr="0029102A">
        <w:t>, the dividend cover ratio would be undefined or not applicable</w:t>
      </w:r>
      <w:r w:rsidR="000B7599">
        <w:t xml:space="preserve">.  The effect </w:t>
      </w:r>
      <w:r w:rsidR="00156CE1">
        <w:t xml:space="preserve">of no dividend however </w:t>
      </w:r>
      <w:r w:rsidR="000B7599">
        <w:t xml:space="preserve">could cause shareholders to sell their holding since </w:t>
      </w:r>
      <w:r w:rsidR="00024F44">
        <w:t>they are effectively not getting a return on their investment.</w:t>
      </w:r>
    </w:p>
    <w:p w14:paraId="75F35507" w14:textId="668A43D8" w:rsidR="0077628C" w:rsidRPr="000E6B3D" w:rsidRDefault="0077628C" w:rsidP="005D1DEF">
      <w:pPr>
        <w:ind w:firstLine="720"/>
      </w:pPr>
      <w:r>
        <w:rPr>
          <w:b/>
          <w:bCs/>
        </w:rPr>
        <w:t xml:space="preserve">Price per Earnings Ratio: </w:t>
      </w:r>
      <w:r w:rsidR="000333A7" w:rsidRPr="000333A7">
        <w:t xml:space="preserve">Both years' P/E ratios show that </w:t>
      </w:r>
      <w:r w:rsidR="000333A7">
        <w:t>Aston Martin</w:t>
      </w:r>
      <w:r w:rsidR="000333A7" w:rsidRPr="000333A7">
        <w:t xml:space="preserve"> had negative earnings</w:t>
      </w:r>
      <w:r w:rsidR="009D14FB">
        <w:t xml:space="preserve"> with 2021 at -0.</w:t>
      </w:r>
      <w:r w:rsidR="00D8579B">
        <w:t>09</w:t>
      </w:r>
      <w:r w:rsidR="009D14FB">
        <w:t xml:space="preserve"> and 2022 at -</w:t>
      </w:r>
      <w:r w:rsidR="00D8579B">
        <w:t>0.4</w:t>
      </w:r>
      <w:r w:rsidR="009D14FB">
        <w:t>4</w:t>
      </w:r>
      <w:r w:rsidR="000333A7" w:rsidRPr="000333A7">
        <w:t>, which can be a concern for investors. It's important for the company to improve its financial performance and return to profitability to attract investor confidence</w:t>
      </w:r>
      <w:r w:rsidR="005D1DEF">
        <w:t>.</w:t>
      </w:r>
    </w:p>
    <w:p w14:paraId="7C2AD625" w14:textId="10DA6D61" w:rsidR="00A60EA9" w:rsidRDefault="0077628C" w:rsidP="0077628C">
      <w:pPr>
        <w:ind w:firstLine="720"/>
      </w:pPr>
      <w:r>
        <w:rPr>
          <w:b/>
          <w:bCs/>
        </w:rPr>
        <w:t xml:space="preserve">Dividend Yield Ratio: </w:t>
      </w:r>
      <w:r w:rsidR="008204D0" w:rsidRPr="008204D0">
        <w:t xml:space="preserve">Since there is no data on dividend payments (DPS), </w:t>
      </w:r>
      <w:r w:rsidR="008204D0">
        <w:t>I am</w:t>
      </w:r>
      <w:r w:rsidR="008204D0" w:rsidRPr="008204D0">
        <w:t xml:space="preserve"> unable to calculate the dividend yield ratio</w:t>
      </w:r>
      <w:r w:rsidR="00A847E3">
        <w:t xml:space="preserve">. </w:t>
      </w:r>
      <w:r w:rsidR="008E190E">
        <w:t xml:space="preserve">The decision to not pay dividends was indicated in the report </w:t>
      </w:r>
      <w:r w:rsidR="00AA3CD8">
        <w:t xml:space="preserve">as a </w:t>
      </w:r>
      <w:r w:rsidR="008E190E">
        <w:t xml:space="preserve">strategic </w:t>
      </w:r>
      <w:r w:rsidR="00AA3CD8">
        <w:t xml:space="preserve">move </w:t>
      </w:r>
      <w:r w:rsidR="008E190E">
        <w:t>based on financial challenges</w:t>
      </w:r>
      <w:r w:rsidR="002A7860">
        <w:t>.  Although this can be unattractive to some investors there are other</w:t>
      </w:r>
      <w:r w:rsidR="0022696E">
        <w:t xml:space="preserve">s that </w:t>
      </w:r>
      <w:r w:rsidR="00A7404D" w:rsidRPr="00A7404D">
        <w:t xml:space="preserve">may prefer companies that do not pay dividends, as it can defer taxable income until they sell their shares. In some cases, capital gains from share price appreciation may be taxed at a lower rate than dividend income. </w:t>
      </w:r>
      <w:r w:rsidR="00A60EA9">
        <w:br w:type="page"/>
      </w:r>
    </w:p>
    <w:p w14:paraId="68D2DEFE" w14:textId="77777777" w:rsidR="00F9410C" w:rsidRDefault="00F9410C" w:rsidP="00F9410C">
      <w:pPr>
        <w:pStyle w:val="Heading1"/>
      </w:pPr>
      <w:bookmarkStart w:id="10" w:name="_Toc145871022"/>
      <w:r>
        <w:lastRenderedPageBreak/>
        <w:t>Summary of Findings</w:t>
      </w:r>
      <w:bookmarkEnd w:id="10"/>
    </w:p>
    <w:p w14:paraId="7CC19222" w14:textId="77777777" w:rsidR="00F9410C" w:rsidRDefault="00F9410C" w:rsidP="00F9410C"/>
    <w:p w14:paraId="24CA2F5C" w14:textId="77777777" w:rsidR="00C97699" w:rsidRPr="00C97699" w:rsidRDefault="00C97699" w:rsidP="00C97699">
      <w:pPr>
        <w:rPr>
          <w:b/>
          <w:bCs/>
        </w:rPr>
      </w:pPr>
      <w:r w:rsidRPr="00C97699">
        <w:rPr>
          <w:b/>
          <w:bCs/>
        </w:rPr>
        <w:t>Financial Statements Analysis:</w:t>
      </w:r>
    </w:p>
    <w:p w14:paraId="7B87ADF1" w14:textId="77777777" w:rsidR="00C97699" w:rsidRPr="00C97699" w:rsidRDefault="00C97699" w:rsidP="00C97699">
      <w:pPr>
        <w:numPr>
          <w:ilvl w:val="0"/>
          <w:numId w:val="30"/>
        </w:numPr>
        <w:rPr>
          <w:b/>
          <w:bCs/>
        </w:rPr>
      </w:pPr>
      <w:r w:rsidRPr="00C97699">
        <w:rPr>
          <w:b/>
          <w:bCs/>
        </w:rPr>
        <w:t xml:space="preserve">Balance Sheet: </w:t>
      </w:r>
      <w:r w:rsidRPr="00C97699">
        <w:t>Aston Martin's total assets increased from £2.8425 billion in 2021 to £3.1043 billion in 2022. Non-current assets, including intangible assets and property, plant, and equipment, showed a moderate increase. However, current assets, including inventories and trade receivables, also increased significantly.</w:t>
      </w:r>
    </w:p>
    <w:p w14:paraId="1F28E85F" w14:textId="77777777" w:rsidR="00C97699" w:rsidRPr="00C97699" w:rsidRDefault="00C97699" w:rsidP="00C97699">
      <w:pPr>
        <w:numPr>
          <w:ilvl w:val="0"/>
          <w:numId w:val="30"/>
        </w:numPr>
        <w:rPr>
          <w:b/>
          <w:bCs/>
        </w:rPr>
      </w:pPr>
      <w:r w:rsidRPr="00C97699">
        <w:rPr>
          <w:b/>
          <w:bCs/>
        </w:rPr>
        <w:t xml:space="preserve">Income Statement: </w:t>
      </w:r>
      <w:r w:rsidRPr="00C97699">
        <w:t>The company reported a substantial operating loss of £141.8 million in 2022, compared to a loss of £76.5 million in 2021. Revenue increased from £1.0953 billion to £1.3815 billion, but expenses, including finance costs, led to a larger loss.</w:t>
      </w:r>
    </w:p>
    <w:p w14:paraId="7F6734B0" w14:textId="77777777" w:rsidR="00C97699" w:rsidRPr="00C97699" w:rsidRDefault="00C97699" w:rsidP="00C97699">
      <w:pPr>
        <w:rPr>
          <w:b/>
          <w:bCs/>
        </w:rPr>
      </w:pPr>
      <w:r w:rsidRPr="00C97699">
        <w:rPr>
          <w:b/>
          <w:bCs/>
        </w:rPr>
        <w:t>Key Ratios Analysis:</w:t>
      </w:r>
    </w:p>
    <w:p w14:paraId="355D3C46" w14:textId="77777777" w:rsidR="00C97699" w:rsidRPr="00C97699" w:rsidRDefault="00C97699" w:rsidP="00C97699">
      <w:pPr>
        <w:numPr>
          <w:ilvl w:val="0"/>
          <w:numId w:val="31"/>
        </w:numPr>
        <w:rPr>
          <w:b/>
          <w:bCs/>
        </w:rPr>
      </w:pPr>
      <w:r w:rsidRPr="00C97699">
        <w:rPr>
          <w:b/>
          <w:bCs/>
        </w:rPr>
        <w:t xml:space="preserve">Profitability Ratios: </w:t>
      </w:r>
      <w:r w:rsidRPr="00C97699">
        <w:t>The company's profitability ratios showed losses in 2022, indicating operational challenges.</w:t>
      </w:r>
    </w:p>
    <w:p w14:paraId="54DE187A" w14:textId="77777777" w:rsidR="00C97699" w:rsidRPr="00C97699" w:rsidRDefault="00C97699" w:rsidP="00C97699">
      <w:pPr>
        <w:numPr>
          <w:ilvl w:val="0"/>
          <w:numId w:val="31"/>
        </w:numPr>
        <w:rPr>
          <w:b/>
          <w:bCs/>
        </w:rPr>
      </w:pPr>
      <w:r w:rsidRPr="00C97699">
        <w:rPr>
          <w:b/>
          <w:bCs/>
        </w:rPr>
        <w:t xml:space="preserve">Liquidity Ratios: </w:t>
      </w:r>
      <w:r w:rsidRPr="00C97699">
        <w:t>The current ratio suggests adequate short-term liquidity.</w:t>
      </w:r>
    </w:p>
    <w:p w14:paraId="675DF25C" w14:textId="77777777" w:rsidR="00C97699" w:rsidRPr="00C97699" w:rsidRDefault="00C97699" w:rsidP="00C97699">
      <w:pPr>
        <w:numPr>
          <w:ilvl w:val="0"/>
          <w:numId w:val="31"/>
        </w:numPr>
        <w:rPr>
          <w:b/>
          <w:bCs/>
        </w:rPr>
      </w:pPr>
      <w:r w:rsidRPr="00C97699">
        <w:rPr>
          <w:b/>
          <w:bCs/>
        </w:rPr>
        <w:t xml:space="preserve">Leverage Ratios: </w:t>
      </w:r>
      <w:r w:rsidRPr="00C97699">
        <w:t>A high debt to equity ratio indicates significant financial leverage.</w:t>
      </w:r>
    </w:p>
    <w:p w14:paraId="1A279ECC" w14:textId="0424B1CA" w:rsidR="00C97699" w:rsidRPr="00C97699" w:rsidRDefault="00C97699" w:rsidP="00C97699">
      <w:pPr>
        <w:numPr>
          <w:ilvl w:val="0"/>
          <w:numId w:val="31"/>
        </w:numPr>
        <w:rPr>
          <w:b/>
          <w:bCs/>
        </w:rPr>
      </w:pPr>
      <w:r w:rsidRPr="00C97699">
        <w:rPr>
          <w:b/>
          <w:bCs/>
        </w:rPr>
        <w:t xml:space="preserve">Investor Ratios: </w:t>
      </w:r>
      <w:r w:rsidRPr="00C97699">
        <w:t>The Price-to-Earnings (P/E) ratio was -</w:t>
      </w:r>
      <w:r w:rsidR="00B22462">
        <w:t>0.</w:t>
      </w:r>
      <w:r w:rsidRPr="00C97699">
        <w:t>44 in 2022, indicating negative earnings per share.</w:t>
      </w:r>
    </w:p>
    <w:p w14:paraId="7D03B6BF" w14:textId="77777777" w:rsidR="00C97699" w:rsidRPr="00C97699" w:rsidRDefault="00C97699" w:rsidP="00C97699">
      <w:pPr>
        <w:rPr>
          <w:b/>
          <w:bCs/>
        </w:rPr>
      </w:pPr>
      <w:r w:rsidRPr="00C97699">
        <w:rPr>
          <w:b/>
          <w:bCs/>
        </w:rPr>
        <w:t>Analysis of Ratios:</w:t>
      </w:r>
    </w:p>
    <w:p w14:paraId="1286B7E6" w14:textId="77777777" w:rsidR="00C97699" w:rsidRPr="00C97699" w:rsidRDefault="00C97699" w:rsidP="00C97699">
      <w:pPr>
        <w:numPr>
          <w:ilvl w:val="0"/>
          <w:numId w:val="32"/>
        </w:numPr>
        <w:rPr>
          <w:b/>
          <w:bCs/>
        </w:rPr>
      </w:pPr>
      <w:r w:rsidRPr="00C97699">
        <w:rPr>
          <w:b/>
          <w:bCs/>
        </w:rPr>
        <w:t xml:space="preserve">Profitability Analysis: </w:t>
      </w:r>
      <w:r w:rsidRPr="00C97699">
        <w:t>The company's losses in 2022 raise concerns about its ability to generate profits from its operations.</w:t>
      </w:r>
    </w:p>
    <w:p w14:paraId="5549A56E" w14:textId="77777777" w:rsidR="00C97699" w:rsidRPr="00C97699" w:rsidRDefault="00C97699" w:rsidP="00C97699">
      <w:pPr>
        <w:numPr>
          <w:ilvl w:val="0"/>
          <w:numId w:val="32"/>
        </w:numPr>
        <w:rPr>
          <w:b/>
          <w:bCs/>
        </w:rPr>
      </w:pPr>
      <w:r w:rsidRPr="00C97699">
        <w:rPr>
          <w:b/>
          <w:bCs/>
        </w:rPr>
        <w:t xml:space="preserve">Liquidity Analysis: </w:t>
      </w:r>
      <w:r w:rsidRPr="00C97699">
        <w:t>Short-term liquidity appears to be sufficient based on the current ratio.</w:t>
      </w:r>
    </w:p>
    <w:p w14:paraId="055C539E" w14:textId="77777777" w:rsidR="00C97699" w:rsidRPr="00C97699" w:rsidRDefault="00C97699" w:rsidP="00C97699">
      <w:pPr>
        <w:numPr>
          <w:ilvl w:val="0"/>
          <w:numId w:val="32"/>
        </w:numPr>
        <w:rPr>
          <w:b/>
          <w:bCs/>
        </w:rPr>
      </w:pPr>
      <w:r w:rsidRPr="00C97699">
        <w:rPr>
          <w:b/>
          <w:bCs/>
        </w:rPr>
        <w:t xml:space="preserve">Leverage Analysis: </w:t>
      </w:r>
      <w:r w:rsidRPr="00C97699">
        <w:t>The high debt to equity ratio suggests a substantial reliance on debt financing.</w:t>
      </w:r>
    </w:p>
    <w:p w14:paraId="42008208" w14:textId="383EC2E2" w:rsidR="00C97699" w:rsidRPr="00C97699" w:rsidRDefault="00C97699" w:rsidP="00C97699">
      <w:pPr>
        <w:numPr>
          <w:ilvl w:val="0"/>
          <w:numId w:val="32"/>
        </w:numPr>
        <w:rPr>
          <w:b/>
          <w:bCs/>
        </w:rPr>
      </w:pPr>
      <w:r w:rsidRPr="00C97699">
        <w:rPr>
          <w:b/>
          <w:bCs/>
        </w:rPr>
        <w:t xml:space="preserve">Efficiency Analysis: </w:t>
      </w:r>
      <w:r w:rsidR="00FD05C2">
        <w:t xml:space="preserve">An improvement in </w:t>
      </w:r>
      <w:r w:rsidR="00153D91">
        <w:t>DSO suggest Aston Martin are</w:t>
      </w:r>
      <w:r w:rsidR="00896FFB">
        <w:t xml:space="preserve"> </w:t>
      </w:r>
      <w:r w:rsidR="007C7652">
        <w:t xml:space="preserve">taking a more aggressive stance in </w:t>
      </w:r>
      <w:r w:rsidR="007C3E78">
        <w:t xml:space="preserve">credit </w:t>
      </w:r>
      <w:r w:rsidR="007C7652">
        <w:t>collecti</w:t>
      </w:r>
      <w:r w:rsidR="007C3E78">
        <w:t>on improving cash flow</w:t>
      </w:r>
      <w:r w:rsidR="00F22E69">
        <w:t xml:space="preserve"> and liquidity</w:t>
      </w:r>
      <w:r w:rsidRPr="00C97699">
        <w:t>.</w:t>
      </w:r>
    </w:p>
    <w:p w14:paraId="28893823" w14:textId="77777777" w:rsidR="00C97699" w:rsidRPr="00C97699" w:rsidRDefault="00C97699" w:rsidP="00C97699">
      <w:pPr>
        <w:numPr>
          <w:ilvl w:val="0"/>
          <w:numId w:val="32"/>
        </w:numPr>
        <w:rPr>
          <w:b/>
          <w:bCs/>
        </w:rPr>
      </w:pPr>
      <w:r w:rsidRPr="00C97699">
        <w:rPr>
          <w:b/>
          <w:bCs/>
        </w:rPr>
        <w:t xml:space="preserve">Investor Ratios Analysis: </w:t>
      </w:r>
      <w:r w:rsidRPr="00C97699">
        <w:t>A negative P/E ratio in 2022 indicates a lack of earnings.</w:t>
      </w:r>
    </w:p>
    <w:p w14:paraId="009C87E1" w14:textId="77777777" w:rsidR="00F9410C" w:rsidRDefault="00F9410C">
      <w:pPr>
        <w:rPr>
          <w:rFonts w:asciiTheme="majorHAnsi" w:eastAsiaTheme="majorEastAsia" w:hAnsiTheme="majorHAnsi" w:cstheme="majorBidi"/>
          <w:color w:val="5E220D" w:themeColor="accent1" w:themeShade="80"/>
          <w:sz w:val="36"/>
          <w:szCs w:val="36"/>
        </w:rPr>
      </w:pPr>
      <w:r>
        <w:br w:type="page"/>
      </w:r>
    </w:p>
    <w:p w14:paraId="790751FA" w14:textId="32E46FA9" w:rsidR="00A60EA9" w:rsidRDefault="00A60EA9" w:rsidP="00F9410C">
      <w:pPr>
        <w:pStyle w:val="Heading1"/>
      </w:pPr>
      <w:bookmarkStart w:id="11" w:name="_Toc145871023"/>
      <w:r>
        <w:lastRenderedPageBreak/>
        <w:t>Conclusion</w:t>
      </w:r>
      <w:r w:rsidR="00333C64">
        <w:t xml:space="preserve"> &amp; Recommendations</w:t>
      </w:r>
      <w:bookmarkEnd w:id="11"/>
    </w:p>
    <w:p w14:paraId="3A86E6B5" w14:textId="02DB48DC" w:rsidR="00F9410C" w:rsidRPr="00F9410C" w:rsidRDefault="00F9410C" w:rsidP="00F9410C">
      <w:r w:rsidRPr="00F9410C">
        <w:t xml:space="preserve">Based on the analysis of </w:t>
      </w:r>
      <w:r w:rsidR="001F3EDD">
        <w:t>Aston Martin</w:t>
      </w:r>
      <w:r w:rsidRPr="00F9410C">
        <w:t xml:space="preserve">'s financial data and the potential joint venture opportunity with Aston Martin plc, </w:t>
      </w:r>
      <w:r w:rsidR="00F0688C">
        <w:t>the following</w:t>
      </w:r>
      <w:r w:rsidRPr="00F9410C">
        <w:t xml:space="preserve"> conclusion</w:t>
      </w:r>
      <w:r w:rsidR="00F81A25">
        <w:t>s</w:t>
      </w:r>
      <w:r w:rsidRPr="00F9410C">
        <w:t xml:space="preserve"> and recommendations</w:t>
      </w:r>
      <w:r w:rsidR="00F81A25">
        <w:t xml:space="preserve"> are provided</w:t>
      </w:r>
      <w:r w:rsidRPr="00F9410C">
        <w:t>:</w:t>
      </w:r>
    </w:p>
    <w:p w14:paraId="644D7D67" w14:textId="77777777" w:rsidR="00F9410C" w:rsidRPr="00F9410C" w:rsidRDefault="00F9410C" w:rsidP="00F9410C">
      <w:r w:rsidRPr="00F9410C">
        <w:rPr>
          <w:b/>
          <w:bCs/>
        </w:rPr>
        <w:t>Conclusion:</w:t>
      </w:r>
    </w:p>
    <w:p w14:paraId="0BD0B57B" w14:textId="5BBCFBA4" w:rsidR="00F9410C" w:rsidRPr="00F9410C" w:rsidRDefault="00F9410C" w:rsidP="00F9410C">
      <w:pPr>
        <w:numPr>
          <w:ilvl w:val="0"/>
          <w:numId w:val="26"/>
        </w:numPr>
      </w:pPr>
      <w:r w:rsidRPr="00F9410C">
        <w:rPr>
          <w:b/>
          <w:bCs/>
        </w:rPr>
        <w:t>Financial Performance:</w:t>
      </w:r>
      <w:r w:rsidRPr="00F9410C">
        <w:t xml:space="preserve"> </w:t>
      </w:r>
      <w:r w:rsidR="001F3EDD">
        <w:t>Aston Martin</w:t>
      </w:r>
      <w:r w:rsidRPr="00F9410C">
        <w:t xml:space="preserve"> experienced a challenging financial year in 2022, reporting a substantial loss of £527.7 million compared to a loss of £189.3 million in 2021. This significant increase in losses raises concerns about the company's financial stability.</w:t>
      </w:r>
    </w:p>
    <w:p w14:paraId="60CEFA16" w14:textId="5A79252D" w:rsidR="00F9410C" w:rsidRPr="00F9410C" w:rsidRDefault="00F9410C" w:rsidP="00F9410C">
      <w:pPr>
        <w:numPr>
          <w:ilvl w:val="0"/>
          <w:numId w:val="26"/>
        </w:numPr>
      </w:pPr>
      <w:r w:rsidRPr="00F9410C">
        <w:rPr>
          <w:b/>
          <w:bCs/>
        </w:rPr>
        <w:t>Liquidity:</w:t>
      </w:r>
      <w:r w:rsidRPr="00F9410C">
        <w:t xml:space="preserve"> The current ratio for 2022 is 1.08, indicating that </w:t>
      </w:r>
      <w:r w:rsidR="001F3EDD">
        <w:t>Aston Martin</w:t>
      </w:r>
      <w:r w:rsidRPr="00F9410C">
        <w:t xml:space="preserve"> has relatively modest short-term liquidity. While the company can cover its short-term obligations, it should strive to maintain a more comfortable liquidity position.</w:t>
      </w:r>
    </w:p>
    <w:p w14:paraId="7F5D05FD" w14:textId="3877CD5C" w:rsidR="00F9410C" w:rsidRPr="00F9410C" w:rsidRDefault="00F9410C" w:rsidP="00F9410C">
      <w:pPr>
        <w:numPr>
          <w:ilvl w:val="0"/>
          <w:numId w:val="26"/>
        </w:numPr>
      </w:pPr>
      <w:r w:rsidRPr="00F9410C">
        <w:rPr>
          <w:b/>
          <w:bCs/>
        </w:rPr>
        <w:t>Leverage:</w:t>
      </w:r>
      <w:r w:rsidRPr="00F9410C">
        <w:t xml:space="preserve"> The </w:t>
      </w:r>
      <w:r w:rsidR="002E793D" w:rsidRPr="00F9410C">
        <w:t>debt-to-equity</w:t>
      </w:r>
      <w:r w:rsidRPr="00F9410C">
        <w:t xml:space="preserve"> ratio has increased from 2021 to 2022, suggesting higher financial leverage. The company should carefully manage its debt levels to avoid excessive financial risk.</w:t>
      </w:r>
    </w:p>
    <w:p w14:paraId="2EBBBF9C" w14:textId="55D15691" w:rsidR="00F9410C" w:rsidRPr="00F9410C" w:rsidRDefault="00F9410C" w:rsidP="00F9410C">
      <w:pPr>
        <w:numPr>
          <w:ilvl w:val="0"/>
          <w:numId w:val="26"/>
        </w:numPr>
      </w:pPr>
      <w:r w:rsidRPr="00F9410C">
        <w:rPr>
          <w:b/>
          <w:bCs/>
        </w:rPr>
        <w:t>Efficiency:</w:t>
      </w:r>
      <w:r w:rsidRPr="00F9410C">
        <w:t xml:space="preserve"> Efficiency ratios </w:t>
      </w:r>
      <w:r w:rsidR="00414145">
        <w:t xml:space="preserve">indicate a more aggressive </w:t>
      </w:r>
      <w:r w:rsidR="00AB61D1">
        <w:t>policy to improve cash flow and liquidity is being followed.</w:t>
      </w:r>
      <w:r w:rsidR="00414145">
        <w:t xml:space="preserve"> </w:t>
      </w:r>
    </w:p>
    <w:p w14:paraId="73B29185" w14:textId="203A6185" w:rsidR="00F9410C" w:rsidRPr="00F9410C" w:rsidRDefault="00F9410C" w:rsidP="00F9410C">
      <w:pPr>
        <w:numPr>
          <w:ilvl w:val="0"/>
          <w:numId w:val="26"/>
        </w:numPr>
      </w:pPr>
      <w:r w:rsidRPr="00F9410C">
        <w:rPr>
          <w:b/>
          <w:bCs/>
        </w:rPr>
        <w:t>Profitability:</w:t>
      </w:r>
      <w:r w:rsidRPr="00F9410C">
        <w:t xml:space="preserve"> The gross margin, operating margin, and net profit margin analysis indicate challenges in profitability, with losses recorded in </w:t>
      </w:r>
      <w:r w:rsidR="00B7119C">
        <w:t xml:space="preserve">2021 and </w:t>
      </w:r>
      <w:r w:rsidRPr="00F9410C">
        <w:t xml:space="preserve">2022. </w:t>
      </w:r>
    </w:p>
    <w:p w14:paraId="248590F5" w14:textId="77777777" w:rsidR="00F9410C" w:rsidRPr="00F9410C" w:rsidRDefault="00F9410C" w:rsidP="00F9410C">
      <w:r w:rsidRPr="00F9410C">
        <w:rPr>
          <w:b/>
          <w:bCs/>
        </w:rPr>
        <w:t>Recommendations:</w:t>
      </w:r>
    </w:p>
    <w:p w14:paraId="3316C160" w14:textId="49515B3B" w:rsidR="00F9410C" w:rsidRPr="00F9410C" w:rsidRDefault="00F9410C" w:rsidP="00F9410C">
      <w:pPr>
        <w:numPr>
          <w:ilvl w:val="0"/>
          <w:numId w:val="27"/>
        </w:numPr>
      </w:pPr>
      <w:r w:rsidRPr="00F9410C">
        <w:rPr>
          <w:b/>
          <w:bCs/>
        </w:rPr>
        <w:t>In-Depth Due Diligence:</w:t>
      </w:r>
      <w:r w:rsidRPr="00F9410C">
        <w:t xml:space="preserve"> Before proceeding with the joint venture opportunity with Aston Martin plc, </w:t>
      </w:r>
      <w:r w:rsidR="00FC17AF">
        <w:t>the</w:t>
      </w:r>
      <w:r w:rsidR="003340BB">
        <w:t xml:space="preserve"> business</w:t>
      </w:r>
      <w:r w:rsidRPr="00F9410C">
        <w:t xml:space="preserve"> should conduct a comprehensive due diligence process</w:t>
      </w:r>
      <w:r w:rsidR="00D92F55">
        <w:t xml:space="preserve"> </w:t>
      </w:r>
      <w:sdt>
        <w:sdtPr>
          <w:id w:val="367266334"/>
          <w:citation/>
        </w:sdtPr>
        <w:sdtContent>
          <w:r w:rsidR="00D92F55">
            <w:fldChar w:fldCharType="begin"/>
          </w:r>
          <w:r w:rsidR="00D92F55">
            <w:instrText xml:space="preserve"> CITATION Nan08 \l 2057 </w:instrText>
          </w:r>
          <w:r w:rsidR="00D92F55">
            <w:fldChar w:fldCharType="separate"/>
          </w:r>
          <w:r w:rsidR="00354BF0" w:rsidRPr="00354BF0">
            <w:rPr>
              <w:noProof/>
            </w:rPr>
            <w:t>(Nan, et al., 2008)</w:t>
          </w:r>
          <w:r w:rsidR="00D92F55">
            <w:fldChar w:fldCharType="end"/>
          </w:r>
        </w:sdtContent>
      </w:sdt>
      <w:r w:rsidR="00D92F55">
        <w:t>.</w:t>
      </w:r>
      <w:r w:rsidRPr="00F9410C">
        <w:t xml:space="preserve"> This should include a detailed analysis of Aston Martin's financials, operational capabilities, market positioning, and the specific terms and conditions of the joint venture.</w:t>
      </w:r>
    </w:p>
    <w:p w14:paraId="0B054676" w14:textId="7CD7D924" w:rsidR="00F9410C" w:rsidRPr="00F9410C" w:rsidRDefault="00F9410C" w:rsidP="00F9410C">
      <w:pPr>
        <w:numPr>
          <w:ilvl w:val="0"/>
          <w:numId w:val="27"/>
        </w:numPr>
      </w:pPr>
      <w:r w:rsidRPr="00F9410C">
        <w:rPr>
          <w:b/>
          <w:bCs/>
        </w:rPr>
        <w:t>Cost Control:</w:t>
      </w:r>
      <w:r w:rsidRPr="00F9410C">
        <w:t xml:space="preserve"> </w:t>
      </w:r>
      <w:r w:rsidR="001F3EDD">
        <w:t>Aston Martin</w:t>
      </w:r>
      <w:r w:rsidRPr="00F9410C">
        <w:t xml:space="preserve"> should implement cost control measures to improve profitability. This may involve streamlining operations, renegotiating supplier contracts, and optimi</w:t>
      </w:r>
      <w:r w:rsidR="00C21C44">
        <w:t>s</w:t>
      </w:r>
      <w:r w:rsidRPr="00F9410C">
        <w:t>ing resource allocation.</w:t>
      </w:r>
    </w:p>
    <w:p w14:paraId="646CD463" w14:textId="04EAACC3" w:rsidR="00F9410C" w:rsidRPr="00F9410C" w:rsidRDefault="00F9410C" w:rsidP="00F9410C">
      <w:pPr>
        <w:numPr>
          <w:ilvl w:val="0"/>
          <w:numId w:val="27"/>
        </w:numPr>
      </w:pPr>
      <w:r w:rsidRPr="00F9410C">
        <w:rPr>
          <w:b/>
          <w:bCs/>
        </w:rPr>
        <w:t>Liquidity Management:</w:t>
      </w:r>
      <w:r w:rsidRPr="00F9410C">
        <w:t xml:space="preserve"> Given the current ratio of 1.08, </w:t>
      </w:r>
      <w:r w:rsidR="001F3EDD">
        <w:t>Aston Martin</w:t>
      </w:r>
      <w:r w:rsidRPr="00F9410C">
        <w:t xml:space="preserve"> should focus on strengthening its short-term liquidity position. This can be achieved by managing working capital effectively and exploring options for short-term financing if necessary.</w:t>
      </w:r>
    </w:p>
    <w:p w14:paraId="3E1CCAA8" w14:textId="77777777" w:rsidR="00F9410C" w:rsidRPr="00F9410C" w:rsidRDefault="00F9410C" w:rsidP="00F9410C">
      <w:pPr>
        <w:numPr>
          <w:ilvl w:val="0"/>
          <w:numId w:val="27"/>
        </w:numPr>
      </w:pPr>
      <w:r w:rsidRPr="00F9410C">
        <w:rPr>
          <w:b/>
          <w:bCs/>
        </w:rPr>
        <w:t>Debt Management:</w:t>
      </w:r>
      <w:r w:rsidRPr="00F9410C">
        <w:t xml:space="preserve"> The company should carefully manage its debt levels and consider refinancing options to reduce interest expenses. Reducing financial leverage can enhance long-term financial stability.</w:t>
      </w:r>
    </w:p>
    <w:p w14:paraId="71977010" w14:textId="4E6F9DDE" w:rsidR="00F9410C" w:rsidRPr="00F9410C" w:rsidRDefault="00F9410C" w:rsidP="00F9410C">
      <w:pPr>
        <w:numPr>
          <w:ilvl w:val="0"/>
          <w:numId w:val="27"/>
        </w:numPr>
      </w:pPr>
      <w:r w:rsidRPr="00F9410C">
        <w:rPr>
          <w:b/>
          <w:bCs/>
        </w:rPr>
        <w:t>Operational Efficiency:</w:t>
      </w:r>
      <w:r w:rsidRPr="00F9410C">
        <w:t xml:space="preserve"> </w:t>
      </w:r>
      <w:r w:rsidR="000C4E01">
        <w:t>O</w:t>
      </w:r>
      <w:r w:rsidRPr="00F9410C">
        <w:t>perational bottlenecks and areas for improvement</w:t>
      </w:r>
      <w:r w:rsidR="00C55A03">
        <w:t xml:space="preserve"> need to be identified</w:t>
      </w:r>
      <w:r w:rsidRPr="00F9410C">
        <w:t>. Implementing efficiency-enhancing strategies can improve overall performance.</w:t>
      </w:r>
    </w:p>
    <w:p w14:paraId="59B2F844" w14:textId="30E5D9C7" w:rsidR="00F9410C" w:rsidRPr="00F9410C" w:rsidRDefault="00F9410C" w:rsidP="00F9410C">
      <w:pPr>
        <w:numPr>
          <w:ilvl w:val="0"/>
          <w:numId w:val="27"/>
        </w:numPr>
      </w:pPr>
      <w:r w:rsidRPr="00F9410C">
        <w:rPr>
          <w:b/>
          <w:bCs/>
        </w:rPr>
        <w:t>Investor Relations:</w:t>
      </w:r>
      <w:r w:rsidRPr="00F9410C">
        <w:t xml:space="preserve"> </w:t>
      </w:r>
      <w:r w:rsidR="001F3EDD">
        <w:t>Aston Martin</w:t>
      </w:r>
      <w:r w:rsidRPr="00F9410C">
        <w:t xml:space="preserve"> should work on improving its investor relations by communicating its plans for recovery and growth. Building investor confidence is essential, especially after a challenging financial year.</w:t>
      </w:r>
      <w:r w:rsidR="0034680E">
        <w:t xml:space="preserve"> </w:t>
      </w:r>
    </w:p>
    <w:p w14:paraId="41EB3C9E" w14:textId="55F56068" w:rsidR="00F9410C" w:rsidRPr="00F9410C" w:rsidRDefault="00F9410C" w:rsidP="00F9410C">
      <w:pPr>
        <w:numPr>
          <w:ilvl w:val="0"/>
          <w:numId w:val="27"/>
        </w:numPr>
      </w:pPr>
      <w:r w:rsidRPr="00F9410C">
        <w:rPr>
          <w:b/>
          <w:bCs/>
        </w:rPr>
        <w:t>Continuous Monitoring:</w:t>
      </w:r>
      <w:r w:rsidRPr="00F9410C">
        <w:t xml:space="preserve"> Regularly monitor</w:t>
      </w:r>
      <w:r w:rsidR="00AF5122">
        <w:t>ing</w:t>
      </w:r>
      <w:r w:rsidRPr="00F9410C">
        <w:t xml:space="preserve"> financial performance and key ratios to detect early signs of improvement or potential issues. Adjust strategies as needed to align with changing market conditions.</w:t>
      </w:r>
    </w:p>
    <w:p w14:paraId="654D1579" w14:textId="73C63EA0" w:rsidR="00A60EA9" w:rsidRDefault="00A60EA9" w:rsidP="00A60EA9">
      <w:pPr>
        <w:pStyle w:val="Heading1"/>
      </w:pPr>
      <w:bookmarkStart w:id="12" w:name="_Toc145871024"/>
      <w:r>
        <w:lastRenderedPageBreak/>
        <w:t>Appendices</w:t>
      </w:r>
      <w:bookmarkEnd w:id="12"/>
    </w:p>
    <w:bookmarkStart w:id="13" w:name="_Toc145871025" w:displacedByCustomXml="next"/>
    <w:sdt>
      <w:sdtPr>
        <w:rPr>
          <w:rFonts w:asciiTheme="minorHAnsi" w:eastAsiaTheme="minorEastAsia" w:hAnsiTheme="minorHAnsi" w:cstheme="minorBidi"/>
          <w:color w:val="auto"/>
          <w:sz w:val="22"/>
          <w:szCs w:val="22"/>
        </w:rPr>
        <w:id w:val="-1339842164"/>
        <w:docPartObj>
          <w:docPartGallery w:val="Bibliographies"/>
          <w:docPartUnique/>
        </w:docPartObj>
      </w:sdtPr>
      <w:sdtContent>
        <w:p w14:paraId="2537FD40" w14:textId="27468969" w:rsidR="00496C43" w:rsidRPr="00BE0D2B" w:rsidRDefault="00496C43">
          <w:pPr>
            <w:pStyle w:val="Heading1"/>
            <w:rPr>
              <w:rStyle w:val="Heading2Char"/>
            </w:rPr>
          </w:pPr>
          <w:r w:rsidRPr="00BE0D2B">
            <w:rPr>
              <w:rStyle w:val="Heading2Char"/>
            </w:rPr>
            <w:t>References</w:t>
          </w:r>
          <w:bookmarkEnd w:id="13"/>
        </w:p>
        <w:sdt>
          <w:sdtPr>
            <w:id w:val="-573587230"/>
            <w:bibliography/>
          </w:sdtPr>
          <w:sdtContent>
            <w:p w14:paraId="7241FB8B" w14:textId="77777777" w:rsidR="00354BF0" w:rsidRDefault="00496C43" w:rsidP="00354BF0">
              <w:pPr>
                <w:pStyle w:val="Bibliography"/>
                <w:rPr>
                  <w:noProof/>
                  <w:sz w:val="24"/>
                  <w:szCs w:val="24"/>
                </w:rPr>
              </w:pPr>
              <w:r>
                <w:fldChar w:fldCharType="begin"/>
              </w:r>
              <w:r>
                <w:instrText xml:space="preserve"> BIBLIOGRAPHY </w:instrText>
              </w:r>
              <w:r>
                <w:fldChar w:fldCharType="separate"/>
              </w:r>
              <w:r w:rsidR="00354BF0">
                <w:rPr>
                  <w:noProof/>
                </w:rPr>
                <w:t xml:space="preserve">Alliance News, 2023. </w:t>
              </w:r>
              <w:r w:rsidR="00354BF0">
                <w:rPr>
                  <w:i/>
                  <w:iCs/>
                  <w:noProof/>
                </w:rPr>
                <w:t xml:space="preserve">Aston Martin proposes £210 million placing of new shares. </w:t>
              </w:r>
              <w:r w:rsidR="00354BF0">
                <w:rPr>
                  <w:noProof/>
                </w:rPr>
                <w:t xml:space="preserve">[Online] </w:t>
              </w:r>
              <w:r w:rsidR="00354BF0">
                <w:rPr>
                  <w:noProof/>
                </w:rPr>
                <w:br/>
                <w:t xml:space="preserve">Available at: </w:t>
              </w:r>
              <w:r w:rsidR="00354BF0">
                <w:rPr>
                  <w:noProof/>
                  <w:u w:val="single"/>
                </w:rPr>
                <w:t>https://www.ajbell.co.uk/articles/latestnews/263846/aston-martin-proposes-%C2%A3210-million-placing-new-shares</w:t>
              </w:r>
              <w:r w:rsidR="00354BF0">
                <w:rPr>
                  <w:noProof/>
                </w:rPr>
                <w:br/>
                <w:t>[Accessed 17 9 2023].</w:t>
              </w:r>
            </w:p>
            <w:p w14:paraId="685BEB7F" w14:textId="77777777" w:rsidR="00354BF0" w:rsidRDefault="00354BF0" w:rsidP="00354BF0">
              <w:pPr>
                <w:pStyle w:val="Bibliography"/>
                <w:rPr>
                  <w:noProof/>
                </w:rPr>
              </w:pPr>
              <w:r>
                <w:rPr>
                  <w:noProof/>
                </w:rPr>
                <w:t xml:space="preserve">Aston Martin Lagonda, 2022. </w:t>
              </w:r>
              <w:r>
                <w:rPr>
                  <w:i/>
                  <w:iCs/>
                  <w:noProof/>
                </w:rPr>
                <w:t xml:space="preserve">Aston Martin Lagonda Annual Report and Accounts 2022. </w:t>
              </w:r>
              <w:r>
                <w:rPr>
                  <w:noProof/>
                </w:rPr>
                <w:t xml:space="preserve">[Online] </w:t>
              </w:r>
              <w:r>
                <w:rPr>
                  <w:noProof/>
                </w:rPr>
                <w:br/>
                <w:t xml:space="preserve">Available at: </w:t>
              </w:r>
              <w:r>
                <w:rPr>
                  <w:noProof/>
                  <w:u w:val="single"/>
                </w:rPr>
                <w:t>https://www.astonmartin.com/-/media/corporate/documents/annual-reports/aston_martin_annual_report_2022.pdf?rev=6a462584d1c54890a85a324a2663c3d7&amp;hash=9A3C425CE6101D99D4249E882AA19A4F</w:t>
              </w:r>
              <w:r>
                <w:rPr>
                  <w:noProof/>
                </w:rPr>
                <w:br/>
                <w:t>[Accessed 14 July 2023].</w:t>
              </w:r>
            </w:p>
            <w:p w14:paraId="29664579" w14:textId="77777777" w:rsidR="00354BF0" w:rsidRDefault="00354BF0" w:rsidP="00354BF0">
              <w:pPr>
                <w:pStyle w:val="Bibliography"/>
                <w:rPr>
                  <w:noProof/>
                </w:rPr>
              </w:pPr>
              <w:r>
                <w:rPr>
                  <w:noProof/>
                </w:rPr>
                <w:t xml:space="preserve">Atrill, P., 2012. </w:t>
              </w:r>
              <w:r>
                <w:rPr>
                  <w:i/>
                  <w:iCs/>
                  <w:noProof/>
                </w:rPr>
                <w:t xml:space="preserve">Financial Management for Decision Makers. </w:t>
              </w:r>
              <w:r>
                <w:rPr>
                  <w:noProof/>
                </w:rPr>
                <w:t>6 ed. Harlow: Pearson Education Ltd.</w:t>
              </w:r>
            </w:p>
            <w:p w14:paraId="538400BB" w14:textId="77777777" w:rsidR="00354BF0" w:rsidRDefault="00354BF0" w:rsidP="00354BF0">
              <w:pPr>
                <w:pStyle w:val="Bibliography"/>
                <w:rPr>
                  <w:noProof/>
                </w:rPr>
              </w:pPr>
              <w:r>
                <w:rPr>
                  <w:noProof/>
                </w:rPr>
                <w:t xml:space="preserve">Faello, J., 2015. Understanding the limitations of financial Ratios. </w:t>
              </w:r>
              <w:r>
                <w:rPr>
                  <w:i/>
                  <w:iCs/>
                  <w:noProof/>
                </w:rPr>
                <w:t xml:space="preserve">Academy of Accounting and Financial Studies journal, </w:t>
              </w:r>
              <w:r>
                <w:rPr>
                  <w:noProof/>
                </w:rPr>
                <w:t>19(3), p. 75.</w:t>
              </w:r>
            </w:p>
            <w:p w14:paraId="0A1CF49B" w14:textId="77777777" w:rsidR="00354BF0" w:rsidRDefault="00354BF0" w:rsidP="00354BF0">
              <w:pPr>
                <w:pStyle w:val="Bibliography"/>
                <w:rPr>
                  <w:noProof/>
                </w:rPr>
              </w:pPr>
              <w:r>
                <w:rPr>
                  <w:noProof/>
                </w:rPr>
                <w:t xml:space="preserve">Fahy, M., 2022. </w:t>
              </w:r>
              <w:r>
                <w:rPr>
                  <w:i/>
                  <w:iCs/>
                  <w:noProof/>
                </w:rPr>
                <w:t xml:space="preserve">Aston Martin heads further off course. </w:t>
              </w:r>
              <w:r>
                <w:rPr>
                  <w:noProof/>
                </w:rPr>
                <w:t xml:space="preserve">[Online] </w:t>
              </w:r>
              <w:r>
                <w:rPr>
                  <w:noProof/>
                </w:rPr>
                <w:br/>
                <w:t xml:space="preserve">Available at: </w:t>
              </w:r>
              <w:r>
                <w:rPr>
                  <w:noProof/>
                  <w:u w:val="single"/>
                </w:rPr>
                <w:t>https://www.investorschronicle.co.uk/news/2022/07/29/aston-martin-heads-further-off-course/</w:t>
              </w:r>
              <w:r>
                <w:rPr>
                  <w:noProof/>
                </w:rPr>
                <w:br/>
                <w:t>[Accessed 17 9 2023].</w:t>
              </w:r>
            </w:p>
            <w:p w14:paraId="13E09CA7" w14:textId="77777777" w:rsidR="00354BF0" w:rsidRDefault="00354BF0" w:rsidP="00354BF0">
              <w:pPr>
                <w:pStyle w:val="Bibliography"/>
                <w:rPr>
                  <w:noProof/>
                </w:rPr>
              </w:pPr>
              <w:r>
                <w:rPr>
                  <w:noProof/>
                </w:rPr>
                <w:t xml:space="preserve">Filatov, E., 2019. Author’s integrated methods of analysis of the model of return on assets of construction companies. </w:t>
              </w:r>
              <w:r>
                <w:rPr>
                  <w:i/>
                  <w:iCs/>
                  <w:noProof/>
                </w:rPr>
                <w:t xml:space="preserve">Materials Science and Engineering, </w:t>
              </w:r>
              <w:r>
                <w:rPr>
                  <w:noProof/>
                </w:rPr>
                <w:t>667(1), p. 12024.</w:t>
              </w:r>
            </w:p>
            <w:p w14:paraId="2AE66AF1" w14:textId="77777777" w:rsidR="00354BF0" w:rsidRDefault="00354BF0" w:rsidP="00354BF0">
              <w:pPr>
                <w:pStyle w:val="Bibliography"/>
                <w:rPr>
                  <w:noProof/>
                </w:rPr>
              </w:pPr>
              <w:r>
                <w:rPr>
                  <w:noProof/>
                </w:rPr>
                <w:t xml:space="preserve">Iordache, R., 2023. </w:t>
              </w:r>
              <w:r>
                <w:rPr>
                  <w:i/>
                  <w:iCs/>
                  <w:noProof/>
                </w:rPr>
                <w:t xml:space="preserve">Aston Martin shares surge 14% on profitability forecast for 2023. </w:t>
              </w:r>
              <w:r>
                <w:rPr>
                  <w:noProof/>
                </w:rPr>
                <w:t xml:space="preserve">[Online] </w:t>
              </w:r>
              <w:r>
                <w:rPr>
                  <w:noProof/>
                </w:rPr>
                <w:br/>
                <w:t xml:space="preserve">Available at: </w:t>
              </w:r>
              <w:r>
                <w:rPr>
                  <w:noProof/>
                  <w:u w:val="single"/>
                </w:rPr>
                <w:t>https://www.cnbc.com/2023/03/01/aston-martin-shares-surge-on-profitability-forecast-for-2023.html</w:t>
              </w:r>
              <w:r>
                <w:rPr>
                  <w:noProof/>
                </w:rPr>
                <w:br/>
                <w:t>[Accessed 17 9 2023].</w:t>
              </w:r>
            </w:p>
            <w:p w14:paraId="64A162D6" w14:textId="77777777" w:rsidR="00354BF0" w:rsidRDefault="00354BF0" w:rsidP="00354BF0">
              <w:pPr>
                <w:pStyle w:val="Bibliography"/>
                <w:rPr>
                  <w:noProof/>
                </w:rPr>
              </w:pPr>
              <w:r>
                <w:rPr>
                  <w:noProof/>
                </w:rPr>
                <w:t xml:space="preserve">Mao, R., 2023. </w:t>
              </w:r>
              <w:r>
                <w:rPr>
                  <w:i/>
                  <w:iCs/>
                  <w:noProof/>
                </w:rPr>
                <w:t xml:space="preserve">Verify the Relationship Between a Company’s Earning per Share, Return on Equity, Return on Asset, Sales Growth, Price to Earning Ratio, Current Ratio, Gross Profit Margin, Quick Ratio, Asset Turnover and Its Stock Price. </w:t>
              </w:r>
              <w:r>
                <w:rPr>
                  <w:noProof/>
                </w:rPr>
                <w:t>Les Ulis, EDP Sciences.</w:t>
              </w:r>
            </w:p>
            <w:p w14:paraId="1E5989EE" w14:textId="77777777" w:rsidR="00354BF0" w:rsidRDefault="00354BF0" w:rsidP="00354BF0">
              <w:pPr>
                <w:pStyle w:val="Bibliography"/>
                <w:rPr>
                  <w:noProof/>
                </w:rPr>
              </w:pPr>
              <w:r>
                <w:rPr>
                  <w:noProof/>
                </w:rPr>
                <w:t xml:space="preserve">Marr, B., 2012. </w:t>
              </w:r>
              <w:r>
                <w:rPr>
                  <w:i/>
                  <w:iCs/>
                  <w:noProof/>
                </w:rPr>
                <w:t xml:space="preserve">Key performance indicators: the 75 measures every manager needs to know. </w:t>
              </w:r>
              <w:r>
                <w:rPr>
                  <w:noProof/>
                </w:rPr>
                <w:t>1st ed. Harlow: Pearson Education Ltd.</w:t>
              </w:r>
            </w:p>
            <w:p w14:paraId="6C0D2F4C" w14:textId="77777777" w:rsidR="00354BF0" w:rsidRDefault="00354BF0" w:rsidP="00354BF0">
              <w:pPr>
                <w:pStyle w:val="Bibliography"/>
                <w:rPr>
                  <w:noProof/>
                </w:rPr>
              </w:pPr>
              <w:r>
                <w:rPr>
                  <w:noProof/>
                </w:rPr>
                <w:t xml:space="preserve">Nan, M. J., Kinley, G. &amp; Ficery, K. L., 2008. Merger deal breakers: when operational due diligence exposes risk. </w:t>
              </w:r>
              <w:r>
                <w:rPr>
                  <w:i/>
                  <w:iCs/>
                  <w:noProof/>
                </w:rPr>
                <w:t xml:space="preserve">Journal of Business Strategy, </w:t>
              </w:r>
              <w:r>
                <w:rPr>
                  <w:noProof/>
                </w:rPr>
                <w:t>29(3), pp. 23-28.</w:t>
              </w:r>
            </w:p>
            <w:p w14:paraId="50DC6D85" w14:textId="77777777" w:rsidR="00354BF0" w:rsidRDefault="00354BF0" w:rsidP="00354BF0">
              <w:pPr>
                <w:pStyle w:val="Bibliography"/>
                <w:rPr>
                  <w:noProof/>
                </w:rPr>
              </w:pPr>
              <w:r>
                <w:rPr>
                  <w:noProof/>
                </w:rPr>
                <w:t xml:space="preserve">Nariswari, T. N. &amp; Nugraha, N. M., 2020. Profit Growth: Impact of Net Profit Margin, Gross Profit Margin and Total Assets Turnover. </w:t>
              </w:r>
              <w:r>
                <w:rPr>
                  <w:i/>
                  <w:iCs/>
                  <w:noProof/>
                </w:rPr>
                <w:t xml:space="preserve">International Journal of Finance &amp; Banking Studies, </w:t>
              </w:r>
              <w:r>
                <w:rPr>
                  <w:noProof/>
                </w:rPr>
                <w:t>9(4), pp. 87-96.</w:t>
              </w:r>
            </w:p>
            <w:p w14:paraId="33626B59" w14:textId="77777777" w:rsidR="00354BF0" w:rsidRDefault="00354BF0" w:rsidP="00354BF0">
              <w:pPr>
                <w:pStyle w:val="Bibliography"/>
                <w:rPr>
                  <w:noProof/>
                </w:rPr>
              </w:pPr>
              <w:r>
                <w:rPr>
                  <w:noProof/>
                </w:rPr>
                <w:t xml:space="preserve">Weetman, P., 2013. </w:t>
              </w:r>
              <w:r>
                <w:rPr>
                  <w:i/>
                  <w:iCs/>
                  <w:noProof/>
                </w:rPr>
                <w:t xml:space="preserve">Financial Accounting - An Introduction. </w:t>
              </w:r>
              <w:r>
                <w:rPr>
                  <w:noProof/>
                </w:rPr>
                <w:t>6 ed. Harlow: Pearson Education Ltd.</w:t>
              </w:r>
            </w:p>
            <w:p w14:paraId="6FFB52E5" w14:textId="2C3C7AFA" w:rsidR="00496C43" w:rsidRDefault="00496C43" w:rsidP="00354BF0">
              <w:r>
                <w:rPr>
                  <w:b/>
                  <w:bCs/>
                  <w:noProof/>
                </w:rPr>
                <w:fldChar w:fldCharType="end"/>
              </w:r>
            </w:p>
          </w:sdtContent>
        </w:sdt>
      </w:sdtContent>
    </w:sdt>
    <w:p w14:paraId="54DE731A" w14:textId="77777777" w:rsidR="0095139E" w:rsidRDefault="0095139E" w:rsidP="00A60EA9">
      <w:pPr>
        <w:pStyle w:val="Heading2"/>
      </w:pPr>
    </w:p>
    <w:p w14:paraId="5A9AB72B" w14:textId="77777777" w:rsidR="0095139E" w:rsidRDefault="0095139E" w:rsidP="0095139E"/>
    <w:p w14:paraId="37B4420D" w14:textId="77777777" w:rsidR="0095139E" w:rsidRPr="0095139E" w:rsidRDefault="0095139E" w:rsidP="0095139E"/>
    <w:p w14:paraId="12186250" w14:textId="36E39CF9" w:rsidR="00A60EA9" w:rsidRDefault="00A60EA9" w:rsidP="00A60EA9">
      <w:pPr>
        <w:pStyle w:val="Heading2"/>
      </w:pPr>
      <w:bookmarkStart w:id="14" w:name="_Toc145871026"/>
      <w:r>
        <w:t>Calculation details of all ratios utilised.</w:t>
      </w:r>
      <w:bookmarkEnd w:id="14"/>
    </w:p>
    <w:p w14:paraId="14CBAC70" w14:textId="77777777" w:rsidR="00875FBD" w:rsidRDefault="00875FBD" w:rsidP="00875FBD">
      <w:pPr>
        <w:pStyle w:val="Heading2"/>
      </w:pPr>
    </w:p>
    <w:p w14:paraId="64A2EE7F" w14:textId="77777777" w:rsidR="00875FBD" w:rsidRDefault="00875FBD" w:rsidP="00FF4095">
      <w:pPr>
        <w:pStyle w:val="Heading3"/>
      </w:pPr>
      <w:bookmarkStart w:id="15" w:name="_Toc145871027"/>
      <w:r>
        <w:t>Profitability Ratio</w:t>
      </w:r>
      <w:bookmarkEnd w:id="15"/>
    </w:p>
    <w:p w14:paraId="59A4659D" w14:textId="77777777" w:rsidR="00875FBD" w:rsidRDefault="00875FBD" w:rsidP="00875FBD"/>
    <w:p w14:paraId="12DB0BF5" w14:textId="77777777" w:rsidR="00875FBD" w:rsidRDefault="00875FBD" w:rsidP="00875FBD">
      <w:r>
        <w:t>These ratios measure overall performance &amp; effectiveness of the business.</w:t>
      </w:r>
    </w:p>
    <w:p w14:paraId="78667A43" w14:textId="77777777" w:rsidR="00875FBD" w:rsidRDefault="00875FBD" w:rsidP="00875FBD">
      <w:r w:rsidRPr="003F5512">
        <w:rPr>
          <w:b/>
          <w:bCs/>
        </w:rPr>
        <w:t>Margin Ratios</w:t>
      </w:r>
      <w:r>
        <w:t xml:space="preserve"> </w:t>
      </w:r>
    </w:p>
    <w:p w14:paraId="0E6D4864" w14:textId="77777777" w:rsidR="00875FBD" w:rsidRDefault="00875FBD" w:rsidP="00875FBD">
      <w:r w:rsidRPr="00233122">
        <w:rPr>
          <w:b/>
          <w:bCs/>
        </w:rPr>
        <w:t>Gross Profit Margin (%)</w:t>
      </w:r>
      <w:r w:rsidRPr="00233122">
        <w:t xml:space="preserve"> measures the profitability of a company's core business activities, excluding operating expenses and other non-operating costs. It indicates the efficiency of a company in producing goods or services and is calculated as follows:</w:t>
      </w:r>
    </w:p>
    <w:p w14:paraId="117ED51C" w14:textId="77777777" w:rsidR="00875FBD" w:rsidRDefault="00875FBD" w:rsidP="00875FBD">
      <w:pPr>
        <w:rPr>
          <w:sz w:val="32"/>
          <w:szCs w:val="32"/>
        </w:rPr>
      </w:pPr>
      <w:r w:rsidRPr="00B25CEC">
        <w:t>Gross Margin</w:t>
      </w:r>
      <w:r w:rsidRPr="003F5512">
        <w:rPr>
          <w:b/>
          <w:bCs/>
        </w:rPr>
        <w:t xml:space="preserve"> %</w:t>
      </w:r>
      <w:r>
        <w:t xml:space="preserve"> = </w:t>
      </w:r>
      <m:oMath>
        <m:f>
          <m:fPr>
            <m:ctrlPr>
              <w:rPr>
                <w:rFonts w:ascii="Cambria Math" w:hAnsi="Cambria Math"/>
                <w:i/>
                <w:sz w:val="32"/>
                <w:szCs w:val="32"/>
              </w:rPr>
            </m:ctrlPr>
          </m:fPr>
          <m:num>
            <m:r>
              <w:rPr>
                <w:rFonts w:ascii="Cambria Math" w:hAnsi="Cambria Math"/>
                <w:sz w:val="32"/>
                <w:szCs w:val="32"/>
              </w:rPr>
              <m:t>Gross Margin</m:t>
            </m:r>
          </m:num>
          <m:den>
            <m:r>
              <w:rPr>
                <w:rFonts w:ascii="Cambria Math" w:hAnsi="Cambria Math"/>
                <w:sz w:val="32"/>
                <w:szCs w:val="32"/>
              </w:rPr>
              <m:t>Revenue</m:t>
            </m:r>
          </m:den>
        </m:f>
        <m:r>
          <w:rPr>
            <w:rFonts w:ascii="Cambria Math" w:hAnsi="Cambria Math"/>
            <w:sz w:val="32"/>
            <w:szCs w:val="32"/>
          </w:rPr>
          <m:t xml:space="preserve"> ×100</m:t>
        </m:r>
      </m:oMath>
    </w:p>
    <w:p w14:paraId="49C2502A" w14:textId="77777777" w:rsidR="00875FBD" w:rsidRDefault="00875FBD" w:rsidP="00875FBD">
      <w:r>
        <w:t>For 2022: (450.7 / 1,381.5) * 100 ≈ 32.62%</w:t>
      </w:r>
    </w:p>
    <w:p w14:paraId="3E8A2F8D" w14:textId="77777777" w:rsidR="00875FBD" w:rsidRDefault="00875FBD" w:rsidP="00875FBD">
      <w:r>
        <w:t>For 2021: (343.7 / 1,095.3) * 100 ≈ 31.38%</w:t>
      </w:r>
    </w:p>
    <w:p w14:paraId="564F1B53" w14:textId="77777777" w:rsidR="00875FBD" w:rsidRDefault="00875FBD" w:rsidP="00875FBD">
      <w:r w:rsidRPr="002952A7">
        <w:t>The gross profit for</w:t>
      </w:r>
      <w:r>
        <w:t xml:space="preserve"> Aston Martin in</w:t>
      </w:r>
      <w:r w:rsidRPr="002952A7">
        <w:t xml:space="preserve"> 2022 was £450.7 million, compared to £343.7 million in 2021. This reflects the profit left after deducting the cost of sales from revenue.</w:t>
      </w:r>
    </w:p>
    <w:p w14:paraId="33D81698" w14:textId="77777777" w:rsidR="00875FBD" w:rsidRDefault="00875FBD" w:rsidP="00875FBD"/>
    <w:p w14:paraId="03E79E16" w14:textId="77777777" w:rsidR="00875FBD" w:rsidRDefault="00875FBD" w:rsidP="00875FBD">
      <w:r w:rsidRPr="00E859D4">
        <w:rPr>
          <w:b/>
          <w:bCs/>
        </w:rPr>
        <w:t>Operating Margin</w:t>
      </w:r>
      <w:r>
        <w:t xml:space="preserve"> </w:t>
      </w:r>
      <w:r w:rsidRPr="00DD1E0B">
        <w:t>measures the profitability of a company's core operations. It indicates how efficiently the company manages its expenses relative to its revenue. A higher operating margin is generally more favourable as it suggests that the company is generating a greater profit from each pound of revenue.</w:t>
      </w:r>
    </w:p>
    <w:p w14:paraId="67A875CD" w14:textId="77777777" w:rsidR="00875FBD" w:rsidRDefault="00875FBD" w:rsidP="00875FBD">
      <w:pPr>
        <w:rPr>
          <w:sz w:val="32"/>
          <w:szCs w:val="32"/>
        </w:rPr>
      </w:pPr>
      <w:r w:rsidRPr="00B25CEC">
        <w:t>Operating Margin</w:t>
      </w:r>
      <w:r w:rsidRPr="003F5512">
        <w:rPr>
          <w:b/>
          <w:bCs/>
        </w:rPr>
        <w:t xml:space="preserve"> %</w:t>
      </w:r>
      <w:r>
        <w:t xml:space="preserve"> = </w:t>
      </w:r>
      <m:oMath>
        <m:f>
          <m:fPr>
            <m:ctrlPr>
              <w:rPr>
                <w:rFonts w:ascii="Cambria Math" w:hAnsi="Cambria Math"/>
                <w:i/>
                <w:sz w:val="32"/>
                <w:szCs w:val="32"/>
              </w:rPr>
            </m:ctrlPr>
          </m:fPr>
          <m:num>
            <m:r>
              <w:rPr>
                <w:rFonts w:ascii="Cambria Math" w:hAnsi="Cambria Math"/>
                <w:sz w:val="32"/>
                <w:szCs w:val="32"/>
              </w:rPr>
              <m:t>Operating Profit</m:t>
            </m:r>
          </m:num>
          <m:den>
            <m:r>
              <w:rPr>
                <w:rFonts w:ascii="Cambria Math" w:hAnsi="Cambria Math"/>
                <w:sz w:val="32"/>
                <w:szCs w:val="32"/>
              </w:rPr>
              <m:t>Revenue</m:t>
            </m:r>
          </m:den>
        </m:f>
        <m:r>
          <w:rPr>
            <w:rFonts w:ascii="Cambria Math" w:hAnsi="Cambria Math"/>
            <w:sz w:val="32"/>
            <w:szCs w:val="32"/>
          </w:rPr>
          <m:t xml:space="preserve"> ×100</m:t>
        </m:r>
      </m:oMath>
    </w:p>
    <w:p w14:paraId="44BC2213" w14:textId="77777777" w:rsidR="00875FBD" w:rsidRDefault="00875FBD" w:rsidP="00875FBD">
      <w:r>
        <w:t>For 2022: (-117.9 / 1,381.5) * 100 ≈ -8.54%</w:t>
      </w:r>
    </w:p>
    <w:p w14:paraId="0073FC43" w14:textId="77777777" w:rsidR="00875FBD" w:rsidRDefault="00875FBD" w:rsidP="00875FBD">
      <w:r>
        <w:t>For 2021: (-74.3 / 1,095.3) * 100 ≈ -6.78%</w:t>
      </w:r>
    </w:p>
    <w:p w14:paraId="7CA14325" w14:textId="77777777" w:rsidR="00875FBD" w:rsidRDefault="00875FBD" w:rsidP="00875FBD"/>
    <w:p w14:paraId="5199D41C" w14:textId="77777777" w:rsidR="00875FBD" w:rsidRDefault="00875FBD" w:rsidP="00875FBD">
      <w:r w:rsidRPr="00310708">
        <w:rPr>
          <w:b/>
          <w:bCs/>
        </w:rPr>
        <w:t>Return Ratios</w:t>
      </w:r>
    </w:p>
    <w:p w14:paraId="156B0A52" w14:textId="77777777" w:rsidR="00875FBD" w:rsidRDefault="00875FBD" w:rsidP="00875FBD">
      <w:pPr>
        <w:rPr>
          <w:b/>
          <w:bCs/>
        </w:rPr>
      </w:pPr>
      <w:r w:rsidRPr="000764F3">
        <w:rPr>
          <w:b/>
          <w:bCs/>
        </w:rPr>
        <w:t xml:space="preserve">Net Profit Margin (%) </w:t>
      </w:r>
      <w:r w:rsidRPr="000764F3">
        <w:t>measures the profitability of a company after accounting for all expenses, including operating expenses, interest, taxes, and other non-operating costs. It indicates the efficiency of a company in generating profit from its total revenue and is calculated as follows:</w:t>
      </w:r>
    </w:p>
    <w:p w14:paraId="46779E97" w14:textId="77777777" w:rsidR="00875FBD" w:rsidRDefault="00875FBD" w:rsidP="00875FBD">
      <w:r w:rsidRPr="00B25CEC">
        <w:t>Net Profit %</w:t>
      </w:r>
      <w:r>
        <w:t xml:space="preserve"> = </w:t>
      </w:r>
      <m:oMath>
        <m:f>
          <m:fPr>
            <m:ctrlPr>
              <w:rPr>
                <w:rFonts w:ascii="Cambria Math" w:hAnsi="Cambria Math"/>
                <w:i/>
                <w:sz w:val="32"/>
                <w:szCs w:val="32"/>
              </w:rPr>
            </m:ctrlPr>
          </m:fPr>
          <m:num>
            <m:r>
              <w:rPr>
                <w:rFonts w:ascii="Cambria Math" w:hAnsi="Cambria Math"/>
                <w:sz w:val="32"/>
                <w:szCs w:val="32"/>
              </w:rPr>
              <m:t>Net Income</m:t>
            </m:r>
          </m:num>
          <m:den>
            <m:r>
              <w:rPr>
                <w:rFonts w:ascii="Cambria Math" w:hAnsi="Cambria Math"/>
                <w:sz w:val="32"/>
                <w:szCs w:val="32"/>
              </w:rPr>
              <m:t>Revenue</m:t>
            </m:r>
          </m:den>
        </m:f>
        <m:r>
          <w:rPr>
            <w:rFonts w:ascii="Cambria Math" w:hAnsi="Cambria Math"/>
            <w:sz w:val="32"/>
            <w:szCs w:val="32"/>
          </w:rPr>
          <m:t xml:space="preserve"> ×100</m:t>
        </m:r>
      </m:oMath>
    </w:p>
    <w:p w14:paraId="760BE689" w14:textId="77777777" w:rsidR="00875FBD" w:rsidRDefault="00875FBD" w:rsidP="00875FBD">
      <w:r>
        <w:t xml:space="preserve">For 2022: (-527.7 </w:t>
      </w:r>
      <w:r w:rsidRPr="00134AB1">
        <w:t>million</w:t>
      </w:r>
      <w:r>
        <w:t xml:space="preserve"> / 1,381.5</w:t>
      </w:r>
      <w:r w:rsidRPr="00745D4D">
        <w:t xml:space="preserve"> </w:t>
      </w:r>
      <w:r w:rsidRPr="00134AB1">
        <w:t>million</w:t>
      </w:r>
      <w:r>
        <w:t>) * 100 ≈ -38.2%</w:t>
      </w:r>
    </w:p>
    <w:p w14:paraId="41981440" w14:textId="77777777" w:rsidR="00875FBD" w:rsidRDefault="00875FBD" w:rsidP="00875FBD">
      <w:r>
        <w:lastRenderedPageBreak/>
        <w:t xml:space="preserve">For 2021: (-189.3 </w:t>
      </w:r>
      <w:r w:rsidRPr="00134AB1">
        <w:t>million</w:t>
      </w:r>
      <w:r>
        <w:t xml:space="preserve"> / 1,095.3</w:t>
      </w:r>
      <w:r w:rsidRPr="00745D4D">
        <w:t xml:space="preserve"> </w:t>
      </w:r>
      <w:r w:rsidRPr="00134AB1">
        <w:t>million</w:t>
      </w:r>
      <w:r>
        <w:t>) * 100 ≈ -17.28%</w:t>
      </w:r>
    </w:p>
    <w:p w14:paraId="024DA61C" w14:textId="77777777" w:rsidR="00875FBD" w:rsidRDefault="00875FBD" w:rsidP="00875FBD"/>
    <w:p w14:paraId="77EA1EE4" w14:textId="70988EC0" w:rsidR="00875FBD" w:rsidRDefault="00875FBD" w:rsidP="00875FBD">
      <w:r w:rsidRPr="0071333C">
        <w:rPr>
          <w:b/>
          <w:bCs/>
        </w:rPr>
        <w:t>Return on Assets (ROA</w:t>
      </w:r>
      <w:r w:rsidRPr="000E3F1A">
        <w:rPr>
          <w:b/>
          <w:bCs/>
        </w:rPr>
        <w:t>)</w:t>
      </w:r>
      <w:r w:rsidRPr="0071333C">
        <w:t xml:space="preserve"> measures a company's efficiency in utili</w:t>
      </w:r>
      <w:r w:rsidR="00C21C44">
        <w:t>s</w:t>
      </w:r>
      <w:r w:rsidRPr="0071333C">
        <w:t>ing its assets to generate profit. It indicates how effectively a company's management is deploying its resources to generate earnings and is calculated as follows:</w:t>
      </w:r>
    </w:p>
    <w:p w14:paraId="6BAFFCCD" w14:textId="77777777" w:rsidR="00875FBD" w:rsidRDefault="00875FBD" w:rsidP="00875FBD">
      <w:r>
        <w:t xml:space="preserve">Return on Assets = </w:t>
      </w:r>
      <m:oMath>
        <m:f>
          <m:fPr>
            <m:ctrlPr>
              <w:rPr>
                <w:rFonts w:ascii="Cambria Math" w:hAnsi="Cambria Math"/>
                <w:i/>
                <w:sz w:val="32"/>
                <w:szCs w:val="32"/>
              </w:rPr>
            </m:ctrlPr>
          </m:fPr>
          <m:num>
            <m:r>
              <w:rPr>
                <w:rFonts w:ascii="Cambria Math" w:hAnsi="Cambria Math"/>
                <w:sz w:val="32"/>
                <w:szCs w:val="32"/>
              </w:rPr>
              <m:t>Net Income</m:t>
            </m:r>
          </m:num>
          <m:den>
            <m:r>
              <w:rPr>
                <w:rFonts w:ascii="Cambria Math" w:hAnsi="Cambria Math"/>
                <w:sz w:val="32"/>
                <w:szCs w:val="32"/>
              </w:rPr>
              <m:t>Total Assets</m:t>
            </m:r>
          </m:den>
        </m:f>
        <m:r>
          <w:rPr>
            <w:rFonts w:ascii="Cambria Math" w:hAnsi="Cambria Math"/>
            <w:sz w:val="32"/>
            <w:szCs w:val="32"/>
          </w:rPr>
          <m:t xml:space="preserve"> ×100</m:t>
        </m:r>
      </m:oMath>
    </w:p>
    <w:p w14:paraId="59822B7F" w14:textId="12F1CE29" w:rsidR="00875FBD" w:rsidRDefault="00875FBD" w:rsidP="00875FBD">
      <w:r>
        <w:t xml:space="preserve">For 2022: </w:t>
      </w:r>
      <w:r w:rsidRPr="00134AB1">
        <w:t>(</w:t>
      </w:r>
      <w:r>
        <w:t>-</w:t>
      </w:r>
      <w:r w:rsidRPr="00134AB1">
        <w:t>£</w:t>
      </w:r>
      <w:r>
        <w:t xml:space="preserve">527.7 </w:t>
      </w:r>
      <w:r w:rsidRPr="00134AB1">
        <w:t>million</w:t>
      </w:r>
      <w:r>
        <w:t xml:space="preserve"> </w:t>
      </w:r>
      <w:r w:rsidRPr="00134AB1">
        <w:t xml:space="preserve">/ £3,104.3 million) * 100 ≈ </w:t>
      </w:r>
      <w:r w:rsidR="002B057D">
        <w:t>-</w:t>
      </w:r>
      <w:r>
        <w:t>17</w:t>
      </w:r>
      <w:r w:rsidRPr="00134AB1">
        <w:t>%</w:t>
      </w:r>
    </w:p>
    <w:p w14:paraId="71CB9E0C" w14:textId="77777777" w:rsidR="00875FBD" w:rsidRDefault="00875FBD" w:rsidP="00875FBD">
      <w:r>
        <w:t xml:space="preserve">For 2021: </w:t>
      </w:r>
      <w:r w:rsidRPr="00134AB1">
        <w:t>(-£</w:t>
      </w:r>
      <w:r>
        <w:t xml:space="preserve">189.3 </w:t>
      </w:r>
      <w:r w:rsidRPr="00134AB1">
        <w:t>million / £2,842.5 million) * 100 ≈ -</w:t>
      </w:r>
      <w:r>
        <w:t>6.66</w:t>
      </w:r>
      <w:r w:rsidRPr="00134AB1">
        <w:t>%</w:t>
      </w:r>
    </w:p>
    <w:p w14:paraId="2B7B1651" w14:textId="77777777" w:rsidR="00875FBD" w:rsidRDefault="00875FBD" w:rsidP="00875FBD"/>
    <w:p w14:paraId="2C13E0E4" w14:textId="241A5558" w:rsidR="00875FBD" w:rsidRDefault="00875FBD" w:rsidP="00875FBD">
      <w:pPr>
        <w:rPr>
          <w:rFonts w:ascii="Segoe UI" w:hAnsi="Segoe UI" w:cs="Segoe UI"/>
          <w:color w:val="374151"/>
          <w:shd w:val="clear" w:color="auto" w:fill="F7F7F8"/>
        </w:rPr>
      </w:pPr>
      <w:r w:rsidRPr="0071333C">
        <w:rPr>
          <w:b/>
          <w:bCs/>
        </w:rPr>
        <w:t xml:space="preserve">Return on </w:t>
      </w:r>
      <w:r>
        <w:rPr>
          <w:b/>
          <w:bCs/>
        </w:rPr>
        <w:t>Equity</w:t>
      </w:r>
      <w:r w:rsidRPr="0071333C">
        <w:rPr>
          <w:b/>
          <w:bCs/>
        </w:rPr>
        <w:t xml:space="preserve"> (RO</w:t>
      </w:r>
      <w:r>
        <w:rPr>
          <w:b/>
          <w:bCs/>
        </w:rPr>
        <w:t>E</w:t>
      </w:r>
      <w:r w:rsidRPr="000E3F1A">
        <w:rPr>
          <w:b/>
          <w:bCs/>
        </w:rPr>
        <w:t>)</w:t>
      </w:r>
      <w:r w:rsidRPr="0071333C">
        <w:t xml:space="preserve"> </w:t>
      </w:r>
      <w:r w:rsidRPr="00507FFD">
        <w:t>measures a company's profitability in relation to its shareholders' equity. It indicates how effectively a company is utili</w:t>
      </w:r>
      <w:r w:rsidR="00C21C44">
        <w:t>s</w:t>
      </w:r>
      <w:r w:rsidRPr="00507FFD">
        <w:t>ing shareholders' investments to generate profit and is calculated as follows:</w:t>
      </w:r>
    </w:p>
    <w:p w14:paraId="11A75EE7" w14:textId="77777777" w:rsidR="00875FBD" w:rsidRDefault="00875FBD" w:rsidP="00875FBD">
      <w:pPr>
        <w:rPr>
          <w:sz w:val="32"/>
          <w:szCs w:val="32"/>
        </w:rPr>
      </w:pPr>
      <w:r>
        <w:t xml:space="preserve">Return on Equity = </w:t>
      </w:r>
      <m:oMath>
        <m:f>
          <m:fPr>
            <m:ctrlPr>
              <w:rPr>
                <w:rFonts w:ascii="Cambria Math" w:hAnsi="Cambria Math"/>
                <w:i/>
                <w:sz w:val="32"/>
                <w:szCs w:val="32"/>
              </w:rPr>
            </m:ctrlPr>
          </m:fPr>
          <m:num>
            <m:r>
              <w:rPr>
                <w:rFonts w:ascii="Cambria Math" w:hAnsi="Cambria Math"/>
                <w:sz w:val="32"/>
                <w:szCs w:val="32"/>
              </w:rPr>
              <m:t>Net Income</m:t>
            </m:r>
          </m:num>
          <m:den>
            <m:r>
              <w:rPr>
                <w:rFonts w:ascii="Cambria Math" w:hAnsi="Cambria Math"/>
                <w:sz w:val="32"/>
                <w:szCs w:val="32"/>
              </w:rPr>
              <m:t>Sharolde</m:t>
            </m:r>
            <m:sSup>
              <m:sSupPr>
                <m:ctrlPr>
                  <w:rPr>
                    <w:rFonts w:ascii="Cambria Math" w:hAnsi="Cambria Math"/>
                    <w:i/>
                    <w:sz w:val="32"/>
                    <w:szCs w:val="32"/>
                  </w:rPr>
                </m:ctrlPr>
              </m:sSupPr>
              <m:e>
                <m:r>
                  <w:rPr>
                    <w:rFonts w:ascii="Cambria Math" w:hAnsi="Cambria Math"/>
                    <w:sz w:val="32"/>
                    <w:szCs w:val="32"/>
                  </w:rPr>
                  <m:t>r</m:t>
                </m:r>
              </m:e>
              <m:sup>
                <m:r>
                  <w:rPr>
                    <w:rFonts w:ascii="Cambria Math" w:hAnsi="Cambria Math"/>
                    <w:sz w:val="32"/>
                    <w:szCs w:val="32"/>
                  </w:rPr>
                  <m:t>'</m:t>
                </m:r>
              </m:sup>
            </m:sSup>
            <m:r>
              <w:rPr>
                <w:rFonts w:ascii="Cambria Math" w:hAnsi="Cambria Math"/>
                <w:sz w:val="32"/>
                <w:szCs w:val="32"/>
              </w:rPr>
              <m:t>sEquity</m:t>
            </m:r>
          </m:den>
        </m:f>
        <m:r>
          <w:rPr>
            <w:rFonts w:ascii="Cambria Math" w:hAnsi="Cambria Math"/>
            <w:sz w:val="32"/>
            <w:szCs w:val="32"/>
          </w:rPr>
          <m:t xml:space="preserve"> ×100</m:t>
        </m:r>
      </m:oMath>
    </w:p>
    <w:p w14:paraId="5CF06FC0" w14:textId="77777777" w:rsidR="00875FBD" w:rsidRDefault="00875FBD" w:rsidP="00875FBD">
      <w:r>
        <w:t xml:space="preserve">For 2022: </w:t>
      </w:r>
      <w:r w:rsidRPr="00A878B1">
        <w:t>(-£</w:t>
      </w:r>
      <w:r>
        <w:t xml:space="preserve">527.7 </w:t>
      </w:r>
      <w:r w:rsidRPr="00134AB1">
        <w:t xml:space="preserve">million </w:t>
      </w:r>
      <w:r w:rsidRPr="00A878B1">
        <w:t>/ £</w:t>
      </w:r>
      <w:r>
        <w:t>772.5</w:t>
      </w:r>
      <w:r w:rsidRPr="00A878B1">
        <w:t xml:space="preserve"> million) * 100 ≈ </w:t>
      </w:r>
      <w:r>
        <w:t>-68.3</w:t>
      </w:r>
      <w:r w:rsidRPr="00A878B1">
        <w:t>%</w:t>
      </w:r>
    </w:p>
    <w:p w14:paraId="0EFBFC8F" w14:textId="77777777" w:rsidR="00875FBD" w:rsidRDefault="00875FBD" w:rsidP="00875FBD">
      <w:r>
        <w:t xml:space="preserve">For 2021: </w:t>
      </w:r>
      <w:r w:rsidRPr="007B06D6">
        <w:t>(-£</w:t>
      </w:r>
      <w:r>
        <w:t xml:space="preserve">189.3 </w:t>
      </w:r>
      <w:r w:rsidRPr="007B06D6">
        <w:t>million / £</w:t>
      </w:r>
      <w:r>
        <w:t>660.4</w:t>
      </w:r>
      <w:r w:rsidRPr="007B06D6">
        <w:t xml:space="preserve"> million) * 100 ≈ -</w:t>
      </w:r>
      <w:r>
        <w:t>-28.65</w:t>
      </w:r>
      <w:r w:rsidRPr="007B06D6">
        <w:t>%</w:t>
      </w:r>
    </w:p>
    <w:p w14:paraId="7414AB53" w14:textId="77777777" w:rsidR="00875FBD" w:rsidRPr="00EE1D4D" w:rsidRDefault="00875FBD" w:rsidP="00875FBD"/>
    <w:p w14:paraId="7295C0CA" w14:textId="77777777" w:rsidR="00875FBD" w:rsidRDefault="00875FBD" w:rsidP="00FF4095">
      <w:pPr>
        <w:pStyle w:val="Heading3"/>
      </w:pPr>
      <w:bookmarkStart w:id="16" w:name="_Toc145871028"/>
      <w:r>
        <w:t>Liquidity Ratio</w:t>
      </w:r>
      <w:bookmarkEnd w:id="16"/>
    </w:p>
    <w:p w14:paraId="76120522" w14:textId="77777777" w:rsidR="00875FBD" w:rsidRDefault="00875FBD" w:rsidP="00875FBD">
      <w:r>
        <w:t>These ratios measure the business’ ability to meet current obligations.</w:t>
      </w:r>
    </w:p>
    <w:p w14:paraId="2C5BDE04" w14:textId="77777777" w:rsidR="00875FBD" w:rsidRDefault="00875FBD" w:rsidP="00875FBD">
      <w:r w:rsidRPr="00B6134A">
        <w:rPr>
          <w:b/>
          <w:bCs/>
        </w:rPr>
        <w:t>Current Ratio</w:t>
      </w:r>
      <w:r>
        <w:t>: This ratio assesses the company's short-term liquidity and can be calculated as the ratio of current assets to current liabilities.</w:t>
      </w:r>
    </w:p>
    <w:p w14:paraId="5B61123F" w14:textId="77777777" w:rsidR="00875FBD" w:rsidRDefault="00875FBD" w:rsidP="00875FBD">
      <w:r>
        <w:t xml:space="preserve">Current Ratio = </w:t>
      </w:r>
      <m:oMath>
        <m:f>
          <m:fPr>
            <m:ctrlPr>
              <w:rPr>
                <w:rFonts w:ascii="Cambria Math" w:hAnsi="Cambria Math"/>
                <w:i/>
                <w:sz w:val="32"/>
                <w:szCs w:val="32"/>
              </w:rPr>
            </m:ctrlPr>
          </m:fPr>
          <m:num>
            <m:r>
              <w:rPr>
                <w:rFonts w:ascii="Cambria Math" w:hAnsi="Cambria Math"/>
                <w:sz w:val="32"/>
                <w:szCs w:val="32"/>
              </w:rPr>
              <m:t>Current Assets</m:t>
            </m:r>
          </m:num>
          <m:den>
            <m:r>
              <w:rPr>
                <w:rFonts w:ascii="Cambria Math" w:hAnsi="Cambria Math"/>
                <w:sz w:val="32"/>
                <w:szCs w:val="32"/>
              </w:rPr>
              <m:t>Current Liabilities</m:t>
            </m:r>
          </m:den>
        </m:f>
      </m:oMath>
    </w:p>
    <w:p w14:paraId="3605F013" w14:textId="77777777" w:rsidR="00875FBD" w:rsidRDefault="00875FBD" w:rsidP="00875FBD"/>
    <w:p w14:paraId="1CD7E60A" w14:textId="77777777" w:rsidR="00875FBD" w:rsidRDefault="00875FBD" w:rsidP="00875FBD">
      <w:r>
        <w:t>For 2022:  Current Ratio = £1,125.4 million / £1,041.9 million ≈ 1.08</w:t>
      </w:r>
    </w:p>
    <w:p w14:paraId="21A0DF02" w14:textId="77777777" w:rsidR="00875FBD" w:rsidRDefault="00875FBD" w:rsidP="00875FBD">
      <w:r>
        <w:t>A current ratio above 1 suggests that the company has sufficient current assets to cover its current liabilities.</w:t>
      </w:r>
    </w:p>
    <w:p w14:paraId="33980D3E" w14:textId="77777777" w:rsidR="00875FBD" w:rsidRDefault="00875FBD" w:rsidP="00875FBD">
      <w:r>
        <w:t>For 2021:  Current Ratio = £867.9 million / £905.2 million ≈ 0.96</w:t>
      </w:r>
    </w:p>
    <w:p w14:paraId="6B40E23B" w14:textId="77777777" w:rsidR="00875FBD" w:rsidRDefault="00875FBD" w:rsidP="00875FBD">
      <w:r>
        <w:t>The 2021 ratio below 1 suggests that the company in 2021 had issues with its current assets not covering its current liabilities.</w:t>
      </w:r>
    </w:p>
    <w:p w14:paraId="3333E20D" w14:textId="77777777" w:rsidR="00875FBD" w:rsidRDefault="00875FBD" w:rsidP="00875FBD">
      <w:r w:rsidRPr="00B6134A">
        <w:rPr>
          <w:b/>
          <w:bCs/>
        </w:rPr>
        <w:t>Quick Ratio/Acid Test Ratio</w:t>
      </w:r>
      <w:r>
        <w:t xml:space="preserve">: </w:t>
      </w:r>
      <w:r w:rsidRPr="00926334">
        <w:t>The Acid-Test Ratio, also known as the Quick Ratio, is a liquidity ratio that measures a company's ability to meet its short-term liabilities using its most liquid assets, excluding inventory. It is a more stringent measure of liquidity than the Current Ratio since it excludes the value of inventory, which may not be as easily convertible to cash.</w:t>
      </w:r>
    </w:p>
    <w:p w14:paraId="6873E6DC" w14:textId="77777777" w:rsidR="00875FBD" w:rsidRDefault="00875FBD" w:rsidP="00875FBD">
      <w:r>
        <w:lastRenderedPageBreak/>
        <w:t xml:space="preserve">Acid-Test Ratio = </w:t>
      </w:r>
      <m:oMath>
        <m:f>
          <m:fPr>
            <m:ctrlPr>
              <w:rPr>
                <w:rFonts w:ascii="Cambria Math" w:hAnsi="Cambria Math"/>
                <w:i/>
                <w:sz w:val="32"/>
                <w:szCs w:val="32"/>
              </w:rPr>
            </m:ctrlPr>
          </m:fPr>
          <m:num>
            <m:r>
              <w:rPr>
                <w:rFonts w:ascii="Cambria Math" w:hAnsi="Cambria Math"/>
                <w:sz w:val="32"/>
                <w:szCs w:val="32"/>
              </w:rPr>
              <m:t>Current Assets-Inventory</m:t>
            </m:r>
          </m:num>
          <m:den>
            <m:r>
              <w:rPr>
                <w:rFonts w:ascii="Cambria Math" w:hAnsi="Cambria Math"/>
                <w:sz w:val="32"/>
                <w:szCs w:val="32"/>
              </w:rPr>
              <m:t>Current Liabilities</m:t>
            </m:r>
          </m:den>
        </m:f>
      </m:oMath>
    </w:p>
    <w:p w14:paraId="416C7378" w14:textId="77777777" w:rsidR="00875FBD" w:rsidRDefault="00875FBD" w:rsidP="00875FBD"/>
    <w:p w14:paraId="78968B7F" w14:textId="77777777" w:rsidR="00875FBD" w:rsidRDefault="00875FBD" w:rsidP="00875FBD">
      <w:r>
        <w:t>For 2022:  Acid-Test Ratio = £1,125.4 million - £286.2 million / £1,041.9 million ≈ 0.805</w:t>
      </w:r>
    </w:p>
    <w:p w14:paraId="42727D39" w14:textId="77777777" w:rsidR="00875FBD" w:rsidRDefault="00875FBD" w:rsidP="00875FBD">
      <w:r>
        <w:t>For 2021:  Acid-Test Ratio = £867.9 million - £196.8 million / £905.2 million ≈ 0.741</w:t>
      </w:r>
    </w:p>
    <w:p w14:paraId="3D3AD7BD" w14:textId="77777777" w:rsidR="00875FBD" w:rsidRDefault="00875FBD" w:rsidP="00875FBD"/>
    <w:p w14:paraId="157333F2" w14:textId="77777777" w:rsidR="00875FBD" w:rsidRDefault="00875FBD" w:rsidP="00875FBD">
      <w:r w:rsidRPr="00B6134A">
        <w:rPr>
          <w:b/>
          <w:bCs/>
        </w:rPr>
        <w:t>Cash Ratio</w:t>
      </w:r>
      <w:r>
        <w:t xml:space="preserve">: </w:t>
      </w:r>
    </w:p>
    <w:p w14:paraId="7F9C8CEC" w14:textId="77777777" w:rsidR="00875FBD" w:rsidRDefault="00875FBD" w:rsidP="00875FBD">
      <w:r w:rsidRPr="0026062C">
        <w:t xml:space="preserve">The Cash Ratio is an even more conservative measure of liquidity than the Acid-Test Ratio (Quick Ratio). It focuses solely on the most liquid assets, which are cash and cash equivalents, and excludes both inventory and accounts receivable. </w:t>
      </w:r>
    </w:p>
    <w:p w14:paraId="33D73AE9" w14:textId="77777777" w:rsidR="00875FBD" w:rsidRDefault="00875FBD" w:rsidP="00875FBD">
      <w:pPr>
        <w:rPr>
          <w:sz w:val="32"/>
          <w:szCs w:val="32"/>
        </w:rPr>
      </w:pPr>
      <w:r>
        <w:t xml:space="preserve">Cash Ratio = </w:t>
      </w:r>
      <m:oMath>
        <m:f>
          <m:fPr>
            <m:ctrlPr>
              <w:rPr>
                <w:rFonts w:ascii="Cambria Math" w:hAnsi="Cambria Math"/>
                <w:i/>
                <w:sz w:val="32"/>
                <w:szCs w:val="32"/>
              </w:rPr>
            </m:ctrlPr>
          </m:fPr>
          <m:num>
            <m:r>
              <w:rPr>
                <w:rFonts w:ascii="Cambria Math" w:hAnsi="Cambria Math"/>
                <w:sz w:val="32"/>
                <w:szCs w:val="32"/>
              </w:rPr>
              <m:t>Cash and Cash Equivalents</m:t>
            </m:r>
          </m:num>
          <m:den>
            <m:r>
              <w:rPr>
                <w:rFonts w:ascii="Cambria Math" w:hAnsi="Cambria Math"/>
                <w:sz w:val="32"/>
                <w:szCs w:val="32"/>
              </w:rPr>
              <m:t>Current Liabilities</m:t>
            </m:r>
          </m:den>
        </m:f>
      </m:oMath>
    </w:p>
    <w:p w14:paraId="62FBDC2D" w14:textId="77777777" w:rsidR="00875FBD" w:rsidRDefault="00875FBD" w:rsidP="00875FBD"/>
    <w:p w14:paraId="733A9AE3" w14:textId="1F858097" w:rsidR="00875FBD" w:rsidRDefault="00875FBD" w:rsidP="00875FBD">
      <w:r w:rsidRPr="00C46DA0">
        <w:t xml:space="preserve">For 2022:  </w:t>
      </w:r>
      <w:r>
        <w:t>Cash</w:t>
      </w:r>
      <w:r w:rsidRPr="00C46DA0">
        <w:t xml:space="preserve"> Ratio = £</w:t>
      </w:r>
      <w:r>
        <w:t>583.3</w:t>
      </w:r>
      <w:r w:rsidRPr="00C46DA0">
        <w:t xml:space="preserve"> million / £1,041.9 million ≈ 0.</w:t>
      </w:r>
      <w:r>
        <w:t>5</w:t>
      </w:r>
      <w:r w:rsidR="00C21C44">
        <w:t>6</w:t>
      </w:r>
      <w:r>
        <w:t xml:space="preserve"> or </w:t>
      </w:r>
      <w:r w:rsidR="00C21C44">
        <w:t>56</w:t>
      </w:r>
      <w:r>
        <w:t>%</w:t>
      </w:r>
    </w:p>
    <w:p w14:paraId="2A54EFED" w14:textId="77777777" w:rsidR="00875FBD" w:rsidRDefault="00875FBD" w:rsidP="00875FBD">
      <w:r w:rsidRPr="00C46DA0">
        <w:t>For 202</w:t>
      </w:r>
      <w:r>
        <w:t>1</w:t>
      </w:r>
      <w:r w:rsidRPr="00C46DA0">
        <w:t xml:space="preserve">:  </w:t>
      </w:r>
      <w:r>
        <w:t>Cash</w:t>
      </w:r>
      <w:r w:rsidRPr="00C46DA0">
        <w:t xml:space="preserve"> Ratio = £</w:t>
      </w:r>
      <w:r>
        <w:t>418.9</w:t>
      </w:r>
      <w:r w:rsidRPr="00C46DA0">
        <w:t xml:space="preserve"> million / £</w:t>
      </w:r>
      <w:r>
        <w:t>905.2</w:t>
      </w:r>
      <w:r w:rsidRPr="00C46DA0">
        <w:t xml:space="preserve"> million ≈ 0.</w:t>
      </w:r>
      <w:r>
        <w:t>463 or 46.3%</w:t>
      </w:r>
    </w:p>
    <w:p w14:paraId="17851B83" w14:textId="77777777" w:rsidR="00875FBD" w:rsidRDefault="00875FBD" w:rsidP="00875FBD"/>
    <w:p w14:paraId="687D1DD8" w14:textId="77777777" w:rsidR="00875FBD" w:rsidRDefault="00875FBD" w:rsidP="00875FBD"/>
    <w:p w14:paraId="22EEDC95" w14:textId="77777777" w:rsidR="00875FBD" w:rsidRDefault="00875FBD" w:rsidP="00FF4095">
      <w:pPr>
        <w:pStyle w:val="Heading3"/>
      </w:pPr>
      <w:bookmarkStart w:id="17" w:name="_Toc145871029"/>
      <w:r>
        <w:t>Leverage Ratios</w:t>
      </w:r>
      <w:bookmarkEnd w:id="17"/>
    </w:p>
    <w:p w14:paraId="4091164C" w14:textId="0730F61A" w:rsidR="00875FBD" w:rsidRDefault="00875FBD" w:rsidP="00875FBD">
      <w:r>
        <w:rPr>
          <w:b/>
          <w:bCs/>
        </w:rPr>
        <w:t>Gearing Ratio:</w:t>
      </w:r>
      <w:r>
        <w:t xml:space="preserve"> The gearing </w:t>
      </w:r>
      <w:r w:rsidR="00C21C44">
        <w:t>ratio</w:t>
      </w:r>
      <w:r>
        <w:t xml:space="preserve"> </w:t>
      </w:r>
      <w:r w:rsidRPr="002B6F3C">
        <w:t>represents the proportion of a company's non-current liabilities in relation to the total capital available, which includes both equity and non-current liabilities.</w:t>
      </w:r>
    </w:p>
    <w:p w14:paraId="1911371B" w14:textId="77777777" w:rsidR="00875FBD" w:rsidRPr="003E2471" w:rsidRDefault="00875FBD" w:rsidP="00875FBD">
      <w:r>
        <w:t>Gearing</w:t>
      </w:r>
      <w:r w:rsidRPr="003E2471">
        <w:t xml:space="preserve"> Ratio = </w:t>
      </w:r>
      <m:oMath>
        <m:f>
          <m:fPr>
            <m:ctrlPr>
              <w:rPr>
                <w:rFonts w:ascii="Cambria Math" w:hAnsi="Cambria Math"/>
                <w:i/>
                <w:sz w:val="32"/>
                <w:szCs w:val="32"/>
              </w:rPr>
            </m:ctrlPr>
          </m:fPr>
          <m:num>
            <m:r>
              <w:rPr>
                <w:rFonts w:ascii="Cambria Math" w:hAnsi="Cambria Math"/>
                <w:sz w:val="32"/>
                <w:szCs w:val="32"/>
              </w:rPr>
              <m:t>Non-Current Liabilities</m:t>
            </m:r>
          </m:num>
          <m:den>
            <m:r>
              <w:rPr>
                <w:rFonts w:ascii="Cambria Math" w:hAnsi="Cambria Math"/>
                <w:sz w:val="32"/>
                <w:szCs w:val="32"/>
              </w:rPr>
              <m:t>Equity+Non-Current Liabilities</m:t>
            </m:r>
          </m:den>
        </m:f>
      </m:oMath>
    </w:p>
    <w:p w14:paraId="447BC3F3" w14:textId="77777777" w:rsidR="00875FBD" w:rsidRDefault="00875FBD" w:rsidP="00875FBD"/>
    <w:p w14:paraId="5B192382" w14:textId="77777777" w:rsidR="00875FBD" w:rsidRDefault="00875FBD" w:rsidP="00875FBD">
      <w:r w:rsidRPr="00C46DA0">
        <w:t xml:space="preserve">For 2022:  </w:t>
      </w:r>
      <w:r>
        <w:t>Gearing</w:t>
      </w:r>
      <w:r w:rsidRPr="00C46DA0">
        <w:t xml:space="preserve"> Ratio = £</w:t>
      </w:r>
      <w:r>
        <w:t>1289.9</w:t>
      </w:r>
      <w:r w:rsidRPr="00C46DA0">
        <w:t xml:space="preserve"> million / £</w:t>
      </w:r>
      <w:r>
        <w:t>772.5</w:t>
      </w:r>
      <w:r w:rsidRPr="00C46DA0">
        <w:t xml:space="preserve"> </w:t>
      </w:r>
      <w:r>
        <w:t xml:space="preserve">million + £1289.9 </w:t>
      </w:r>
      <w:r w:rsidRPr="00C46DA0">
        <w:t>million ≈ 0.</w:t>
      </w:r>
      <w:r>
        <w:t>625 or 62.5%</w:t>
      </w:r>
    </w:p>
    <w:p w14:paraId="6E741115" w14:textId="77777777" w:rsidR="00875FBD" w:rsidRDefault="00875FBD" w:rsidP="00875FBD">
      <w:r w:rsidRPr="00C46DA0">
        <w:t>For 202</w:t>
      </w:r>
      <w:r>
        <w:t>1</w:t>
      </w:r>
      <w:r w:rsidRPr="00C46DA0">
        <w:t xml:space="preserve">:  </w:t>
      </w:r>
      <w:r>
        <w:t>Gearing</w:t>
      </w:r>
      <w:r w:rsidRPr="00C46DA0">
        <w:t xml:space="preserve"> Ratio = £</w:t>
      </w:r>
      <w:r>
        <w:t>1276.9</w:t>
      </w:r>
      <w:r w:rsidRPr="00C46DA0">
        <w:t xml:space="preserve"> million / £</w:t>
      </w:r>
      <w:r>
        <w:t>660.4</w:t>
      </w:r>
      <w:r w:rsidRPr="00C46DA0">
        <w:t xml:space="preserve"> </w:t>
      </w:r>
      <w:r>
        <w:t xml:space="preserve">million + £1276.9 </w:t>
      </w:r>
      <w:r w:rsidRPr="00C46DA0">
        <w:t>million ≈ 0.</w:t>
      </w:r>
      <w:r>
        <w:t>659 or 65.9%</w:t>
      </w:r>
    </w:p>
    <w:p w14:paraId="75C0512E" w14:textId="77777777" w:rsidR="00875FBD" w:rsidRPr="002B6F3C" w:rsidRDefault="00875FBD" w:rsidP="00875FBD"/>
    <w:p w14:paraId="6DF749F8" w14:textId="77777777" w:rsidR="00875FBD" w:rsidRDefault="00875FBD" w:rsidP="00875FBD">
      <w:pPr>
        <w:rPr>
          <w:b/>
          <w:bCs/>
        </w:rPr>
      </w:pPr>
    </w:p>
    <w:p w14:paraId="42DD9D77" w14:textId="77777777" w:rsidR="00875FBD" w:rsidRDefault="00875FBD" w:rsidP="00875FBD">
      <w:r>
        <w:rPr>
          <w:b/>
          <w:bCs/>
        </w:rPr>
        <w:t>Debt/Equity</w:t>
      </w:r>
      <w:r w:rsidRPr="00B6134A">
        <w:rPr>
          <w:b/>
          <w:bCs/>
        </w:rPr>
        <w:t xml:space="preserve"> Ratio</w:t>
      </w:r>
      <w:r>
        <w:t xml:space="preserve">: </w:t>
      </w:r>
      <w:r w:rsidRPr="009B50A6">
        <w:t>The Debt-to-Equity Ratio, measures the extent to which a company is financed by debt relative to shareholders' equity.</w:t>
      </w:r>
    </w:p>
    <w:p w14:paraId="4AEEA723" w14:textId="5771DADE" w:rsidR="00875FBD" w:rsidRDefault="00DD51C1" w:rsidP="00875FBD">
      <w:r>
        <w:t>D</w:t>
      </w:r>
      <w:r w:rsidR="00775BB4">
        <w:t>/E</w:t>
      </w:r>
      <w:r w:rsidR="00875FBD">
        <w:t xml:space="preserve"> Ratio = </w:t>
      </w:r>
      <m:oMath>
        <m:f>
          <m:fPr>
            <m:ctrlPr>
              <w:rPr>
                <w:rFonts w:ascii="Cambria Math" w:hAnsi="Cambria Math"/>
                <w:i/>
                <w:sz w:val="32"/>
                <w:szCs w:val="32"/>
              </w:rPr>
            </m:ctrlPr>
          </m:fPr>
          <m:num>
            <m:r>
              <w:rPr>
                <w:rFonts w:ascii="Cambria Math" w:hAnsi="Cambria Math"/>
                <w:sz w:val="32"/>
                <w:szCs w:val="32"/>
              </w:rPr>
              <m:t>Total Liabilities</m:t>
            </m:r>
          </m:num>
          <m:den>
            <m:r>
              <w:rPr>
                <w:rFonts w:ascii="Cambria Math" w:hAnsi="Cambria Math"/>
                <w:sz w:val="32"/>
                <w:szCs w:val="32"/>
              </w:rPr>
              <m:t>Shareholders Equity</m:t>
            </m:r>
          </m:den>
        </m:f>
      </m:oMath>
    </w:p>
    <w:p w14:paraId="408EB970" w14:textId="77777777" w:rsidR="00875FBD" w:rsidRDefault="00875FBD" w:rsidP="00875FBD"/>
    <w:p w14:paraId="3E6CE1B8" w14:textId="7D67DC7C" w:rsidR="00875FBD" w:rsidRDefault="00875FBD" w:rsidP="00875FBD">
      <w:r>
        <w:t xml:space="preserve">For 2022: </w:t>
      </w:r>
      <w:r w:rsidR="00775BB4">
        <w:t>D/E</w:t>
      </w:r>
      <w:r>
        <w:t xml:space="preserve"> Ratio = £2,331.8 million / £772.5 million ≈ 3.02</w:t>
      </w:r>
    </w:p>
    <w:p w14:paraId="721C1620" w14:textId="64325F54" w:rsidR="00875FBD" w:rsidRDefault="00875FBD" w:rsidP="00875FBD">
      <w:r>
        <w:lastRenderedPageBreak/>
        <w:t xml:space="preserve">For 2021: </w:t>
      </w:r>
      <w:r w:rsidR="00775BB4">
        <w:t>D/E</w:t>
      </w:r>
      <w:r>
        <w:t xml:space="preserve"> Ratio = £2,182.1 million / £660.4 million ≈ 3.30</w:t>
      </w:r>
    </w:p>
    <w:p w14:paraId="3A89B200" w14:textId="2BAB1EB9" w:rsidR="00875FBD" w:rsidRDefault="00875FBD" w:rsidP="00875FBD">
      <w:r w:rsidRPr="0077722A">
        <w:t xml:space="preserve">A higher </w:t>
      </w:r>
      <w:r w:rsidR="00775BB4">
        <w:t>D/E</w:t>
      </w:r>
      <w:r w:rsidRPr="0077722A">
        <w:t xml:space="preserve"> Ratio </w:t>
      </w:r>
      <w:r>
        <w:t xml:space="preserve">for 2022 </w:t>
      </w:r>
      <w:r w:rsidRPr="0077722A">
        <w:t>indicates a higher proportion of debt financing relative to shareholders' equity.</w:t>
      </w:r>
    </w:p>
    <w:p w14:paraId="4F7E84E3" w14:textId="77777777" w:rsidR="00875FBD" w:rsidRDefault="00875FBD" w:rsidP="00875FBD"/>
    <w:p w14:paraId="43BCDEF8" w14:textId="77777777" w:rsidR="00875FBD" w:rsidRDefault="00875FBD" w:rsidP="00875FBD">
      <w:r>
        <w:rPr>
          <w:b/>
          <w:bCs/>
        </w:rPr>
        <w:t xml:space="preserve">Long Term Debt/Equity Ratio: </w:t>
      </w:r>
      <w:r w:rsidRPr="00725CAD">
        <w:t>The Long-Term Debt to Equity Ratio is a financial metric that assesses the proportion of a company's long-term debt in comparison to its shareholders' equity. This ratio is essential in evaluating the extent to which a company relies on debt financing to fund its operations and investments</w:t>
      </w:r>
      <w:r>
        <w:t>.</w:t>
      </w:r>
    </w:p>
    <w:p w14:paraId="3FC29627" w14:textId="77777777" w:rsidR="00875FBD" w:rsidRDefault="00875FBD" w:rsidP="00875FBD">
      <w:r>
        <w:t xml:space="preserve">Long Term Debt/Equity Ratio = </w:t>
      </w:r>
      <m:oMath>
        <m:f>
          <m:fPr>
            <m:ctrlPr>
              <w:rPr>
                <w:rFonts w:ascii="Cambria Math" w:hAnsi="Cambria Math"/>
                <w:i/>
                <w:sz w:val="32"/>
                <w:szCs w:val="32"/>
              </w:rPr>
            </m:ctrlPr>
          </m:fPr>
          <m:num>
            <m:r>
              <w:rPr>
                <w:rFonts w:ascii="Cambria Math" w:hAnsi="Cambria Math"/>
                <w:sz w:val="32"/>
                <w:szCs w:val="32"/>
              </w:rPr>
              <m:t>Long Term Debt</m:t>
            </m:r>
          </m:num>
          <m:den>
            <m:r>
              <w:rPr>
                <w:rFonts w:ascii="Cambria Math" w:hAnsi="Cambria Math"/>
                <w:sz w:val="32"/>
                <w:szCs w:val="32"/>
              </w:rPr>
              <m:t>Shareholders Equity</m:t>
            </m:r>
          </m:den>
        </m:f>
      </m:oMath>
    </w:p>
    <w:p w14:paraId="270729A4" w14:textId="5CB854DB" w:rsidR="00875FBD" w:rsidRDefault="00875FBD" w:rsidP="00875FBD">
      <w:r>
        <w:t>For 2022: Long Term Debt/Equity Ratio = £</w:t>
      </w:r>
      <w:r w:rsidR="00793739">
        <w:t>1,257.</w:t>
      </w:r>
      <w:r w:rsidR="00623614">
        <w:t>6</w:t>
      </w:r>
      <w:r>
        <w:t xml:space="preserve"> million / £772.5 million ≈ 1.</w:t>
      </w:r>
      <w:r w:rsidR="00623614">
        <w:t>63</w:t>
      </w:r>
    </w:p>
    <w:p w14:paraId="58D53964" w14:textId="3A749258" w:rsidR="00875FBD" w:rsidRDefault="00875FBD" w:rsidP="00875FBD">
      <w:r>
        <w:t>For 2021: Long Term Debt/Equity Ratio = £</w:t>
      </w:r>
      <w:r w:rsidR="00CC52DB">
        <w:t>1,2</w:t>
      </w:r>
      <w:r w:rsidR="00CC52DB">
        <w:t>4</w:t>
      </w:r>
      <w:r w:rsidR="00CC52DB">
        <w:t>7.</w:t>
      </w:r>
      <w:r w:rsidR="00CC52DB">
        <w:t>3</w:t>
      </w:r>
      <w:r w:rsidR="00CC52DB">
        <w:t xml:space="preserve"> </w:t>
      </w:r>
      <w:r>
        <w:t>million / £660.4 million ≈ 1.</w:t>
      </w:r>
      <w:r w:rsidR="007D4844">
        <w:t>89</w:t>
      </w:r>
    </w:p>
    <w:p w14:paraId="07078FBE" w14:textId="77777777" w:rsidR="00875FBD" w:rsidRDefault="00875FBD" w:rsidP="00875FBD">
      <w:pPr>
        <w:rPr>
          <w:b/>
          <w:bCs/>
        </w:rPr>
      </w:pPr>
    </w:p>
    <w:p w14:paraId="48221A67" w14:textId="77777777" w:rsidR="00875FBD" w:rsidRDefault="00875FBD" w:rsidP="00875FBD">
      <w:r>
        <w:rPr>
          <w:b/>
          <w:bCs/>
        </w:rPr>
        <w:t xml:space="preserve">Interest Coverage: </w:t>
      </w:r>
      <w:r w:rsidRPr="00932696">
        <w:t>Interest Coverage Ratio, also known as the Times Interest Earned (TIE) ratio, is a financial metric that assesses a company's ability to meet its interest obligations on outstanding debt. It measures the company's capacity to cover its interest expenses using its operating income. A higher interest coverage ratio indicates better financial health and a lower risk of defaulting on debt.</w:t>
      </w:r>
    </w:p>
    <w:p w14:paraId="5F5BCBF7" w14:textId="77777777" w:rsidR="00875FBD" w:rsidRDefault="00875FBD" w:rsidP="00875FBD">
      <w:r>
        <w:t xml:space="preserve">Interest Coverage = </w:t>
      </w:r>
      <m:oMath>
        <m:f>
          <m:fPr>
            <m:ctrlPr>
              <w:rPr>
                <w:rFonts w:ascii="Cambria Math" w:hAnsi="Cambria Math"/>
                <w:i/>
                <w:sz w:val="32"/>
                <w:szCs w:val="32"/>
              </w:rPr>
            </m:ctrlPr>
          </m:fPr>
          <m:num>
            <m:r>
              <w:rPr>
                <w:rFonts w:ascii="Cambria Math" w:hAnsi="Cambria Math"/>
                <w:sz w:val="32"/>
                <w:szCs w:val="32"/>
              </w:rPr>
              <m:t>Operating Profit</m:t>
            </m:r>
          </m:num>
          <m:den>
            <m:r>
              <w:rPr>
                <w:rFonts w:ascii="Cambria Math" w:hAnsi="Cambria Math"/>
                <w:sz w:val="32"/>
                <w:szCs w:val="32"/>
              </w:rPr>
              <m:t>Interest Charge</m:t>
            </m:r>
          </m:den>
        </m:f>
      </m:oMath>
    </w:p>
    <w:p w14:paraId="5FACA7CF" w14:textId="77777777" w:rsidR="00875FBD" w:rsidRDefault="00875FBD" w:rsidP="00875FBD">
      <w:r>
        <w:t>Where Operating profit = Earnings Before Interest and Taxes (EBIT)</w:t>
      </w:r>
    </w:p>
    <w:p w14:paraId="7DAE8B4F" w14:textId="6659C14B" w:rsidR="00875FBD" w:rsidRDefault="00875FBD" w:rsidP="00875FBD">
      <w:r>
        <w:t xml:space="preserve">For 2022: Interest Coverage = </w:t>
      </w:r>
      <w:r w:rsidR="005E07CA">
        <w:t>-</w:t>
      </w:r>
      <w:r>
        <w:t>£141.8 million / £</w:t>
      </w:r>
      <w:r w:rsidR="00CA32BA">
        <w:t>141.2</w:t>
      </w:r>
      <w:r>
        <w:t xml:space="preserve"> million ≈ </w:t>
      </w:r>
      <w:r w:rsidR="00774633">
        <w:t>-1.00</w:t>
      </w:r>
    </w:p>
    <w:p w14:paraId="2C23511C" w14:textId="2E9E2F7C" w:rsidR="00875FBD" w:rsidRDefault="00875FBD" w:rsidP="00875FBD">
      <w:r>
        <w:t xml:space="preserve">For 2021: Interest Coverage = </w:t>
      </w:r>
      <w:r w:rsidR="005E07CA">
        <w:t>-</w:t>
      </w:r>
      <w:r>
        <w:t>£</w:t>
      </w:r>
      <w:r w:rsidR="001119B7">
        <w:t>76.5</w:t>
      </w:r>
      <w:r>
        <w:t xml:space="preserve"> million / £</w:t>
      </w:r>
      <w:r w:rsidR="005E07CA">
        <w:t>118</w:t>
      </w:r>
      <w:r>
        <w:t xml:space="preserve"> million ≈ </w:t>
      </w:r>
      <w:r w:rsidR="00774633">
        <w:t>-</w:t>
      </w:r>
      <w:r w:rsidR="00380FE7">
        <w:t>0.65</w:t>
      </w:r>
    </w:p>
    <w:p w14:paraId="61EB58F1" w14:textId="77777777" w:rsidR="00875FBD" w:rsidRDefault="00875FBD" w:rsidP="00875FBD">
      <w:pPr>
        <w:rPr>
          <w:b/>
          <w:bCs/>
        </w:rPr>
      </w:pPr>
    </w:p>
    <w:p w14:paraId="1CBFF11E" w14:textId="77777777" w:rsidR="00875FBD" w:rsidRDefault="00875FBD" w:rsidP="00875FBD">
      <w:r>
        <w:rPr>
          <w:b/>
          <w:bCs/>
        </w:rPr>
        <w:t xml:space="preserve">  </w:t>
      </w:r>
    </w:p>
    <w:p w14:paraId="0A91BE07" w14:textId="77777777" w:rsidR="00875FBD" w:rsidRDefault="00875FBD" w:rsidP="00FF4095">
      <w:pPr>
        <w:pStyle w:val="Heading3"/>
      </w:pPr>
      <w:bookmarkStart w:id="18" w:name="_Toc145871030"/>
      <w:r>
        <w:t>Activity or Efficiency Ratio</w:t>
      </w:r>
      <w:bookmarkEnd w:id="18"/>
    </w:p>
    <w:p w14:paraId="1433D9E1" w14:textId="77777777" w:rsidR="00875FBD" w:rsidRDefault="00875FBD" w:rsidP="00875FBD">
      <w:r>
        <w:t>These ratios reflect the business’ efficiency in utilising the assets</w:t>
      </w:r>
    </w:p>
    <w:p w14:paraId="243A3D38" w14:textId="77777777" w:rsidR="00875FBD" w:rsidRDefault="00875FBD" w:rsidP="00875FBD">
      <w:r w:rsidRPr="00B6134A">
        <w:rPr>
          <w:b/>
          <w:bCs/>
        </w:rPr>
        <w:t>Days Sales Outstanding (DSO)</w:t>
      </w:r>
      <w:r>
        <w:t xml:space="preserve">: </w:t>
      </w:r>
      <w:r w:rsidRPr="00DC326E">
        <w:t>DSO is a measure of how efficiently a company manages its accounts receivable. A lower DSO indicates that the company collects payments more quickly, which can improve cash flow.</w:t>
      </w:r>
    </w:p>
    <w:p w14:paraId="694B54D3" w14:textId="77777777" w:rsidR="00875FBD" w:rsidRDefault="00875FBD" w:rsidP="00875FBD">
      <w:pPr>
        <w:rPr>
          <w:sz w:val="32"/>
          <w:szCs w:val="32"/>
        </w:rPr>
      </w:pPr>
      <w:r>
        <w:t xml:space="preserve">Days Sales Outstanding = </w:t>
      </w:r>
      <m:oMath>
        <m:f>
          <m:fPr>
            <m:ctrlPr>
              <w:rPr>
                <w:rFonts w:ascii="Cambria Math" w:hAnsi="Cambria Math"/>
                <w:i/>
                <w:sz w:val="32"/>
                <w:szCs w:val="32"/>
              </w:rPr>
            </m:ctrlPr>
          </m:fPr>
          <m:num>
            <m:r>
              <w:rPr>
                <w:rFonts w:ascii="Cambria Math" w:hAnsi="Cambria Math"/>
                <w:sz w:val="32"/>
                <w:szCs w:val="32"/>
              </w:rPr>
              <m:t>Trade and other receivables</m:t>
            </m:r>
          </m:num>
          <m:den>
            <m:r>
              <w:rPr>
                <w:rFonts w:ascii="Cambria Math" w:hAnsi="Cambria Math"/>
                <w:sz w:val="32"/>
                <w:szCs w:val="32"/>
              </w:rPr>
              <m:t>Average Revenue per Day</m:t>
            </m:r>
          </m:den>
        </m:f>
      </m:oMath>
    </w:p>
    <w:p w14:paraId="0A02076F" w14:textId="4C600641" w:rsidR="00875FBD" w:rsidRPr="00DC326E" w:rsidRDefault="00875FBD" w:rsidP="00875FBD">
      <w:r w:rsidRPr="00DC326E">
        <w:t>Where Average Revenue</w:t>
      </w:r>
      <w:r>
        <w:t xml:space="preserve"> per Day = </w:t>
      </w:r>
      <m:oMath>
        <m:f>
          <m:fPr>
            <m:ctrlPr>
              <w:rPr>
                <w:rFonts w:ascii="Cambria Math" w:hAnsi="Cambria Math"/>
                <w:i/>
                <w:sz w:val="32"/>
                <w:szCs w:val="32"/>
              </w:rPr>
            </m:ctrlPr>
          </m:fPr>
          <m:num>
            <m:r>
              <w:rPr>
                <w:rFonts w:ascii="Cambria Math" w:hAnsi="Cambria Math"/>
                <w:sz w:val="32"/>
                <w:szCs w:val="32"/>
              </w:rPr>
              <m:t>Average Revenue</m:t>
            </m:r>
          </m:num>
          <m:den>
            <m:r>
              <w:rPr>
                <w:rFonts w:ascii="Cambria Math" w:hAnsi="Cambria Math"/>
                <w:sz w:val="32"/>
                <w:szCs w:val="32"/>
              </w:rPr>
              <m:t>365</m:t>
            </m:r>
          </m:den>
        </m:f>
      </m:oMath>
    </w:p>
    <w:p w14:paraId="0AE3EC91" w14:textId="77777777" w:rsidR="00875FBD" w:rsidRDefault="00875FBD" w:rsidP="00875FBD">
      <w:r w:rsidRPr="00DC326E">
        <w:t>For 2022</w:t>
      </w:r>
      <w:r>
        <w:t>: DSO = (£245.7 million / £1,381.5 million) * 365 ≈ 64.92 days</w:t>
      </w:r>
    </w:p>
    <w:p w14:paraId="64F735D7" w14:textId="1B3E3A42" w:rsidR="00875FBD" w:rsidRDefault="00875FBD" w:rsidP="00875FBD">
      <w:r>
        <w:t>For 2021: DSO = (£243.4 million / £1,095.3 million) * 365 ≈ 81.1</w:t>
      </w:r>
      <w:r w:rsidR="00CE6FBD">
        <w:t>1</w:t>
      </w:r>
      <w:r>
        <w:t xml:space="preserve"> days</w:t>
      </w:r>
    </w:p>
    <w:p w14:paraId="7AD957A9" w14:textId="77777777" w:rsidR="00875FBD" w:rsidRPr="00DC326E" w:rsidRDefault="00875FBD" w:rsidP="00875FBD">
      <w:r w:rsidRPr="000B6A8C">
        <w:lastRenderedPageBreak/>
        <w:t>A lower DSO is generally preferred, as it means the company collects payments more quickly, improving its cash flow.</w:t>
      </w:r>
    </w:p>
    <w:p w14:paraId="7F04F76F" w14:textId="77777777" w:rsidR="00875FBD" w:rsidRDefault="00875FBD" w:rsidP="00875FBD"/>
    <w:p w14:paraId="7C956611" w14:textId="77777777" w:rsidR="00875FBD" w:rsidRDefault="00875FBD" w:rsidP="00875FBD">
      <w:r w:rsidRPr="00B6134A">
        <w:rPr>
          <w:b/>
          <w:bCs/>
        </w:rPr>
        <w:t>Inventory Turnover</w:t>
      </w:r>
      <w:r>
        <w:t xml:space="preserve">: </w:t>
      </w:r>
      <w:r w:rsidRPr="002F2EAA">
        <w:t>Inventory turnover is a financial ratio that measures how efficiently a company manages its inventory by assessing how many times it sells and replaces its average inventory during a specific period.</w:t>
      </w:r>
    </w:p>
    <w:p w14:paraId="0A79870D" w14:textId="77777777" w:rsidR="00875FBD" w:rsidRDefault="00875FBD" w:rsidP="00875FBD">
      <w:pPr>
        <w:rPr>
          <w:sz w:val="32"/>
          <w:szCs w:val="32"/>
        </w:rPr>
      </w:pPr>
      <w:r>
        <w:t xml:space="preserve">Inventory Turnover = </w:t>
      </w:r>
      <m:oMath>
        <m:f>
          <m:fPr>
            <m:ctrlPr>
              <w:rPr>
                <w:rFonts w:ascii="Cambria Math" w:hAnsi="Cambria Math"/>
                <w:i/>
                <w:sz w:val="32"/>
                <w:szCs w:val="32"/>
              </w:rPr>
            </m:ctrlPr>
          </m:fPr>
          <m:num>
            <m:r>
              <w:rPr>
                <w:rFonts w:ascii="Cambria Math" w:hAnsi="Cambria Math"/>
                <w:sz w:val="32"/>
                <w:szCs w:val="32"/>
              </w:rPr>
              <m:t>Cost of Goods Sold (COGS)</m:t>
            </m:r>
          </m:num>
          <m:den>
            <m:r>
              <w:rPr>
                <w:rFonts w:ascii="Cambria Math" w:hAnsi="Cambria Math"/>
                <w:sz w:val="32"/>
                <w:szCs w:val="32"/>
              </w:rPr>
              <m:t>Average Inventory/Stock</m:t>
            </m:r>
          </m:den>
        </m:f>
      </m:oMath>
    </w:p>
    <w:p w14:paraId="733EAE59" w14:textId="77777777" w:rsidR="00875FBD" w:rsidRDefault="00875FBD" w:rsidP="00875FBD">
      <w:r>
        <w:t xml:space="preserve">COGS </w:t>
      </w:r>
      <w:r w:rsidRPr="00BF73AC">
        <w:t>represents the direct costs associated with the production of goods that were sold during the period</w:t>
      </w:r>
      <w:r>
        <w:t xml:space="preserve"> = £930.8 million</w:t>
      </w:r>
    </w:p>
    <w:p w14:paraId="46B3881D" w14:textId="77777777" w:rsidR="00875FBD" w:rsidRPr="00395AF7" w:rsidRDefault="00875FBD" w:rsidP="00875FBD">
      <w:r>
        <w:t>Average Inventory 2022 = (£286.2 million + £196.8 million)/2 = £241.5 million</w:t>
      </w:r>
    </w:p>
    <w:p w14:paraId="70799D12" w14:textId="7B197CE7" w:rsidR="00875FBD" w:rsidRDefault="00875FBD" w:rsidP="00875FBD">
      <w:r w:rsidRPr="00DC326E">
        <w:t>For 2022</w:t>
      </w:r>
      <w:r>
        <w:t>: Inventory Turnover = (£930.8 million / £241.5 million) ≈ 3.85</w:t>
      </w:r>
    </w:p>
    <w:p w14:paraId="048BA1E5" w14:textId="695B7870" w:rsidR="00875FBD" w:rsidRDefault="00875FBD" w:rsidP="00875FBD">
      <w:r w:rsidRPr="00DC326E">
        <w:t>For 202</w:t>
      </w:r>
      <w:r>
        <w:t>1: Inventory Turnover = (£751.6 million / £196.8 million) ≈ 3.8</w:t>
      </w:r>
      <w:r w:rsidR="00431E73">
        <w:t>2</w:t>
      </w:r>
    </w:p>
    <w:p w14:paraId="7BCE8676" w14:textId="77777777" w:rsidR="00875FBD" w:rsidRDefault="00875FBD" w:rsidP="00875FBD"/>
    <w:p w14:paraId="3D094684" w14:textId="7FD5F8E2" w:rsidR="00875FBD" w:rsidRDefault="00875FBD" w:rsidP="00875FBD">
      <w:r w:rsidRPr="00B6134A">
        <w:rPr>
          <w:b/>
          <w:bCs/>
        </w:rPr>
        <w:t>Days Payable Outstanding (DPO)</w:t>
      </w:r>
      <w:r>
        <w:t xml:space="preserve">:  </w:t>
      </w:r>
      <w:r w:rsidRPr="000E14F5">
        <w:t>Days Payable Outstanding (DPO) is a financial ratio that measures the average number of days it takes a company to pay its suppliers or accounts payable. It assesses how efficiently a company manages its accounts payable and its ability to optimi</w:t>
      </w:r>
      <w:r w:rsidR="00C21C44">
        <w:t>s</w:t>
      </w:r>
      <w:r w:rsidRPr="000E14F5">
        <w:t>e cash flow by delaying payments while maintaining good supplier relationships</w:t>
      </w:r>
      <w:r>
        <w:t>.</w:t>
      </w:r>
    </w:p>
    <w:p w14:paraId="27E3144A" w14:textId="77777777" w:rsidR="00875FBD" w:rsidRDefault="00875FBD" w:rsidP="00875FBD">
      <w:pPr>
        <w:rPr>
          <w:sz w:val="32"/>
          <w:szCs w:val="32"/>
        </w:rPr>
      </w:pPr>
      <w:r w:rsidRPr="000E14F5">
        <w:t>Days Payable Outstanding (DPO)</w:t>
      </w:r>
      <w:r>
        <w:t xml:space="preserve"> = </w:t>
      </w:r>
      <m:oMath>
        <m:f>
          <m:fPr>
            <m:ctrlPr>
              <w:rPr>
                <w:rFonts w:ascii="Cambria Math" w:hAnsi="Cambria Math"/>
                <w:i/>
                <w:sz w:val="32"/>
                <w:szCs w:val="32"/>
              </w:rPr>
            </m:ctrlPr>
          </m:fPr>
          <m:num>
            <m:r>
              <w:rPr>
                <w:rFonts w:ascii="Cambria Math" w:hAnsi="Cambria Math"/>
                <w:sz w:val="32"/>
                <w:szCs w:val="32"/>
              </w:rPr>
              <m:t>Trade and other payables</m:t>
            </m:r>
          </m:num>
          <m:den>
            <m:r>
              <w:rPr>
                <w:rFonts w:ascii="Cambria Math" w:hAnsi="Cambria Math"/>
                <w:sz w:val="32"/>
                <w:szCs w:val="32"/>
              </w:rPr>
              <m:t>Average COGS per day</m:t>
            </m:r>
          </m:den>
        </m:f>
      </m:oMath>
    </w:p>
    <w:p w14:paraId="4D8E28A8" w14:textId="77777777" w:rsidR="00875FBD" w:rsidRPr="00677A10" w:rsidRDefault="00875FBD" w:rsidP="00875FBD">
      <w:r w:rsidRPr="00677A10">
        <w:t>Where</w:t>
      </w:r>
      <w:r>
        <w:t xml:space="preserve"> Average COGS per day = </w:t>
      </w:r>
      <m:oMath>
        <m:f>
          <m:fPr>
            <m:ctrlPr>
              <w:rPr>
                <w:rFonts w:ascii="Cambria Math" w:hAnsi="Cambria Math"/>
                <w:i/>
                <w:sz w:val="32"/>
                <w:szCs w:val="32"/>
              </w:rPr>
            </m:ctrlPr>
          </m:fPr>
          <m:num>
            <m:r>
              <w:rPr>
                <w:rFonts w:ascii="Cambria Math" w:hAnsi="Cambria Math"/>
                <w:sz w:val="32"/>
                <w:szCs w:val="32"/>
              </w:rPr>
              <m:t>Annual COGS</m:t>
            </m:r>
          </m:num>
          <m:den>
            <m:r>
              <w:rPr>
                <w:rFonts w:ascii="Cambria Math" w:hAnsi="Cambria Math"/>
                <w:sz w:val="32"/>
                <w:szCs w:val="32"/>
              </w:rPr>
              <m:t>365</m:t>
            </m:r>
          </m:den>
        </m:f>
      </m:oMath>
    </w:p>
    <w:p w14:paraId="61BAA3B3" w14:textId="2B5F3F9F" w:rsidR="00875FBD" w:rsidRDefault="00875FBD" w:rsidP="00875FBD">
      <w:r w:rsidRPr="00DC326E">
        <w:t>For 2022</w:t>
      </w:r>
      <w:r>
        <w:t xml:space="preserve">: </w:t>
      </w:r>
      <w:r w:rsidRPr="000E14F5">
        <w:t>Days Payable Outstanding (DPO)</w:t>
      </w:r>
      <w:r>
        <w:t xml:space="preserve"> = (£876.3 million / £930.8 million) ≈ </w:t>
      </w:r>
      <w:r w:rsidR="006763B8">
        <w:t>343.63</w:t>
      </w:r>
    </w:p>
    <w:p w14:paraId="5026EEBB" w14:textId="69568A53" w:rsidR="00875FBD" w:rsidRDefault="00875FBD" w:rsidP="00875FBD">
      <w:r w:rsidRPr="00DC326E">
        <w:t>For 202</w:t>
      </w:r>
      <w:r>
        <w:t xml:space="preserve">1: </w:t>
      </w:r>
      <w:r w:rsidRPr="000E14F5">
        <w:t>Days Payable Outstanding (DPO)</w:t>
      </w:r>
      <w:r>
        <w:t xml:space="preserve"> = (£721 million / £751.6 million) ≈ </w:t>
      </w:r>
      <w:r w:rsidR="006763B8">
        <w:t>350</w:t>
      </w:r>
      <w:r w:rsidR="00E1771D">
        <w:t>.14</w:t>
      </w:r>
    </w:p>
    <w:p w14:paraId="00A15A92" w14:textId="77777777" w:rsidR="00875FBD" w:rsidRDefault="00875FBD" w:rsidP="00875FBD"/>
    <w:p w14:paraId="491C5653" w14:textId="77777777" w:rsidR="00875FBD" w:rsidRDefault="00875FBD" w:rsidP="00875FBD"/>
    <w:p w14:paraId="5F288C56" w14:textId="77777777" w:rsidR="00875FBD" w:rsidRDefault="00875FBD" w:rsidP="00FF4095">
      <w:pPr>
        <w:pStyle w:val="Heading3"/>
      </w:pPr>
      <w:bookmarkStart w:id="19" w:name="_Toc145871031"/>
      <w:r>
        <w:t>Investment Ratio</w:t>
      </w:r>
      <w:bookmarkEnd w:id="19"/>
    </w:p>
    <w:p w14:paraId="319CB0E9" w14:textId="77777777" w:rsidR="00875FBD" w:rsidRDefault="00875FBD" w:rsidP="00875FBD"/>
    <w:p w14:paraId="633BA32C" w14:textId="77777777" w:rsidR="00875FBD" w:rsidRDefault="00875FBD" w:rsidP="00875FBD">
      <w:r>
        <w:rPr>
          <w:b/>
          <w:bCs/>
        </w:rPr>
        <w:t xml:space="preserve">Earnings Per Ordinary Share: </w:t>
      </w:r>
      <w:r w:rsidRPr="00BD2B8E">
        <w:t>measures a company's profitability and indicates how much profit is attributable to each outstanding ordinary share.</w:t>
      </w:r>
    </w:p>
    <w:p w14:paraId="01EFC899" w14:textId="77777777" w:rsidR="00875FBD" w:rsidRDefault="00875FBD" w:rsidP="00875FBD">
      <w:pPr>
        <w:rPr>
          <w:sz w:val="32"/>
          <w:szCs w:val="32"/>
        </w:rPr>
      </w:pPr>
      <w:r>
        <w:t>Earnings per Ordinary Share (EPS</w:t>
      </w:r>
      <w:r w:rsidRPr="000E14F5">
        <w:t>)</w:t>
      </w:r>
      <w:r>
        <w:t xml:space="preserve"> = </w:t>
      </w:r>
      <m:oMath>
        <m:f>
          <m:fPr>
            <m:ctrlPr>
              <w:rPr>
                <w:rFonts w:ascii="Cambria Math" w:hAnsi="Cambria Math"/>
                <w:i/>
                <w:sz w:val="32"/>
                <w:szCs w:val="32"/>
              </w:rPr>
            </m:ctrlPr>
          </m:fPr>
          <m:num>
            <m:r>
              <w:rPr>
                <w:rFonts w:ascii="Cambria Math" w:hAnsi="Cambria Math"/>
                <w:sz w:val="32"/>
                <w:szCs w:val="32"/>
              </w:rPr>
              <m:t>Net Income (Profit after Tax)</m:t>
            </m:r>
          </m:num>
          <m:den>
            <m:r>
              <w:rPr>
                <w:rFonts w:ascii="Cambria Math" w:hAnsi="Cambria Math"/>
                <w:sz w:val="32"/>
                <w:szCs w:val="32"/>
              </w:rPr>
              <m:t>No of Shares</m:t>
            </m:r>
          </m:den>
        </m:f>
      </m:oMath>
    </w:p>
    <w:p w14:paraId="66EF417D" w14:textId="77777777" w:rsidR="00875FBD" w:rsidRDefault="00875FBD" w:rsidP="00875FBD">
      <w:r w:rsidRPr="00DC326E">
        <w:t>For 2022</w:t>
      </w:r>
      <w:r>
        <w:t>: EPS = (-£528.6 million / 698,757,075 shares) ≈ -£0.76 per share</w:t>
      </w:r>
    </w:p>
    <w:p w14:paraId="03B04330" w14:textId="4A59E001" w:rsidR="00875FBD" w:rsidRDefault="00875FBD" w:rsidP="00875FBD">
      <w:r w:rsidRPr="00DC326E">
        <w:t>For 202</w:t>
      </w:r>
      <w:r>
        <w:t>1: EPS = (-£191.6 million / 116,459,513 shares) ≈ -£1.6</w:t>
      </w:r>
      <w:r w:rsidR="00216340">
        <w:t>3</w:t>
      </w:r>
      <w:r>
        <w:t xml:space="preserve"> per share</w:t>
      </w:r>
    </w:p>
    <w:p w14:paraId="1C0E4CB3" w14:textId="77777777" w:rsidR="00875FBD" w:rsidRDefault="00875FBD" w:rsidP="00875FBD">
      <w:pPr>
        <w:rPr>
          <w:b/>
          <w:bCs/>
        </w:rPr>
      </w:pPr>
    </w:p>
    <w:p w14:paraId="6BA134B5" w14:textId="77777777" w:rsidR="00875FBD" w:rsidRDefault="00875FBD" w:rsidP="00875FBD">
      <w:r>
        <w:rPr>
          <w:b/>
          <w:bCs/>
        </w:rPr>
        <w:lastRenderedPageBreak/>
        <w:t xml:space="preserve">Dividend Cover: </w:t>
      </w:r>
      <w:r w:rsidRPr="007C3B28">
        <w:t>The dividend cover ratio is typically used to assess the sustainability of dividend payments in relation to earnings. In cases where no dividends are paid, the ratio is not meaningful.</w:t>
      </w:r>
    </w:p>
    <w:p w14:paraId="2270011C" w14:textId="77777777" w:rsidR="00875FBD" w:rsidRDefault="00875FBD" w:rsidP="00875FBD">
      <w:pPr>
        <w:rPr>
          <w:sz w:val="32"/>
          <w:szCs w:val="32"/>
        </w:rPr>
      </w:pPr>
      <w:r>
        <w:t xml:space="preserve">Dividend Cover = </w:t>
      </w:r>
      <m:oMath>
        <m:f>
          <m:fPr>
            <m:ctrlPr>
              <w:rPr>
                <w:rFonts w:ascii="Cambria Math" w:hAnsi="Cambria Math"/>
                <w:i/>
                <w:sz w:val="32"/>
                <w:szCs w:val="32"/>
              </w:rPr>
            </m:ctrlPr>
          </m:fPr>
          <m:num>
            <m:r>
              <w:rPr>
                <w:rFonts w:ascii="Cambria Math" w:hAnsi="Cambria Math"/>
                <w:sz w:val="32"/>
                <w:szCs w:val="32"/>
              </w:rPr>
              <m:t>Net Income (Profit after Tax)</m:t>
            </m:r>
          </m:num>
          <m:den>
            <m:r>
              <w:rPr>
                <w:rFonts w:ascii="Cambria Math" w:hAnsi="Cambria Math"/>
                <w:sz w:val="32"/>
                <w:szCs w:val="32"/>
              </w:rPr>
              <m:t>Dividend Proposed and Paid</m:t>
            </m:r>
          </m:den>
        </m:f>
      </m:oMath>
    </w:p>
    <w:p w14:paraId="3DE764AA" w14:textId="77777777" w:rsidR="00875FBD" w:rsidRDefault="00875FBD" w:rsidP="00875FBD">
      <w:pPr>
        <w:rPr>
          <w:b/>
          <w:bCs/>
        </w:rPr>
      </w:pPr>
    </w:p>
    <w:p w14:paraId="710DB143" w14:textId="77777777" w:rsidR="00875FBD" w:rsidRPr="00037A94" w:rsidRDefault="00875FBD" w:rsidP="00875FBD">
      <w:r>
        <w:rPr>
          <w:b/>
          <w:bCs/>
        </w:rPr>
        <w:t xml:space="preserve">Price per Earnings Ratio: </w:t>
      </w:r>
      <w:r w:rsidRPr="00037A94">
        <w:t>The Price-to-Earnings (P/E) ratio is a common valuation metric used to assess a company's stock price relative to its earnings.</w:t>
      </w:r>
    </w:p>
    <w:p w14:paraId="35563992" w14:textId="77777777" w:rsidR="00875FBD" w:rsidRDefault="00875FBD" w:rsidP="00875FBD">
      <w:pPr>
        <w:rPr>
          <w:sz w:val="32"/>
          <w:szCs w:val="32"/>
        </w:rPr>
      </w:pPr>
      <w:r>
        <w:t xml:space="preserve">Price per Earnings Ratio = </w:t>
      </w:r>
      <m:oMath>
        <m:f>
          <m:fPr>
            <m:ctrlPr>
              <w:rPr>
                <w:rFonts w:ascii="Cambria Math" w:hAnsi="Cambria Math"/>
                <w:i/>
                <w:sz w:val="32"/>
                <w:szCs w:val="32"/>
              </w:rPr>
            </m:ctrlPr>
          </m:fPr>
          <m:num>
            <m:r>
              <w:rPr>
                <w:rFonts w:ascii="Cambria Math" w:hAnsi="Cambria Math"/>
                <w:sz w:val="32"/>
                <w:szCs w:val="32"/>
              </w:rPr>
              <m:t>Market Value per Share</m:t>
            </m:r>
          </m:num>
          <m:den>
            <m:r>
              <w:rPr>
                <w:rFonts w:ascii="Cambria Math" w:hAnsi="Cambria Math"/>
                <w:sz w:val="32"/>
                <w:szCs w:val="32"/>
              </w:rPr>
              <m:t>EPS</m:t>
            </m:r>
          </m:den>
        </m:f>
      </m:oMath>
    </w:p>
    <w:p w14:paraId="47EB74F9" w14:textId="679279D2" w:rsidR="00875FBD" w:rsidRDefault="00875FBD" w:rsidP="00875FBD">
      <w:r w:rsidRPr="00DC326E">
        <w:t>For 2022</w:t>
      </w:r>
      <w:r>
        <w:t>: Price per Earnings Ratio = 333.8p / -£0.76) ≈ -</w:t>
      </w:r>
      <w:r w:rsidR="00470D6A">
        <w:t>0.44</w:t>
      </w:r>
    </w:p>
    <w:p w14:paraId="2EF3539E" w14:textId="21E02355" w:rsidR="00875FBD" w:rsidRDefault="00875FBD" w:rsidP="00875FBD">
      <w:r w:rsidRPr="00DC326E">
        <w:t>For 202</w:t>
      </w:r>
      <w:r>
        <w:t>1: Price per Earnings Ratio = 154.05p / -£1.65) ≈ -0.</w:t>
      </w:r>
      <w:r w:rsidR="00470D6A">
        <w:t>09</w:t>
      </w:r>
    </w:p>
    <w:p w14:paraId="47DBA219" w14:textId="77777777" w:rsidR="00875FBD" w:rsidRDefault="00875FBD" w:rsidP="00875FBD">
      <w:pPr>
        <w:rPr>
          <w:b/>
          <w:bCs/>
        </w:rPr>
      </w:pPr>
    </w:p>
    <w:p w14:paraId="4FE680C8" w14:textId="77777777" w:rsidR="00875FBD" w:rsidRDefault="00875FBD" w:rsidP="00875FBD">
      <w:r>
        <w:rPr>
          <w:b/>
          <w:bCs/>
        </w:rPr>
        <w:t xml:space="preserve">Dividend Yield Ratio: </w:t>
      </w:r>
      <w:r>
        <w:t>The Dividend Yield is a metric that shows the return on investment for a companies’ shares.  Without a dividend payment this cannot be calculated.</w:t>
      </w:r>
    </w:p>
    <w:p w14:paraId="11DF6734" w14:textId="58E7617B" w:rsidR="0095139E" w:rsidRDefault="00875FBD" w:rsidP="00875FBD">
      <w:r>
        <w:t xml:space="preserve">Dividend Yield Ratio = </w:t>
      </w:r>
      <m:oMath>
        <m:f>
          <m:fPr>
            <m:ctrlPr>
              <w:rPr>
                <w:rFonts w:ascii="Cambria Math" w:hAnsi="Cambria Math"/>
                <w:i/>
                <w:sz w:val="32"/>
                <w:szCs w:val="32"/>
              </w:rPr>
            </m:ctrlPr>
          </m:fPr>
          <m:num>
            <m:r>
              <w:rPr>
                <w:rFonts w:ascii="Cambria Math" w:hAnsi="Cambria Math"/>
                <w:sz w:val="32"/>
                <w:szCs w:val="32"/>
              </w:rPr>
              <m:t>Dividend per Share</m:t>
            </m:r>
          </m:num>
          <m:den>
            <m:r>
              <w:rPr>
                <w:rFonts w:ascii="Cambria Math" w:hAnsi="Cambria Math"/>
                <w:sz w:val="32"/>
                <w:szCs w:val="32"/>
              </w:rPr>
              <m:t>Market Value per Share</m:t>
            </m:r>
          </m:den>
        </m:f>
      </m:oMath>
    </w:p>
    <w:p w14:paraId="4EBBD569" w14:textId="77777777" w:rsidR="0095139E" w:rsidRDefault="0095139E" w:rsidP="0095139E"/>
    <w:p w14:paraId="3145D166" w14:textId="77777777" w:rsidR="0095139E" w:rsidRPr="0095139E" w:rsidRDefault="0095139E" w:rsidP="0095139E"/>
    <w:p w14:paraId="5BBD2EF4" w14:textId="77777777" w:rsidR="00EE4C2B" w:rsidRDefault="00EE4C2B">
      <w:pPr>
        <w:rPr>
          <w:rFonts w:asciiTheme="majorHAnsi" w:eastAsiaTheme="majorEastAsia" w:hAnsiTheme="majorHAnsi" w:cstheme="majorBidi"/>
          <w:color w:val="8C3314" w:themeColor="accent1" w:themeShade="BF"/>
          <w:sz w:val="32"/>
          <w:szCs w:val="32"/>
        </w:rPr>
      </w:pPr>
      <w:r>
        <w:br w:type="page"/>
      </w:r>
    </w:p>
    <w:p w14:paraId="3E02D9C1" w14:textId="0E688B85" w:rsidR="00EE4C2B" w:rsidRDefault="0095139E" w:rsidP="0095139E">
      <w:pPr>
        <w:pStyle w:val="Heading2"/>
      </w:pPr>
      <w:bookmarkStart w:id="20" w:name="_Toc145871032"/>
      <w:r>
        <w:lastRenderedPageBreak/>
        <w:t>The Statements</w:t>
      </w:r>
      <w:bookmarkEnd w:id="20"/>
    </w:p>
    <w:p w14:paraId="71D90B0B" w14:textId="52794478" w:rsidR="003A5083" w:rsidRPr="003A5083" w:rsidRDefault="00984C7E" w:rsidP="003A5083">
      <w:r>
        <w:rPr>
          <w:noProof/>
        </w:rPr>
        <w:drawing>
          <wp:inline distT="0" distB="0" distL="0" distR="0" wp14:anchorId="11448996" wp14:editId="18BE0638">
            <wp:extent cx="5922645" cy="5724525"/>
            <wp:effectExtent l="0" t="0" r="1905" b="9525"/>
            <wp:docPr id="1" name="Picture 1"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report&#10;&#10;Description automatically generated"/>
                    <pic:cNvPicPr/>
                  </pic:nvPicPr>
                  <pic:blipFill>
                    <a:blip r:embed="rId13"/>
                    <a:stretch>
                      <a:fillRect/>
                    </a:stretch>
                  </pic:blipFill>
                  <pic:spPr>
                    <a:xfrm>
                      <a:off x="0" y="0"/>
                      <a:ext cx="5922645" cy="5724525"/>
                    </a:xfrm>
                    <a:prstGeom prst="rect">
                      <a:avLst/>
                    </a:prstGeom>
                  </pic:spPr>
                </pic:pic>
              </a:graphicData>
            </a:graphic>
          </wp:inline>
        </w:drawing>
      </w:r>
    </w:p>
    <w:p w14:paraId="719DA4E0" w14:textId="77777777" w:rsidR="00EE4C2B" w:rsidRDefault="00EE4C2B" w:rsidP="00EE5CC2">
      <w:r>
        <w:rPr>
          <w:noProof/>
        </w:rPr>
        <w:lastRenderedPageBreak/>
        <w:drawing>
          <wp:inline distT="0" distB="0" distL="0" distR="0" wp14:anchorId="56FA5898" wp14:editId="01EA2D5C">
            <wp:extent cx="5922645" cy="4860925"/>
            <wp:effectExtent l="0" t="0" r="1905" b="0"/>
            <wp:docPr id="5" name="Picture 5"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report&#10;&#10;Description automatically generated"/>
                    <pic:cNvPicPr/>
                  </pic:nvPicPr>
                  <pic:blipFill>
                    <a:blip r:embed="rId14"/>
                    <a:stretch>
                      <a:fillRect/>
                    </a:stretch>
                  </pic:blipFill>
                  <pic:spPr>
                    <a:xfrm>
                      <a:off x="0" y="0"/>
                      <a:ext cx="5922645" cy="4860925"/>
                    </a:xfrm>
                    <a:prstGeom prst="rect">
                      <a:avLst/>
                    </a:prstGeom>
                  </pic:spPr>
                </pic:pic>
              </a:graphicData>
            </a:graphic>
          </wp:inline>
        </w:drawing>
      </w:r>
    </w:p>
    <w:p w14:paraId="207C1C6B" w14:textId="77777777" w:rsidR="00EE4C2B" w:rsidRDefault="00EE4C2B" w:rsidP="00EE5CC2">
      <w:r>
        <w:rPr>
          <w:noProof/>
        </w:rPr>
        <w:lastRenderedPageBreak/>
        <w:drawing>
          <wp:inline distT="0" distB="0" distL="0" distR="0" wp14:anchorId="57874F46" wp14:editId="507A46A0">
            <wp:extent cx="5922645" cy="5674360"/>
            <wp:effectExtent l="0" t="0" r="1905" b="2540"/>
            <wp:docPr id="6" name="Picture 6"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report&#10;&#10;Description automatically generated"/>
                    <pic:cNvPicPr/>
                  </pic:nvPicPr>
                  <pic:blipFill>
                    <a:blip r:embed="rId15"/>
                    <a:stretch>
                      <a:fillRect/>
                    </a:stretch>
                  </pic:blipFill>
                  <pic:spPr>
                    <a:xfrm>
                      <a:off x="0" y="0"/>
                      <a:ext cx="5922645" cy="5674360"/>
                    </a:xfrm>
                    <a:prstGeom prst="rect">
                      <a:avLst/>
                    </a:prstGeom>
                  </pic:spPr>
                </pic:pic>
              </a:graphicData>
            </a:graphic>
          </wp:inline>
        </w:drawing>
      </w:r>
    </w:p>
    <w:p w14:paraId="3E3B357E" w14:textId="77777777" w:rsidR="00EE4C2B" w:rsidRDefault="00EE4C2B" w:rsidP="00EE5CC2">
      <w:r>
        <w:rPr>
          <w:noProof/>
        </w:rPr>
        <w:lastRenderedPageBreak/>
        <w:drawing>
          <wp:inline distT="0" distB="0" distL="0" distR="0" wp14:anchorId="6F309C6E" wp14:editId="6D03BA7B">
            <wp:extent cx="5922645" cy="6014085"/>
            <wp:effectExtent l="0" t="0" r="1905" b="5715"/>
            <wp:docPr id="7" name="Picture 7"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report&#10;&#10;Description automatically generated"/>
                    <pic:cNvPicPr/>
                  </pic:nvPicPr>
                  <pic:blipFill>
                    <a:blip r:embed="rId16"/>
                    <a:stretch>
                      <a:fillRect/>
                    </a:stretch>
                  </pic:blipFill>
                  <pic:spPr>
                    <a:xfrm>
                      <a:off x="0" y="0"/>
                      <a:ext cx="5922645" cy="6014085"/>
                    </a:xfrm>
                    <a:prstGeom prst="rect">
                      <a:avLst/>
                    </a:prstGeom>
                  </pic:spPr>
                </pic:pic>
              </a:graphicData>
            </a:graphic>
          </wp:inline>
        </w:drawing>
      </w:r>
    </w:p>
    <w:p w14:paraId="45E3290C" w14:textId="7DE7D23D" w:rsidR="00EE4C2B" w:rsidRDefault="00EE4C2B" w:rsidP="00EE5CC2">
      <w:r>
        <w:rPr>
          <w:noProof/>
        </w:rPr>
        <w:lastRenderedPageBreak/>
        <w:drawing>
          <wp:inline distT="0" distB="0" distL="0" distR="0" wp14:anchorId="417966DF" wp14:editId="15E68EA1">
            <wp:extent cx="5922645" cy="6174105"/>
            <wp:effectExtent l="0" t="0" r="1905" b="0"/>
            <wp:docPr id="8" name="Picture 8"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document&#10;&#10;Description automatically generated"/>
                    <pic:cNvPicPr/>
                  </pic:nvPicPr>
                  <pic:blipFill>
                    <a:blip r:embed="rId17"/>
                    <a:stretch>
                      <a:fillRect/>
                    </a:stretch>
                  </pic:blipFill>
                  <pic:spPr>
                    <a:xfrm>
                      <a:off x="0" y="0"/>
                      <a:ext cx="5922645" cy="6174105"/>
                    </a:xfrm>
                    <a:prstGeom prst="rect">
                      <a:avLst/>
                    </a:prstGeom>
                  </pic:spPr>
                </pic:pic>
              </a:graphicData>
            </a:graphic>
          </wp:inline>
        </w:drawing>
      </w:r>
    </w:p>
    <w:p w14:paraId="6B8254D5" w14:textId="40DB9F1C" w:rsidR="00A60EA9" w:rsidRDefault="00000000" w:rsidP="00263B72">
      <w:pPr>
        <w:jc w:val="right"/>
      </w:pPr>
      <w:sdt>
        <w:sdtPr>
          <w:id w:val="-971288715"/>
          <w:citation/>
        </w:sdtPr>
        <w:sdtContent>
          <w:r w:rsidR="00263B72">
            <w:fldChar w:fldCharType="begin"/>
          </w:r>
          <w:r w:rsidR="00263B72">
            <w:instrText xml:space="preserve"> CITATION Ast22 \l 2057 </w:instrText>
          </w:r>
          <w:r w:rsidR="00263B72">
            <w:fldChar w:fldCharType="separate"/>
          </w:r>
          <w:r w:rsidR="00354BF0" w:rsidRPr="00354BF0">
            <w:rPr>
              <w:noProof/>
            </w:rPr>
            <w:t>(Aston Martin Lagonda, 2022)</w:t>
          </w:r>
          <w:r w:rsidR="00263B72">
            <w:fldChar w:fldCharType="end"/>
          </w:r>
        </w:sdtContent>
      </w:sdt>
    </w:p>
    <w:sectPr w:rsidR="00A60EA9" w:rsidSect="00B644BB">
      <w:headerReference w:type="even" r:id="rId18"/>
      <w:headerReference w:type="default" r:id="rId19"/>
      <w:footerReference w:type="even" r:id="rId20"/>
      <w:footerReference w:type="default" r:id="rId21"/>
      <w:headerReference w:type="first" r:id="rId22"/>
      <w:footerReference w:type="first" r:id="rId23"/>
      <w:pgSz w:w="11899" w:h="16838" w:code="9"/>
      <w:pgMar w:top="454" w:right="1126" w:bottom="2269" w:left="1446" w:header="397" w:footer="397" w:gutter="0"/>
      <w:cols w:space="708"/>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27348" w14:textId="77777777" w:rsidR="008456E6" w:rsidRDefault="008456E6">
      <w:r>
        <w:separator/>
      </w:r>
    </w:p>
    <w:p w14:paraId="4A1D7BDB" w14:textId="77777777" w:rsidR="008456E6" w:rsidRDefault="008456E6"/>
  </w:endnote>
  <w:endnote w:type="continuationSeparator" w:id="0">
    <w:p w14:paraId="7A0FE37C" w14:textId="77777777" w:rsidR="008456E6" w:rsidRDefault="008456E6">
      <w:r>
        <w:continuationSeparator/>
      </w:r>
    </w:p>
    <w:p w14:paraId="4E970834" w14:textId="77777777" w:rsidR="008456E6" w:rsidRDefault="008456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sto MT">
    <w:panose1 w:val="020406030505050303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DF3E8" w14:textId="77777777" w:rsidR="00EC1391" w:rsidRDefault="00EC13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BEF7E" w14:textId="77777777" w:rsidR="00EC1391" w:rsidRDefault="00EC13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24CD5" w14:textId="77777777" w:rsidR="003D243E" w:rsidRDefault="003D243E">
    <w:pPr>
      <w:pStyle w:val="Footer"/>
      <w:tabs>
        <w:tab w:val="clear" w:pos="4320"/>
        <w:tab w:val="clear" w:pos="8640"/>
        <w:tab w:val="left" w:pos="1106"/>
      </w:tabs>
      <w:rPr>
        <w:rFonts w:cs="Arial"/>
        <w:sz w:val="23"/>
        <w:szCs w:val="23"/>
      </w:rPr>
    </w:pPr>
    <w:r>
      <w:rPr>
        <w:rStyle w:val="PageNumber"/>
        <w:sz w:val="23"/>
        <w:szCs w:val="23"/>
      </w:rPr>
      <w:fldChar w:fldCharType="begin"/>
    </w:r>
    <w:r>
      <w:rPr>
        <w:rStyle w:val="PageNumber"/>
        <w:sz w:val="23"/>
        <w:szCs w:val="23"/>
      </w:rPr>
      <w:instrText xml:space="preserve"> PAGE </w:instrText>
    </w:r>
    <w:r>
      <w:rPr>
        <w:rStyle w:val="PageNumber"/>
        <w:sz w:val="23"/>
        <w:szCs w:val="23"/>
      </w:rPr>
      <w:fldChar w:fldCharType="separate"/>
    </w:r>
    <w:r>
      <w:rPr>
        <w:rStyle w:val="PageNumber"/>
        <w:noProof/>
        <w:sz w:val="23"/>
        <w:szCs w:val="23"/>
      </w:rPr>
      <w:t>2</w:t>
    </w:r>
    <w:r>
      <w:rPr>
        <w:rStyle w:val="PageNumber"/>
        <w:sz w:val="23"/>
        <w:szCs w:val="23"/>
      </w:rPr>
      <w:fldChar w:fldCharType="end"/>
    </w:r>
    <w:r>
      <w:rPr>
        <w:rStyle w:val="PageNumber"/>
        <w:sz w:val="23"/>
        <w:szCs w:val="23"/>
      </w:rPr>
      <w:t xml:space="preserve"> of </w:t>
    </w:r>
    <w:r>
      <w:rPr>
        <w:rStyle w:val="PageNumber"/>
        <w:sz w:val="23"/>
        <w:szCs w:val="23"/>
      </w:rPr>
      <w:fldChar w:fldCharType="begin"/>
    </w:r>
    <w:r>
      <w:rPr>
        <w:rStyle w:val="PageNumber"/>
        <w:sz w:val="23"/>
        <w:szCs w:val="23"/>
      </w:rPr>
      <w:instrText xml:space="preserve"> NUMPAGES </w:instrText>
    </w:r>
    <w:r>
      <w:rPr>
        <w:rStyle w:val="PageNumber"/>
        <w:sz w:val="23"/>
        <w:szCs w:val="23"/>
      </w:rPr>
      <w:fldChar w:fldCharType="separate"/>
    </w:r>
    <w:r w:rsidR="008D49C7">
      <w:rPr>
        <w:rStyle w:val="PageNumber"/>
        <w:noProof/>
        <w:sz w:val="23"/>
        <w:szCs w:val="23"/>
      </w:rPr>
      <w:t>1</w:t>
    </w:r>
    <w:r>
      <w:rPr>
        <w:rStyle w:val="PageNumber"/>
        <w:sz w:val="23"/>
        <w:szCs w:val="23"/>
      </w:rPr>
      <w:fldChar w:fldCharType="end"/>
    </w:r>
    <w:r>
      <w:rPr>
        <w:rFonts w:cs="Arial"/>
        <w:sz w:val="23"/>
        <w:szCs w:val="23"/>
      </w:rPr>
      <w:tab/>
      <w:t>Restricted – Commercial in confidence</w:t>
    </w:r>
  </w:p>
  <w:p w14:paraId="1DFA7753" w14:textId="77777777" w:rsidR="003D243E" w:rsidRDefault="003D243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14089" w14:textId="77777777" w:rsidR="008456E6" w:rsidRDefault="008456E6">
      <w:r>
        <w:separator/>
      </w:r>
    </w:p>
    <w:p w14:paraId="42C5B53D" w14:textId="77777777" w:rsidR="008456E6" w:rsidRDefault="008456E6"/>
  </w:footnote>
  <w:footnote w:type="continuationSeparator" w:id="0">
    <w:p w14:paraId="26C7DB96" w14:textId="77777777" w:rsidR="008456E6" w:rsidRDefault="008456E6">
      <w:r>
        <w:continuationSeparator/>
      </w:r>
    </w:p>
    <w:p w14:paraId="5C3FC2A9" w14:textId="77777777" w:rsidR="008456E6" w:rsidRDefault="008456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8F779" w14:textId="77777777" w:rsidR="003D243E" w:rsidRDefault="003D243E"/>
  <w:p w14:paraId="67BAAF60" w14:textId="77777777" w:rsidR="003D243E" w:rsidRDefault="003D243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BBBDE" w14:textId="77777777" w:rsidR="005D5A62" w:rsidRDefault="005D5A62" w:rsidP="005D5A62">
    <w:pPr>
      <w:pStyle w:val="Title2"/>
    </w:pPr>
  </w:p>
  <w:p w14:paraId="2F4329A9" w14:textId="77777777" w:rsidR="005D5A62" w:rsidRPr="00045BCE" w:rsidRDefault="005D5A62" w:rsidP="00045BCE">
    <w:pPr>
      <w:pStyle w:val="Body"/>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30367" w14:textId="77777777" w:rsidR="003D243E" w:rsidRDefault="003D243E"/>
  <w:p w14:paraId="5C6640A3" w14:textId="77777777" w:rsidR="003D243E" w:rsidRDefault="003D243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53E86"/>
    <w:multiLevelType w:val="multilevel"/>
    <w:tmpl w:val="C646D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F6728E"/>
    <w:multiLevelType w:val="multilevel"/>
    <w:tmpl w:val="2564E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9A4489"/>
    <w:multiLevelType w:val="multilevel"/>
    <w:tmpl w:val="10328F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541FD4"/>
    <w:multiLevelType w:val="multilevel"/>
    <w:tmpl w:val="70E45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CF2A62"/>
    <w:multiLevelType w:val="multilevel"/>
    <w:tmpl w:val="40A8C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C473CD"/>
    <w:multiLevelType w:val="hybridMultilevel"/>
    <w:tmpl w:val="8DA80DC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4B0624"/>
    <w:multiLevelType w:val="multilevel"/>
    <w:tmpl w:val="94864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0A590A"/>
    <w:multiLevelType w:val="multilevel"/>
    <w:tmpl w:val="30687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99D33C2"/>
    <w:multiLevelType w:val="multilevel"/>
    <w:tmpl w:val="8C5AD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CE50FF6"/>
    <w:multiLevelType w:val="multilevel"/>
    <w:tmpl w:val="ED8A4E4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F9121C"/>
    <w:multiLevelType w:val="multilevel"/>
    <w:tmpl w:val="E4C4C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E6E7113"/>
    <w:multiLevelType w:val="multilevel"/>
    <w:tmpl w:val="5CD6D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C6276A"/>
    <w:multiLevelType w:val="multilevel"/>
    <w:tmpl w:val="866A1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A063FC3"/>
    <w:multiLevelType w:val="multilevel"/>
    <w:tmpl w:val="B1C43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D6B643D"/>
    <w:multiLevelType w:val="multilevel"/>
    <w:tmpl w:val="7264E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8E73DE"/>
    <w:multiLevelType w:val="multilevel"/>
    <w:tmpl w:val="D8D04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3821AA8"/>
    <w:multiLevelType w:val="multilevel"/>
    <w:tmpl w:val="C5A87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AC93B7C"/>
    <w:multiLevelType w:val="multilevel"/>
    <w:tmpl w:val="757ED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3C207D2"/>
    <w:multiLevelType w:val="multilevel"/>
    <w:tmpl w:val="515EF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7F81D2A"/>
    <w:multiLevelType w:val="multilevel"/>
    <w:tmpl w:val="33ACA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D8F046C"/>
    <w:multiLevelType w:val="multilevel"/>
    <w:tmpl w:val="8FF4F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094607C"/>
    <w:multiLevelType w:val="multilevel"/>
    <w:tmpl w:val="7D3AB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2395D90"/>
    <w:multiLevelType w:val="multilevel"/>
    <w:tmpl w:val="4660213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23968B8"/>
    <w:multiLevelType w:val="multilevel"/>
    <w:tmpl w:val="4F5E3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397745F"/>
    <w:multiLevelType w:val="multilevel"/>
    <w:tmpl w:val="5852C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9F76911"/>
    <w:multiLevelType w:val="multilevel"/>
    <w:tmpl w:val="19288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C6E74D0"/>
    <w:multiLevelType w:val="multilevel"/>
    <w:tmpl w:val="4740F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D970B1A"/>
    <w:multiLevelType w:val="multilevel"/>
    <w:tmpl w:val="00066574"/>
    <w:lvl w:ilvl="0">
      <w:start w:val="1"/>
      <w:numFmt w:val="decimal"/>
      <w:pStyle w:val="Head1"/>
      <w:lvlText w:val="%1-"/>
      <w:lvlJc w:val="left"/>
      <w:pPr>
        <w:tabs>
          <w:tab w:val="num" w:pos="357"/>
        </w:tabs>
        <w:ind w:left="360" w:hanging="360"/>
      </w:pPr>
      <w:rPr>
        <w:b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2"/>
      <w:lvlText w:val="%1.%2"/>
      <w:lvlJc w:val="left"/>
      <w:pPr>
        <w:tabs>
          <w:tab w:val="num" w:pos="1106"/>
        </w:tabs>
        <w:ind w:left="1106" w:hanging="1106"/>
      </w:pPr>
      <w:rPr>
        <w:rFonts w:hint="default"/>
      </w:rPr>
    </w:lvl>
    <w:lvl w:ilvl="2">
      <w:start w:val="1"/>
      <w:numFmt w:val="decimal"/>
      <w:pStyle w:val="Head3"/>
      <w:lvlText w:val="%1.%2.%3"/>
      <w:lvlJc w:val="left"/>
      <w:pPr>
        <w:tabs>
          <w:tab w:val="num" w:pos="1106"/>
        </w:tabs>
        <w:ind w:left="879" w:firstLine="227"/>
      </w:pPr>
      <w:rPr>
        <w:rFonts w:hint="default"/>
      </w:rPr>
    </w:lvl>
    <w:lvl w:ilvl="3">
      <w:start w:val="1"/>
      <w:numFmt w:val="decimal"/>
      <w:pStyle w:val="Head4"/>
      <w:lvlText w:val="%1.%2.%3.%4"/>
      <w:lvlJc w:val="left"/>
      <w:pPr>
        <w:tabs>
          <w:tab w:val="num" w:pos="1080"/>
        </w:tabs>
        <w:ind w:left="4933" w:hanging="292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770D0A21"/>
    <w:multiLevelType w:val="multilevel"/>
    <w:tmpl w:val="7DE07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7AD66C4"/>
    <w:multiLevelType w:val="multilevel"/>
    <w:tmpl w:val="92DEE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8163A3F"/>
    <w:multiLevelType w:val="hybridMultilevel"/>
    <w:tmpl w:val="C324BD10"/>
    <w:lvl w:ilvl="0" w:tplc="C1A42B1A">
      <w:start w:val="1"/>
      <w:numFmt w:val="bullet"/>
      <w:pStyle w:val="Bullet"/>
      <w:lvlText w:val=""/>
      <w:lvlJc w:val="left"/>
      <w:pPr>
        <w:tabs>
          <w:tab w:val="num" w:pos="4680"/>
        </w:tabs>
        <w:ind w:left="4604" w:hanging="284"/>
      </w:pPr>
      <w:rPr>
        <w:rFonts w:ascii="Symbol" w:hAnsi="Symbol" w:hint="default"/>
      </w:rPr>
    </w:lvl>
    <w:lvl w:ilvl="1" w:tplc="04090003">
      <w:start w:val="1"/>
      <w:numFmt w:val="bullet"/>
      <w:lvlText w:val="o"/>
      <w:lvlJc w:val="left"/>
      <w:pPr>
        <w:tabs>
          <w:tab w:val="num" w:pos="5760"/>
        </w:tabs>
        <w:ind w:left="5760" w:hanging="360"/>
      </w:pPr>
      <w:rPr>
        <w:rFonts w:ascii="Courier New" w:hAnsi="Courier New" w:hint="default"/>
      </w:rPr>
    </w:lvl>
    <w:lvl w:ilvl="2" w:tplc="04090005" w:tentative="1">
      <w:start w:val="1"/>
      <w:numFmt w:val="bullet"/>
      <w:lvlText w:val=""/>
      <w:lvlJc w:val="left"/>
      <w:pPr>
        <w:tabs>
          <w:tab w:val="num" w:pos="6480"/>
        </w:tabs>
        <w:ind w:left="6480" w:hanging="360"/>
      </w:pPr>
      <w:rPr>
        <w:rFonts w:ascii="Wingdings" w:hAnsi="Wingdings" w:hint="default"/>
      </w:rPr>
    </w:lvl>
    <w:lvl w:ilvl="3" w:tplc="04090001" w:tentative="1">
      <w:start w:val="1"/>
      <w:numFmt w:val="bullet"/>
      <w:lvlText w:val=""/>
      <w:lvlJc w:val="left"/>
      <w:pPr>
        <w:tabs>
          <w:tab w:val="num" w:pos="7200"/>
        </w:tabs>
        <w:ind w:left="7200" w:hanging="360"/>
      </w:pPr>
      <w:rPr>
        <w:rFonts w:ascii="Symbol" w:hAnsi="Symbol" w:hint="default"/>
      </w:rPr>
    </w:lvl>
    <w:lvl w:ilvl="4" w:tplc="04090003" w:tentative="1">
      <w:start w:val="1"/>
      <w:numFmt w:val="bullet"/>
      <w:lvlText w:val="o"/>
      <w:lvlJc w:val="left"/>
      <w:pPr>
        <w:tabs>
          <w:tab w:val="num" w:pos="7920"/>
        </w:tabs>
        <w:ind w:left="7920" w:hanging="360"/>
      </w:pPr>
      <w:rPr>
        <w:rFonts w:ascii="Courier New" w:hAnsi="Courier New" w:hint="default"/>
      </w:rPr>
    </w:lvl>
    <w:lvl w:ilvl="5" w:tplc="04090005" w:tentative="1">
      <w:start w:val="1"/>
      <w:numFmt w:val="bullet"/>
      <w:lvlText w:val=""/>
      <w:lvlJc w:val="left"/>
      <w:pPr>
        <w:tabs>
          <w:tab w:val="num" w:pos="8640"/>
        </w:tabs>
        <w:ind w:left="8640" w:hanging="360"/>
      </w:pPr>
      <w:rPr>
        <w:rFonts w:ascii="Wingdings" w:hAnsi="Wingdings" w:hint="default"/>
      </w:rPr>
    </w:lvl>
    <w:lvl w:ilvl="6" w:tplc="04090001" w:tentative="1">
      <w:start w:val="1"/>
      <w:numFmt w:val="bullet"/>
      <w:lvlText w:val=""/>
      <w:lvlJc w:val="left"/>
      <w:pPr>
        <w:tabs>
          <w:tab w:val="num" w:pos="9360"/>
        </w:tabs>
        <w:ind w:left="9360" w:hanging="360"/>
      </w:pPr>
      <w:rPr>
        <w:rFonts w:ascii="Symbol" w:hAnsi="Symbol" w:hint="default"/>
      </w:rPr>
    </w:lvl>
    <w:lvl w:ilvl="7" w:tplc="04090003" w:tentative="1">
      <w:start w:val="1"/>
      <w:numFmt w:val="bullet"/>
      <w:lvlText w:val="o"/>
      <w:lvlJc w:val="left"/>
      <w:pPr>
        <w:tabs>
          <w:tab w:val="num" w:pos="10080"/>
        </w:tabs>
        <w:ind w:left="10080" w:hanging="360"/>
      </w:pPr>
      <w:rPr>
        <w:rFonts w:ascii="Courier New" w:hAnsi="Courier New" w:hint="default"/>
      </w:rPr>
    </w:lvl>
    <w:lvl w:ilvl="8" w:tplc="04090005" w:tentative="1">
      <w:start w:val="1"/>
      <w:numFmt w:val="bullet"/>
      <w:lvlText w:val=""/>
      <w:lvlJc w:val="left"/>
      <w:pPr>
        <w:tabs>
          <w:tab w:val="num" w:pos="10800"/>
        </w:tabs>
        <w:ind w:left="10800" w:hanging="360"/>
      </w:pPr>
      <w:rPr>
        <w:rFonts w:ascii="Wingdings" w:hAnsi="Wingdings" w:hint="default"/>
      </w:rPr>
    </w:lvl>
  </w:abstractNum>
  <w:abstractNum w:abstractNumId="31" w15:restartNumberingAfterBreak="0">
    <w:nsid w:val="7AB94EAF"/>
    <w:multiLevelType w:val="multilevel"/>
    <w:tmpl w:val="88FA5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7236647">
    <w:abstractNumId w:val="30"/>
  </w:num>
  <w:num w:numId="2" w16cid:durableId="1951155972">
    <w:abstractNumId w:val="27"/>
  </w:num>
  <w:num w:numId="3" w16cid:durableId="1479765853">
    <w:abstractNumId w:val="5"/>
  </w:num>
  <w:num w:numId="4" w16cid:durableId="1259559349">
    <w:abstractNumId w:val="9"/>
  </w:num>
  <w:num w:numId="5" w16cid:durableId="1578323017">
    <w:abstractNumId w:val="2"/>
  </w:num>
  <w:num w:numId="6" w16cid:durableId="1146701489">
    <w:abstractNumId w:val="17"/>
  </w:num>
  <w:num w:numId="7" w16cid:durableId="1114524326">
    <w:abstractNumId w:val="3"/>
  </w:num>
  <w:num w:numId="8" w16cid:durableId="242421035">
    <w:abstractNumId w:val="10"/>
  </w:num>
  <w:num w:numId="9" w16cid:durableId="35668470">
    <w:abstractNumId w:val="25"/>
  </w:num>
  <w:num w:numId="10" w16cid:durableId="999843560">
    <w:abstractNumId w:val="16"/>
  </w:num>
  <w:num w:numId="11" w16cid:durableId="701634834">
    <w:abstractNumId w:val="4"/>
  </w:num>
  <w:num w:numId="12" w16cid:durableId="135805662">
    <w:abstractNumId w:val="23"/>
  </w:num>
  <w:num w:numId="13" w16cid:durableId="118961469">
    <w:abstractNumId w:val="7"/>
  </w:num>
  <w:num w:numId="14" w16cid:durableId="737360468">
    <w:abstractNumId w:val="8"/>
  </w:num>
  <w:num w:numId="15" w16cid:durableId="164977421">
    <w:abstractNumId w:val="6"/>
  </w:num>
  <w:num w:numId="16" w16cid:durableId="1086803252">
    <w:abstractNumId w:val="21"/>
  </w:num>
  <w:num w:numId="17" w16cid:durableId="527715088">
    <w:abstractNumId w:val="31"/>
  </w:num>
  <w:num w:numId="18" w16cid:durableId="1299383691">
    <w:abstractNumId w:val="18"/>
  </w:num>
  <w:num w:numId="19" w16cid:durableId="1199319957">
    <w:abstractNumId w:val="28"/>
  </w:num>
  <w:num w:numId="20" w16cid:durableId="1083336920">
    <w:abstractNumId w:val="0"/>
  </w:num>
  <w:num w:numId="21" w16cid:durableId="1909878022">
    <w:abstractNumId w:val="26"/>
  </w:num>
  <w:num w:numId="22" w16cid:durableId="1226338410">
    <w:abstractNumId w:val="20"/>
  </w:num>
  <w:num w:numId="23" w16cid:durableId="1921404458">
    <w:abstractNumId w:val="13"/>
  </w:num>
  <w:num w:numId="24" w16cid:durableId="2010912461">
    <w:abstractNumId w:val="1"/>
  </w:num>
  <w:num w:numId="25" w16cid:durableId="2035421962">
    <w:abstractNumId w:val="24"/>
  </w:num>
  <w:num w:numId="26" w16cid:durableId="1975872185">
    <w:abstractNumId w:val="12"/>
  </w:num>
  <w:num w:numId="27" w16cid:durableId="212425291">
    <w:abstractNumId w:val="11"/>
  </w:num>
  <w:num w:numId="28" w16cid:durableId="794055704">
    <w:abstractNumId w:val="14"/>
  </w:num>
  <w:num w:numId="29" w16cid:durableId="975331241">
    <w:abstractNumId w:val="22"/>
  </w:num>
  <w:num w:numId="30" w16cid:durableId="394549247">
    <w:abstractNumId w:val="15"/>
  </w:num>
  <w:num w:numId="31" w16cid:durableId="395588494">
    <w:abstractNumId w:val="19"/>
  </w:num>
  <w:num w:numId="32" w16cid:durableId="11691526">
    <w:abstractNumId w:val="2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 w:dllVersion="2" w:checkStyle="1"/>
  <w:defaultTabStop w:val="720"/>
  <w:drawingGridHorizontalSpacing w:val="181"/>
  <w:drawingGridVerticalSpacing w:val="181"/>
  <w:displayHorizontalDrawingGridEvery w:val="0"/>
  <w:displayVerticalDrawingGridEvery w:val="0"/>
  <w:doNotUseMarginsForDrawingGridOrigin/>
  <w:drawingGridVerticalOrigin w:val="1985"/>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9B9"/>
    <w:rsid w:val="00007BB4"/>
    <w:rsid w:val="00011964"/>
    <w:rsid w:val="00020479"/>
    <w:rsid w:val="00020EF3"/>
    <w:rsid w:val="00024DC7"/>
    <w:rsid w:val="00024F44"/>
    <w:rsid w:val="000333A7"/>
    <w:rsid w:val="00034E93"/>
    <w:rsid w:val="00037A94"/>
    <w:rsid w:val="00041C66"/>
    <w:rsid w:val="00044A61"/>
    <w:rsid w:val="00045376"/>
    <w:rsid w:val="00045BCE"/>
    <w:rsid w:val="00046F50"/>
    <w:rsid w:val="00046FF5"/>
    <w:rsid w:val="00047043"/>
    <w:rsid w:val="000548AA"/>
    <w:rsid w:val="00067402"/>
    <w:rsid w:val="000764F3"/>
    <w:rsid w:val="00077E15"/>
    <w:rsid w:val="00084CB4"/>
    <w:rsid w:val="00087C92"/>
    <w:rsid w:val="00096E7F"/>
    <w:rsid w:val="000B5DD8"/>
    <w:rsid w:val="000B6A8C"/>
    <w:rsid w:val="000B7599"/>
    <w:rsid w:val="000C4E01"/>
    <w:rsid w:val="000D0023"/>
    <w:rsid w:val="000E14F5"/>
    <w:rsid w:val="000E1C3D"/>
    <w:rsid w:val="000E3F1A"/>
    <w:rsid w:val="000E6B3D"/>
    <w:rsid w:val="000F161F"/>
    <w:rsid w:val="000F2321"/>
    <w:rsid w:val="000F3A21"/>
    <w:rsid w:val="000F5D44"/>
    <w:rsid w:val="001040D6"/>
    <w:rsid w:val="00107A5E"/>
    <w:rsid w:val="001119B7"/>
    <w:rsid w:val="00127460"/>
    <w:rsid w:val="00132B70"/>
    <w:rsid w:val="00134AB1"/>
    <w:rsid w:val="0013612D"/>
    <w:rsid w:val="00144824"/>
    <w:rsid w:val="001450C6"/>
    <w:rsid w:val="00152DA3"/>
    <w:rsid w:val="00152F01"/>
    <w:rsid w:val="00153D91"/>
    <w:rsid w:val="00156CE1"/>
    <w:rsid w:val="00161BDD"/>
    <w:rsid w:val="001652AB"/>
    <w:rsid w:val="00166EEE"/>
    <w:rsid w:val="00170501"/>
    <w:rsid w:val="00170710"/>
    <w:rsid w:val="00173155"/>
    <w:rsid w:val="00174E4C"/>
    <w:rsid w:val="001837EF"/>
    <w:rsid w:val="001925CD"/>
    <w:rsid w:val="001938EB"/>
    <w:rsid w:val="001A19A7"/>
    <w:rsid w:val="001C2F3D"/>
    <w:rsid w:val="001C4AA9"/>
    <w:rsid w:val="001D298C"/>
    <w:rsid w:val="001E1762"/>
    <w:rsid w:val="001F3EDD"/>
    <w:rsid w:val="00206E30"/>
    <w:rsid w:val="00213F8F"/>
    <w:rsid w:val="00216340"/>
    <w:rsid w:val="0022696E"/>
    <w:rsid w:val="002317DB"/>
    <w:rsid w:val="00232BDF"/>
    <w:rsid w:val="00233122"/>
    <w:rsid w:val="002350D9"/>
    <w:rsid w:val="002440BD"/>
    <w:rsid w:val="002476FA"/>
    <w:rsid w:val="002478F0"/>
    <w:rsid w:val="00247EF6"/>
    <w:rsid w:val="00250E0D"/>
    <w:rsid w:val="00253DFD"/>
    <w:rsid w:val="0025495C"/>
    <w:rsid w:val="00256264"/>
    <w:rsid w:val="00256554"/>
    <w:rsid w:val="0026062C"/>
    <w:rsid w:val="0026162A"/>
    <w:rsid w:val="00262D4B"/>
    <w:rsid w:val="00263B72"/>
    <w:rsid w:val="00267273"/>
    <w:rsid w:val="00267767"/>
    <w:rsid w:val="00270476"/>
    <w:rsid w:val="00270FCF"/>
    <w:rsid w:val="00273910"/>
    <w:rsid w:val="002757C9"/>
    <w:rsid w:val="00276466"/>
    <w:rsid w:val="00282315"/>
    <w:rsid w:val="0028324E"/>
    <w:rsid w:val="0028552D"/>
    <w:rsid w:val="00290F80"/>
    <w:rsid w:val="0029102A"/>
    <w:rsid w:val="002952A7"/>
    <w:rsid w:val="002A1376"/>
    <w:rsid w:val="002A3FFE"/>
    <w:rsid w:val="002A7860"/>
    <w:rsid w:val="002A7F8D"/>
    <w:rsid w:val="002B057D"/>
    <w:rsid w:val="002B23ED"/>
    <w:rsid w:val="002B6F3C"/>
    <w:rsid w:val="002E3DD7"/>
    <w:rsid w:val="002E63F1"/>
    <w:rsid w:val="002E793D"/>
    <w:rsid w:val="002F1B45"/>
    <w:rsid w:val="002F2EAA"/>
    <w:rsid w:val="002F37AE"/>
    <w:rsid w:val="002F5714"/>
    <w:rsid w:val="00310708"/>
    <w:rsid w:val="00313D0F"/>
    <w:rsid w:val="00313D53"/>
    <w:rsid w:val="0031678E"/>
    <w:rsid w:val="00320A06"/>
    <w:rsid w:val="00322E4E"/>
    <w:rsid w:val="00324123"/>
    <w:rsid w:val="00324E65"/>
    <w:rsid w:val="00331878"/>
    <w:rsid w:val="00333C64"/>
    <w:rsid w:val="003340BB"/>
    <w:rsid w:val="0033524F"/>
    <w:rsid w:val="00336E57"/>
    <w:rsid w:val="003372B2"/>
    <w:rsid w:val="00345DCB"/>
    <w:rsid w:val="0034680E"/>
    <w:rsid w:val="00347AB9"/>
    <w:rsid w:val="00354BF0"/>
    <w:rsid w:val="003631CE"/>
    <w:rsid w:val="00370932"/>
    <w:rsid w:val="003738C1"/>
    <w:rsid w:val="00375133"/>
    <w:rsid w:val="003801F7"/>
    <w:rsid w:val="00380FE7"/>
    <w:rsid w:val="00382262"/>
    <w:rsid w:val="003855C5"/>
    <w:rsid w:val="0038674D"/>
    <w:rsid w:val="00387FB3"/>
    <w:rsid w:val="00395AF7"/>
    <w:rsid w:val="003A45E2"/>
    <w:rsid w:val="003A5083"/>
    <w:rsid w:val="003B11CC"/>
    <w:rsid w:val="003B632D"/>
    <w:rsid w:val="003C2D8C"/>
    <w:rsid w:val="003D243E"/>
    <w:rsid w:val="003D3D18"/>
    <w:rsid w:val="003E0453"/>
    <w:rsid w:val="003E2471"/>
    <w:rsid w:val="003E4004"/>
    <w:rsid w:val="003E4F50"/>
    <w:rsid w:val="003E71BA"/>
    <w:rsid w:val="003E71F7"/>
    <w:rsid w:val="003E73EA"/>
    <w:rsid w:val="003F2B3D"/>
    <w:rsid w:val="003F5512"/>
    <w:rsid w:val="00401B7A"/>
    <w:rsid w:val="004074CC"/>
    <w:rsid w:val="00414145"/>
    <w:rsid w:val="00416DC0"/>
    <w:rsid w:val="004215C0"/>
    <w:rsid w:val="00421D22"/>
    <w:rsid w:val="00422984"/>
    <w:rsid w:val="00431274"/>
    <w:rsid w:val="00431E73"/>
    <w:rsid w:val="00433118"/>
    <w:rsid w:val="00433685"/>
    <w:rsid w:val="004347F3"/>
    <w:rsid w:val="0043500D"/>
    <w:rsid w:val="00435F29"/>
    <w:rsid w:val="004361A1"/>
    <w:rsid w:val="0043773E"/>
    <w:rsid w:val="00442FDC"/>
    <w:rsid w:val="00443022"/>
    <w:rsid w:val="00461E6A"/>
    <w:rsid w:val="00470D6A"/>
    <w:rsid w:val="00474C41"/>
    <w:rsid w:val="00476761"/>
    <w:rsid w:val="00477456"/>
    <w:rsid w:val="004779EB"/>
    <w:rsid w:val="00483E88"/>
    <w:rsid w:val="004869BF"/>
    <w:rsid w:val="00486D94"/>
    <w:rsid w:val="0049111A"/>
    <w:rsid w:val="0049212B"/>
    <w:rsid w:val="00492D25"/>
    <w:rsid w:val="004936B3"/>
    <w:rsid w:val="004936BD"/>
    <w:rsid w:val="00493DD6"/>
    <w:rsid w:val="00495792"/>
    <w:rsid w:val="00496A4C"/>
    <w:rsid w:val="00496C43"/>
    <w:rsid w:val="004A105F"/>
    <w:rsid w:val="004A1825"/>
    <w:rsid w:val="004A5DF1"/>
    <w:rsid w:val="004B148A"/>
    <w:rsid w:val="004B58E3"/>
    <w:rsid w:val="004B6A5A"/>
    <w:rsid w:val="004D244F"/>
    <w:rsid w:val="004D5786"/>
    <w:rsid w:val="004D5DD9"/>
    <w:rsid w:val="004D72B9"/>
    <w:rsid w:val="004E11CB"/>
    <w:rsid w:val="004E33EE"/>
    <w:rsid w:val="004F13F5"/>
    <w:rsid w:val="004F467D"/>
    <w:rsid w:val="00507FFD"/>
    <w:rsid w:val="00510AB5"/>
    <w:rsid w:val="00520059"/>
    <w:rsid w:val="00527262"/>
    <w:rsid w:val="00531965"/>
    <w:rsid w:val="00537B57"/>
    <w:rsid w:val="00542388"/>
    <w:rsid w:val="00544935"/>
    <w:rsid w:val="0055346A"/>
    <w:rsid w:val="00562A69"/>
    <w:rsid w:val="0057420D"/>
    <w:rsid w:val="00576BD4"/>
    <w:rsid w:val="00577641"/>
    <w:rsid w:val="00580911"/>
    <w:rsid w:val="00581BDD"/>
    <w:rsid w:val="00582822"/>
    <w:rsid w:val="00593579"/>
    <w:rsid w:val="00595F3E"/>
    <w:rsid w:val="005A05D4"/>
    <w:rsid w:val="005A12C8"/>
    <w:rsid w:val="005B5AF6"/>
    <w:rsid w:val="005B78A4"/>
    <w:rsid w:val="005C31B9"/>
    <w:rsid w:val="005D0D54"/>
    <w:rsid w:val="005D1DEF"/>
    <w:rsid w:val="005D34F5"/>
    <w:rsid w:val="005D3F96"/>
    <w:rsid w:val="005D5A62"/>
    <w:rsid w:val="005E07CA"/>
    <w:rsid w:val="005F134A"/>
    <w:rsid w:val="005F7322"/>
    <w:rsid w:val="005F73D7"/>
    <w:rsid w:val="005F7844"/>
    <w:rsid w:val="00601247"/>
    <w:rsid w:val="00611E6F"/>
    <w:rsid w:val="00620B8D"/>
    <w:rsid w:val="00622982"/>
    <w:rsid w:val="00623614"/>
    <w:rsid w:val="00630BFF"/>
    <w:rsid w:val="00633E08"/>
    <w:rsid w:val="006458F2"/>
    <w:rsid w:val="006460DA"/>
    <w:rsid w:val="006467A5"/>
    <w:rsid w:val="00650913"/>
    <w:rsid w:val="00654F07"/>
    <w:rsid w:val="00662724"/>
    <w:rsid w:val="00663AFB"/>
    <w:rsid w:val="00670855"/>
    <w:rsid w:val="006763B8"/>
    <w:rsid w:val="006765B5"/>
    <w:rsid w:val="00677A10"/>
    <w:rsid w:val="00677C98"/>
    <w:rsid w:val="00686A37"/>
    <w:rsid w:val="00691A9E"/>
    <w:rsid w:val="006935DF"/>
    <w:rsid w:val="006A5A4B"/>
    <w:rsid w:val="006B4A52"/>
    <w:rsid w:val="006B5371"/>
    <w:rsid w:val="006C425C"/>
    <w:rsid w:val="006C4CAA"/>
    <w:rsid w:val="006C75BB"/>
    <w:rsid w:val="006E61B1"/>
    <w:rsid w:val="006E7D6A"/>
    <w:rsid w:val="007020A0"/>
    <w:rsid w:val="00703BD1"/>
    <w:rsid w:val="00710336"/>
    <w:rsid w:val="0071333C"/>
    <w:rsid w:val="00724654"/>
    <w:rsid w:val="00725CAD"/>
    <w:rsid w:val="00736489"/>
    <w:rsid w:val="007369C6"/>
    <w:rsid w:val="00744F50"/>
    <w:rsid w:val="00745D4D"/>
    <w:rsid w:val="00747579"/>
    <w:rsid w:val="00761619"/>
    <w:rsid w:val="00774633"/>
    <w:rsid w:val="00775BB4"/>
    <w:rsid w:val="0077628C"/>
    <w:rsid w:val="0077722A"/>
    <w:rsid w:val="007801E2"/>
    <w:rsid w:val="00783C02"/>
    <w:rsid w:val="00784CB4"/>
    <w:rsid w:val="007926E1"/>
    <w:rsid w:val="00793739"/>
    <w:rsid w:val="00794D40"/>
    <w:rsid w:val="007B06D6"/>
    <w:rsid w:val="007B19A8"/>
    <w:rsid w:val="007B5D2C"/>
    <w:rsid w:val="007C16AC"/>
    <w:rsid w:val="007C3B28"/>
    <w:rsid w:val="007C3E78"/>
    <w:rsid w:val="007C7652"/>
    <w:rsid w:val="007D4844"/>
    <w:rsid w:val="007E2E61"/>
    <w:rsid w:val="007E71CC"/>
    <w:rsid w:val="007F4955"/>
    <w:rsid w:val="0080080A"/>
    <w:rsid w:val="00800CEE"/>
    <w:rsid w:val="00802F1C"/>
    <w:rsid w:val="00803406"/>
    <w:rsid w:val="00804065"/>
    <w:rsid w:val="00811462"/>
    <w:rsid w:val="00814EB4"/>
    <w:rsid w:val="008167C0"/>
    <w:rsid w:val="008204D0"/>
    <w:rsid w:val="00821200"/>
    <w:rsid w:val="00837EFE"/>
    <w:rsid w:val="00840EB2"/>
    <w:rsid w:val="00842AB0"/>
    <w:rsid w:val="00844E71"/>
    <w:rsid w:val="008456E6"/>
    <w:rsid w:val="008469D4"/>
    <w:rsid w:val="008576D7"/>
    <w:rsid w:val="00863E78"/>
    <w:rsid w:val="00865122"/>
    <w:rsid w:val="008711A9"/>
    <w:rsid w:val="00875FBD"/>
    <w:rsid w:val="0088381A"/>
    <w:rsid w:val="00884AE1"/>
    <w:rsid w:val="008861DB"/>
    <w:rsid w:val="008865C4"/>
    <w:rsid w:val="008946F2"/>
    <w:rsid w:val="00894E69"/>
    <w:rsid w:val="00896FFB"/>
    <w:rsid w:val="008C0087"/>
    <w:rsid w:val="008C7BAC"/>
    <w:rsid w:val="008D0C73"/>
    <w:rsid w:val="008D251A"/>
    <w:rsid w:val="008D49C7"/>
    <w:rsid w:val="008D4F05"/>
    <w:rsid w:val="008E0967"/>
    <w:rsid w:val="008E190E"/>
    <w:rsid w:val="008F5602"/>
    <w:rsid w:val="008F77C0"/>
    <w:rsid w:val="0090049F"/>
    <w:rsid w:val="009023BC"/>
    <w:rsid w:val="00904078"/>
    <w:rsid w:val="00926334"/>
    <w:rsid w:val="009278D3"/>
    <w:rsid w:val="00927905"/>
    <w:rsid w:val="00932696"/>
    <w:rsid w:val="00935941"/>
    <w:rsid w:val="0094294E"/>
    <w:rsid w:val="00944A3B"/>
    <w:rsid w:val="0095139E"/>
    <w:rsid w:val="00963210"/>
    <w:rsid w:val="00963616"/>
    <w:rsid w:val="00974B6B"/>
    <w:rsid w:val="00976436"/>
    <w:rsid w:val="00984C7E"/>
    <w:rsid w:val="00984E48"/>
    <w:rsid w:val="0098597D"/>
    <w:rsid w:val="00987C32"/>
    <w:rsid w:val="00991CEC"/>
    <w:rsid w:val="0099254A"/>
    <w:rsid w:val="00994B1B"/>
    <w:rsid w:val="009A4791"/>
    <w:rsid w:val="009A7B5C"/>
    <w:rsid w:val="009B0643"/>
    <w:rsid w:val="009B1B40"/>
    <w:rsid w:val="009B369A"/>
    <w:rsid w:val="009B457B"/>
    <w:rsid w:val="009B50A6"/>
    <w:rsid w:val="009B70E0"/>
    <w:rsid w:val="009C0CA0"/>
    <w:rsid w:val="009C272C"/>
    <w:rsid w:val="009C28EC"/>
    <w:rsid w:val="009C4325"/>
    <w:rsid w:val="009C597B"/>
    <w:rsid w:val="009C639C"/>
    <w:rsid w:val="009D14FB"/>
    <w:rsid w:val="009D20C1"/>
    <w:rsid w:val="009E5E9D"/>
    <w:rsid w:val="009E681E"/>
    <w:rsid w:val="009F0164"/>
    <w:rsid w:val="009F5CDE"/>
    <w:rsid w:val="009F5E80"/>
    <w:rsid w:val="00A05E1F"/>
    <w:rsid w:val="00A11DB6"/>
    <w:rsid w:val="00A12B31"/>
    <w:rsid w:val="00A15EEB"/>
    <w:rsid w:val="00A16228"/>
    <w:rsid w:val="00A16788"/>
    <w:rsid w:val="00A24F20"/>
    <w:rsid w:val="00A25D69"/>
    <w:rsid w:val="00A3695C"/>
    <w:rsid w:val="00A529B9"/>
    <w:rsid w:val="00A564E5"/>
    <w:rsid w:val="00A60EA9"/>
    <w:rsid w:val="00A730A2"/>
    <w:rsid w:val="00A73AAC"/>
    <w:rsid w:val="00A7404D"/>
    <w:rsid w:val="00A762D0"/>
    <w:rsid w:val="00A77D61"/>
    <w:rsid w:val="00A8345C"/>
    <w:rsid w:val="00A847E3"/>
    <w:rsid w:val="00A878B1"/>
    <w:rsid w:val="00A926B2"/>
    <w:rsid w:val="00AA18CA"/>
    <w:rsid w:val="00AA2487"/>
    <w:rsid w:val="00AA3CD8"/>
    <w:rsid w:val="00AA6DC6"/>
    <w:rsid w:val="00AB003E"/>
    <w:rsid w:val="00AB403E"/>
    <w:rsid w:val="00AB4811"/>
    <w:rsid w:val="00AB61D1"/>
    <w:rsid w:val="00AC03DF"/>
    <w:rsid w:val="00AC1ACD"/>
    <w:rsid w:val="00AC7794"/>
    <w:rsid w:val="00AD3D75"/>
    <w:rsid w:val="00AF2C36"/>
    <w:rsid w:val="00AF5122"/>
    <w:rsid w:val="00B0198A"/>
    <w:rsid w:val="00B0356B"/>
    <w:rsid w:val="00B125C8"/>
    <w:rsid w:val="00B16D37"/>
    <w:rsid w:val="00B20869"/>
    <w:rsid w:val="00B22462"/>
    <w:rsid w:val="00B25CEC"/>
    <w:rsid w:val="00B326E7"/>
    <w:rsid w:val="00B332C1"/>
    <w:rsid w:val="00B37FAD"/>
    <w:rsid w:val="00B4363D"/>
    <w:rsid w:val="00B45808"/>
    <w:rsid w:val="00B55652"/>
    <w:rsid w:val="00B6134A"/>
    <w:rsid w:val="00B628C2"/>
    <w:rsid w:val="00B642F2"/>
    <w:rsid w:val="00B644BB"/>
    <w:rsid w:val="00B65BD2"/>
    <w:rsid w:val="00B7119C"/>
    <w:rsid w:val="00B76D3C"/>
    <w:rsid w:val="00BA5AE3"/>
    <w:rsid w:val="00BA6DC0"/>
    <w:rsid w:val="00BA7E18"/>
    <w:rsid w:val="00BB1079"/>
    <w:rsid w:val="00BB7E30"/>
    <w:rsid w:val="00BC4D96"/>
    <w:rsid w:val="00BC6D49"/>
    <w:rsid w:val="00BD2B8E"/>
    <w:rsid w:val="00BE0D2B"/>
    <w:rsid w:val="00BE3C9E"/>
    <w:rsid w:val="00BE4F10"/>
    <w:rsid w:val="00BE740A"/>
    <w:rsid w:val="00BF2102"/>
    <w:rsid w:val="00BF73AC"/>
    <w:rsid w:val="00C07998"/>
    <w:rsid w:val="00C07D68"/>
    <w:rsid w:val="00C1645C"/>
    <w:rsid w:val="00C20266"/>
    <w:rsid w:val="00C21C44"/>
    <w:rsid w:val="00C21DC4"/>
    <w:rsid w:val="00C24DA8"/>
    <w:rsid w:val="00C30B63"/>
    <w:rsid w:val="00C31564"/>
    <w:rsid w:val="00C36E20"/>
    <w:rsid w:val="00C370A0"/>
    <w:rsid w:val="00C37BBB"/>
    <w:rsid w:val="00C413C7"/>
    <w:rsid w:val="00C43508"/>
    <w:rsid w:val="00C46DA0"/>
    <w:rsid w:val="00C53321"/>
    <w:rsid w:val="00C53532"/>
    <w:rsid w:val="00C536D8"/>
    <w:rsid w:val="00C55A03"/>
    <w:rsid w:val="00C56725"/>
    <w:rsid w:val="00C63B2D"/>
    <w:rsid w:val="00C640D9"/>
    <w:rsid w:val="00C73DB7"/>
    <w:rsid w:val="00C7625C"/>
    <w:rsid w:val="00C85F47"/>
    <w:rsid w:val="00C8741D"/>
    <w:rsid w:val="00C876B9"/>
    <w:rsid w:val="00C927D1"/>
    <w:rsid w:val="00C97699"/>
    <w:rsid w:val="00CA32BA"/>
    <w:rsid w:val="00CA5048"/>
    <w:rsid w:val="00CA679C"/>
    <w:rsid w:val="00CB33BC"/>
    <w:rsid w:val="00CC32C8"/>
    <w:rsid w:val="00CC52DB"/>
    <w:rsid w:val="00CE1305"/>
    <w:rsid w:val="00CE6FBD"/>
    <w:rsid w:val="00CF16C9"/>
    <w:rsid w:val="00CF31E9"/>
    <w:rsid w:val="00CF5227"/>
    <w:rsid w:val="00D07312"/>
    <w:rsid w:val="00D21B3C"/>
    <w:rsid w:val="00D2490C"/>
    <w:rsid w:val="00D3280F"/>
    <w:rsid w:val="00D34431"/>
    <w:rsid w:val="00D3510A"/>
    <w:rsid w:val="00D37329"/>
    <w:rsid w:val="00D416E9"/>
    <w:rsid w:val="00D419F9"/>
    <w:rsid w:val="00D42D2A"/>
    <w:rsid w:val="00D50DA2"/>
    <w:rsid w:val="00D56D19"/>
    <w:rsid w:val="00D57A7F"/>
    <w:rsid w:val="00D62DFA"/>
    <w:rsid w:val="00D677F4"/>
    <w:rsid w:val="00D77338"/>
    <w:rsid w:val="00D8377D"/>
    <w:rsid w:val="00D8579B"/>
    <w:rsid w:val="00D85914"/>
    <w:rsid w:val="00D92F55"/>
    <w:rsid w:val="00DA0372"/>
    <w:rsid w:val="00DA2263"/>
    <w:rsid w:val="00DA4A28"/>
    <w:rsid w:val="00DC2BB4"/>
    <w:rsid w:val="00DC3255"/>
    <w:rsid w:val="00DC326E"/>
    <w:rsid w:val="00DC584E"/>
    <w:rsid w:val="00DC5E20"/>
    <w:rsid w:val="00DC7EF4"/>
    <w:rsid w:val="00DD1E0B"/>
    <w:rsid w:val="00DD51C1"/>
    <w:rsid w:val="00DD6C15"/>
    <w:rsid w:val="00DD72E5"/>
    <w:rsid w:val="00DE1012"/>
    <w:rsid w:val="00DE616F"/>
    <w:rsid w:val="00DE7500"/>
    <w:rsid w:val="00DF41FE"/>
    <w:rsid w:val="00E00CA7"/>
    <w:rsid w:val="00E00F62"/>
    <w:rsid w:val="00E0250B"/>
    <w:rsid w:val="00E1771D"/>
    <w:rsid w:val="00E202DF"/>
    <w:rsid w:val="00E3165E"/>
    <w:rsid w:val="00E316C7"/>
    <w:rsid w:val="00E32E95"/>
    <w:rsid w:val="00E42299"/>
    <w:rsid w:val="00E46901"/>
    <w:rsid w:val="00E47A3A"/>
    <w:rsid w:val="00E57D13"/>
    <w:rsid w:val="00E61940"/>
    <w:rsid w:val="00E65993"/>
    <w:rsid w:val="00E80D43"/>
    <w:rsid w:val="00E859D4"/>
    <w:rsid w:val="00E9139E"/>
    <w:rsid w:val="00E9204C"/>
    <w:rsid w:val="00E931EA"/>
    <w:rsid w:val="00E94D68"/>
    <w:rsid w:val="00E97BCF"/>
    <w:rsid w:val="00EA04E6"/>
    <w:rsid w:val="00EA1F6C"/>
    <w:rsid w:val="00EA6E14"/>
    <w:rsid w:val="00EB00AE"/>
    <w:rsid w:val="00EB4097"/>
    <w:rsid w:val="00EB7838"/>
    <w:rsid w:val="00EC1391"/>
    <w:rsid w:val="00EC5F09"/>
    <w:rsid w:val="00ED2657"/>
    <w:rsid w:val="00ED3D99"/>
    <w:rsid w:val="00EE10D9"/>
    <w:rsid w:val="00EE1D4D"/>
    <w:rsid w:val="00EE4C2B"/>
    <w:rsid w:val="00EE4CE3"/>
    <w:rsid w:val="00EE5CC2"/>
    <w:rsid w:val="00EE6FA8"/>
    <w:rsid w:val="00EF0D58"/>
    <w:rsid w:val="00EF3A42"/>
    <w:rsid w:val="00F056D3"/>
    <w:rsid w:val="00F05832"/>
    <w:rsid w:val="00F0688C"/>
    <w:rsid w:val="00F120BA"/>
    <w:rsid w:val="00F12E3E"/>
    <w:rsid w:val="00F16854"/>
    <w:rsid w:val="00F22E69"/>
    <w:rsid w:val="00F257A6"/>
    <w:rsid w:val="00F36D27"/>
    <w:rsid w:val="00F43948"/>
    <w:rsid w:val="00F46A83"/>
    <w:rsid w:val="00F506CA"/>
    <w:rsid w:val="00F50938"/>
    <w:rsid w:val="00F509CF"/>
    <w:rsid w:val="00F543E5"/>
    <w:rsid w:val="00F55724"/>
    <w:rsid w:val="00F646E3"/>
    <w:rsid w:val="00F6513E"/>
    <w:rsid w:val="00F65C08"/>
    <w:rsid w:val="00F667C0"/>
    <w:rsid w:val="00F67642"/>
    <w:rsid w:val="00F7640B"/>
    <w:rsid w:val="00F81A25"/>
    <w:rsid w:val="00F835A4"/>
    <w:rsid w:val="00F842AA"/>
    <w:rsid w:val="00F86634"/>
    <w:rsid w:val="00F9410C"/>
    <w:rsid w:val="00FB10C4"/>
    <w:rsid w:val="00FB7C86"/>
    <w:rsid w:val="00FC17AF"/>
    <w:rsid w:val="00FC7B8F"/>
    <w:rsid w:val="00FD05C2"/>
    <w:rsid w:val="00FD2E8E"/>
    <w:rsid w:val="00FD51C6"/>
    <w:rsid w:val="00FE04BA"/>
    <w:rsid w:val="00FE3A02"/>
    <w:rsid w:val="00FE4E46"/>
    <w:rsid w:val="00FE71E6"/>
    <w:rsid w:val="00FF1DDE"/>
    <w:rsid w:val="00FF4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336358"/>
  <w15:chartTrackingRefBased/>
  <w15:docId w15:val="{3A52EACD-2F71-44DA-943A-C42B6767D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qFormat="1"/>
    <w:lsdException w:name="heading 5" w:semiHidden="1" w:uiPriority="9" w:qFormat="1"/>
    <w:lsdException w:name="heading 6" w:semiHidden="1"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657"/>
  </w:style>
  <w:style w:type="paragraph" w:styleId="Heading1">
    <w:name w:val="heading 1"/>
    <w:basedOn w:val="Normal"/>
    <w:next w:val="Normal"/>
    <w:link w:val="Heading1Char"/>
    <w:uiPriority w:val="9"/>
    <w:qFormat/>
    <w:rsid w:val="00A529B9"/>
    <w:pPr>
      <w:keepNext/>
      <w:keepLines/>
      <w:spacing w:before="400" w:after="40" w:line="240" w:lineRule="auto"/>
      <w:outlineLvl w:val="0"/>
    </w:pPr>
    <w:rPr>
      <w:rFonts w:asciiTheme="majorHAnsi" w:eastAsiaTheme="majorEastAsia" w:hAnsiTheme="majorHAnsi" w:cstheme="majorBidi"/>
      <w:color w:val="5E220D" w:themeColor="accent1" w:themeShade="80"/>
      <w:sz w:val="36"/>
      <w:szCs w:val="36"/>
    </w:rPr>
  </w:style>
  <w:style w:type="paragraph" w:styleId="Heading2">
    <w:name w:val="heading 2"/>
    <w:basedOn w:val="Normal"/>
    <w:next w:val="Normal"/>
    <w:link w:val="Heading2Char"/>
    <w:uiPriority w:val="9"/>
    <w:unhideWhenUsed/>
    <w:qFormat/>
    <w:rsid w:val="00A529B9"/>
    <w:pPr>
      <w:keepNext/>
      <w:keepLines/>
      <w:spacing w:before="40" w:after="0" w:line="240" w:lineRule="auto"/>
      <w:outlineLvl w:val="1"/>
    </w:pPr>
    <w:rPr>
      <w:rFonts w:asciiTheme="majorHAnsi" w:eastAsiaTheme="majorEastAsia" w:hAnsiTheme="majorHAnsi" w:cstheme="majorBidi"/>
      <w:color w:val="8C3314" w:themeColor="accent1" w:themeShade="BF"/>
      <w:sz w:val="32"/>
      <w:szCs w:val="32"/>
    </w:rPr>
  </w:style>
  <w:style w:type="paragraph" w:styleId="Heading3">
    <w:name w:val="heading 3"/>
    <w:basedOn w:val="Normal"/>
    <w:next w:val="Normal"/>
    <w:link w:val="Heading3Char"/>
    <w:uiPriority w:val="9"/>
    <w:unhideWhenUsed/>
    <w:qFormat/>
    <w:rsid w:val="00A529B9"/>
    <w:pPr>
      <w:keepNext/>
      <w:keepLines/>
      <w:spacing w:before="40" w:after="0" w:line="240" w:lineRule="auto"/>
      <w:outlineLvl w:val="2"/>
    </w:pPr>
    <w:rPr>
      <w:rFonts w:asciiTheme="majorHAnsi" w:eastAsiaTheme="majorEastAsia" w:hAnsiTheme="majorHAnsi" w:cstheme="majorBidi"/>
      <w:color w:val="8C3314" w:themeColor="accent1" w:themeShade="BF"/>
      <w:sz w:val="28"/>
      <w:szCs w:val="28"/>
    </w:rPr>
  </w:style>
  <w:style w:type="paragraph" w:styleId="Heading4">
    <w:name w:val="heading 4"/>
    <w:basedOn w:val="Normal"/>
    <w:next w:val="Normal"/>
    <w:link w:val="Heading4Char"/>
    <w:uiPriority w:val="9"/>
    <w:semiHidden/>
    <w:unhideWhenUsed/>
    <w:qFormat/>
    <w:rsid w:val="00A529B9"/>
    <w:pPr>
      <w:keepNext/>
      <w:keepLines/>
      <w:spacing w:before="40" w:after="0"/>
      <w:outlineLvl w:val="3"/>
    </w:pPr>
    <w:rPr>
      <w:rFonts w:asciiTheme="majorHAnsi" w:eastAsiaTheme="majorEastAsia" w:hAnsiTheme="majorHAnsi" w:cstheme="majorBidi"/>
      <w:color w:val="8C3314" w:themeColor="accent1" w:themeShade="BF"/>
      <w:sz w:val="24"/>
      <w:szCs w:val="24"/>
    </w:rPr>
  </w:style>
  <w:style w:type="paragraph" w:styleId="Heading5">
    <w:name w:val="heading 5"/>
    <w:basedOn w:val="Normal"/>
    <w:next w:val="Normal"/>
    <w:link w:val="Heading5Char"/>
    <w:uiPriority w:val="9"/>
    <w:semiHidden/>
    <w:unhideWhenUsed/>
    <w:qFormat/>
    <w:rsid w:val="00A529B9"/>
    <w:pPr>
      <w:keepNext/>
      <w:keepLines/>
      <w:spacing w:before="40" w:after="0"/>
      <w:outlineLvl w:val="4"/>
    </w:pPr>
    <w:rPr>
      <w:rFonts w:asciiTheme="majorHAnsi" w:eastAsiaTheme="majorEastAsia" w:hAnsiTheme="majorHAnsi" w:cstheme="majorBidi"/>
      <w:caps/>
      <w:color w:val="8C3314" w:themeColor="accent1" w:themeShade="BF"/>
    </w:rPr>
  </w:style>
  <w:style w:type="paragraph" w:styleId="Heading6">
    <w:name w:val="heading 6"/>
    <w:basedOn w:val="Normal"/>
    <w:next w:val="Normal"/>
    <w:link w:val="Heading6Char"/>
    <w:uiPriority w:val="9"/>
    <w:semiHidden/>
    <w:unhideWhenUsed/>
    <w:qFormat/>
    <w:rsid w:val="00A529B9"/>
    <w:pPr>
      <w:keepNext/>
      <w:keepLines/>
      <w:spacing w:before="40" w:after="0"/>
      <w:outlineLvl w:val="5"/>
    </w:pPr>
    <w:rPr>
      <w:rFonts w:asciiTheme="majorHAnsi" w:eastAsiaTheme="majorEastAsia" w:hAnsiTheme="majorHAnsi" w:cstheme="majorBidi"/>
      <w:i/>
      <w:iCs/>
      <w:caps/>
      <w:color w:val="5E220D" w:themeColor="accent1" w:themeShade="80"/>
    </w:rPr>
  </w:style>
  <w:style w:type="paragraph" w:styleId="Heading7">
    <w:name w:val="heading 7"/>
    <w:basedOn w:val="Normal"/>
    <w:next w:val="Normal"/>
    <w:link w:val="Heading7Char"/>
    <w:uiPriority w:val="9"/>
    <w:semiHidden/>
    <w:unhideWhenUsed/>
    <w:qFormat/>
    <w:rsid w:val="00A529B9"/>
    <w:pPr>
      <w:keepNext/>
      <w:keepLines/>
      <w:spacing w:before="40" w:after="0"/>
      <w:outlineLvl w:val="6"/>
    </w:pPr>
    <w:rPr>
      <w:rFonts w:asciiTheme="majorHAnsi" w:eastAsiaTheme="majorEastAsia" w:hAnsiTheme="majorHAnsi" w:cstheme="majorBidi"/>
      <w:b/>
      <w:bCs/>
      <w:color w:val="5E220D" w:themeColor="accent1" w:themeShade="80"/>
    </w:rPr>
  </w:style>
  <w:style w:type="paragraph" w:styleId="Heading8">
    <w:name w:val="heading 8"/>
    <w:basedOn w:val="Normal"/>
    <w:next w:val="Normal"/>
    <w:link w:val="Heading8Char"/>
    <w:uiPriority w:val="9"/>
    <w:semiHidden/>
    <w:unhideWhenUsed/>
    <w:qFormat/>
    <w:rsid w:val="00A529B9"/>
    <w:pPr>
      <w:keepNext/>
      <w:keepLines/>
      <w:spacing w:before="40" w:after="0"/>
      <w:outlineLvl w:val="7"/>
    </w:pPr>
    <w:rPr>
      <w:rFonts w:asciiTheme="majorHAnsi" w:eastAsiaTheme="majorEastAsia" w:hAnsiTheme="majorHAnsi" w:cstheme="majorBidi"/>
      <w:b/>
      <w:bCs/>
      <w:i/>
      <w:iCs/>
      <w:color w:val="5E220D" w:themeColor="accent1" w:themeShade="80"/>
    </w:rPr>
  </w:style>
  <w:style w:type="paragraph" w:styleId="Heading9">
    <w:name w:val="heading 9"/>
    <w:basedOn w:val="Normal"/>
    <w:next w:val="Normal"/>
    <w:link w:val="Heading9Char"/>
    <w:uiPriority w:val="9"/>
    <w:semiHidden/>
    <w:unhideWhenUsed/>
    <w:qFormat/>
    <w:rsid w:val="00A529B9"/>
    <w:pPr>
      <w:keepNext/>
      <w:keepLines/>
      <w:spacing w:before="40" w:after="0"/>
      <w:outlineLvl w:val="8"/>
    </w:pPr>
    <w:rPr>
      <w:rFonts w:asciiTheme="majorHAnsi" w:eastAsiaTheme="majorEastAsia" w:hAnsiTheme="majorHAnsi" w:cstheme="majorBidi"/>
      <w:i/>
      <w:iCs/>
      <w:color w:val="5E220D"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semiHidden/>
    <w:rPr>
      <w:rFonts w:ascii="Georgia" w:hAnsi="Georgia"/>
      <w:sz w:val="22"/>
    </w:rPr>
  </w:style>
  <w:style w:type="paragraph" w:styleId="Header">
    <w:name w:val="header"/>
    <w:basedOn w:val="Normal"/>
    <w:link w:val="HeaderChar"/>
    <w:uiPriority w:val="99"/>
    <w:rsid w:val="00422984"/>
    <w:pPr>
      <w:tabs>
        <w:tab w:val="center" w:pos="4320"/>
        <w:tab w:val="right" w:pos="8640"/>
      </w:tabs>
    </w:pPr>
    <w:rPr>
      <w:rFonts w:ascii="Calibri" w:hAnsi="Calibri"/>
      <w:sz w:val="44"/>
    </w:rPr>
  </w:style>
  <w:style w:type="paragraph" w:styleId="Footer">
    <w:name w:val="footer"/>
    <w:basedOn w:val="Normal"/>
    <w:semiHidden/>
    <w:pPr>
      <w:tabs>
        <w:tab w:val="center" w:pos="4320"/>
        <w:tab w:val="right" w:pos="8640"/>
      </w:tabs>
    </w:pPr>
  </w:style>
  <w:style w:type="character" w:styleId="Hyperlink">
    <w:name w:val="Hyperlink"/>
    <w:uiPriority w:val="99"/>
    <w:rsid w:val="0043500D"/>
    <w:rPr>
      <w:noProof/>
      <w:color w:val="000000"/>
      <w:u w:val="single"/>
    </w:rPr>
  </w:style>
  <w:style w:type="paragraph" w:customStyle="1" w:styleId="Bodynogap">
    <w:name w:val="Body (no gap)"/>
    <w:rsid w:val="009F5CDE"/>
    <w:pPr>
      <w:spacing w:line="260" w:lineRule="exact"/>
    </w:pPr>
    <w:rPr>
      <w:rFonts w:ascii="Calibri" w:hAnsi="Calibri"/>
      <w:lang w:eastAsia="en-US"/>
    </w:rPr>
  </w:style>
  <w:style w:type="paragraph" w:customStyle="1" w:styleId="Body">
    <w:name w:val="Body"/>
    <w:rsid w:val="00B20869"/>
    <w:pPr>
      <w:keepLines/>
      <w:spacing w:after="130" w:line="260" w:lineRule="exact"/>
    </w:pPr>
    <w:rPr>
      <w:lang w:eastAsia="en-US"/>
    </w:rPr>
  </w:style>
  <w:style w:type="paragraph" w:styleId="BodyText">
    <w:name w:val="Body Text"/>
    <w:basedOn w:val="Normal"/>
    <w:semiHidden/>
  </w:style>
  <w:style w:type="paragraph" w:customStyle="1" w:styleId="Bullet">
    <w:name w:val="Bullet"/>
    <w:rsid w:val="00B20869"/>
    <w:pPr>
      <w:keepLines/>
      <w:numPr>
        <w:numId w:val="1"/>
      </w:numPr>
      <w:spacing w:after="130" w:line="260" w:lineRule="exact"/>
      <w:ind w:left="284"/>
    </w:pPr>
    <w:rPr>
      <w:lang w:eastAsia="en-US"/>
    </w:rPr>
  </w:style>
  <w:style w:type="paragraph" w:customStyle="1" w:styleId="HeaderTitle">
    <w:name w:val="Header_Title"/>
    <w:basedOn w:val="Body"/>
    <w:next w:val="Body"/>
    <w:rsid w:val="00170710"/>
    <w:pPr>
      <w:outlineLvl w:val="0"/>
    </w:pPr>
    <w:rPr>
      <w:rFonts w:ascii="Times" w:hAnsi="Times"/>
      <w:b/>
      <w:color w:val="5E5785"/>
    </w:rPr>
  </w:style>
  <w:style w:type="paragraph" w:customStyle="1" w:styleId="Title1">
    <w:name w:val="Title1"/>
    <w:basedOn w:val="Body"/>
    <w:next w:val="Body"/>
    <w:rsid w:val="00170710"/>
    <w:pPr>
      <w:spacing w:after="220" w:line="410" w:lineRule="exact"/>
      <w:outlineLvl w:val="0"/>
    </w:pPr>
    <w:rPr>
      <w:rFonts w:ascii="Times New Roman" w:hAnsi="Times New Roman"/>
      <w:color w:val="5E5785"/>
      <w:sz w:val="33"/>
    </w:rPr>
  </w:style>
  <w:style w:type="paragraph" w:customStyle="1" w:styleId="Title2">
    <w:name w:val="Title2"/>
    <w:basedOn w:val="Title1"/>
    <w:next w:val="Body"/>
    <w:rsid w:val="00170710"/>
    <w:pPr>
      <w:spacing w:after="80"/>
      <w:outlineLvl w:val="1"/>
    </w:pPr>
    <w:rPr>
      <w:bCs/>
    </w:rPr>
  </w:style>
  <w:style w:type="paragraph" w:customStyle="1" w:styleId="Head1">
    <w:name w:val="Head1"/>
    <w:basedOn w:val="Body"/>
    <w:next w:val="Body1"/>
    <w:rsid w:val="00170710"/>
    <w:pPr>
      <w:keepNext/>
      <w:numPr>
        <w:numId w:val="2"/>
      </w:numPr>
      <w:pBdr>
        <w:bottom w:val="dotted" w:sz="4" w:space="1" w:color="auto"/>
      </w:pBdr>
      <w:spacing w:before="350" w:line="410" w:lineRule="exact"/>
      <w:ind w:left="357" w:hanging="357"/>
      <w:outlineLvl w:val="0"/>
    </w:pPr>
    <w:rPr>
      <w:rFonts w:ascii="Times New Roman" w:hAnsi="Times New Roman"/>
      <w:b/>
      <w:color w:val="5E5785"/>
      <w:sz w:val="33"/>
      <w:szCs w:val="33"/>
    </w:rPr>
  </w:style>
  <w:style w:type="paragraph" w:customStyle="1" w:styleId="Body1">
    <w:name w:val="Body1"/>
    <w:basedOn w:val="Body2"/>
    <w:rsid w:val="0057420D"/>
  </w:style>
  <w:style w:type="paragraph" w:customStyle="1" w:styleId="Body2">
    <w:name w:val="Body2"/>
    <w:rsid w:val="0057420D"/>
    <w:pPr>
      <w:keepLines/>
      <w:spacing w:after="130"/>
      <w:ind w:left="1106"/>
    </w:pPr>
    <w:rPr>
      <w:szCs w:val="33"/>
    </w:rPr>
  </w:style>
  <w:style w:type="paragraph" w:customStyle="1" w:styleId="Head2">
    <w:name w:val="Head2"/>
    <w:next w:val="Body2"/>
    <w:rsid w:val="00170710"/>
    <w:pPr>
      <w:keepNext/>
      <w:numPr>
        <w:ilvl w:val="1"/>
        <w:numId w:val="2"/>
      </w:numPr>
      <w:spacing w:before="220" w:line="260" w:lineRule="exact"/>
      <w:outlineLvl w:val="1"/>
    </w:pPr>
    <w:rPr>
      <w:b/>
      <w:color w:val="5E5785"/>
      <w:szCs w:val="33"/>
    </w:rPr>
  </w:style>
  <w:style w:type="paragraph" w:customStyle="1" w:styleId="Head3">
    <w:name w:val="Head3"/>
    <w:next w:val="Body3"/>
    <w:rsid w:val="00170710"/>
    <w:pPr>
      <w:keepNext/>
      <w:numPr>
        <w:ilvl w:val="2"/>
        <w:numId w:val="2"/>
      </w:numPr>
      <w:tabs>
        <w:tab w:val="clear" w:pos="1106"/>
        <w:tab w:val="num" w:pos="1985"/>
      </w:tabs>
      <w:spacing w:before="220" w:line="260" w:lineRule="exact"/>
      <w:ind w:left="1985" w:hanging="879"/>
      <w:outlineLvl w:val="2"/>
    </w:pPr>
    <w:rPr>
      <w:b/>
      <w:color w:val="5E5785"/>
      <w:szCs w:val="33"/>
    </w:rPr>
  </w:style>
  <w:style w:type="paragraph" w:customStyle="1" w:styleId="Body3">
    <w:name w:val="Body3"/>
    <w:basedOn w:val="Body2"/>
    <w:rsid w:val="000F2321"/>
    <w:pPr>
      <w:ind w:left="1985"/>
    </w:pPr>
  </w:style>
  <w:style w:type="paragraph" w:customStyle="1" w:styleId="Head4">
    <w:name w:val="Head4"/>
    <w:next w:val="Body4"/>
    <w:rsid w:val="00170710"/>
    <w:pPr>
      <w:keepNext/>
      <w:numPr>
        <w:ilvl w:val="3"/>
        <w:numId w:val="2"/>
      </w:numPr>
      <w:tabs>
        <w:tab w:val="clear" w:pos="1080"/>
        <w:tab w:val="num" w:pos="2835"/>
      </w:tabs>
      <w:spacing w:before="220" w:line="260" w:lineRule="exact"/>
      <w:ind w:left="2835" w:hanging="828"/>
      <w:outlineLvl w:val="3"/>
    </w:pPr>
    <w:rPr>
      <w:b/>
      <w:color w:val="5E5785"/>
      <w:szCs w:val="33"/>
    </w:rPr>
  </w:style>
  <w:style w:type="paragraph" w:customStyle="1" w:styleId="Body4">
    <w:name w:val="Body4"/>
    <w:basedOn w:val="Body3"/>
    <w:rsid w:val="00E316C7"/>
    <w:pPr>
      <w:ind w:left="2835"/>
    </w:pPr>
  </w:style>
  <w:style w:type="paragraph" w:customStyle="1" w:styleId="Summary">
    <w:name w:val="Summary"/>
    <w:basedOn w:val="Body"/>
    <w:next w:val="Body"/>
    <w:rsid w:val="0057420D"/>
  </w:style>
  <w:style w:type="paragraph" w:styleId="TOC1">
    <w:name w:val="toc 1"/>
    <w:next w:val="Normal"/>
    <w:autoRedefine/>
    <w:uiPriority w:val="39"/>
    <w:rsid w:val="009B1B40"/>
    <w:pPr>
      <w:spacing w:before="360" w:after="360"/>
    </w:pPr>
    <w:rPr>
      <w:b/>
      <w:bCs/>
      <w:caps/>
      <w:u w:val="single"/>
    </w:rPr>
  </w:style>
  <w:style w:type="paragraph" w:styleId="TOC2">
    <w:name w:val="toc 2"/>
    <w:basedOn w:val="Head2"/>
    <w:next w:val="Normal"/>
    <w:autoRedefine/>
    <w:uiPriority w:val="39"/>
    <w:rsid w:val="002A1376"/>
    <w:pPr>
      <w:keepNext w:val="0"/>
      <w:numPr>
        <w:ilvl w:val="0"/>
        <w:numId w:val="0"/>
      </w:numPr>
      <w:spacing w:before="0" w:after="0" w:line="259" w:lineRule="auto"/>
      <w:outlineLvl w:val="9"/>
    </w:pPr>
    <w:rPr>
      <w:bCs/>
      <w:smallCaps/>
      <w:color w:val="auto"/>
      <w:szCs w:val="22"/>
    </w:rPr>
  </w:style>
  <w:style w:type="paragraph" w:styleId="TOC3">
    <w:name w:val="toc 3"/>
    <w:basedOn w:val="Head2"/>
    <w:next w:val="Normal"/>
    <w:autoRedefine/>
    <w:uiPriority w:val="39"/>
    <w:rsid w:val="004361A1"/>
    <w:pPr>
      <w:keepNext w:val="0"/>
      <w:numPr>
        <w:ilvl w:val="0"/>
        <w:numId w:val="0"/>
      </w:numPr>
      <w:spacing w:before="0" w:after="0" w:line="259" w:lineRule="auto"/>
      <w:outlineLvl w:val="9"/>
    </w:pPr>
    <w:rPr>
      <w:b w:val="0"/>
      <w:smallCaps/>
      <w:color w:val="auto"/>
      <w:szCs w:val="22"/>
    </w:rPr>
  </w:style>
  <w:style w:type="paragraph" w:customStyle="1" w:styleId="Bullet2">
    <w:name w:val="Bullet2"/>
    <w:basedOn w:val="Bullet"/>
    <w:rsid w:val="009F5CDE"/>
    <w:pPr>
      <w:tabs>
        <w:tab w:val="num" w:pos="1418"/>
      </w:tabs>
      <w:ind w:left="1390"/>
    </w:pPr>
  </w:style>
  <w:style w:type="paragraph" w:customStyle="1" w:styleId="Bullet3">
    <w:name w:val="Bullet3"/>
    <w:basedOn w:val="Bullet2"/>
    <w:pPr>
      <w:tabs>
        <w:tab w:val="clear" w:pos="1418"/>
        <w:tab w:val="num" w:pos="2268"/>
      </w:tabs>
      <w:ind w:left="2269"/>
    </w:pPr>
  </w:style>
  <w:style w:type="paragraph" w:customStyle="1" w:styleId="Bullet4">
    <w:name w:val="Bullet4"/>
    <w:basedOn w:val="Bullet3"/>
    <w:rsid w:val="00E316C7"/>
    <w:pPr>
      <w:tabs>
        <w:tab w:val="clear" w:pos="2268"/>
        <w:tab w:val="num" w:pos="3119"/>
      </w:tabs>
      <w:ind w:left="3119"/>
    </w:pPr>
  </w:style>
  <w:style w:type="paragraph" w:customStyle="1" w:styleId="Bullet1">
    <w:name w:val="Bullet1"/>
    <w:basedOn w:val="Bullet2"/>
    <w:rsid w:val="0057420D"/>
  </w:style>
  <w:style w:type="character" w:styleId="FollowedHyperlink">
    <w:name w:val="FollowedHyperlink"/>
    <w:uiPriority w:val="99"/>
    <w:semiHidden/>
    <w:rsid w:val="00422984"/>
    <w:rPr>
      <w:color w:val="800080"/>
      <w:u w:val="single"/>
    </w:rPr>
  </w:style>
  <w:style w:type="paragraph" w:styleId="BalloonText">
    <w:name w:val="Balloon Text"/>
    <w:basedOn w:val="Normal"/>
    <w:link w:val="BalloonTextChar"/>
    <w:uiPriority w:val="99"/>
    <w:semiHidden/>
    <w:rsid w:val="00C8741D"/>
    <w:rPr>
      <w:rFonts w:ascii="Tahoma" w:hAnsi="Tahoma" w:cs="Tahoma"/>
      <w:sz w:val="16"/>
      <w:szCs w:val="16"/>
    </w:rPr>
  </w:style>
  <w:style w:type="character" w:customStyle="1" w:styleId="BalloonTextChar">
    <w:name w:val="Balloon Text Char"/>
    <w:basedOn w:val="DefaultParagraphFont"/>
    <w:link w:val="BalloonText"/>
    <w:uiPriority w:val="99"/>
    <w:semiHidden/>
    <w:rsid w:val="003C2D8C"/>
    <w:rPr>
      <w:rFonts w:ascii="Tahoma" w:hAnsi="Tahoma" w:cs="Tahoma"/>
      <w:sz w:val="16"/>
      <w:szCs w:val="16"/>
      <w:lang w:eastAsia="en-US"/>
    </w:rPr>
  </w:style>
  <w:style w:type="paragraph" w:customStyle="1" w:styleId="Heading">
    <w:name w:val="Heading"/>
    <w:basedOn w:val="Normal"/>
    <w:rsid w:val="00170710"/>
    <w:pPr>
      <w:pBdr>
        <w:bottom w:val="dotted" w:sz="4" w:space="10" w:color="auto"/>
      </w:pBdr>
      <w:spacing w:before="240" w:line="440" w:lineRule="exact"/>
      <w:outlineLvl w:val="0"/>
    </w:pPr>
    <w:rPr>
      <w:rFonts w:ascii="Times New Roman" w:hAnsi="Times New Roman"/>
      <w:b/>
      <w:color w:val="5E5785"/>
      <w:sz w:val="33"/>
    </w:rPr>
  </w:style>
  <w:style w:type="character" w:styleId="PlaceholderText">
    <w:name w:val="Placeholder Text"/>
    <w:basedOn w:val="DefaultParagraphFont"/>
    <w:uiPriority w:val="99"/>
    <w:semiHidden/>
    <w:rsid w:val="00BE3C9E"/>
    <w:rPr>
      <w:color w:val="808080"/>
    </w:rPr>
  </w:style>
  <w:style w:type="paragraph" w:styleId="Title">
    <w:name w:val="Title"/>
    <w:basedOn w:val="Normal"/>
    <w:next w:val="Normal"/>
    <w:link w:val="TitleChar"/>
    <w:uiPriority w:val="10"/>
    <w:qFormat/>
    <w:rsid w:val="00A529B9"/>
    <w:pPr>
      <w:spacing w:after="0" w:line="204" w:lineRule="auto"/>
      <w:contextualSpacing/>
    </w:pPr>
    <w:rPr>
      <w:rFonts w:asciiTheme="majorHAnsi" w:eastAsiaTheme="majorEastAsia" w:hAnsiTheme="majorHAnsi" w:cstheme="majorBidi"/>
      <w:caps/>
      <w:color w:val="212123" w:themeColor="text2"/>
      <w:spacing w:val="-15"/>
      <w:sz w:val="72"/>
      <w:szCs w:val="72"/>
    </w:rPr>
  </w:style>
  <w:style w:type="character" w:customStyle="1" w:styleId="TitleChar">
    <w:name w:val="Title Char"/>
    <w:basedOn w:val="DefaultParagraphFont"/>
    <w:link w:val="Title"/>
    <w:uiPriority w:val="10"/>
    <w:rsid w:val="00A529B9"/>
    <w:rPr>
      <w:rFonts w:asciiTheme="majorHAnsi" w:eastAsiaTheme="majorEastAsia" w:hAnsiTheme="majorHAnsi" w:cstheme="majorBidi"/>
      <w:caps/>
      <w:color w:val="212123" w:themeColor="text2"/>
      <w:spacing w:val="-15"/>
      <w:sz w:val="72"/>
      <w:szCs w:val="72"/>
    </w:rPr>
  </w:style>
  <w:style w:type="character" w:styleId="SubtleEmphasis">
    <w:name w:val="Subtle Emphasis"/>
    <w:basedOn w:val="DefaultParagraphFont"/>
    <w:uiPriority w:val="19"/>
    <w:qFormat/>
    <w:rsid w:val="00A529B9"/>
    <w:rPr>
      <w:i/>
      <w:iCs/>
      <w:color w:val="595959" w:themeColor="text1" w:themeTint="A6"/>
    </w:rPr>
  </w:style>
  <w:style w:type="character" w:customStyle="1" w:styleId="HeaderChar">
    <w:name w:val="Header Char"/>
    <w:basedOn w:val="DefaultParagraphFont"/>
    <w:link w:val="Header"/>
    <w:uiPriority w:val="99"/>
    <w:rsid w:val="008D49C7"/>
    <w:rPr>
      <w:rFonts w:ascii="Calibri" w:hAnsi="Calibri"/>
      <w:sz w:val="44"/>
      <w:lang w:eastAsia="en-US"/>
    </w:rPr>
  </w:style>
  <w:style w:type="character" w:customStyle="1" w:styleId="Heading1Char">
    <w:name w:val="Heading 1 Char"/>
    <w:basedOn w:val="DefaultParagraphFont"/>
    <w:link w:val="Heading1"/>
    <w:uiPriority w:val="9"/>
    <w:rsid w:val="00A529B9"/>
    <w:rPr>
      <w:rFonts w:asciiTheme="majorHAnsi" w:eastAsiaTheme="majorEastAsia" w:hAnsiTheme="majorHAnsi" w:cstheme="majorBidi"/>
      <w:color w:val="5E220D" w:themeColor="accent1" w:themeShade="80"/>
      <w:sz w:val="36"/>
      <w:szCs w:val="36"/>
    </w:rPr>
  </w:style>
  <w:style w:type="character" w:customStyle="1" w:styleId="Heading2Char">
    <w:name w:val="Heading 2 Char"/>
    <w:basedOn w:val="DefaultParagraphFont"/>
    <w:link w:val="Heading2"/>
    <w:uiPriority w:val="9"/>
    <w:rsid w:val="00A529B9"/>
    <w:rPr>
      <w:rFonts w:asciiTheme="majorHAnsi" w:eastAsiaTheme="majorEastAsia" w:hAnsiTheme="majorHAnsi" w:cstheme="majorBidi"/>
      <w:color w:val="8C3314" w:themeColor="accent1" w:themeShade="BF"/>
      <w:sz w:val="32"/>
      <w:szCs w:val="32"/>
    </w:rPr>
  </w:style>
  <w:style w:type="character" w:customStyle="1" w:styleId="Heading3Char">
    <w:name w:val="Heading 3 Char"/>
    <w:basedOn w:val="DefaultParagraphFont"/>
    <w:link w:val="Heading3"/>
    <w:uiPriority w:val="9"/>
    <w:rsid w:val="00A529B9"/>
    <w:rPr>
      <w:rFonts w:asciiTheme="majorHAnsi" w:eastAsiaTheme="majorEastAsia" w:hAnsiTheme="majorHAnsi" w:cstheme="majorBidi"/>
      <w:color w:val="8C3314" w:themeColor="accent1" w:themeShade="BF"/>
      <w:sz w:val="28"/>
      <w:szCs w:val="28"/>
    </w:rPr>
  </w:style>
  <w:style w:type="character" w:customStyle="1" w:styleId="Heading4Char">
    <w:name w:val="Heading 4 Char"/>
    <w:basedOn w:val="DefaultParagraphFont"/>
    <w:link w:val="Heading4"/>
    <w:uiPriority w:val="9"/>
    <w:semiHidden/>
    <w:rsid w:val="00A529B9"/>
    <w:rPr>
      <w:rFonts w:asciiTheme="majorHAnsi" w:eastAsiaTheme="majorEastAsia" w:hAnsiTheme="majorHAnsi" w:cstheme="majorBidi"/>
      <w:color w:val="8C3314" w:themeColor="accent1" w:themeShade="BF"/>
      <w:sz w:val="24"/>
      <w:szCs w:val="24"/>
    </w:rPr>
  </w:style>
  <w:style w:type="character" w:customStyle="1" w:styleId="Heading5Char">
    <w:name w:val="Heading 5 Char"/>
    <w:basedOn w:val="DefaultParagraphFont"/>
    <w:link w:val="Heading5"/>
    <w:uiPriority w:val="9"/>
    <w:semiHidden/>
    <w:rsid w:val="00A529B9"/>
    <w:rPr>
      <w:rFonts w:asciiTheme="majorHAnsi" w:eastAsiaTheme="majorEastAsia" w:hAnsiTheme="majorHAnsi" w:cstheme="majorBidi"/>
      <w:caps/>
      <w:color w:val="8C3314" w:themeColor="accent1" w:themeShade="BF"/>
    </w:rPr>
  </w:style>
  <w:style w:type="character" w:customStyle="1" w:styleId="Heading6Char">
    <w:name w:val="Heading 6 Char"/>
    <w:basedOn w:val="DefaultParagraphFont"/>
    <w:link w:val="Heading6"/>
    <w:uiPriority w:val="9"/>
    <w:semiHidden/>
    <w:rsid w:val="00A529B9"/>
    <w:rPr>
      <w:rFonts w:asciiTheme="majorHAnsi" w:eastAsiaTheme="majorEastAsia" w:hAnsiTheme="majorHAnsi" w:cstheme="majorBidi"/>
      <w:i/>
      <w:iCs/>
      <w:caps/>
      <w:color w:val="5E220D" w:themeColor="accent1" w:themeShade="80"/>
    </w:rPr>
  </w:style>
  <w:style w:type="character" w:customStyle="1" w:styleId="Heading7Char">
    <w:name w:val="Heading 7 Char"/>
    <w:basedOn w:val="DefaultParagraphFont"/>
    <w:link w:val="Heading7"/>
    <w:uiPriority w:val="9"/>
    <w:semiHidden/>
    <w:rsid w:val="00A529B9"/>
    <w:rPr>
      <w:rFonts w:asciiTheme="majorHAnsi" w:eastAsiaTheme="majorEastAsia" w:hAnsiTheme="majorHAnsi" w:cstheme="majorBidi"/>
      <w:b/>
      <w:bCs/>
      <w:color w:val="5E220D" w:themeColor="accent1" w:themeShade="80"/>
    </w:rPr>
  </w:style>
  <w:style w:type="character" w:customStyle="1" w:styleId="Heading8Char">
    <w:name w:val="Heading 8 Char"/>
    <w:basedOn w:val="DefaultParagraphFont"/>
    <w:link w:val="Heading8"/>
    <w:uiPriority w:val="9"/>
    <w:semiHidden/>
    <w:rsid w:val="00A529B9"/>
    <w:rPr>
      <w:rFonts w:asciiTheme="majorHAnsi" w:eastAsiaTheme="majorEastAsia" w:hAnsiTheme="majorHAnsi" w:cstheme="majorBidi"/>
      <w:b/>
      <w:bCs/>
      <w:i/>
      <w:iCs/>
      <w:color w:val="5E220D" w:themeColor="accent1" w:themeShade="80"/>
    </w:rPr>
  </w:style>
  <w:style w:type="character" w:customStyle="1" w:styleId="Heading9Char">
    <w:name w:val="Heading 9 Char"/>
    <w:basedOn w:val="DefaultParagraphFont"/>
    <w:link w:val="Heading9"/>
    <w:uiPriority w:val="9"/>
    <w:semiHidden/>
    <w:rsid w:val="00A529B9"/>
    <w:rPr>
      <w:rFonts w:asciiTheme="majorHAnsi" w:eastAsiaTheme="majorEastAsia" w:hAnsiTheme="majorHAnsi" w:cstheme="majorBidi"/>
      <w:i/>
      <w:iCs/>
      <w:color w:val="5E220D" w:themeColor="accent1" w:themeShade="80"/>
    </w:rPr>
  </w:style>
  <w:style w:type="paragraph" w:styleId="Caption">
    <w:name w:val="caption"/>
    <w:basedOn w:val="Normal"/>
    <w:next w:val="Normal"/>
    <w:uiPriority w:val="35"/>
    <w:semiHidden/>
    <w:unhideWhenUsed/>
    <w:qFormat/>
    <w:rsid w:val="00A529B9"/>
    <w:pPr>
      <w:spacing w:line="240" w:lineRule="auto"/>
    </w:pPr>
    <w:rPr>
      <w:b/>
      <w:bCs/>
      <w:smallCaps/>
      <w:color w:val="212123" w:themeColor="text2"/>
    </w:rPr>
  </w:style>
  <w:style w:type="paragraph" w:styleId="Subtitle">
    <w:name w:val="Subtitle"/>
    <w:basedOn w:val="Normal"/>
    <w:next w:val="Normal"/>
    <w:link w:val="SubtitleChar"/>
    <w:uiPriority w:val="11"/>
    <w:qFormat/>
    <w:rsid w:val="00A529B9"/>
    <w:pPr>
      <w:numPr>
        <w:ilvl w:val="1"/>
      </w:numPr>
      <w:spacing w:after="240" w:line="240" w:lineRule="auto"/>
    </w:pPr>
    <w:rPr>
      <w:rFonts w:asciiTheme="majorHAnsi" w:eastAsiaTheme="majorEastAsia" w:hAnsiTheme="majorHAnsi" w:cstheme="majorBidi"/>
      <w:color w:val="BC451B" w:themeColor="accent1"/>
      <w:sz w:val="28"/>
      <w:szCs w:val="28"/>
    </w:rPr>
  </w:style>
  <w:style w:type="character" w:customStyle="1" w:styleId="SubtitleChar">
    <w:name w:val="Subtitle Char"/>
    <w:basedOn w:val="DefaultParagraphFont"/>
    <w:link w:val="Subtitle"/>
    <w:uiPriority w:val="11"/>
    <w:rsid w:val="00A529B9"/>
    <w:rPr>
      <w:rFonts w:asciiTheme="majorHAnsi" w:eastAsiaTheme="majorEastAsia" w:hAnsiTheme="majorHAnsi" w:cstheme="majorBidi"/>
      <w:color w:val="BC451B" w:themeColor="accent1"/>
      <w:sz w:val="28"/>
      <w:szCs w:val="28"/>
    </w:rPr>
  </w:style>
  <w:style w:type="character" w:styleId="Strong">
    <w:name w:val="Strong"/>
    <w:basedOn w:val="DefaultParagraphFont"/>
    <w:uiPriority w:val="22"/>
    <w:qFormat/>
    <w:rsid w:val="00A529B9"/>
    <w:rPr>
      <w:b/>
      <w:bCs/>
    </w:rPr>
  </w:style>
  <w:style w:type="character" w:styleId="Emphasis">
    <w:name w:val="Emphasis"/>
    <w:basedOn w:val="DefaultParagraphFont"/>
    <w:uiPriority w:val="20"/>
    <w:qFormat/>
    <w:rsid w:val="00A529B9"/>
    <w:rPr>
      <w:i/>
      <w:iCs/>
    </w:rPr>
  </w:style>
  <w:style w:type="paragraph" w:styleId="NoSpacing">
    <w:name w:val="No Spacing"/>
    <w:uiPriority w:val="1"/>
    <w:qFormat/>
    <w:rsid w:val="00A529B9"/>
    <w:pPr>
      <w:spacing w:after="0" w:line="240" w:lineRule="auto"/>
    </w:pPr>
  </w:style>
  <w:style w:type="paragraph" w:styleId="Quote">
    <w:name w:val="Quote"/>
    <w:basedOn w:val="Normal"/>
    <w:next w:val="Normal"/>
    <w:link w:val="QuoteChar"/>
    <w:uiPriority w:val="29"/>
    <w:qFormat/>
    <w:rsid w:val="00A529B9"/>
    <w:pPr>
      <w:spacing w:before="120" w:after="120"/>
      <w:ind w:left="720"/>
    </w:pPr>
    <w:rPr>
      <w:color w:val="212123" w:themeColor="text2"/>
      <w:sz w:val="24"/>
      <w:szCs w:val="24"/>
    </w:rPr>
  </w:style>
  <w:style w:type="character" w:customStyle="1" w:styleId="QuoteChar">
    <w:name w:val="Quote Char"/>
    <w:basedOn w:val="DefaultParagraphFont"/>
    <w:link w:val="Quote"/>
    <w:uiPriority w:val="29"/>
    <w:rsid w:val="00A529B9"/>
    <w:rPr>
      <w:color w:val="212123" w:themeColor="text2"/>
      <w:sz w:val="24"/>
      <w:szCs w:val="24"/>
    </w:rPr>
  </w:style>
  <w:style w:type="paragraph" w:styleId="IntenseQuote">
    <w:name w:val="Intense Quote"/>
    <w:basedOn w:val="Normal"/>
    <w:next w:val="Normal"/>
    <w:link w:val="IntenseQuoteChar"/>
    <w:uiPriority w:val="30"/>
    <w:qFormat/>
    <w:rsid w:val="00A529B9"/>
    <w:pPr>
      <w:spacing w:before="100" w:beforeAutospacing="1" w:after="240" w:line="240" w:lineRule="auto"/>
      <w:ind w:left="720"/>
      <w:jc w:val="center"/>
    </w:pPr>
    <w:rPr>
      <w:rFonts w:asciiTheme="majorHAnsi" w:eastAsiaTheme="majorEastAsia" w:hAnsiTheme="majorHAnsi" w:cstheme="majorBidi"/>
      <w:color w:val="212123" w:themeColor="text2"/>
      <w:spacing w:val="-6"/>
      <w:sz w:val="32"/>
      <w:szCs w:val="32"/>
    </w:rPr>
  </w:style>
  <w:style w:type="character" w:customStyle="1" w:styleId="IntenseQuoteChar">
    <w:name w:val="Intense Quote Char"/>
    <w:basedOn w:val="DefaultParagraphFont"/>
    <w:link w:val="IntenseQuote"/>
    <w:uiPriority w:val="30"/>
    <w:rsid w:val="00A529B9"/>
    <w:rPr>
      <w:rFonts w:asciiTheme="majorHAnsi" w:eastAsiaTheme="majorEastAsia" w:hAnsiTheme="majorHAnsi" w:cstheme="majorBidi"/>
      <w:color w:val="212123" w:themeColor="text2"/>
      <w:spacing w:val="-6"/>
      <w:sz w:val="32"/>
      <w:szCs w:val="32"/>
    </w:rPr>
  </w:style>
  <w:style w:type="character" w:styleId="IntenseEmphasis">
    <w:name w:val="Intense Emphasis"/>
    <w:basedOn w:val="DefaultParagraphFont"/>
    <w:uiPriority w:val="21"/>
    <w:qFormat/>
    <w:rsid w:val="00A529B9"/>
    <w:rPr>
      <w:b/>
      <w:bCs/>
      <w:i/>
      <w:iCs/>
    </w:rPr>
  </w:style>
  <w:style w:type="character" w:styleId="SubtleReference">
    <w:name w:val="Subtle Reference"/>
    <w:basedOn w:val="DefaultParagraphFont"/>
    <w:uiPriority w:val="31"/>
    <w:qFormat/>
    <w:rsid w:val="00A529B9"/>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529B9"/>
    <w:rPr>
      <w:b/>
      <w:bCs/>
      <w:smallCaps/>
      <w:color w:val="212123" w:themeColor="text2"/>
      <w:u w:val="single"/>
    </w:rPr>
  </w:style>
  <w:style w:type="character" w:styleId="BookTitle">
    <w:name w:val="Book Title"/>
    <w:basedOn w:val="DefaultParagraphFont"/>
    <w:uiPriority w:val="33"/>
    <w:qFormat/>
    <w:rsid w:val="00A529B9"/>
    <w:rPr>
      <w:b/>
      <w:bCs/>
      <w:smallCaps/>
      <w:spacing w:val="10"/>
    </w:rPr>
  </w:style>
  <w:style w:type="paragraph" w:styleId="TOCHeading">
    <w:name w:val="TOC Heading"/>
    <w:basedOn w:val="Heading1"/>
    <w:next w:val="Normal"/>
    <w:uiPriority w:val="39"/>
    <w:unhideWhenUsed/>
    <w:qFormat/>
    <w:rsid w:val="00A529B9"/>
    <w:pPr>
      <w:outlineLvl w:val="9"/>
    </w:pPr>
  </w:style>
  <w:style w:type="paragraph" w:styleId="TOC4">
    <w:name w:val="toc 4"/>
    <w:basedOn w:val="Normal"/>
    <w:next w:val="Normal"/>
    <w:autoRedefine/>
    <w:uiPriority w:val="39"/>
    <w:unhideWhenUsed/>
    <w:rsid w:val="00A60EA9"/>
    <w:pPr>
      <w:spacing w:after="0"/>
    </w:pPr>
  </w:style>
  <w:style w:type="paragraph" w:styleId="TOC5">
    <w:name w:val="toc 5"/>
    <w:basedOn w:val="Normal"/>
    <w:next w:val="Normal"/>
    <w:autoRedefine/>
    <w:uiPriority w:val="39"/>
    <w:unhideWhenUsed/>
    <w:rsid w:val="00A60EA9"/>
    <w:pPr>
      <w:spacing w:after="0"/>
    </w:pPr>
  </w:style>
  <w:style w:type="paragraph" w:styleId="TOC6">
    <w:name w:val="toc 6"/>
    <w:basedOn w:val="Normal"/>
    <w:next w:val="Normal"/>
    <w:autoRedefine/>
    <w:uiPriority w:val="39"/>
    <w:unhideWhenUsed/>
    <w:rsid w:val="00A60EA9"/>
    <w:pPr>
      <w:spacing w:after="0"/>
    </w:pPr>
  </w:style>
  <w:style w:type="paragraph" w:styleId="TOC7">
    <w:name w:val="toc 7"/>
    <w:basedOn w:val="Normal"/>
    <w:next w:val="Normal"/>
    <w:autoRedefine/>
    <w:uiPriority w:val="39"/>
    <w:unhideWhenUsed/>
    <w:rsid w:val="00A60EA9"/>
    <w:pPr>
      <w:spacing w:after="0"/>
    </w:pPr>
  </w:style>
  <w:style w:type="paragraph" w:styleId="TOC8">
    <w:name w:val="toc 8"/>
    <w:basedOn w:val="Normal"/>
    <w:next w:val="Normal"/>
    <w:autoRedefine/>
    <w:uiPriority w:val="39"/>
    <w:unhideWhenUsed/>
    <w:rsid w:val="00A60EA9"/>
    <w:pPr>
      <w:spacing w:after="0"/>
    </w:pPr>
  </w:style>
  <w:style w:type="paragraph" w:styleId="TOC9">
    <w:name w:val="toc 9"/>
    <w:basedOn w:val="Normal"/>
    <w:next w:val="Normal"/>
    <w:autoRedefine/>
    <w:uiPriority w:val="39"/>
    <w:unhideWhenUsed/>
    <w:rsid w:val="00A60EA9"/>
    <w:pPr>
      <w:spacing w:after="0"/>
    </w:pPr>
  </w:style>
  <w:style w:type="paragraph" w:styleId="ListParagraph">
    <w:name w:val="List Paragraph"/>
    <w:basedOn w:val="Normal"/>
    <w:uiPriority w:val="34"/>
    <w:qFormat/>
    <w:rsid w:val="00127460"/>
    <w:pPr>
      <w:ind w:left="720"/>
      <w:contextualSpacing/>
    </w:pPr>
  </w:style>
  <w:style w:type="paragraph" w:styleId="NormalWeb">
    <w:name w:val="Normal (Web)"/>
    <w:basedOn w:val="Normal"/>
    <w:uiPriority w:val="99"/>
    <w:semiHidden/>
    <w:unhideWhenUsed/>
    <w:rsid w:val="001652AB"/>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1652AB"/>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1652AB"/>
    <w:rPr>
      <w:rFonts w:ascii="Arial" w:eastAsia="Times New Roman" w:hAnsi="Arial" w:cs="Arial"/>
      <w:vanish/>
      <w:sz w:val="16"/>
      <w:szCs w:val="16"/>
    </w:rPr>
  </w:style>
  <w:style w:type="paragraph" w:styleId="Bibliography">
    <w:name w:val="Bibliography"/>
    <w:basedOn w:val="Normal"/>
    <w:next w:val="Normal"/>
    <w:uiPriority w:val="37"/>
    <w:unhideWhenUsed/>
    <w:rsid w:val="00496C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39386">
      <w:bodyDiv w:val="1"/>
      <w:marLeft w:val="0"/>
      <w:marRight w:val="0"/>
      <w:marTop w:val="0"/>
      <w:marBottom w:val="0"/>
      <w:divBdr>
        <w:top w:val="none" w:sz="0" w:space="0" w:color="auto"/>
        <w:left w:val="none" w:sz="0" w:space="0" w:color="auto"/>
        <w:bottom w:val="none" w:sz="0" w:space="0" w:color="auto"/>
        <w:right w:val="none" w:sz="0" w:space="0" w:color="auto"/>
      </w:divBdr>
    </w:div>
    <w:div w:id="92172074">
      <w:bodyDiv w:val="1"/>
      <w:marLeft w:val="0"/>
      <w:marRight w:val="0"/>
      <w:marTop w:val="0"/>
      <w:marBottom w:val="0"/>
      <w:divBdr>
        <w:top w:val="none" w:sz="0" w:space="0" w:color="auto"/>
        <w:left w:val="none" w:sz="0" w:space="0" w:color="auto"/>
        <w:bottom w:val="none" w:sz="0" w:space="0" w:color="auto"/>
        <w:right w:val="none" w:sz="0" w:space="0" w:color="auto"/>
      </w:divBdr>
    </w:div>
    <w:div w:id="129132152">
      <w:bodyDiv w:val="1"/>
      <w:marLeft w:val="0"/>
      <w:marRight w:val="0"/>
      <w:marTop w:val="0"/>
      <w:marBottom w:val="0"/>
      <w:divBdr>
        <w:top w:val="none" w:sz="0" w:space="0" w:color="auto"/>
        <w:left w:val="none" w:sz="0" w:space="0" w:color="auto"/>
        <w:bottom w:val="none" w:sz="0" w:space="0" w:color="auto"/>
        <w:right w:val="none" w:sz="0" w:space="0" w:color="auto"/>
      </w:divBdr>
    </w:div>
    <w:div w:id="133184900">
      <w:bodyDiv w:val="1"/>
      <w:marLeft w:val="0"/>
      <w:marRight w:val="0"/>
      <w:marTop w:val="0"/>
      <w:marBottom w:val="0"/>
      <w:divBdr>
        <w:top w:val="none" w:sz="0" w:space="0" w:color="auto"/>
        <w:left w:val="none" w:sz="0" w:space="0" w:color="auto"/>
        <w:bottom w:val="none" w:sz="0" w:space="0" w:color="auto"/>
        <w:right w:val="none" w:sz="0" w:space="0" w:color="auto"/>
      </w:divBdr>
    </w:div>
    <w:div w:id="139272409">
      <w:bodyDiv w:val="1"/>
      <w:marLeft w:val="0"/>
      <w:marRight w:val="0"/>
      <w:marTop w:val="0"/>
      <w:marBottom w:val="0"/>
      <w:divBdr>
        <w:top w:val="none" w:sz="0" w:space="0" w:color="auto"/>
        <w:left w:val="none" w:sz="0" w:space="0" w:color="auto"/>
        <w:bottom w:val="none" w:sz="0" w:space="0" w:color="auto"/>
        <w:right w:val="none" w:sz="0" w:space="0" w:color="auto"/>
      </w:divBdr>
    </w:div>
    <w:div w:id="222452135">
      <w:bodyDiv w:val="1"/>
      <w:marLeft w:val="0"/>
      <w:marRight w:val="0"/>
      <w:marTop w:val="0"/>
      <w:marBottom w:val="0"/>
      <w:divBdr>
        <w:top w:val="none" w:sz="0" w:space="0" w:color="auto"/>
        <w:left w:val="none" w:sz="0" w:space="0" w:color="auto"/>
        <w:bottom w:val="none" w:sz="0" w:space="0" w:color="auto"/>
        <w:right w:val="none" w:sz="0" w:space="0" w:color="auto"/>
      </w:divBdr>
      <w:divsChild>
        <w:div w:id="1785493156">
          <w:marLeft w:val="0"/>
          <w:marRight w:val="0"/>
          <w:marTop w:val="0"/>
          <w:marBottom w:val="0"/>
          <w:divBdr>
            <w:top w:val="single" w:sz="2" w:space="0" w:color="D9D9E3"/>
            <w:left w:val="single" w:sz="2" w:space="0" w:color="D9D9E3"/>
            <w:bottom w:val="single" w:sz="2" w:space="0" w:color="D9D9E3"/>
            <w:right w:val="single" w:sz="2" w:space="0" w:color="D9D9E3"/>
          </w:divBdr>
          <w:divsChild>
            <w:div w:id="629164273">
              <w:marLeft w:val="0"/>
              <w:marRight w:val="0"/>
              <w:marTop w:val="0"/>
              <w:marBottom w:val="0"/>
              <w:divBdr>
                <w:top w:val="single" w:sz="2" w:space="0" w:color="D9D9E3"/>
                <w:left w:val="single" w:sz="2" w:space="0" w:color="D9D9E3"/>
                <w:bottom w:val="single" w:sz="2" w:space="0" w:color="D9D9E3"/>
                <w:right w:val="single" w:sz="2" w:space="0" w:color="D9D9E3"/>
              </w:divBdr>
              <w:divsChild>
                <w:div w:id="896206282">
                  <w:marLeft w:val="0"/>
                  <w:marRight w:val="0"/>
                  <w:marTop w:val="0"/>
                  <w:marBottom w:val="0"/>
                  <w:divBdr>
                    <w:top w:val="single" w:sz="2" w:space="0" w:color="D9D9E3"/>
                    <w:left w:val="single" w:sz="2" w:space="0" w:color="D9D9E3"/>
                    <w:bottom w:val="single" w:sz="2" w:space="0" w:color="D9D9E3"/>
                    <w:right w:val="single" w:sz="2" w:space="0" w:color="D9D9E3"/>
                  </w:divBdr>
                  <w:divsChild>
                    <w:div w:id="688146752">
                      <w:marLeft w:val="0"/>
                      <w:marRight w:val="0"/>
                      <w:marTop w:val="0"/>
                      <w:marBottom w:val="0"/>
                      <w:divBdr>
                        <w:top w:val="single" w:sz="2" w:space="0" w:color="D9D9E3"/>
                        <w:left w:val="single" w:sz="2" w:space="0" w:color="D9D9E3"/>
                        <w:bottom w:val="single" w:sz="2" w:space="0" w:color="D9D9E3"/>
                        <w:right w:val="single" w:sz="2" w:space="0" w:color="D9D9E3"/>
                      </w:divBdr>
                      <w:divsChild>
                        <w:div w:id="1531411189">
                          <w:marLeft w:val="0"/>
                          <w:marRight w:val="0"/>
                          <w:marTop w:val="0"/>
                          <w:marBottom w:val="0"/>
                          <w:divBdr>
                            <w:top w:val="single" w:sz="2" w:space="0" w:color="auto"/>
                            <w:left w:val="single" w:sz="2" w:space="0" w:color="auto"/>
                            <w:bottom w:val="single" w:sz="6" w:space="0" w:color="auto"/>
                            <w:right w:val="single" w:sz="2" w:space="0" w:color="auto"/>
                          </w:divBdr>
                          <w:divsChild>
                            <w:div w:id="272052803">
                              <w:marLeft w:val="0"/>
                              <w:marRight w:val="0"/>
                              <w:marTop w:val="100"/>
                              <w:marBottom w:val="100"/>
                              <w:divBdr>
                                <w:top w:val="single" w:sz="2" w:space="0" w:color="D9D9E3"/>
                                <w:left w:val="single" w:sz="2" w:space="0" w:color="D9D9E3"/>
                                <w:bottom w:val="single" w:sz="2" w:space="0" w:color="D9D9E3"/>
                                <w:right w:val="single" w:sz="2" w:space="0" w:color="D9D9E3"/>
                              </w:divBdr>
                              <w:divsChild>
                                <w:div w:id="1314213537">
                                  <w:marLeft w:val="0"/>
                                  <w:marRight w:val="0"/>
                                  <w:marTop w:val="0"/>
                                  <w:marBottom w:val="0"/>
                                  <w:divBdr>
                                    <w:top w:val="single" w:sz="2" w:space="0" w:color="D9D9E3"/>
                                    <w:left w:val="single" w:sz="2" w:space="0" w:color="D9D9E3"/>
                                    <w:bottom w:val="single" w:sz="2" w:space="0" w:color="D9D9E3"/>
                                    <w:right w:val="single" w:sz="2" w:space="0" w:color="D9D9E3"/>
                                  </w:divBdr>
                                  <w:divsChild>
                                    <w:div w:id="1402406327">
                                      <w:marLeft w:val="0"/>
                                      <w:marRight w:val="0"/>
                                      <w:marTop w:val="0"/>
                                      <w:marBottom w:val="0"/>
                                      <w:divBdr>
                                        <w:top w:val="single" w:sz="2" w:space="0" w:color="D9D9E3"/>
                                        <w:left w:val="single" w:sz="2" w:space="0" w:color="D9D9E3"/>
                                        <w:bottom w:val="single" w:sz="2" w:space="0" w:color="D9D9E3"/>
                                        <w:right w:val="single" w:sz="2" w:space="0" w:color="D9D9E3"/>
                                      </w:divBdr>
                                      <w:divsChild>
                                        <w:div w:id="1563060660">
                                          <w:marLeft w:val="0"/>
                                          <w:marRight w:val="0"/>
                                          <w:marTop w:val="0"/>
                                          <w:marBottom w:val="0"/>
                                          <w:divBdr>
                                            <w:top w:val="single" w:sz="2" w:space="0" w:color="D9D9E3"/>
                                            <w:left w:val="single" w:sz="2" w:space="0" w:color="D9D9E3"/>
                                            <w:bottom w:val="single" w:sz="2" w:space="0" w:color="D9D9E3"/>
                                            <w:right w:val="single" w:sz="2" w:space="0" w:color="D9D9E3"/>
                                          </w:divBdr>
                                          <w:divsChild>
                                            <w:div w:id="1348412528">
                                              <w:marLeft w:val="0"/>
                                              <w:marRight w:val="0"/>
                                              <w:marTop w:val="0"/>
                                              <w:marBottom w:val="0"/>
                                              <w:divBdr>
                                                <w:top w:val="single" w:sz="2" w:space="0" w:color="D9D9E3"/>
                                                <w:left w:val="single" w:sz="2" w:space="0" w:color="D9D9E3"/>
                                                <w:bottom w:val="single" w:sz="2" w:space="0" w:color="D9D9E3"/>
                                                <w:right w:val="single" w:sz="2" w:space="0" w:color="D9D9E3"/>
                                              </w:divBdr>
                                              <w:divsChild>
                                                <w:div w:id="19438063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421682890">
          <w:marLeft w:val="0"/>
          <w:marRight w:val="0"/>
          <w:marTop w:val="0"/>
          <w:marBottom w:val="0"/>
          <w:divBdr>
            <w:top w:val="none" w:sz="0" w:space="0" w:color="auto"/>
            <w:left w:val="none" w:sz="0" w:space="0" w:color="auto"/>
            <w:bottom w:val="none" w:sz="0" w:space="0" w:color="auto"/>
            <w:right w:val="none" w:sz="0" w:space="0" w:color="auto"/>
          </w:divBdr>
          <w:divsChild>
            <w:div w:id="666709359">
              <w:marLeft w:val="0"/>
              <w:marRight w:val="0"/>
              <w:marTop w:val="0"/>
              <w:marBottom w:val="0"/>
              <w:divBdr>
                <w:top w:val="single" w:sz="2" w:space="0" w:color="D9D9E3"/>
                <w:left w:val="single" w:sz="2" w:space="0" w:color="D9D9E3"/>
                <w:bottom w:val="single" w:sz="2" w:space="0" w:color="D9D9E3"/>
                <w:right w:val="single" w:sz="2" w:space="0" w:color="D9D9E3"/>
              </w:divBdr>
              <w:divsChild>
                <w:div w:id="933169830">
                  <w:marLeft w:val="0"/>
                  <w:marRight w:val="0"/>
                  <w:marTop w:val="0"/>
                  <w:marBottom w:val="0"/>
                  <w:divBdr>
                    <w:top w:val="single" w:sz="2" w:space="0" w:color="D9D9E3"/>
                    <w:left w:val="single" w:sz="2" w:space="0" w:color="D9D9E3"/>
                    <w:bottom w:val="single" w:sz="2" w:space="0" w:color="D9D9E3"/>
                    <w:right w:val="single" w:sz="2" w:space="0" w:color="D9D9E3"/>
                  </w:divBdr>
                  <w:divsChild>
                    <w:div w:id="716466595">
                      <w:marLeft w:val="0"/>
                      <w:marRight w:val="0"/>
                      <w:marTop w:val="0"/>
                      <w:marBottom w:val="0"/>
                      <w:divBdr>
                        <w:top w:val="single" w:sz="2" w:space="0" w:color="D9D9E3"/>
                        <w:left w:val="single" w:sz="2" w:space="0" w:color="D9D9E3"/>
                        <w:bottom w:val="single" w:sz="2" w:space="0" w:color="D9D9E3"/>
                        <w:right w:val="single" w:sz="2" w:space="0" w:color="D9D9E3"/>
                      </w:divBdr>
                      <w:divsChild>
                        <w:div w:id="244531072">
                          <w:marLeft w:val="0"/>
                          <w:marRight w:val="0"/>
                          <w:marTop w:val="0"/>
                          <w:marBottom w:val="0"/>
                          <w:divBdr>
                            <w:top w:val="single" w:sz="2" w:space="0" w:color="D9D9E3"/>
                            <w:left w:val="single" w:sz="2" w:space="0" w:color="D9D9E3"/>
                            <w:bottom w:val="single" w:sz="2" w:space="0" w:color="D9D9E3"/>
                            <w:right w:val="single" w:sz="2" w:space="0" w:color="D9D9E3"/>
                          </w:divBdr>
                          <w:divsChild>
                            <w:div w:id="1598324402">
                              <w:marLeft w:val="0"/>
                              <w:marRight w:val="0"/>
                              <w:marTop w:val="0"/>
                              <w:marBottom w:val="0"/>
                              <w:divBdr>
                                <w:top w:val="single" w:sz="2" w:space="0" w:color="D9D9E3"/>
                                <w:left w:val="single" w:sz="2" w:space="0" w:color="D9D9E3"/>
                                <w:bottom w:val="single" w:sz="2" w:space="0" w:color="D9D9E3"/>
                                <w:right w:val="single" w:sz="2" w:space="0" w:color="D9D9E3"/>
                              </w:divBdr>
                              <w:divsChild>
                                <w:div w:id="6494809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83064058">
      <w:bodyDiv w:val="1"/>
      <w:marLeft w:val="0"/>
      <w:marRight w:val="0"/>
      <w:marTop w:val="0"/>
      <w:marBottom w:val="0"/>
      <w:divBdr>
        <w:top w:val="none" w:sz="0" w:space="0" w:color="auto"/>
        <w:left w:val="none" w:sz="0" w:space="0" w:color="auto"/>
        <w:bottom w:val="none" w:sz="0" w:space="0" w:color="auto"/>
        <w:right w:val="none" w:sz="0" w:space="0" w:color="auto"/>
      </w:divBdr>
    </w:div>
    <w:div w:id="412436140">
      <w:bodyDiv w:val="1"/>
      <w:marLeft w:val="0"/>
      <w:marRight w:val="0"/>
      <w:marTop w:val="0"/>
      <w:marBottom w:val="0"/>
      <w:divBdr>
        <w:top w:val="none" w:sz="0" w:space="0" w:color="auto"/>
        <w:left w:val="none" w:sz="0" w:space="0" w:color="auto"/>
        <w:bottom w:val="none" w:sz="0" w:space="0" w:color="auto"/>
        <w:right w:val="none" w:sz="0" w:space="0" w:color="auto"/>
      </w:divBdr>
    </w:div>
    <w:div w:id="436104110">
      <w:bodyDiv w:val="1"/>
      <w:marLeft w:val="0"/>
      <w:marRight w:val="0"/>
      <w:marTop w:val="0"/>
      <w:marBottom w:val="0"/>
      <w:divBdr>
        <w:top w:val="none" w:sz="0" w:space="0" w:color="auto"/>
        <w:left w:val="none" w:sz="0" w:space="0" w:color="auto"/>
        <w:bottom w:val="none" w:sz="0" w:space="0" w:color="auto"/>
        <w:right w:val="none" w:sz="0" w:space="0" w:color="auto"/>
      </w:divBdr>
    </w:div>
    <w:div w:id="446782149">
      <w:bodyDiv w:val="1"/>
      <w:marLeft w:val="0"/>
      <w:marRight w:val="0"/>
      <w:marTop w:val="0"/>
      <w:marBottom w:val="0"/>
      <w:divBdr>
        <w:top w:val="none" w:sz="0" w:space="0" w:color="auto"/>
        <w:left w:val="none" w:sz="0" w:space="0" w:color="auto"/>
        <w:bottom w:val="none" w:sz="0" w:space="0" w:color="auto"/>
        <w:right w:val="none" w:sz="0" w:space="0" w:color="auto"/>
      </w:divBdr>
    </w:div>
    <w:div w:id="478768687">
      <w:bodyDiv w:val="1"/>
      <w:marLeft w:val="0"/>
      <w:marRight w:val="0"/>
      <w:marTop w:val="0"/>
      <w:marBottom w:val="0"/>
      <w:divBdr>
        <w:top w:val="none" w:sz="0" w:space="0" w:color="auto"/>
        <w:left w:val="none" w:sz="0" w:space="0" w:color="auto"/>
        <w:bottom w:val="none" w:sz="0" w:space="0" w:color="auto"/>
        <w:right w:val="none" w:sz="0" w:space="0" w:color="auto"/>
      </w:divBdr>
    </w:div>
    <w:div w:id="494689642">
      <w:bodyDiv w:val="1"/>
      <w:marLeft w:val="0"/>
      <w:marRight w:val="0"/>
      <w:marTop w:val="0"/>
      <w:marBottom w:val="0"/>
      <w:divBdr>
        <w:top w:val="none" w:sz="0" w:space="0" w:color="auto"/>
        <w:left w:val="none" w:sz="0" w:space="0" w:color="auto"/>
        <w:bottom w:val="none" w:sz="0" w:space="0" w:color="auto"/>
        <w:right w:val="none" w:sz="0" w:space="0" w:color="auto"/>
      </w:divBdr>
    </w:div>
    <w:div w:id="508297676">
      <w:bodyDiv w:val="1"/>
      <w:marLeft w:val="0"/>
      <w:marRight w:val="0"/>
      <w:marTop w:val="0"/>
      <w:marBottom w:val="0"/>
      <w:divBdr>
        <w:top w:val="none" w:sz="0" w:space="0" w:color="auto"/>
        <w:left w:val="none" w:sz="0" w:space="0" w:color="auto"/>
        <w:bottom w:val="none" w:sz="0" w:space="0" w:color="auto"/>
        <w:right w:val="none" w:sz="0" w:space="0" w:color="auto"/>
      </w:divBdr>
    </w:div>
    <w:div w:id="577637888">
      <w:bodyDiv w:val="1"/>
      <w:marLeft w:val="0"/>
      <w:marRight w:val="0"/>
      <w:marTop w:val="0"/>
      <w:marBottom w:val="0"/>
      <w:divBdr>
        <w:top w:val="none" w:sz="0" w:space="0" w:color="auto"/>
        <w:left w:val="none" w:sz="0" w:space="0" w:color="auto"/>
        <w:bottom w:val="none" w:sz="0" w:space="0" w:color="auto"/>
        <w:right w:val="none" w:sz="0" w:space="0" w:color="auto"/>
      </w:divBdr>
    </w:div>
    <w:div w:id="591933383">
      <w:bodyDiv w:val="1"/>
      <w:marLeft w:val="0"/>
      <w:marRight w:val="0"/>
      <w:marTop w:val="0"/>
      <w:marBottom w:val="0"/>
      <w:divBdr>
        <w:top w:val="none" w:sz="0" w:space="0" w:color="auto"/>
        <w:left w:val="none" w:sz="0" w:space="0" w:color="auto"/>
        <w:bottom w:val="none" w:sz="0" w:space="0" w:color="auto"/>
        <w:right w:val="none" w:sz="0" w:space="0" w:color="auto"/>
      </w:divBdr>
    </w:div>
    <w:div w:id="592476196">
      <w:bodyDiv w:val="1"/>
      <w:marLeft w:val="0"/>
      <w:marRight w:val="0"/>
      <w:marTop w:val="0"/>
      <w:marBottom w:val="0"/>
      <w:divBdr>
        <w:top w:val="none" w:sz="0" w:space="0" w:color="auto"/>
        <w:left w:val="none" w:sz="0" w:space="0" w:color="auto"/>
        <w:bottom w:val="none" w:sz="0" w:space="0" w:color="auto"/>
        <w:right w:val="none" w:sz="0" w:space="0" w:color="auto"/>
      </w:divBdr>
    </w:div>
    <w:div w:id="657348173">
      <w:bodyDiv w:val="1"/>
      <w:marLeft w:val="0"/>
      <w:marRight w:val="0"/>
      <w:marTop w:val="0"/>
      <w:marBottom w:val="0"/>
      <w:divBdr>
        <w:top w:val="none" w:sz="0" w:space="0" w:color="auto"/>
        <w:left w:val="none" w:sz="0" w:space="0" w:color="auto"/>
        <w:bottom w:val="none" w:sz="0" w:space="0" w:color="auto"/>
        <w:right w:val="none" w:sz="0" w:space="0" w:color="auto"/>
      </w:divBdr>
    </w:div>
    <w:div w:id="681246800">
      <w:bodyDiv w:val="1"/>
      <w:marLeft w:val="0"/>
      <w:marRight w:val="0"/>
      <w:marTop w:val="0"/>
      <w:marBottom w:val="0"/>
      <w:divBdr>
        <w:top w:val="none" w:sz="0" w:space="0" w:color="auto"/>
        <w:left w:val="none" w:sz="0" w:space="0" w:color="auto"/>
        <w:bottom w:val="none" w:sz="0" w:space="0" w:color="auto"/>
        <w:right w:val="none" w:sz="0" w:space="0" w:color="auto"/>
      </w:divBdr>
    </w:div>
    <w:div w:id="683286631">
      <w:bodyDiv w:val="1"/>
      <w:marLeft w:val="0"/>
      <w:marRight w:val="0"/>
      <w:marTop w:val="0"/>
      <w:marBottom w:val="0"/>
      <w:divBdr>
        <w:top w:val="none" w:sz="0" w:space="0" w:color="auto"/>
        <w:left w:val="none" w:sz="0" w:space="0" w:color="auto"/>
        <w:bottom w:val="none" w:sz="0" w:space="0" w:color="auto"/>
        <w:right w:val="none" w:sz="0" w:space="0" w:color="auto"/>
      </w:divBdr>
    </w:div>
    <w:div w:id="711422107">
      <w:bodyDiv w:val="1"/>
      <w:marLeft w:val="0"/>
      <w:marRight w:val="0"/>
      <w:marTop w:val="0"/>
      <w:marBottom w:val="0"/>
      <w:divBdr>
        <w:top w:val="none" w:sz="0" w:space="0" w:color="auto"/>
        <w:left w:val="none" w:sz="0" w:space="0" w:color="auto"/>
        <w:bottom w:val="none" w:sz="0" w:space="0" w:color="auto"/>
        <w:right w:val="none" w:sz="0" w:space="0" w:color="auto"/>
      </w:divBdr>
    </w:div>
    <w:div w:id="727068722">
      <w:bodyDiv w:val="1"/>
      <w:marLeft w:val="0"/>
      <w:marRight w:val="0"/>
      <w:marTop w:val="0"/>
      <w:marBottom w:val="0"/>
      <w:divBdr>
        <w:top w:val="none" w:sz="0" w:space="0" w:color="auto"/>
        <w:left w:val="none" w:sz="0" w:space="0" w:color="auto"/>
        <w:bottom w:val="none" w:sz="0" w:space="0" w:color="auto"/>
        <w:right w:val="none" w:sz="0" w:space="0" w:color="auto"/>
      </w:divBdr>
    </w:div>
    <w:div w:id="768236872">
      <w:bodyDiv w:val="1"/>
      <w:marLeft w:val="0"/>
      <w:marRight w:val="0"/>
      <w:marTop w:val="0"/>
      <w:marBottom w:val="0"/>
      <w:divBdr>
        <w:top w:val="none" w:sz="0" w:space="0" w:color="auto"/>
        <w:left w:val="none" w:sz="0" w:space="0" w:color="auto"/>
        <w:bottom w:val="none" w:sz="0" w:space="0" w:color="auto"/>
        <w:right w:val="none" w:sz="0" w:space="0" w:color="auto"/>
      </w:divBdr>
    </w:div>
    <w:div w:id="832456448">
      <w:bodyDiv w:val="1"/>
      <w:marLeft w:val="0"/>
      <w:marRight w:val="0"/>
      <w:marTop w:val="0"/>
      <w:marBottom w:val="0"/>
      <w:divBdr>
        <w:top w:val="none" w:sz="0" w:space="0" w:color="auto"/>
        <w:left w:val="none" w:sz="0" w:space="0" w:color="auto"/>
        <w:bottom w:val="none" w:sz="0" w:space="0" w:color="auto"/>
        <w:right w:val="none" w:sz="0" w:space="0" w:color="auto"/>
      </w:divBdr>
    </w:div>
    <w:div w:id="835650008">
      <w:bodyDiv w:val="1"/>
      <w:marLeft w:val="0"/>
      <w:marRight w:val="0"/>
      <w:marTop w:val="0"/>
      <w:marBottom w:val="0"/>
      <w:divBdr>
        <w:top w:val="none" w:sz="0" w:space="0" w:color="auto"/>
        <w:left w:val="none" w:sz="0" w:space="0" w:color="auto"/>
        <w:bottom w:val="none" w:sz="0" w:space="0" w:color="auto"/>
        <w:right w:val="none" w:sz="0" w:space="0" w:color="auto"/>
      </w:divBdr>
    </w:div>
    <w:div w:id="872227364">
      <w:bodyDiv w:val="1"/>
      <w:marLeft w:val="0"/>
      <w:marRight w:val="0"/>
      <w:marTop w:val="0"/>
      <w:marBottom w:val="0"/>
      <w:divBdr>
        <w:top w:val="none" w:sz="0" w:space="0" w:color="auto"/>
        <w:left w:val="none" w:sz="0" w:space="0" w:color="auto"/>
        <w:bottom w:val="none" w:sz="0" w:space="0" w:color="auto"/>
        <w:right w:val="none" w:sz="0" w:space="0" w:color="auto"/>
      </w:divBdr>
    </w:div>
    <w:div w:id="872230940">
      <w:bodyDiv w:val="1"/>
      <w:marLeft w:val="0"/>
      <w:marRight w:val="0"/>
      <w:marTop w:val="0"/>
      <w:marBottom w:val="0"/>
      <w:divBdr>
        <w:top w:val="none" w:sz="0" w:space="0" w:color="auto"/>
        <w:left w:val="none" w:sz="0" w:space="0" w:color="auto"/>
        <w:bottom w:val="none" w:sz="0" w:space="0" w:color="auto"/>
        <w:right w:val="none" w:sz="0" w:space="0" w:color="auto"/>
      </w:divBdr>
    </w:div>
    <w:div w:id="876351967">
      <w:bodyDiv w:val="1"/>
      <w:marLeft w:val="0"/>
      <w:marRight w:val="0"/>
      <w:marTop w:val="0"/>
      <w:marBottom w:val="0"/>
      <w:divBdr>
        <w:top w:val="none" w:sz="0" w:space="0" w:color="auto"/>
        <w:left w:val="none" w:sz="0" w:space="0" w:color="auto"/>
        <w:bottom w:val="none" w:sz="0" w:space="0" w:color="auto"/>
        <w:right w:val="none" w:sz="0" w:space="0" w:color="auto"/>
      </w:divBdr>
    </w:div>
    <w:div w:id="927272035">
      <w:bodyDiv w:val="1"/>
      <w:marLeft w:val="0"/>
      <w:marRight w:val="0"/>
      <w:marTop w:val="0"/>
      <w:marBottom w:val="0"/>
      <w:divBdr>
        <w:top w:val="none" w:sz="0" w:space="0" w:color="auto"/>
        <w:left w:val="none" w:sz="0" w:space="0" w:color="auto"/>
        <w:bottom w:val="none" w:sz="0" w:space="0" w:color="auto"/>
        <w:right w:val="none" w:sz="0" w:space="0" w:color="auto"/>
      </w:divBdr>
    </w:div>
    <w:div w:id="945700586">
      <w:bodyDiv w:val="1"/>
      <w:marLeft w:val="0"/>
      <w:marRight w:val="0"/>
      <w:marTop w:val="0"/>
      <w:marBottom w:val="0"/>
      <w:divBdr>
        <w:top w:val="none" w:sz="0" w:space="0" w:color="auto"/>
        <w:left w:val="none" w:sz="0" w:space="0" w:color="auto"/>
        <w:bottom w:val="none" w:sz="0" w:space="0" w:color="auto"/>
        <w:right w:val="none" w:sz="0" w:space="0" w:color="auto"/>
      </w:divBdr>
    </w:div>
    <w:div w:id="992366216">
      <w:bodyDiv w:val="1"/>
      <w:marLeft w:val="0"/>
      <w:marRight w:val="0"/>
      <w:marTop w:val="0"/>
      <w:marBottom w:val="0"/>
      <w:divBdr>
        <w:top w:val="none" w:sz="0" w:space="0" w:color="auto"/>
        <w:left w:val="none" w:sz="0" w:space="0" w:color="auto"/>
        <w:bottom w:val="none" w:sz="0" w:space="0" w:color="auto"/>
        <w:right w:val="none" w:sz="0" w:space="0" w:color="auto"/>
      </w:divBdr>
    </w:div>
    <w:div w:id="1105346040">
      <w:bodyDiv w:val="1"/>
      <w:marLeft w:val="0"/>
      <w:marRight w:val="0"/>
      <w:marTop w:val="0"/>
      <w:marBottom w:val="0"/>
      <w:divBdr>
        <w:top w:val="none" w:sz="0" w:space="0" w:color="auto"/>
        <w:left w:val="none" w:sz="0" w:space="0" w:color="auto"/>
        <w:bottom w:val="none" w:sz="0" w:space="0" w:color="auto"/>
        <w:right w:val="none" w:sz="0" w:space="0" w:color="auto"/>
      </w:divBdr>
    </w:div>
    <w:div w:id="1123766104">
      <w:bodyDiv w:val="1"/>
      <w:marLeft w:val="0"/>
      <w:marRight w:val="0"/>
      <w:marTop w:val="0"/>
      <w:marBottom w:val="0"/>
      <w:divBdr>
        <w:top w:val="none" w:sz="0" w:space="0" w:color="auto"/>
        <w:left w:val="none" w:sz="0" w:space="0" w:color="auto"/>
        <w:bottom w:val="none" w:sz="0" w:space="0" w:color="auto"/>
        <w:right w:val="none" w:sz="0" w:space="0" w:color="auto"/>
      </w:divBdr>
    </w:div>
    <w:div w:id="1220436152">
      <w:bodyDiv w:val="1"/>
      <w:marLeft w:val="0"/>
      <w:marRight w:val="0"/>
      <w:marTop w:val="0"/>
      <w:marBottom w:val="0"/>
      <w:divBdr>
        <w:top w:val="none" w:sz="0" w:space="0" w:color="auto"/>
        <w:left w:val="none" w:sz="0" w:space="0" w:color="auto"/>
        <w:bottom w:val="none" w:sz="0" w:space="0" w:color="auto"/>
        <w:right w:val="none" w:sz="0" w:space="0" w:color="auto"/>
      </w:divBdr>
    </w:div>
    <w:div w:id="1299988604">
      <w:bodyDiv w:val="1"/>
      <w:marLeft w:val="0"/>
      <w:marRight w:val="0"/>
      <w:marTop w:val="0"/>
      <w:marBottom w:val="0"/>
      <w:divBdr>
        <w:top w:val="none" w:sz="0" w:space="0" w:color="auto"/>
        <w:left w:val="none" w:sz="0" w:space="0" w:color="auto"/>
        <w:bottom w:val="none" w:sz="0" w:space="0" w:color="auto"/>
        <w:right w:val="none" w:sz="0" w:space="0" w:color="auto"/>
      </w:divBdr>
    </w:div>
    <w:div w:id="1301570245">
      <w:bodyDiv w:val="1"/>
      <w:marLeft w:val="0"/>
      <w:marRight w:val="0"/>
      <w:marTop w:val="0"/>
      <w:marBottom w:val="0"/>
      <w:divBdr>
        <w:top w:val="none" w:sz="0" w:space="0" w:color="auto"/>
        <w:left w:val="none" w:sz="0" w:space="0" w:color="auto"/>
        <w:bottom w:val="none" w:sz="0" w:space="0" w:color="auto"/>
        <w:right w:val="none" w:sz="0" w:space="0" w:color="auto"/>
      </w:divBdr>
    </w:div>
    <w:div w:id="1304389361">
      <w:bodyDiv w:val="1"/>
      <w:marLeft w:val="0"/>
      <w:marRight w:val="0"/>
      <w:marTop w:val="0"/>
      <w:marBottom w:val="0"/>
      <w:divBdr>
        <w:top w:val="none" w:sz="0" w:space="0" w:color="auto"/>
        <w:left w:val="none" w:sz="0" w:space="0" w:color="auto"/>
        <w:bottom w:val="none" w:sz="0" w:space="0" w:color="auto"/>
        <w:right w:val="none" w:sz="0" w:space="0" w:color="auto"/>
      </w:divBdr>
      <w:divsChild>
        <w:div w:id="1786457773">
          <w:marLeft w:val="0"/>
          <w:marRight w:val="0"/>
          <w:marTop w:val="0"/>
          <w:marBottom w:val="0"/>
          <w:divBdr>
            <w:top w:val="single" w:sz="2" w:space="0" w:color="auto"/>
            <w:left w:val="single" w:sz="2" w:space="0" w:color="auto"/>
            <w:bottom w:val="single" w:sz="6" w:space="0" w:color="auto"/>
            <w:right w:val="single" w:sz="2" w:space="0" w:color="auto"/>
          </w:divBdr>
          <w:divsChild>
            <w:div w:id="585070710">
              <w:marLeft w:val="0"/>
              <w:marRight w:val="0"/>
              <w:marTop w:val="100"/>
              <w:marBottom w:val="100"/>
              <w:divBdr>
                <w:top w:val="single" w:sz="2" w:space="0" w:color="D9D9E3"/>
                <w:left w:val="single" w:sz="2" w:space="0" w:color="D9D9E3"/>
                <w:bottom w:val="single" w:sz="2" w:space="0" w:color="D9D9E3"/>
                <w:right w:val="single" w:sz="2" w:space="0" w:color="D9D9E3"/>
              </w:divBdr>
              <w:divsChild>
                <w:div w:id="1392269619">
                  <w:marLeft w:val="0"/>
                  <w:marRight w:val="0"/>
                  <w:marTop w:val="0"/>
                  <w:marBottom w:val="0"/>
                  <w:divBdr>
                    <w:top w:val="single" w:sz="2" w:space="0" w:color="D9D9E3"/>
                    <w:left w:val="single" w:sz="2" w:space="0" w:color="D9D9E3"/>
                    <w:bottom w:val="single" w:sz="2" w:space="0" w:color="D9D9E3"/>
                    <w:right w:val="single" w:sz="2" w:space="0" w:color="D9D9E3"/>
                  </w:divBdr>
                  <w:divsChild>
                    <w:div w:id="1440442838">
                      <w:marLeft w:val="0"/>
                      <w:marRight w:val="0"/>
                      <w:marTop w:val="0"/>
                      <w:marBottom w:val="0"/>
                      <w:divBdr>
                        <w:top w:val="single" w:sz="2" w:space="0" w:color="D9D9E3"/>
                        <w:left w:val="single" w:sz="2" w:space="0" w:color="D9D9E3"/>
                        <w:bottom w:val="single" w:sz="2" w:space="0" w:color="D9D9E3"/>
                        <w:right w:val="single" w:sz="2" w:space="0" w:color="D9D9E3"/>
                      </w:divBdr>
                      <w:divsChild>
                        <w:div w:id="241067100">
                          <w:marLeft w:val="0"/>
                          <w:marRight w:val="0"/>
                          <w:marTop w:val="0"/>
                          <w:marBottom w:val="0"/>
                          <w:divBdr>
                            <w:top w:val="single" w:sz="2" w:space="0" w:color="D9D9E3"/>
                            <w:left w:val="single" w:sz="2" w:space="0" w:color="D9D9E3"/>
                            <w:bottom w:val="single" w:sz="2" w:space="0" w:color="D9D9E3"/>
                            <w:right w:val="single" w:sz="2" w:space="0" w:color="D9D9E3"/>
                          </w:divBdr>
                          <w:divsChild>
                            <w:div w:id="1919250240">
                              <w:marLeft w:val="0"/>
                              <w:marRight w:val="0"/>
                              <w:marTop w:val="0"/>
                              <w:marBottom w:val="0"/>
                              <w:divBdr>
                                <w:top w:val="single" w:sz="2" w:space="0" w:color="D9D9E3"/>
                                <w:left w:val="single" w:sz="2" w:space="0" w:color="D9D9E3"/>
                                <w:bottom w:val="single" w:sz="2" w:space="0" w:color="D9D9E3"/>
                                <w:right w:val="single" w:sz="2" w:space="0" w:color="D9D9E3"/>
                              </w:divBdr>
                              <w:divsChild>
                                <w:div w:id="12803789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73787445">
          <w:marLeft w:val="0"/>
          <w:marRight w:val="0"/>
          <w:marTop w:val="0"/>
          <w:marBottom w:val="0"/>
          <w:divBdr>
            <w:top w:val="single" w:sz="2" w:space="0" w:color="auto"/>
            <w:left w:val="single" w:sz="2" w:space="0" w:color="auto"/>
            <w:bottom w:val="single" w:sz="6" w:space="0" w:color="auto"/>
            <w:right w:val="single" w:sz="2" w:space="0" w:color="auto"/>
          </w:divBdr>
          <w:divsChild>
            <w:div w:id="124783539">
              <w:marLeft w:val="0"/>
              <w:marRight w:val="0"/>
              <w:marTop w:val="100"/>
              <w:marBottom w:val="100"/>
              <w:divBdr>
                <w:top w:val="single" w:sz="2" w:space="0" w:color="D9D9E3"/>
                <w:left w:val="single" w:sz="2" w:space="0" w:color="D9D9E3"/>
                <w:bottom w:val="single" w:sz="2" w:space="0" w:color="D9D9E3"/>
                <w:right w:val="single" w:sz="2" w:space="0" w:color="D9D9E3"/>
              </w:divBdr>
              <w:divsChild>
                <w:div w:id="1011101419">
                  <w:marLeft w:val="0"/>
                  <w:marRight w:val="0"/>
                  <w:marTop w:val="0"/>
                  <w:marBottom w:val="0"/>
                  <w:divBdr>
                    <w:top w:val="single" w:sz="2" w:space="0" w:color="D9D9E3"/>
                    <w:left w:val="single" w:sz="2" w:space="0" w:color="D9D9E3"/>
                    <w:bottom w:val="single" w:sz="2" w:space="0" w:color="D9D9E3"/>
                    <w:right w:val="single" w:sz="2" w:space="0" w:color="D9D9E3"/>
                  </w:divBdr>
                  <w:divsChild>
                    <w:div w:id="291982133">
                      <w:marLeft w:val="0"/>
                      <w:marRight w:val="0"/>
                      <w:marTop w:val="0"/>
                      <w:marBottom w:val="0"/>
                      <w:divBdr>
                        <w:top w:val="single" w:sz="2" w:space="0" w:color="D9D9E3"/>
                        <w:left w:val="single" w:sz="2" w:space="0" w:color="D9D9E3"/>
                        <w:bottom w:val="single" w:sz="2" w:space="0" w:color="D9D9E3"/>
                        <w:right w:val="single" w:sz="2" w:space="0" w:color="D9D9E3"/>
                      </w:divBdr>
                      <w:divsChild>
                        <w:div w:id="1075467384">
                          <w:marLeft w:val="0"/>
                          <w:marRight w:val="0"/>
                          <w:marTop w:val="0"/>
                          <w:marBottom w:val="0"/>
                          <w:divBdr>
                            <w:top w:val="single" w:sz="2" w:space="0" w:color="D9D9E3"/>
                            <w:left w:val="single" w:sz="2" w:space="0" w:color="D9D9E3"/>
                            <w:bottom w:val="single" w:sz="2" w:space="0" w:color="D9D9E3"/>
                            <w:right w:val="single" w:sz="2" w:space="0" w:color="D9D9E3"/>
                          </w:divBdr>
                          <w:divsChild>
                            <w:div w:id="7386691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59230051">
                      <w:marLeft w:val="0"/>
                      <w:marRight w:val="0"/>
                      <w:marTop w:val="0"/>
                      <w:marBottom w:val="0"/>
                      <w:divBdr>
                        <w:top w:val="single" w:sz="2" w:space="0" w:color="D9D9E3"/>
                        <w:left w:val="single" w:sz="2" w:space="0" w:color="D9D9E3"/>
                        <w:bottom w:val="single" w:sz="2" w:space="0" w:color="D9D9E3"/>
                        <w:right w:val="single" w:sz="2" w:space="0" w:color="D9D9E3"/>
                      </w:divBdr>
                      <w:divsChild>
                        <w:div w:id="2045867714">
                          <w:marLeft w:val="0"/>
                          <w:marRight w:val="0"/>
                          <w:marTop w:val="0"/>
                          <w:marBottom w:val="0"/>
                          <w:divBdr>
                            <w:top w:val="single" w:sz="2" w:space="0" w:color="D9D9E3"/>
                            <w:left w:val="single" w:sz="2" w:space="0" w:color="D9D9E3"/>
                            <w:bottom w:val="single" w:sz="2" w:space="0" w:color="D9D9E3"/>
                            <w:right w:val="single" w:sz="2" w:space="0" w:color="D9D9E3"/>
                          </w:divBdr>
                          <w:divsChild>
                            <w:div w:id="1160998559">
                              <w:marLeft w:val="0"/>
                              <w:marRight w:val="0"/>
                              <w:marTop w:val="0"/>
                              <w:marBottom w:val="0"/>
                              <w:divBdr>
                                <w:top w:val="single" w:sz="2" w:space="0" w:color="D9D9E3"/>
                                <w:left w:val="single" w:sz="2" w:space="0" w:color="D9D9E3"/>
                                <w:bottom w:val="single" w:sz="2" w:space="0" w:color="D9D9E3"/>
                                <w:right w:val="single" w:sz="2" w:space="0" w:color="D9D9E3"/>
                              </w:divBdr>
                              <w:divsChild>
                                <w:div w:id="496179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46591603">
      <w:bodyDiv w:val="1"/>
      <w:marLeft w:val="0"/>
      <w:marRight w:val="0"/>
      <w:marTop w:val="0"/>
      <w:marBottom w:val="0"/>
      <w:divBdr>
        <w:top w:val="none" w:sz="0" w:space="0" w:color="auto"/>
        <w:left w:val="none" w:sz="0" w:space="0" w:color="auto"/>
        <w:bottom w:val="none" w:sz="0" w:space="0" w:color="auto"/>
        <w:right w:val="none" w:sz="0" w:space="0" w:color="auto"/>
      </w:divBdr>
    </w:div>
    <w:div w:id="1374036067">
      <w:bodyDiv w:val="1"/>
      <w:marLeft w:val="0"/>
      <w:marRight w:val="0"/>
      <w:marTop w:val="0"/>
      <w:marBottom w:val="0"/>
      <w:divBdr>
        <w:top w:val="none" w:sz="0" w:space="0" w:color="auto"/>
        <w:left w:val="none" w:sz="0" w:space="0" w:color="auto"/>
        <w:bottom w:val="none" w:sz="0" w:space="0" w:color="auto"/>
        <w:right w:val="none" w:sz="0" w:space="0" w:color="auto"/>
      </w:divBdr>
    </w:div>
    <w:div w:id="1404987238">
      <w:bodyDiv w:val="1"/>
      <w:marLeft w:val="0"/>
      <w:marRight w:val="0"/>
      <w:marTop w:val="0"/>
      <w:marBottom w:val="0"/>
      <w:divBdr>
        <w:top w:val="none" w:sz="0" w:space="0" w:color="auto"/>
        <w:left w:val="none" w:sz="0" w:space="0" w:color="auto"/>
        <w:bottom w:val="none" w:sz="0" w:space="0" w:color="auto"/>
        <w:right w:val="none" w:sz="0" w:space="0" w:color="auto"/>
      </w:divBdr>
    </w:div>
    <w:div w:id="1546524491">
      <w:bodyDiv w:val="1"/>
      <w:marLeft w:val="0"/>
      <w:marRight w:val="0"/>
      <w:marTop w:val="0"/>
      <w:marBottom w:val="0"/>
      <w:divBdr>
        <w:top w:val="none" w:sz="0" w:space="0" w:color="auto"/>
        <w:left w:val="none" w:sz="0" w:space="0" w:color="auto"/>
        <w:bottom w:val="none" w:sz="0" w:space="0" w:color="auto"/>
        <w:right w:val="none" w:sz="0" w:space="0" w:color="auto"/>
      </w:divBdr>
    </w:div>
    <w:div w:id="1570916740">
      <w:bodyDiv w:val="1"/>
      <w:marLeft w:val="0"/>
      <w:marRight w:val="0"/>
      <w:marTop w:val="0"/>
      <w:marBottom w:val="0"/>
      <w:divBdr>
        <w:top w:val="none" w:sz="0" w:space="0" w:color="auto"/>
        <w:left w:val="none" w:sz="0" w:space="0" w:color="auto"/>
        <w:bottom w:val="none" w:sz="0" w:space="0" w:color="auto"/>
        <w:right w:val="none" w:sz="0" w:space="0" w:color="auto"/>
      </w:divBdr>
    </w:div>
    <w:div w:id="1605766169">
      <w:bodyDiv w:val="1"/>
      <w:marLeft w:val="0"/>
      <w:marRight w:val="0"/>
      <w:marTop w:val="0"/>
      <w:marBottom w:val="0"/>
      <w:divBdr>
        <w:top w:val="none" w:sz="0" w:space="0" w:color="auto"/>
        <w:left w:val="none" w:sz="0" w:space="0" w:color="auto"/>
        <w:bottom w:val="none" w:sz="0" w:space="0" w:color="auto"/>
        <w:right w:val="none" w:sz="0" w:space="0" w:color="auto"/>
      </w:divBdr>
    </w:div>
    <w:div w:id="1613828585">
      <w:bodyDiv w:val="1"/>
      <w:marLeft w:val="0"/>
      <w:marRight w:val="0"/>
      <w:marTop w:val="0"/>
      <w:marBottom w:val="0"/>
      <w:divBdr>
        <w:top w:val="none" w:sz="0" w:space="0" w:color="auto"/>
        <w:left w:val="none" w:sz="0" w:space="0" w:color="auto"/>
        <w:bottom w:val="none" w:sz="0" w:space="0" w:color="auto"/>
        <w:right w:val="none" w:sz="0" w:space="0" w:color="auto"/>
      </w:divBdr>
    </w:div>
    <w:div w:id="1658147124">
      <w:bodyDiv w:val="1"/>
      <w:marLeft w:val="0"/>
      <w:marRight w:val="0"/>
      <w:marTop w:val="0"/>
      <w:marBottom w:val="0"/>
      <w:divBdr>
        <w:top w:val="none" w:sz="0" w:space="0" w:color="auto"/>
        <w:left w:val="none" w:sz="0" w:space="0" w:color="auto"/>
        <w:bottom w:val="none" w:sz="0" w:space="0" w:color="auto"/>
        <w:right w:val="none" w:sz="0" w:space="0" w:color="auto"/>
      </w:divBdr>
    </w:div>
    <w:div w:id="1668947484">
      <w:bodyDiv w:val="1"/>
      <w:marLeft w:val="0"/>
      <w:marRight w:val="0"/>
      <w:marTop w:val="0"/>
      <w:marBottom w:val="0"/>
      <w:divBdr>
        <w:top w:val="none" w:sz="0" w:space="0" w:color="auto"/>
        <w:left w:val="none" w:sz="0" w:space="0" w:color="auto"/>
        <w:bottom w:val="none" w:sz="0" w:space="0" w:color="auto"/>
        <w:right w:val="none" w:sz="0" w:space="0" w:color="auto"/>
      </w:divBdr>
    </w:div>
    <w:div w:id="1674915962">
      <w:bodyDiv w:val="1"/>
      <w:marLeft w:val="0"/>
      <w:marRight w:val="0"/>
      <w:marTop w:val="0"/>
      <w:marBottom w:val="0"/>
      <w:divBdr>
        <w:top w:val="none" w:sz="0" w:space="0" w:color="auto"/>
        <w:left w:val="none" w:sz="0" w:space="0" w:color="auto"/>
        <w:bottom w:val="none" w:sz="0" w:space="0" w:color="auto"/>
        <w:right w:val="none" w:sz="0" w:space="0" w:color="auto"/>
      </w:divBdr>
      <w:divsChild>
        <w:div w:id="412626026">
          <w:marLeft w:val="0"/>
          <w:marRight w:val="0"/>
          <w:marTop w:val="0"/>
          <w:marBottom w:val="0"/>
          <w:divBdr>
            <w:top w:val="single" w:sz="2" w:space="0" w:color="auto"/>
            <w:left w:val="single" w:sz="2" w:space="0" w:color="auto"/>
            <w:bottom w:val="single" w:sz="6" w:space="0" w:color="auto"/>
            <w:right w:val="single" w:sz="2" w:space="0" w:color="auto"/>
          </w:divBdr>
          <w:divsChild>
            <w:div w:id="1572617137">
              <w:marLeft w:val="0"/>
              <w:marRight w:val="0"/>
              <w:marTop w:val="100"/>
              <w:marBottom w:val="100"/>
              <w:divBdr>
                <w:top w:val="single" w:sz="2" w:space="0" w:color="D9D9E3"/>
                <w:left w:val="single" w:sz="2" w:space="0" w:color="D9D9E3"/>
                <w:bottom w:val="single" w:sz="2" w:space="0" w:color="D9D9E3"/>
                <w:right w:val="single" w:sz="2" w:space="0" w:color="D9D9E3"/>
              </w:divBdr>
              <w:divsChild>
                <w:div w:id="1925141012">
                  <w:marLeft w:val="0"/>
                  <w:marRight w:val="0"/>
                  <w:marTop w:val="0"/>
                  <w:marBottom w:val="0"/>
                  <w:divBdr>
                    <w:top w:val="single" w:sz="2" w:space="0" w:color="D9D9E3"/>
                    <w:left w:val="single" w:sz="2" w:space="0" w:color="D9D9E3"/>
                    <w:bottom w:val="single" w:sz="2" w:space="0" w:color="D9D9E3"/>
                    <w:right w:val="single" w:sz="2" w:space="0" w:color="D9D9E3"/>
                  </w:divBdr>
                  <w:divsChild>
                    <w:div w:id="1448084737">
                      <w:marLeft w:val="0"/>
                      <w:marRight w:val="0"/>
                      <w:marTop w:val="0"/>
                      <w:marBottom w:val="0"/>
                      <w:divBdr>
                        <w:top w:val="single" w:sz="2" w:space="0" w:color="D9D9E3"/>
                        <w:left w:val="single" w:sz="2" w:space="0" w:color="D9D9E3"/>
                        <w:bottom w:val="single" w:sz="2" w:space="0" w:color="D9D9E3"/>
                        <w:right w:val="single" w:sz="2" w:space="0" w:color="D9D9E3"/>
                      </w:divBdr>
                      <w:divsChild>
                        <w:div w:id="1894345921">
                          <w:marLeft w:val="0"/>
                          <w:marRight w:val="0"/>
                          <w:marTop w:val="0"/>
                          <w:marBottom w:val="0"/>
                          <w:divBdr>
                            <w:top w:val="single" w:sz="2" w:space="0" w:color="D9D9E3"/>
                            <w:left w:val="single" w:sz="2" w:space="0" w:color="D9D9E3"/>
                            <w:bottom w:val="single" w:sz="2" w:space="0" w:color="D9D9E3"/>
                            <w:right w:val="single" w:sz="2" w:space="0" w:color="D9D9E3"/>
                          </w:divBdr>
                          <w:divsChild>
                            <w:div w:id="103693352">
                              <w:marLeft w:val="0"/>
                              <w:marRight w:val="0"/>
                              <w:marTop w:val="0"/>
                              <w:marBottom w:val="0"/>
                              <w:divBdr>
                                <w:top w:val="single" w:sz="2" w:space="0" w:color="D9D9E3"/>
                                <w:left w:val="single" w:sz="2" w:space="0" w:color="D9D9E3"/>
                                <w:bottom w:val="single" w:sz="2" w:space="0" w:color="D9D9E3"/>
                                <w:right w:val="single" w:sz="2" w:space="0" w:color="D9D9E3"/>
                              </w:divBdr>
                              <w:divsChild>
                                <w:div w:id="20367291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76352689">
          <w:marLeft w:val="0"/>
          <w:marRight w:val="0"/>
          <w:marTop w:val="0"/>
          <w:marBottom w:val="0"/>
          <w:divBdr>
            <w:top w:val="single" w:sz="2" w:space="0" w:color="auto"/>
            <w:left w:val="single" w:sz="2" w:space="0" w:color="auto"/>
            <w:bottom w:val="single" w:sz="6" w:space="0" w:color="auto"/>
            <w:right w:val="single" w:sz="2" w:space="0" w:color="auto"/>
          </w:divBdr>
          <w:divsChild>
            <w:div w:id="1144085388">
              <w:marLeft w:val="0"/>
              <w:marRight w:val="0"/>
              <w:marTop w:val="100"/>
              <w:marBottom w:val="100"/>
              <w:divBdr>
                <w:top w:val="single" w:sz="2" w:space="0" w:color="D9D9E3"/>
                <w:left w:val="single" w:sz="2" w:space="0" w:color="D9D9E3"/>
                <w:bottom w:val="single" w:sz="2" w:space="0" w:color="D9D9E3"/>
                <w:right w:val="single" w:sz="2" w:space="0" w:color="D9D9E3"/>
              </w:divBdr>
              <w:divsChild>
                <w:div w:id="210263849">
                  <w:marLeft w:val="0"/>
                  <w:marRight w:val="0"/>
                  <w:marTop w:val="0"/>
                  <w:marBottom w:val="0"/>
                  <w:divBdr>
                    <w:top w:val="single" w:sz="2" w:space="0" w:color="D9D9E3"/>
                    <w:left w:val="single" w:sz="2" w:space="0" w:color="D9D9E3"/>
                    <w:bottom w:val="single" w:sz="2" w:space="0" w:color="D9D9E3"/>
                    <w:right w:val="single" w:sz="2" w:space="0" w:color="D9D9E3"/>
                  </w:divBdr>
                  <w:divsChild>
                    <w:div w:id="955599308">
                      <w:marLeft w:val="0"/>
                      <w:marRight w:val="0"/>
                      <w:marTop w:val="0"/>
                      <w:marBottom w:val="0"/>
                      <w:divBdr>
                        <w:top w:val="single" w:sz="2" w:space="0" w:color="D9D9E3"/>
                        <w:left w:val="single" w:sz="2" w:space="0" w:color="D9D9E3"/>
                        <w:bottom w:val="single" w:sz="2" w:space="0" w:color="D9D9E3"/>
                        <w:right w:val="single" w:sz="2" w:space="0" w:color="D9D9E3"/>
                      </w:divBdr>
                      <w:divsChild>
                        <w:div w:id="981421817">
                          <w:marLeft w:val="0"/>
                          <w:marRight w:val="0"/>
                          <w:marTop w:val="0"/>
                          <w:marBottom w:val="0"/>
                          <w:divBdr>
                            <w:top w:val="single" w:sz="2" w:space="0" w:color="D9D9E3"/>
                            <w:left w:val="single" w:sz="2" w:space="0" w:color="D9D9E3"/>
                            <w:bottom w:val="single" w:sz="2" w:space="0" w:color="D9D9E3"/>
                            <w:right w:val="single" w:sz="2" w:space="0" w:color="D9D9E3"/>
                          </w:divBdr>
                          <w:divsChild>
                            <w:div w:id="20048891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6590928">
                      <w:marLeft w:val="0"/>
                      <w:marRight w:val="0"/>
                      <w:marTop w:val="0"/>
                      <w:marBottom w:val="0"/>
                      <w:divBdr>
                        <w:top w:val="single" w:sz="2" w:space="0" w:color="D9D9E3"/>
                        <w:left w:val="single" w:sz="2" w:space="0" w:color="D9D9E3"/>
                        <w:bottom w:val="single" w:sz="2" w:space="0" w:color="D9D9E3"/>
                        <w:right w:val="single" w:sz="2" w:space="0" w:color="D9D9E3"/>
                      </w:divBdr>
                      <w:divsChild>
                        <w:div w:id="1490053160">
                          <w:marLeft w:val="0"/>
                          <w:marRight w:val="0"/>
                          <w:marTop w:val="0"/>
                          <w:marBottom w:val="0"/>
                          <w:divBdr>
                            <w:top w:val="single" w:sz="2" w:space="0" w:color="D9D9E3"/>
                            <w:left w:val="single" w:sz="2" w:space="0" w:color="D9D9E3"/>
                            <w:bottom w:val="single" w:sz="2" w:space="0" w:color="D9D9E3"/>
                            <w:right w:val="single" w:sz="2" w:space="0" w:color="D9D9E3"/>
                          </w:divBdr>
                          <w:divsChild>
                            <w:div w:id="2063286709">
                              <w:marLeft w:val="0"/>
                              <w:marRight w:val="0"/>
                              <w:marTop w:val="0"/>
                              <w:marBottom w:val="0"/>
                              <w:divBdr>
                                <w:top w:val="single" w:sz="2" w:space="0" w:color="D9D9E3"/>
                                <w:left w:val="single" w:sz="2" w:space="0" w:color="D9D9E3"/>
                                <w:bottom w:val="single" w:sz="2" w:space="0" w:color="D9D9E3"/>
                                <w:right w:val="single" w:sz="2" w:space="0" w:color="D9D9E3"/>
                              </w:divBdr>
                              <w:divsChild>
                                <w:div w:id="2694364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06443936">
      <w:bodyDiv w:val="1"/>
      <w:marLeft w:val="0"/>
      <w:marRight w:val="0"/>
      <w:marTop w:val="0"/>
      <w:marBottom w:val="0"/>
      <w:divBdr>
        <w:top w:val="none" w:sz="0" w:space="0" w:color="auto"/>
        <w:left w:val="none" w:sz="0" w:space="0" w:color="auto"/>
        <w:bottom w:val="none" w:sz="0" w:space="0" w:color="auto"/>
        <w:right w:val="none" w:sz="0" w:space="0" w:color="auto"/>
      </w:divBdr>
    </w:div>
    <w:div w:id="1745178916">
      <w:bodyDiv w:val="1"/>
      <w:marLeft w:val="0"/>
      <w:marRight w:val="0"/>
      <w:marTop w:val="0"/>
      <w:marBottom w:val="0"/>
      <w:divBdr>
        <w:top w:val="none" w:sz="0" w:space="0" w:color="auto"/>
        <w:left w:val="none" w:sz="0" w:space="0" w:color="auto"/>
        <w:bottom w:val="none" w:sz="0" w:space="0" w:color="auto"/>
        <w:right w:val="none" w:sz="0" w:space="0" w:color="auto"/>
      </w:divBdr>
    </w:div>
    <w:div w:id="1746297573">
      <w:bodyDiv w:val="1"/>
      <w:marLeft w:val="0"/>
      <w:marRight w:val="0"/>
      <w:marTop w:val="0"/>
      <w:marBottom w:val="0"/>
      <w:divBdr>
        <w:top w:val="none" w:sz="0" w:space="0" w:color="auto"/>
        <w:left w:val="none" w:sz="0" w:space="0" w:color="auto"/>
        <w:bottom w:val="none" w:sz="0" w:space="0" w:color="auto"/>
        <w:right w:val="none" w:sz="0" w:space="0" w:color="auto"/>
      </w:divBdr>
    </w:div>
    <w:div w:id="1832675163">
      <w:bodyDiv w:val="1"/>
      <w:marLeft w:val="0"/>
      <w:marRight w:val="0"/>
      <w:marTop w:val="0"/>
      <w:marBottom w:val="0"/>
      <w:divBdr>
        <w:top w:val="none" w:sz="0" w:space="0" w:color="auto"/>
        <w:left w:val="none" w:sz="0" w:space="0" w:color="auto"/>
        <w:bottom w:val="none" w:sz="0" w:space="0" w:color="auto"/>
        <w:right w:val="none" w:sz="0" w:space="0" w:color="auto"/>
      </w:divBdr>
    </w:div>
    <w:div w:id="1857109778">
      <w:bodyDiv w:val="1"/>
      <w:marLeft w:val="0"/>
      <w:marRight w:val="0"/>
      <w:marTop w:val="0"/>
      <w:marBottom w:val="0"/>
      <w:divBdr>
        <w:top w:val="none" w:sz="0" w:space="0" w:color="auto"/>
        <w:left w:val="none" w:sz="0" w:space="0" w:color="auto"/>
        <w:bottom w:val="none" w:sz="0" w:space="0" w:color="auto"/>
        <w:right w:val="none" w:sz="0" w:space="0" w:color="auto"/>
      </w:divBdr>
    </w:div>
    <w:div w:id="1895853771">
      <w:bodyDiv w:val="1"/>
      <w:marLeft w:val="0"/>
      <w:marRight w:val="0"/>
      <w:marTop w:val="0"/>
      <w:marBottom w:val="0"/>
      <w:divBdr>
        <w:top w:val="none" w:sz="0" w:space="0" w:color="auto"/>
        <w:left w:val="none" w:sz="0" w:space="0" w:color="auto"/>
        <w:bottom w:val="none" w:sz="0" w:space="0" w:color="auto"/>
        <w:right w:val="none" w:sz="0" w:space="0" w:color="auto"/>
      </w:divBdr>
    </w:div>
    <w:div w:id="1913269124">
      <w:bodyDiv w:val="1"/>
      <w:marLeft w:val="0"/>
      <w:marRight w:val="0"/>
      <w:marTop w:val="0"/>
      <w:marBottom w:val="0"/>
      <w:divBdr>
        <w:top w:val="none" w:sz="0" w:space="0" w:color="auto"/>
        <w:left w:val="none" w:sz="0" w:space="0" w:color="auto"/>
        <w:bottom w:val="none" w:sz="0" w:space="0" w:color="auto"/>
        <w:right w:val="none" w:sz="0" w:space="0" w:color="auto"/>
      </w:divBdr>
    </w:div>
    <w:div w:id="1916745516">
      <w:bodyDiv w:val="1"/>
      <w:marLeft w:val="0"/>
      <w:marRight w:val="0"/>
      <w:marTop w:val="0"/>
      <w:marBottom w:val="0"/>
      <w:divBdr>
        <w:top w:val="none" w:sz="0" w:space="0" w:color="auto"/>
        <w:left w:val="none" w:sz="0" w:space="0" w:color="auto"/>
        <w:bottom w:val="none" w:sz="0" w:space="0" w:color="auto"/>
        <w:right w:val="none" w:sz="0" w:space="0" w:color="auto"/>
      </w:divBdr>
    </w:div>
    <w:div w:id="1930187720">
      <w:bodyDiv w:val="1"/>
      <w:marLeft w:val="0"/>
      <w:marRight w:val="0"/>
      <w:marTop w:val="0"/>
      <w:marBottom w:val="0"/>
      <w:divBdr>
        <w:top w:val="none" w:sz="0" w:space="0" w:color="auto"/>
        <w:left w:val="none" w:sz="0" w:space="0" w:color="auto"/>
        <w:bottom w:val="none" w:sz="0" w:space="0" w:color="auto"/>
        <w:right w:val="none" w:sz="0" w:space="0" w:color="auto"/>
      </w:divBdr>
    </w:div>
    <w:div w:id="1999459417">
      <w:bodyDiv w:val="1"/>
      <w:marLeft w:val="0"/>
      <w:marRight w:val="0"/>
      <w:marTop w:val="0"/>
      <w:marBottom w:val="0"/>
      <w:divBdr>
        <w:top w:val="none" w:sz="0" w:space="0" w:color="auto"/>
        <w:left w:val="none" w:sz="0" w:space="0" w:color="auto"/>
        <w:bottom w:val="none" w:sz="0" w:space="0" w:color="auto"/>
        <w:right w:val="none" w:sz="0" w:space="0" w:color="auto"/>
      </w:divBdr>
    </w:div>
    <w:div w:id="2012642521">
      <w:bodyDiv w:val="1"/>
      <w:marLeft w:val="0"/>
      <w:marRight w:val="0"/>
      <w:marTop w:val="0"/>
      <w:marBottom w:val="0"/>
      <w:divBdr>
        <w:top w:val="none" w:sz="0" w:space="0" w:color="auto"/>
        <w:left w:val="none" w:sz="0" w:space="0" w:color="auto"/>
        <w:bottom w:val="none" w:sz="0" w:space="0" w:color="auto"/>
        <w:right w:val="none" w:sz="0" w:space="0" w:color="auto"/>
      </w:divBdr>
    </w:div>
    <w:div w:id="2019426934">
      <w:bodyDiv w:val="1"/>
      <w:marLeft w:val="0"/>
      <w:marRight w:val="0"/>
      <w:marTop w:val="0"/>
      <w:marBottom w:val="0"/>
      <w:divBdr>
        <w:top w:val="none" w:sz="0" w:space="0" w:color="auto"/>
        <w:left w:val="none" w:sz="0" w:space="0" w:color="auto"/>
        <w:bottom w:val="none" w:sz="0" w:space="0" w:color="auto"/>
        <w:right w:val="none" w:sz="0" w:space="0" w:color="auto"/>
      </w:divBdr>
    </w:div>
    <w:div w:id="2033653817">
      <w:bodyDiv w:val="1"/>
      <w:marLeft w:val="0"/>
      <w:marRight w:val="0"/>
      <w:marTop w:val="0"/>
      <w:marBottom w:val="0"/>
      <w:divBdr>
        <w:top w:val="none" w:sz="0" w:space="0" w:color="auto"/>
        <w:left w:val="none" w:sz="0" w:space="0" w:color="auto"/>
        <w:bottom w:val="none" w:sz="0" w:space="0" w:color="auto"/>
        <w:right w:val="none" w:sz="0" w:space="0" w:color="auto"/>
      </w:divBdr>
      <w:divsChild>
        <w:div w:id="1835339072">
          <w:marLeft w:val="0"/>
          <w:marRight w:val="0"/>
          <w:marTop w:val="0"/>
          <w:marBottom w:val="0"/>
          <w:divBdr>
            <w:top w:val="single" w:sz="2" w:space="0" w:color="auto"/>
            <w:left w:val="single" w:sz="2" w:space="0" w:color="auto"/>
            <w:bottom w:val="single" w:sz="6" w:space="0" w:color="auto"/>
            <w:right w:val="single" w:sz="2" w:space="0" w:color="auto"/>
          </w:divBdr>
          <w:divsChild>
            <w:div w:id="1510368810">
              <w:marLeft w:val="0"/>
              <w:marRight w:val="0"/>
              <w:marTop w:val="100"/>
              <w:marBottom w:val="100"/>
              <w:divBdr>
                <w:top w:val="single" w:sz="2" w:space="0" w:color="D9D9E3"/>
                <w:left w:val="single" w:sz="2" w:space="0" w:color="D9D9E3"/>
                <w:bottom w:val="single" w:sz="2" w:space="0" w:color="D9D9E3"/>
                <w:right w:val="single" w:sz="2" w:space="0" w:color="D9D9E3"/>
              </w:divBdr>
              <w:divsChild>
                <w:div w:id="1078290455">
                  <w:marLeft w:val="0"/>
                  <w:marRight w:val="0"/>
                  <w:marTop w:val="0"/>
                  <w:marBottom w:val="0"/>
                  <w:divBdr>
                    <w:top w:val="single" w:sz="2" w:space="0" w:color="D9D9E3"/>
                    <w:left w:val="single" w:sz="2" w:space="0" w:color="D9D9E3"/>
                    <w:bottom w:val="single" w:sz="2" w:space="0" w:color="D9D9E3"/>
                    <w:right w:val="single" w:sz="2" w:space="0" w:color="D9D9E3"/>
                  </w:divBdr>
                  <w:divsChild>
                    <w:div w:id="402292106">
                      <w:marLeft w:val="0"/>
                      <w:marRight w:val="0"/>
                      <w:marTop w:val="0"/>
                      <w:marBottom w:val="0"/>
                      <w:divBdr>
                        <w:top w:val="single" w:sz="2" w:space="0" w:color="D9D9E3"/>
                        <w:left w:val="single" w:sz="2" w:space="0" w:color="D9D9E3"/>
                        <w:bottom w:val="single" w:sz="2" w:space="0" w:color="D9D9E3"/>
                        <w:right w:val="single" w:sz="2" w:space="0" w:color="D9D9E3"/>
                      </w:divBdr>
                      <w:divsChild>
                        <w:div w:id="1358391644">
                          <w:marLeft w:val="0"/>
                          <w:marRight w:val="0"/>
                          <w:marTop w:val="0"/>
                          <w:marBottom w:val="0"/>
                          <w:divBdr>
                            <w:top w:val="single" w:sz="2" w:space="0" w:color="D9D9E3"/>
                            <w:left w:val="single" w:sz="2" w:space="0" w:color="D9D9E3"/>
                            <w:bottom w:val="single" w:sz="2" w:space="0" w:color="D9D9E3"/>
                            <w:right w:val="single" w:sz="2" w:space="0" w:color="D9D9E3"/>
                          </w:divBdr>
                          <w:divsChild>
                            <w:div w:id="1921477838">
                              <w:marLeft w:val="0"/>
                              <w:marRight w:val="0"/>
                              <w:marTop w:val="0"/>
                              <w:marBottom w:val="0"/>
                              <w:divBdr>
                                <w:top w:val="single" w:sz="2" w:space="0" w:color="D9D9E3"/>
                                <w:left w:val="single" w:sz="2" w:space="0" w:color="D9D9E3"/>
                                <w:bottom w:val="single" w:sz="2" w:space="0" w:color="D9D9E3"/>
                                <w:right w:val="single" w:sz="2" w:space="0" w:color="D9D9E3"/>
                              </w:divBdr>
                              <w:divsChild>
                                <w:div w:id="18529901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96732932">
          <w:marLeft w:val="0"/>
          <w:marRight w:val="0"/>
          <w:marTop w:val="0"/>
          <w:marBottom w:val="0"/>
          <w:divBdr>
            <w:top w:val="single" w:sz="2" w:space="0" w:color="auto"/>
            <w:left w:val="single" w:sz="2" w:space="0" w:color="auto"/>
            <w:bottom w:val="single" w:sz="6" w:space="0" w:color="auto"/>
            <w:right w:val="single" w:sz="2" w:space="0" w:color="auto"/>
          </w:divBdr>
          <w:divsChild>
            <w:div w:id="536820245">
              <w:marLeft w:val="0"/>
              <w:marRight w:val="0"/>
              <w:marTop w:val="100"/>
              <w:marBottom w:val="100"/>
              <w:divBdr>
                <w:top w:val="single" w:sz="2" w:space="0" w:color="D9D9E3"/>
                <w:left w:val="single" w:sz="2" w:space="0" w:color="D9D9E3"/>
                <w:bottom w:val="single" w:sz="2" w:space="0" w:color="D9D9E3"/>
                <w:right w:val="single" w:sz="2" w:space="0" w:color="D9D9E3"/>
              </w:divBdr>
              <w:divsChild>
                <w:div w:id="132065874">
                  <w:marLeft w:val="0"/>
                  <w:marRight w:val="0"/>
                  <w:marTop w:val="0"/>
                  <w:marBottom w:val="0"/>
                  <w:divBdr>
                    <w:top w:val="single" w:sz="2" w:space="0" w:color="D9D9E3"/>
                    <w:left w:val="single" w:sz="2" w:space="0" w:color="D9D9E3"/>
                    <w:bottom w:val="single" w:sz="2" w:space="0" w:color="D9D9E3"/>
                    <w:right w:val="single" w:sz="2" w:space="0" w:color="D9D9E3"/>
                  </w:divBdr>
                  <w:divsChild>
                    <w:div w:id="983854214">
                      <w:marLeft w:val="0"/>
                      <w:marRight w:val="0"/>
                      <w:marTop w:val="0"/>
                      <w:marBottom w:val="0"/>
                      <w:divBdr>
                        <w:top w:val="single" w:sz="2" w:space="0" w:color="D9D9E3"/>
                        <w:left w:val="single" w:sz="2" w:space="0" w:color="D9D9E3"/>
                        <w:bottom w:val="single" w:sz="2" w:space="0" w:color="D9D9E3"/>
                        <w:right w:val="single" w:sz="2" w:space="0" w:color="D9D9E3"/>
                      </w:divBdr>
                      <w:divsChild>
                        <w:div w:id="594175348">
                          <w:marLeft w:val="0"/>
                          <w:marRight w:val="0"/>
                          <w:marTop w:val="0"/>
                          <w:marBottom w:val="0"/>
                          <w:divBdr>
                            <w:top w:val="single" w:sz="2" w:space="0" w:color="D9D9E3"/>
                            <w:left w:val="single" w:sz="2" w:space="0" w:color="D9D9E3"/>
                            <w:bottom w:val="single" w:sz="2" w:space="0" w:color="D9D9E3"/>
                            <w:right w:val="single" w:sz="2" w:space="0" w:color="D9D9E3"/>
                          </w:divBdr>
                          <w:divsChild>
                            <w:div w:id="1508789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688647">
                      <w:marLeft w:val="0"/>
                      <w:marRight w:val="0"/>
                      <w:marTop w:val="0"/>
                      <w:marBottom w:val="0"/>
                      <w:divBdr>
                        <w:top w:val="single" w:sz="2" w:space="0" w:color="D9D9E3"/>
                        <w:left w:val="single" w:sz="2" w:space="0" w:color="D9D9E3"/>
                        <w:bottom w:val="single" w:sz="2" w:space="0" w:color="D9D9E3"/>
                        <w:right w:val="single" w:sz="2" w:space="0" w:color="D9D9E3"/>
                      </w:divBdr>
                      <w:divsChild>
                        <w:div w:id="993796415">
                          <w:marLeft w:val="0"/>
                          <w:marRight w:val="0"/>
                          <w:marTop w:val="0"/>
                          <w:marBottom w:val="0"/>
                          <w:divBdr>
                            <w:top w:val="single" w:sz="2" w:space="0" w:color="D9D9E3"/>
                            <w:left w:val="single" w:sz="2" w:space="0" w:color="D9D9E3"/>
                            <w:bottom w:val="single" w:sz="2" w:space="0" w:color="D9D9E3"/>
                            <w:right w:val="single" w:sz="2" w:space="0" w:color="D9D9E3"/>
                          </w:divBdr>
                          <w:divsChild>
                            <w:div w:id="621233088">
                              <w:marLeft w:val="0"/>
                              <w:marRight w:val="0"/>
                              <w:marTop w:val="0"/>
                              <w:marBottom w:val="0"/>
                              <w:divBdr>
                                <w:top w:val="single" w:sz="2" w:space="0" w:color="D9D9E3"/>
                                <w:left w:val="single" w:sz="2" w:space="0" w:color="D9D9E3"/>
                                <w:bottom w:val="single" w:sz="2" w:space="0" w:color="D9D9E3"/>
                                <w:right w:val="single" w:sz="2" w:space="0" w:color="D9D9E3"/>
                              </w:divBdr>
                              <w:divsChild>
                                <w:div w:id="9198273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88264894">
      <w:bodyDiv w:val="1"/>
      <w:marLeft w:val="0"/>
      <w:marRight w:val="0"/>
      <w:marTop w:val="0"/>
      <w:marBottom w:val="0"/>
      <w:divBdr>
        <w:top w:val="none" w:sz="0" w:space="0" w:color="auto"/>
        <w:left w:val="none" w:sz="0" w:space="0" w:color="auto"/>
        <w:bottom w:val="none" w:sz="0" w:space="0" w:color="auto"/>
        <w:right w:val="none" w:sz="0" w:space="0" w:color="auto"/>
      </w:divBdr>
    </w:div>
    <w:div w:id="2099978667">
      <w:bodyDiv w:val="1"/>
      <w:marLeft w:val="0"/>
      <w:marRight w:val="0"/>
      <w:marTop w:val="0"/>
      <w:marBottom w:val="0"/>
      <w:divBdr>
        <w:top w:val="none" w:sz="0" w:space="0" w:color="auto"/>
        <w:left w:val="none" w:sz="0" w:space="0" w:color="auto"/>
        <w:bottom w:val="none" w:sz="0" w:space="0" w:color="auto"/>
        <w:right w:val="none" w:sz="0" w:space="0" w:color="auto"/>
      </w:divBdr>
    </w:div>
    <w:div w:id="2133594271">
      <w:bodyDiv w:val="1"/>
      <w:marLeft w:val="0"/>
      <w:marRight w:val="0"/>
      <w:marTop w:val="0"/>
      <w:marBottom w:val="0"/>
      <w:divBdr>
        <w:top w:val="none" w:sz="0" w:space="0" w:color="auto"/>
        <w:left w:val="none" w:sz="0" w:space="0" w:color="auto"/>
        <w:bottom w:val="none" w:sz="0" w:space="0" w:color="auto"/>
        <w:right w:val="none" w:sz="0" w:space="0" w:color="auto"/>
      </w:divBdr>
    </w:div>
    <w:div w:id="214735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header" Target="header3.xml"/></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Slate">
  <a:themeElements>
    <a:clrScheme name="Slate">
      <a:dk1>
        <a:sysClr val="windowText" lastClr="000000"/>
      </a:dk1>
      <a:lt1>
        <a:sysClr val="window" lastClr="FFFFFF"/>
      </a:lt1>
      <a:dk2>
        <a:srgbClr val="212123"/>
      </a:dk2>
      <a:lt2>
        <a:srgbClr val="DADADA"/>
      </a:lt2>
      <a:accent1>
        <a:srgbClr val="BC451B"/>
      </a:accent1>
      <a:accent2>
        <a:srgbClr val="D3BA68"/>
      </a:accent2>
      <a:accent3>
        <a:srgbClr val="BB8640"/>
      </a:accent3>
      <a:accent4>
        <a:srgbClr val="AD9277"/>
      </a:accent4>
      <a:accent5>
        <a:srgbClr val="A55A43"/>
      </a:accent5>
      <a:accent6>
        <a:srgbClr val="AD9D7B"/>
      </a:accent6>
      <a:hlink>
        <a:srgbClr val="E98052"/>
      </a:hlink>
      <a:folHlink>
        <a:srgbClr val="F4B69B"/>
      </a:folHlink>
    </a:clrScheme>
    <a:fontScheme name="Slate">
      <a:majorFont>
        <a:latin typeface="Calisto MT" panose="02040603050505030304"/>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alisto MT" panose="02040603050505030304"/>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Slate">
      <a:fillStyleLst>
        <a:solidFill>
          <a:schemeClr val="phClr"/>
        </a:solidFill>
        <a:gradFill rotWithShape="1">
          <a:gsLst>
            <a:gs pos="0">
              <a:schemeClr val="phClr">
                <a:tint val="60000"/>
                <a:lumMod val="110000"/>
              </a:schemeClr>
            </a:gs>
            <a:gs pos="100000">
              <a:schemeClr val="phClr">
                <a:tint val="88000"/>
              </a:schemeClr>
            </a:gs>
          </a:gsLst>
          <a:lin ang="5400000" scaled="0"/>
        </a:gradFill>
        <a:gradFill rotWithShape="1">
          <a:gsLst>
            <a:gs pos="0">
              <a:schemeClr val="phClr">
                <a:tint val="96000"/>
                <a:lumMod val="104000"/>
              </a:schemeClr>
            </a:gs>
            <a:gs pos="100000">
              <a:schemeClr val="phClr">
                <a:shade val="90000"/>
                <a:lumMod val="90000"/>
              </a:schemeClr>
            </a:gs>
          </a:gsLst>
          <a:lin ang="5400000" scaled="0"/>
        </a:gradFill>
      </a:fillStyleLst>
      <a:lnStyleLst>
        <a:ln w="9525" cap="rnd" cmpd="sng" algn="ctr">
          <a:solidFill>
            <a:schemeClr val="phClr">
              <a:shade val="90000"/>
            </a:schemeClr>
          </a:solidFill>
          <a:prstDash val="solid"/>
        </a:ln>
        <a:ln w="1587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63500" dist="25400" dir="5400000" rotWithShape="0">
              <a:srgbClr val="000000">
                <a:alpha val="60000"/>
              </a:srgbClr>
            </a:outerShdw>
          </a:effectLst>
        </a:effectStyle>
        <a:effectStyle>
          <a:effectLst>
            <a:outerShdw blurRad="76200" dist="38100" dir="5400000" rotWithShape="0">
              <a:srgbClr val="000000">
                <a:alpha val="75000"/>
              </a:srgbClr>
            </a:outerShdw>
          </a:effectLst>
          <a:scene3d>
            <a:camera prst="orthographicFront">
              <a:rot lat="0" lon="0" rev="0"/>
            </a:camera>
            <a:lightRig rig="threePt" dir="t">
              <a:rot lat="0" lon="0" rev="1200000"/>
            </a:lightRig>
          </a:scene3d>
          <a:sp3d>
            <a:bevelT w="63500" h="25400" prst="hardEdge"/>
          </a:sp3d>
        </a:effectStyle>
      </a:effectStyleLst>
      <a:bgFillStyleLst>
        <a:solidFill>
          <a:schemeClr val="phClr"/>
        </a:solidFill>
        <a:solidFill>
          <a:schemeClr val="phClr"/>
        </a:solidFill>
        <a:blipFill rotWithShape="1">
          <a:blip xmlns:r="http://schemas.openxmlformats.org/officeDocument/2006/relationships" r:embed="rId1">
            <a:duotone>
              <a:schemeClr val="phClr">
                <a:shade val="80000"/>
                <a:lumMod val="80000"/>
              </a:schemeClr>
              <a:schemeClr val="phClr">
                <a:tint val="98000"/>
              </a:schemeClr>
            </a:duotone>
          </a:blip>
          <a:stretch/>
        </a:blipFill>
      </a:bgFillStyleLst>
    </a:fmtScheme>
  </a:themeElements>
  <a:objectDefaults/>
  <a:extraClrSchemeLst/>
  <a:extLst>
    <a:ext uri="{05A4C25C-085E-4340-85A3-A5531E510DB2}">
      <thm15:themeFamily xmlns:thm15="http://schemas.microsoft.com/office/thememl/2012/main" name="Slate" id="{C3F70B94-7CE9-428E-ADC1-3269CC2C3385}" vid="{3F2DE9A5-64E6-437C-A389-CC4477E817E8}"/>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Pau13</b:Tag>
    <b:SourceType>Book</b:SourceType>
    <b:Guid>{ED3CE507-B1C5-459C-ABD1-2D293CE1F99D}</b:Guid>
    <b:Title>Financial Accounting - An Introduction</b:Title>
    <b:Year>2013</b:Year>
    <b:Author>
      <b:Author>
        <b:NameList>
          <b:Person>
            <b:Last>Weetman</b:Last>
            <b:First>Pauline</b:First>
          </b:Person>
        </b:NameList>
      </b:Author>
    </b:Author>
    <b:City>Harlow</b:City>
    <b:Publisher>Pearson Education Ltd</b:Publisher>
    <b:Edition>6</b:Edition>
    <b:RefOrder>1</b:RefOrder>
  </b:Source>
  <b:Source>
    <b:Tag>Jos15</b:Tag>
    <b:SourceType>JournalArticle</b:SourceType>
    <b:Guid>{F7FCB619-8A92-4CCD-88E8-A33D0CF892DC}</b:Guid>
    <b:Title>Understanding the limitations of financial Ratios </b:Title>
    <b:Year>2015</b:Year>
    <b:Author>
      <b:Author>
        <b:NameList>
          <b:Person>
            <b:Last>Faello</b:Last>
            <b:First>Joseph</b:First>
          </b:Person>
        </b:NameList>
      </b:Author>
    </b:Author>
    <b:JournalName>Academy of Accounting and Financial Studies journal</b:JournalName>
    <b:Pages>75</b:Pages>
    <b:Volume>19</b:Volume>
    <b:Issue>3</b:Issue>
    <b:RefOrder>2</b:RefOrder>
  </b:Source>
  <b:Source>
    <b:Tag>Ber12</b:Tag>
    <b:SourceType>Book</b:SourceType>
    <b:Guid>{6F779F2B-336D-4645-895E-E678253F1F45}</b:Guid>
    <b:Title>Key performance indicators: the 75 measures every manager needs to know</b:Title>
    <b:Year>2012</b:Year>
    <b:Author>
      <b:Author>
        <b:NameList>
          <b:Person>
            <b:Last>Marr</b:Last>
            <b:First>Bernard</b:First>
          </b:Person>
        </b:NameList>
      </b:Author>
    </b:Author>
    <b:City>Harlow</b:City>
    <b:Publisher>Pearson Education Ltd</b:Publisher>
    <b:Edition>1st</b:Edition>
    <b:RefOrder>3</b:RefOrder>
  </b:Source>
  <b:Source>
    <b:Tag>Mao23</b:Tag>
    <b:SourceType>ConferenceProceedings</b:SourceType>
    <b:Guid>{F2ED6670-C0C7-4642-8971-CF3365763CDD}</b:Guid>
    <b:Title>Verify the Relationship Between a Company’s Earning per Share, Return on Equity, Return on Asset, Sales Growth, Price to Earning Ratio, Current Ratio, Gross Profit Margin, Quick Ratio, Asset Turnover and Its Stock Price</b:Title>
    <b:Year>2023</b:Year>
    <b:City>Les Ulis</b:City>
    <b:Publisher>EDP Sciences</b:Publisher>
    <b:Author>
      <b:Author>
        <b:NameList>
          <b:Person>
            <b:Last>Mao</b:Last>
            <b:First>Ruijie</b:First>
          </b:Person>
        </b:NameList>
      </b:Author>
    </b:Author>
    <b:JournalName>SHS Web of Conferences</b:JournalName>
    <b:RefOrder>6</b:RefOrder>
  </b:Source>
  <b:Source>
    <b:Tag>Nar20</b:Tag>
    <b:SourceType>JournalArticle</b:SourceType>
    <b:Guid>{81962F77-F379-496A-B842-4A5E7EA5F670}</b:Guid>
    <b:Title>Profit Growth: Impact of Net Profit Margin, Gross Profit Margin and Total Assets Turnover</b:Title>
    <b:Year>2020</b:Year>
    <b:JournalName>International Journal of Finance &amp; Banking Studies</b:JournalName>
    <b:Pages>87-96</b:Pages>
    <b:Volume>9</b:Volume>
    <b:Author>
      <b:Author>
        <b:NameList>
          <b:Person>
            <b:Last>Nariswari</b:Last>
            <b:Middle>Nathaniela</b:Middle>
            <b:First>Talitha</b:First>
          </b:Person>
          <b:Person>
            <b:Last>Nugraha</b:Last>
            <b:Middle>Mohammad</b:Middle>
            <b:First>Naga</b:First>
          </b:Person>
        </b:NameList>
      </b:Author>
    </b:Author>
    <b:Issue>4</b:Issue>
    <b:RefOrder>4</b:RefOrder>
  </b:Source>
  <b:Source>
    <b:Tag>Fil19</b:Tag>
    <b:SourceType>JournalArticle</b:SourceType>
    <b:Guid>{F1CD3897-55BF-4B29-AE8F-26DC7D17E2E1}</b:Guid>
    <b:Author>
      <b:Author>
        <b:NameList>
          <b:Person>
            <b:Last>Filatov</b:Last>
            <b:First>Evgeniy</b:First>
          </b:Person>
        </b:NameList>
      </b:Author>
    </b:Author>
    <b:Title>Author’s integrated methods of analysis of the model of return on assets of construction companies</b:Title>
    <b:JournalName>Materials Science and Engineering</b:JournalName>
    <b:Year>2019</b:Year>
    <b:Pages>12024</b:Pages>
    <b:Volume>667</b:Volume>
    <b:Issue>1</b:Issue>
    <b:RefOrder>5</b:RefOrder>
  </b:Source>
  <b:Source>
    <b:Tag>Mic22</b:Tag>
    <b:SourceType>InternetSite</b:SourceType>
    <b:Guid>{0B6BD4CE-5996-4F4C-AECD-1F781BE2BA21}</b:Guid>
    <b:Title>Aston Martin heads further off course</b:Title>
    <b:Year>2022</b:Year>
    <b:Author>
      <b:Author>
        <b:NameList>
          <b:Person>
            <b:Last>Fahy</b:Last>
            <b:First>Michael</b:First>
          </b:Person>
        </b:NameList>
      </b:Author>
    </b:Author>
    <b:YearAccessed>2023</b:YearAccessed>
    <b:MonthAccessed>9</b:MonthAccessed>
    <b:DayAccessed>17</b:DayAccessed>
    <b:URL>https://www.investorschronicle.co.uk/news/2022/07/29/aston-martin-heads-further-off-course/</b:URL>
    <b:RefOrder>7</b:RefOrder>
  </b:Source>
  <b:Source>
    <b:Tag>All23</b:Tag>
    <b:SourceType>InternetSite</b:SourceType>
    <b:Guid>{B2E4BD58-DBC4-4661-8498-2994752B4EE3}</b:Guid>
    <b:Author>
      <b:Author>
        <b:Corporate>Alliance News</b:Corporate>
      </b:Author>
    </b:Author>
    <b:Title>Aston Martin proposes £210 million placing of new shares</b:Title>
    <b:Year>2023</b:Year>
    <b:YearAccessed>2023</b:YearAccessed>
    <b:MonthAccessed>9</b:MonthAccessed>
    <b:DayAccessed>17</b:DayAccessed>
    <b:URL>https://www.ajbell.co.uk/articles/latestnews/263846/aston-martin-proposes-%C2%A3210-million-placing-new-shares</b:URL>
    <b:RefOrder>8</b:RefOrder>
  </b:Source>
  <b:Source>
    <b:Tag>Rux23</b:Tag>
    <b:SourceType>InternetSite</b:SourceType>
    <b:Guid>{89895057-49D7-4A68-AC32-E42F9E373CBA}</b:Guid>
    <b:Author>
      <b:Author>
        <b:NameList>
          <b:Person>
            <b:Last>Iordache</b:Last>
            <b:First>Ruxandra</b:First>
          </b:Person>
        </b:NameList>
      </b:Author>
    </b:Author>
    <b:Title>Aston Martin shares surge 14% on profitability forecast for 2023</b:Title>
    <b:Year>2023</b:Year>
    <b:YearAccessed>2023</b:YearAccessed>
    <b:MonthAccessed>9</b:MonthAccessed>
    <b:DayAccessed>17</b:DayAccessed>
    <b:URL>https://www.cnbc.com/2023/03/01/aston-martin-shares-surge-on-profitability-forecast-for-2023.html</b:URL>
    <b:RefOrder>9</b:RefOrder>
  </b:Source>
  <b:Source>
    <b:Tag>Pet12</b:Tag>
    <b:SourceType>Book</b:SourceType>
    <b:Guid>{A483817D-48CD-4175-8863-30913F41F92A}</b:Guid>
    <b:Title>Financial Management for Decision Makers</b:Title>
    <b:Year>2012</b:Year>
    <b:Author>
      <b:Author>
        <b:NameList>
          <b:Person>
            <b:Last>Atrill</b:Last>
            <b:First>Peter</b:First>
          </b:Person>
        </b:NameList>
      </b:Author>
    </b:Author>
    <b:City>Harlow</b:City>
    <b:Publisher>Pearson Education Ltd</b:Publisher>
    <b:Edition>6</b:Edition>
    <b:RefOrder>10</b:RefOrder>
  </b:Source>
  <b:Source>
    <b:Tag>Ast22</b:Tag>
    <b:SourceType>InternetSite</b:SourceType>
    <b:Guid>{60B1AB7D-AF08-47AC-A5F1-3313A38352B1}</b:Guid>
    <b:Title>Aston Martin Lagonda Annual Report and Accounts 2022</b:Title>
    <b:Year>2022</b:Year>
    <b:Author>
      <b:Author>
        <b:Corporate>Aston Martin Lagonda</b:Corporate>
      </b:Author>
    </b:Author>
    <b:YearAccessed>2023</b:YearAccessed>
    <b:MonthAccessed>July</b:MonthAccessed>
    <b:DayAccessed>14</b:DayAccessed>
    <b:URL>https://www.astonmartin.com/-/media/corporate/documents/annual-reports/aston_martin_annual_report_2022.pdf?rev=6a462584d1c54890a85a324a2663c3d7&amp;hash=9A3C425CE6101D99D4249E882AA19A4F</b:URL>
    <b:RefOrder>12</b:RefOrder>
  </b:Source>
  <b:Source>
    <b:Tag>Nan08</b:Tag>
    <b:SourceType>JournalArticle</b:SourceType>
    <b:Guid>{957637FF-3E70-44CE-B84C-94075E9CA0B9}</b:Guid>
    <b:Title>Merger deal breakers: when operational due diligence exposes risk</b:Title>
    <b:Year>2008</b:Year>
    <b:JournalName>Journal of Business Strategy</b:JournalName>
    <b:Pages>23-28</b:Pages>
    <b:Volume>29</b:Volume>
    <b:Issue>3</b:Issue>
    <b:Author>
      <b:Author>
        <b:NameList>
          <b:Person>
            <b:Last>Nan</b:Last>
            <b:Middle>J</b:Middle>
            <b:First>Morrison</b:First>
          </b:Person>
          <b:Person>
            <b:Last>Kinley</b:Last>
            <b:First>Guy</b:First>
          </b:Person>
          <b:Person>
            <b:Last>Ficery</b:Last>
            <b:Middle>L</b:Middle>
            <b:First>Kirsten</b:First>
          </b:Person>
        </b:NameList>
      </b:Author>
    </b:Author>
    <b:RefOrder>11</b:RefOrder>
  </b:Source>
</b:Sources>
</file>

<file path=customXml/item2.xml><?xml version="1.0" encoding="utf-8"?>
<?mso-contentType ?>
<p:Policy xmlns:p="office.server.policy" id="" local="true">
  <p:Name>Document</p:Name>
  <p:Description/>
  <p:Statement/>
  <p:PolicyItems>
    <p:PolicyItem featureId="Microsoft.Office.RecordsManagement.PolicyFeatures.PolicyLabel" staticId="0x010100868A5ED9F84FF9468FA1A642CC0451E8|801092262" UniqueId="8dc2fde0-fced-4f0a-b551-3681084eb55a">
      <p:Name>Labels</p:Name>
      <p:Description>Generates labels that can be inserted in Microsoft Office documents to ensure that document properties or other important information are included when documents are printed. Labels can also be used to search for documents.</p:Description>
      <p:CustomData>
        <label>
          <segment type="metadata">_UIVersionString</segment>
        </label>
      </p:CustomData>
    </p:PolicyItem>
  </p:PolicyItems>
</p:Policy>
</file>

<file path=customXml/item3.xml><?xml version="1.0" encoding="utf-8"?>
<p:properties xmlns:p="http://schemas.microsoft.com/office/2006/metadata/properties" xmlns:xsi="http://www.w3.org/2001/XMLSchema-instance" xmlns:pc="http://schemas.microsoft.com/office/infopath/2007/PartnerControls">
  <documentManagement>
    <DLCPolicyLabelClientValue xmlns="caba52a4-3d65-41f1-b107-d2824686600d">{_UIVersionString}</DLCPolicyLabelClientValue>
    <Form_x0020_or_x0020_Guidance xmlns="caba52a4-3d65-41f1-b107-d2824686600d">
      <Value>Template</Value>
    </Form_x0020_or_x0020_Guidance>
    <DLCPolicyLabelLock xmlns="caba52a4-3d65-41f1-b107-d2824686600d" xsi:nil="true"/>
    <RM_x0020_Department xmlns="caba52a4-3d65-41f1-b107-d2824686600d"/>
    <Next_x0020_Review_x0020_Date xmlns="caba52a4-3d65-41f1-b107-d2824686600d" xsi:nil="true"/>
    <Notes0 xmlns="caba52a4-3d65-41f1-b107-d2824686600d" xsi:nil="true"/>
    <DLCPolicyLabelValue xmlns="caba52a4-3d65-41f1-b107-d2824686600d">1.0</DLCPolicyLabelValue>
    <_dlc_DocId xmlns="da98ddd1-c7ff-49a6-8428-ea7843518513">SZV5NVWNE56P-159-220</_dlc_DocId>
    <_dlc_DocIdUrl xmlns="da98ddd1-c7ff-49a6-8428-ea7843518513">
      <Url>http://normality/formsandguidance/_layouts/15/DocIdRedir.aspx?ID=SZV5NVWNE56P-159-220</Url>
      <Description>SZV5NVWNE56P-159-220</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Document" ma:contentTypeID="0x010100868A5ED9F84FF9468FA1A642CC0451E8" ma:contentTypeVersion="23" ma:contentTypeDescription="Create a new document." ma:contentTypeScope="" ma:versionID="30ac5775fddd79eb7873b8d22ef61623">
  <xsd:schema xmlns:xsd="http://www.w3.org/2001/XMLSchema" xmlns:xs="http://www.w3.org/2001/XMLSchema" xmlns:p="http://schemas.microsoft.com/office/2006/metadata/properties" xmlns:ns1="http://schemas.microsoft.com/sharepoint/v3" xmlns:ns2="caba52a4-3d65-41f1-b107-d2824686600d" xmlns:ns3="da98ddd1-c7ff-49a6-8428-ea7843518513" targetNamespace="http://schemas.microsoft.com/office/2006/metadata/properties" ma:root="true" ma:fieldsID="bd972ab5ba1439d607cbeb1129565cd2" ns1:_="" ns2:_="" ns3:_="">
    <xsd:import namespace="http://schemas.microsoft.com/sharepoint/v3"/>
    <xsd:import namespace="caba52a4-3d65-41f1-b107-d2824686600d"/>
    <xsd:import namespace="da98ddd1-c7ff-49a6-8428-ea7843518513"/>
    <xsd:element name="properties">
      <xsd:complexType>
        <xsd:sequence>
          <xsd:element name="documentManagement">
            <xsd:complexType>
              <xsd:all>
                <xsd:element ref="ns2:RM_x0020_Department" minOccurs="0"/>
                <xsd:element ref="ns2:Form_x0020_or_x0020_Guidance" minOccurs="0"/>
                <xsd:element ref="ns2:Next_x0020_Review_x0020_Date" minOccurs="0"/>
                <xsd:element ref="ns2:Notes0" minOccurs="0"/>
                <xsd:element ref="ns1:_dlc_Exempt" minOccurs="0"/>
                <xsd:element ref="ns2:DLCPolicyLabelValue" minOccurs="0"/>
                <xsd:element ref="ns2:DLCPolicyLabelClientValue" minOccurs="0"/>
                <xsd:element ref="ns2:DLCPolicyLabelLock"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9" nillable="true" ma:displayName="Exempt from Policy"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aba52a4-3d65-41f1-b107-d2824686600d" elementFormDefault="qualified">
    <xsd:import namespace="http://schemas.microsoft.com/office/2006/documentManagement/types"/>
    <xsd:import namespace="http://schemas.microsoft.com/office/infopath/2007/PartnerControls"/>
    <xsd:element name="RM_x0020_Department" ma:index="2" nillable="true" ma:displayName="RM Department" ma:internalName="RM_x0020_Department" ma:requiredMultiChoice="true">
      <xsd:complexType>
        <xsd:complexContent>
          <xsd:extension base="dms:MultiChoice">
            <xsd:sequence>
              <xsd:element name="Value" maxOccurs="unbounded" minOccurs="0" nillable="true">
                <xsd:simpleType>
                  <xsd:restriction base="dms:Choice">
                    <xsd:enumeration value="IT"/>
                    <xsd:enumeration value="HR"/>
                    <xsd:enumeration value="Legal &amp; Compliance"/>
                    <xsd:enumeration value="Miscellaneous"/>
                    <xsd:enumeration value="Purchasing"/>
                    <xsd:enumeration value="Security"/>
                  </xsd:restriction>
                </xsd:simpleType>
              </xsd:element>
            </xsd:sequence>
          </xsd:extension>
        </xsd:complexContent>
      </xsd:complexType>
    </xsd:element>
    <xsd:element name="Form_x0020_or_x0020_Guidance" ma:index="3" nillable="true" ma:displayName="Doc Type" ma:default="Template" ma:internalName="Form_x0020_or_x0020_Guidance" ma:readOnly="false" ma:requiredMultiChoice="true">
      <xsd:complexType>
        <xsd:complexContent>
          <xsd:extension base="dms:MultiChoice">
            <xsd:sequence>
              <xsd:element name="Value" maxOccurs="unbounded" minOccurs="0" nillable="true">
                <xsd:simpleType>
                  <xsd:restriction base="dms:Choice">
                    <xsd:enumeration value="Form"/>
                    <xsd:enumeration value="Guidance"/>
                    <xsd:enumeration value="Operational Instruction"/>
                    <xsd:enumeration value="Template"/>
                  </xsd:restriction>
                </xsd:simpleType>
              </xsd:element>
            </xsd:sequence>
          </xsd:extension>
        </xsd:complexContent>
      </xsd:complexType>
    </xsd:element>
    <xsd:element name="Next_x0020_Review_x0020_Date" ma:index="4" nillable="true" ma:displayName="Next Review Date" ma:description="Date document needs  to be reviewed" ma:format="DateOnly" ma:internalName="Next_x0020_Review_x0020_Date">
      <xsd:simpleType>
        <xsd:restriction base="dms:DateTime"/>
      </xsd:simpleType>
    </xsd:element>
    <xsd:element name="Notes0" ma:index="8" nillable="true" ma:displayName="Notes" ma:internalName="Notes0">
      <xsd:simpleType>
        <xsd:restriction base="dms:Note">
          <xsd:maxLength value="255"/>
        </xsd:restriction>
      </xsd:simpleType>
    </xsd:element>
    <xsd:element name="DLCPolicyLabelValue" ma:index="10" nillable="true" ma:displayName="Label" ma:description="Stores the current value of the label." ma:internalName="DLCPolicyLabelValue" ma:readOnly="true">
      <xsd:simpleType>
        <xsd:restriction base="dms:Note">
          <xsd:maxLength value="255"/>
        </xsd:restriction>
      </xsd:simpleType>
    </xsd:element>
    <xsd:element name="DLCPolicyLabelClientValue" ma:index="11" nillable="true" ma:displayName="Client Label Value" ma:description="Stores the last label value computed on the client." ma:hidden="true" ma:internalName="DLCPolicyLabelClientValue" ma:readOnly="false">
      <xsd:simpleType>
        <xsd:restriction base="dms:Note"/>
      </xsd:simpleType>
    </xsd:element>
    <xsd:element name="DLCPolicyLabelLock" ma:index="12" nillable="true" ma:displayName="Label Locked" ma:description="Indicates whether the label should be updated when item properties are modified." ma:hidden="true" ma:internalName="DLCPolicyLabelLock"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a98ddd1-c7ff-49a6-8428-ea7843518513" elementFormDefault="qualified">
    <xsd:import namespace="http://schemas.microsoft.com/office/2006/documentManagement/types"/>
    <xsd:import namespace="http://schemas.microsoft.com/office/infopath/2007/PartnerControls"/>
    <xsd:element name="_dlc_DocId" ma:index="17" nillable="true" ma:displayName="Document ID Value" ma:description="The value of the document ID assigned to this item." ma:internalName="_dlc_DocId" ma:readOnly="true">
      <xsd:simpleType>
        <xsd:restriction base="dms:Text"/>
      </xsd:simpleType>
    </xsd:element>
    <xsd:element name="_dlc_DocIdUrl" ma:index="1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3" ma:displayName="Content Type"/>
        <xsd:element ref="dc:title" minOccurs="0" maxOccurs="1" ma:index="1" ma:displayName="Title"/>
        <xsd:element ref="dc:subject" minOccurs="0" maxOccurs="1"/>
        <xsd:element ref="dc:description" minOccurs="0" maxOccurs="1"/>
        <xsd:element name="keywords" minOccurs="0" maxOccurs="1" type="xsd:string" ma:index="5"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8DE1E5-3874-40FF-A74F-C9F7F42D6755}">
  <ds:schemaRefs>
    <ds:schemaRef ds:uri="http://schemas.openxmlformats.org/officeDocument/2006/bibliography"/>
  </ds:schemaRefs>
</ds:datastoreItem>
</file>

<file path=customXml/itemProps2.xml><?xml version="1.0" encoding="utf-8"?>
<ds:datastoreItem xmlns:ds="http://schemas.openxmlformats.org/officeDocument/2006/customXml" ds:itemID="{5187DBFB-8A67-4CE3-AFB2-D011318AFC15}">
  <ds:schemaRefs>
    <ds:schemaRef ds:uri="office.server.policy"/>
  </ds:schemaRefs>
</ds:datastoreItem>
</file>

<file path=customXml/itemProps3.xml><?xml version="1.0" encoding="utf-8"?>
<ds:datastoreItem xmlns:ds="http://schemas.openxmlformats.org/officeDocument/2006/customXml" ds:itemID="{52B23E4B-2831-4F8A-AC19-779112B7D78B}">
  <ds:schemaRefs>
    <ds:schemaRef ds:uri="http://schemas.microsoft.com/office/2006/metadata/properties"/>
    <ds:schemaRef ds:uri="http://schemas.microsoft.com/office/infopath/2007/PartnerControls"/>
    <ds:schemaRef ds:uri="caba52a4-3d65-41f1-b107-d2824686600d"/>
    <ds:schemaRef ds:uri="da98ddd1-c7ff-49a6-8428-ea7843518513"/>
  </ds:schemaRefs>
</ds:datastoreItem>
</file>

<file path=customXml/itemProps4.xml><?xml version="1.0" encoding="utf-8"?>
<ds:datastoreItem xmlns:ds="http://schemas.openxmlformats.org/officeDocument/2006/customXml" ds:itemID="{36851D34-C6E2-46A5-A475-0B2B1E7AA5F5}">
  <ds:schemaRefs>
    <ds:schemaRef ds:uri="http://schemas.microsoft.com/sharepoint/events"/>
  </ds:schemaRefs>
</ds:datastoreItem>
</file>

<file path=customXml/itemProps5.xml><?xml version="1.0" encoding="utf-8"?>
<ds:datastoreItem xmlns:ds="http://schemas.openxmlformats.org/officeDocument/2006/customXml" ds:itemID="{FD38F6BD-266D-4C7E-ABDD-5A76E3FC0F61}">
  <ds:schemaRefs>
    <ds:schemaRef ds:uri="http://schemas.microsoft.com/sharepoint/v3/contenttype/forms"/>
  </ds:schemaRefs>
</ds:datastoreItem>
</file>

<file path=customXml/itemProps6.xml><?xml version="1.0" encoding="utf-8"?>
<ds:datastoreItem xmlns:ds="http://schemas.openxmlformats.org/officeDocument/2006/customXml" ds:itemID="{ACE2BC79-285C-4336-B84B-3529C5817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aba52a4-3d65-41f1-b107-d2824686600d"/>
    <ds:schemaRef ds:uri="da98ddd1-c7ff-49a6-8428-ea78435185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1318</TotalTime>
  <Pages>24</Pages>
  <Words>5573</Words>
  <Characters>31767</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Portrait Report</vt:lpstr>
    </vt:vector>
  </TitlesOfParts>
  <Company/>
  <LinksUpToDate>false</LinksUpToDate>
  <CharactersWithSpaces>37266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Portrait Report</dc:title>
  <dc:subject/>
  <dc:creator>Mike Waite</dc:creator>
  <cp:keywords/>
  <dc:description/>
  <cp:lastModifiedBy>Mike Waite</cp:lastModifiedBy>
  <cp:revision>458</cp:revision>
  <cp:lastPrinted>2016-05-20T17:36:00Z</cp:lastPrinted>
  <dcterms:created xsi:type="dcterms:W3CDTF">2023-07-14T13:17:00Z</dcterms:created>
  <dcterms:modified xsi:type="dcterms:W3CDTF">2023-09-28T19:17:00Z</dcterms:modified>
</cp:coreProperties>
</file>