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288CF" w14:textId="77777777" w:rsidR="008E6E6C" w:rsidRPr="008E6E6C" w:rsidRDefault="00D54C2B" w:rsidP="008E6E6C">
      <w:pPr>
        <w:spacing w:after="0" w:line="240" w:lineRule="auto"/>
        <w:jc w:val="right"/>
        <w:rPr>
          <w:rFonts w:ascii="Arial" w:eastAsia="Times New Roman" w:hAnsi="Arial" w:cs="Arial"/>
          <w:b/>
          <w:sz w:val="28"/>
          <w:lang w:val="en-GB" w:eastAsia="en-GB" w:bidi="ar-SA"/>
        </w:rPr>
      </w:pPr>
      <w:bookmarkStart w:id="0" w:name="_Toc129917260"/>
      <w:r w:rsidRPr="008E6E6C">
        <w:rPr>
          <w:rFonts w:ascii="Arial" w:eastAsia="Times New Roman" w:hAnsi="Arial" w:cs="Arial"/>
          <w:noProof/>
          <w:sz w:val="20"/>
          <w:szCs w:val="20"/>
          <w:lang w:val="en-GB" w:eastAsia="en-GB" w:bidi="ar-SA"/>
        </w:rPr>
        <w:drawing>
          <wp:anchor distT="0" distB="0" distL="114300" distR="114300" simplePos="0" relativeHeight="251658240" behindDoc="0" locked="0" layoutInCell="1" allowOverlap="1" wp14:anchorId="0EDDE018" wp14:editId="70EAB868">
            <wp:simplePos x="0" y="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4" name="Picture 1" descr="Discover University of Wales Trinity Saint David"/>
                    <pic:cNvPicPr/>
                  </pic:nvPicPr>
                  <pic:blipFill>
                    <a:blip r:embed="rId7" r:link="rId8">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r w:rsidRPr="008E6E6C">
        <w:rPr>
          <w:rFonts w:ascii="Arial" w:eastAsia="Times New Roman" w:hAnsi="Arial" w:cs="Arial"/>
          <w:sz w:val="20"/>
          <w:szCs w:val="20"/>
          <w:lang w:val="en-GB" w:eastAsia="en-GB" w:bidi="ar-SA"/>
        </w:rPr>
        <w:t xml:space="preserve"> </w:t>
      </w:r>
    </w:p>
    <w:p w14:paraId="650758F2" w14:textId="77777777" w:rsidR="008E6E6C" w:rsidRPr="008E6E6C" w:rsidRDefault="00D54C2B" w:rsidP="008E6E6C">
      <w:pPr>
        <w:spacing w:after="0" w:line="240" w:lineRule="auto"/>
        <w:jc w:val="right"/>
        <w:rPr>
          <w:rFonts w:ascii="Arial" w:eastAsia="Times New Roman" w:hAnsi="Arial" w:cs="Arial"/>
          <w:b/>
          <w:sz w:val="28"/>
          <w:lang w:val="en-GB" w:eastAsia="en-GB" w:bidi="ar-SA"/>
        </w:rPr>
      </w:pPr>
      <w:r w:rsidRPr="008E6E6C">
        <w:rPr>
          <w:rFonts w:ascii="Arial" w:eastAsia="Times New Roman" w:hAnsi="Arial" w:cs="Arial"/>
          <w:b/>
          <w:bCs/>
          <w:sz w:val="28"/>
          <w:lang w:val="en-GB" w:eastAsia="en-GB" w:bidi="ar-SA"/>
        </w:rPr>
        <w:t>APPENDIX GA36a</w:t>
      </w:r>
    </w:p>
    <w:p w14:paraId="65EC1D65" w14:textId="77777777" w:rsidR="008E6E6C" w:rsidRPr="008E6E6C" w:rsidRDefault="008E6E6C" w:rsidP="008E6E6C">
      <w:pPr>
        <w:spacing w:after="0" w:line="240" w:lineRule="auto"/>
        <w:jc w:val="left"/>
        <w:rPr>
          <w:rFonts w:ascii="Arial" w:eastAsia="Times New Roman" w:hAnsi="Arial" w:cs="Arial"/>
          <w:sz w:val="20"/>
          <w:szCs w:val="20"/>
          <w:lang w:val="en-GB" w:eastAsia="en-GB"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184"/>
      </w:tblGrid>
      <w:tr w:rsidR="004D2E7A" w14:paraId="184E4F42" w14:textId="77777777" w:rsidTr="008E6E6C">
        <w:tc>
          <w:tcPr>
            <w:tcW w:w="9184" w:type="dxa"/>
            <w:shd w:val="clear" w:color="auto" w:fill="C0C0C0"/>
          </w:tcPr>
          <w:p w14:paraId="2E309198" w14:textId="77777777" w:rsidR="008E6E6C" w:rsidRPr="008E6E6C" w:rsidRDefault="00D54C2B" w:rsidP="008E6E6C">
            <w:pPr>
              <w:keepNext/>
              <w:spacing w:before="120" w:after="120" w:line="240" w:lineRule="auto"/>
              <w:jc w:val="center"/>
              <w:outlineLvl w:val="3"/>
              <w:rPr>
                <w:rFonts w:ascii="Arial" w:eastAsia="Times New Roman" w:hAnsi="Arial" w:cs="Arial"/>
                <w:b/>
                <w:bCs/>
                <w:sz w:val="40"/>
                <w:szCs w:val="20"/>
                <w:lang w:val="en-GB" w:eastAsia="en-GB" w:bidi="ar-SA"/>
              </w:rPr>
            </w:pPr>
            <w:r w:rsidRPr="008E6E6C">
              <w:rPr>
                <w:rFonts w:ascii="Arial" w:eastAsia="Times New Roman" w:hAnsi="Arial" w:cs="Arial"/>
                <w:b/>
                <w:bCs/>
                <w:sz w:val="40"/>
                <w:szCs w:val="20"/>
                <w:lang w:val="en-GB" w:eastAsia="en-GB" w:bidi="ar-SA"/>
              </w:rPr>
              <w:t xml:space="preserve">LEVEL 4 ASSESSMENT 2 SPECIFICATION </w:t>
            </w:r>
          </w:p>
        </w:tc>
      </w:tr>
    </w:tbl>
    <w:p w14:paraId="0F43650E" w14:textId="77777777" w:rsidR="008E6E6C" w:rsidRPr="008E6E6C" w:rsidRDefault="008E6E6C" w:rsidP="008E6E6C">
      <w:pPr>
        <w:spacing w:after="0" w:line="240" w:lineRule="auto"/>
        <w:jc w:val="center"/>
        <w:rPr>
          <w:rFonts w:ascii="Arial" w:eastAsia="Times New Roman" w:hAnsi="Arial" w:cs="Arial"/>
          <w:b/>
          <w:i/>
          <w:sz w:val="32"/>
          <w:szCs w:val="20"/>
          <w:lang w:val="en-GB" w:eastAsia="en-GB" w:bidi="ar-SA"/>
        </w:rPr>
      </w:pPr>
    </w:p>
    <w:tbl>
      <w:tblPr>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D2E7A" w14:paraId="5DFBDA2E" w14:textId="77777777" w:rsidTr="008E6E6C">
        <w:tc>
          <w:tcPr>
            <w:tcW w:w="2093" w:type="dxa"/>
            <w:shd w:val="clear" w:color="auto" w:fill="auto"/>
          </w:tcPr>
          <w:p w14:paraId="278887E7" w14:textId="77777777" w:rsidR="008E6E6C" w:rsidRPr="008E6E6C" w:rsidRDefault="00D54C2B" w:rsidP="008E6E6C">
            <w:pPr>
              <w:spacing w:before="120" w:after="120" w:line="240" w:lineRule="auto"/>
              <w:rPr>
                <w:rFonts w:ascii="Arial" w:eastAsia="Times New Roman" w:hAnsi="Arial" w:cs="Arial"/>
                <w:b/>
                <w:szCs w:val="22"/>
                <w:lang w:val="en-GB" w:eastAsia="en-GB" w:bidi="ar-SA"/>
              </w:rPr>
            </w:pPr>
            <w:r w:rsidRPr="008E6E6C">
              <w:rPr>
                <w:rFonts w:ascii="Arial" w:eastAsia="Times New Roman" w:hAnsi="Arial" w:cs="Arial"/>
                <w:b/>
                <w:sz w:val="22"/>
                <w:szCs w:val="22"/>
                <w:lang w:val="en-GB" w:eastAsia="en-GB" w:bidi="ar-SA"/>
              </w:rPr>
              <w:t>Student name:</w:t>
            </w:r>
          </w:p>
        </w:tc>
        <w:tc>
          <w:tcPr>
            <w:tcW w:w="3293" w:type="dxa"/>
          </w:tcPr>
          <w:p w14:paraId="3BD27D23" w14:textId="37345644" w:rsidR="008E6E6C" w:rsidRPr="008E6E6C" w:rsidRDefault="00227830" w:rsidP="008E6E6C">
            <w:pPr>
              <w:spacing w:before="120" w:after="120" w:line="240" w:lineRule="auto"/>
              <w:rPr>
                <w:rFonts w:ascii="Arial" w:eastAsia="Times New Roman" w:hAnsi="Arial" w:cs="Arial"/>
                <w:b/>
                <w:szCs w:val="22"/>
                <w:lang w:val="en-GB" w:eastAsia="en-GB" w:bidi="ar-SA"/>
              </w:rPr>
            </w:pPr>
            <w:r>
              <w:rPr>
                <w:rFonts w:ascii="Arial" w:eastAsia="Times New Roman" w:hAnsi="Arial" w:cs="Arial"/>
                <w:b/>
                <w:szCs w:val="22"/>
                <w:lang w:val="en-GB" w:eastAsia="en-GB" w:bidi="ar-SA"/>
              </w:rPr>
              <w:t>Gabriel Huchiu</w:t>
            </w:r>
          </w:p>
        </w:tc>
        <w:tc>
          <w:tcPr>
            <w:tcW w:w="2268" w:type="dxa"/>
            <w:shd w:val="clear" w:color="auto" w:fill="D9D9D9"/>
          </w:tcPr>
          <w:p w14:paraId="151787DA" w14:textId="77777777" w:rsidR="008E6E6C" w:rsidRPr="008E6E6C" w:rsidRDefault="00D54C2B" w:rsidP="008E6E6C">
            <w:pPr>
              <w:spacing w:before="120" w:after="120" w:line="240" w:lineRule="auto"/>
              <w:rPr>
                <w:rFonts w:ascii="Arial" w:eastAsia="Times New Roman" w:hAnsi="Arial" w:cs="Arial"/>
                <w:b/>
                <w:szCs w:val="22"/>
                <w:lang w:val="en-GB" w:eastAsia="en-GB" w:bidi="ar-SA"/>
              </w:rPr>
            </w:pPr>
            <w:r w:rsidRPr="008E6E6C">
              <w:rPr>
                <w:rFonts w:ascii="Arial" w:eastAsia="Times New Roman" w:hAnsi="Arial" w:cs="Arial"/>
                <w:b/>
                <w:sz w:val="22"/>
                <w:szCs w:val="22"/>
                <w:lang w:val="en-GB" w:eastAsia="en-GB" w:bidi="ar-SA"/>
              </w:rPr>
              <w:t>Student ID number:</w:t>
            </w:r>
          </w:p>
        </w:tc>
        <w:tc>
          <w:tcPr>
            <w:tcW w:w="2268" w:type="dxa"/>
          </w:tcPr>
          <w:p w14:paraId="42C36B65" w14:textId="43760932" w:rsidR="008E6E6C" w:rsidRPr="008E6E6C" w:rsidRDefault="004F300E" w:rsidP="008E6E6C">
            <w:pPr>
              <w:spacing w:before="120" w:after="120" w:line="240" w:lineRule="auto"/>
              <w:rPr>
                <w:rFonts w:ascii="Arial" w:eastAsia="Times New Roman" w:hAnsi="Arial" w:cs="Arial"/>
                <w:b/>
                <w:szCs w:val="22"/>
                <w:lang w:val="en-GB" w:eastAsia="en-GB" w:bidi="ar-SA"/>
              </w:rPr>
            </w:pPr>
            <w:r>
              <w:rPr>
                <w:rFonts w:ascii="Arial" w:eastAsia="Times New Roman" w:hAnsi="Arial" w:cs="Arial"/>
                <w:b/>
                <w:szCs w:val="22"/>
                <w:lang w:val="en-GB" w:eastAsia="en-GB" w:bidi="ar-SA"/>
              </w:rPr>
              <w:t>2233684</w:t>
            </w:r>
          </w:p>
        </w:tc>
      </w:tr>
      <w:tr w:rsidR="004D2E7A" w14:paraId="0555219C" w14:textId="77777777" w:rsidTr="008E6E6C">
        <w:tc>
          <w:tcPr>
            <w:tcW w:w="2093" w:type="dxa"/>
            <w:shd w:val="clear" w:color="auto" w:fill="auto"/>
          </w:tcPr>
          <w:p w14:paraId="21EE0468" w14:textId="77777777" w:rsidR="008E6E6C" w:rsidRPr="008E6E6C" w:rsidRDefault="00D54C2B" w:rsidP="008E6E6C">
            <w:pPr>
              <w:spacing w:before="120" w:after="120" w:line="240" w:lineRule="auto"/>
              <w:rPr>
                <w:rFonts w:ascii="Arial" w:eastAsia="Times New Roman" w:hAnsi="Arial" w:cs="Arial"/>
                <w:b/>
                <w:szCs w:val="22"/>
                <w:lang w:val="en-GB" w:eastAsia="en-GB" w:bidi="ar-SA"/>
              </w:rPr>
            </w:pPr>
            <w:r w:rsidRPr="008E6E6C">
              <w:rPr>
                <w:rFonts w:ascii="Arial" w:eastAsia="Times New Roman" w:hAnsi="Arial" w:cs="Arial"/>
                <w:b/>
                <w:sz w:val="22"/>
                <w:szCs w:val="22"/>
                <w:lang w:val="en-GB" w:eastAsia="en-GB" w:bidi="ar-SA"/>
              </w:rPr>
              <w:t>Programme:</w:t>
            </w:r>
          </w:p>
        </w:tc>
        <w:tc>
          <w:tcPr>
            <w:tcW w:w="7829" w:type="dxa"/>
            <w:gridSpan w:val="3"/>
          </w:tcPr>
          <w:p w14:paraId="432BE0A0" w14:textId="77777777" w:rsidR="008E6E6C" w:rsidRPr="008E6E6C" w:rsidRDefault="00D54C2B" w:rsidP="008E6E6C">
            <w:pPr>
              <w:spacing w:before="120" w:after="120" w:line="240" w:lineRule="auto"/>
              <w:rPr>
                <w:rFonts w:ascii="Arial" w:eastAsia="Times New Roman" w:hAnsi="Arial" w:cs="Arial"/>
                <w:b/>
                <w:bCs/>
                <w:szCs w:val="22"/>
                <w:lang w:val="en-GB" w:eastAsia="en-GB" w:bidi="ar-SA"/>
              </w:rPr>
            </w:pPr>
            <w:r w:rsidRPr="008E6E6C">
              <w:rPr>
                <w:rFonts w:ascii="Arial" w:eastAsia="Times New Roman" w:hAnsi="Arial" w:cs="Arial"/>
                <w:b/>
                <w:bCs/>
                <w:sz w:val="22"/>
                <w:szCs w:val="22"/>
                <w:lang w:val="en-GB" w:eastAsia="en-GB" w:bidi="ar-SA"/>
              </w:rPr>
              <w:t>Policing</w:t>
            </w:r>
          </w:p>
        </w:tc>
      </w:tr>
      <w:tr w:rsidR="004D2E7A" w14:paraId="0D3DFF06" w14:textId="77777777" w:rsidTr="008E6E6C">
        <w:tc>
          <w:tcPr>
            <w:tcW w:w="2093" w:type="dxa"/>
            <w:shd w:val="clear" w:color="auto" w:fill="auto"/>
          </w:tcPr>
          <w:p w14:paraId="2DF71C17" w14:textId="77777777" w:rsidR="008E6E6C" w:rsidRPr="008E6E6C" w:rsidRDefault="00D54C2B" w:rsidP="008E6E6C">
            <w:pPr>
              <w:spacing w:before="120" w:after="120" w:line="240" w:lineRule="auto"/>
              <w:rPr>
                <w:rFonts w:ascii="Arial" w:eastAsia="Times New Roman" w:hAnsi="Arial" w:cs="Arial"/>
                <w:b/>
                <w:szCs w:val="22"/>
                <w:lang w:val="en-GB" w:eastAsia="en-GB" w:bidi="ar-SA"/>
              </w:rPr>
            </w:pPr>
            <w:r w:rsidRPr="008E6E6C">
              <w:rPr>
                <w:rFonts w:ascii="Arial" w:eastAsia="Times New Roman" w:hAnsi="Arial" w:cs="Arial"/>
                <w:b/>
                <w:sz w:val="22"/>
                <w:szCs w:val="22"/>
                <w:lang w:val="en-GB" w:eastAsia="en-GB" w:bidi="ar-SA"/>
              </w:rPr>
              <w:t>Module:</w:t>
            </w:r>
          </w:p>
        </w:tc>
        <w:tc>
          <w:tcPr>
            <w:tcW w:w="7829" w:type="dxa"/>
            <w:gridSpan w:val="3"/>
            <w:shd w:val="clear" w:color="auto" w:fill="auto"/>
          </w:tcPr>
          <w:p w14:paraId="7BFD5D97" w14:textId="77777777" w:rsidR="008E6E6C" w:rsidRPr="008E6E6C" w:rsidRDefault="00D54C2B" w:rsidP="008E6E6C">
            <w:pPr>
              <w:spacing w:before="120" w:after="120" w:line="240" w:lineRule="auto"/>
              <w:rPr>
                <w:rFonts w:ascii="Arial" w:eastAsia="Times New Roman" w:hAnsi="Arial" w:cs="Arial"/>
                <w:b/>
                <w:bCs/>
                <w:szCs w:val="22"/>
                <w:lang w:val="en-GB" w:eastAsia="en-GB" w:bidi="ar-SA"/>
              </w:rPr>
            </w:pPr>
            <w:r w:rsidRPr="008E6E6C">
              <w:rPr>
                <w:rFonts w:ascii="Arial" w:eastAsia="Times New Roman" w:hAnsi="Arial" w:cs="Arial"/>
                <w:b/>
                <w:bCs/>
                <w:sz w:val="22"/>
                <w:szCs w:val="22"/>
                <w:lang w:val="en-GB" w:eastAsia="en-GB" w:bidi="ar-SA"/>
              </w:rPr>
              <w:t>Evidence Based Policing</w:t>
            </w:r>
          </w:p>
          <w:p w14:paraId="41FC75BF" w14:textId="77777777" w:rsidR="008E6E6C" w:rsidRPr="008E6E6C" w:rsidRDefault="008E6E6C" w:rsidP="008E6E6C">
            <w:pPr>
              <w:spacing w:before="120" w:after="120" w:line="240" w:lineRule="auto"/>
              <w:rPr>
                <w:rFonts w:ascii="Arial" w:eastAsia="Times New Roman" w:hAnsi="Arial" w:cs="Arial"/>
                <w:b/>
                <w:bCs/>
                <w:szCs w:val="22"/>
                <w:lang w:val="en-GB" w:eastAsia="en-GB" w:bidi="ar-SA"/>
              </w:rPr>
            </w:pPr>
          </w:p>
        </w:tc>
      </w:tr>
      <w:tr w:rsidR="004D2E7A" w14:paraId="0A7BEEB7" w14:textId="77777777" w:rsidTr="008E6E6C">
        <w:tc>
          <w:tcPr>
            <w:tcW w:w="2093" w:type="dxa"/>
            <w:shd w:val="clear" w:color="auto" w:fill="auto"/>
          </w:tcPr>
          <w:p w14:paraId="1E6D4C78" w14:textId="77777777" w:rsidR="008E6E6C" w:rsidRPr="008E6E6C" w:rsidRDefault="00D54C2B" w:rsidP="008E6E6C">
            <w:pPr>
              <w:spacing w:before="120" w:after="120" w:line="240" w:lineRule="auto"/>
              <w:rPr>
                <w:rFonts w:ascii="Arial" w:eastAsia="Times New Roman" w:hAnsi="Arial" w:cs="Arial"/>
                <w:b/>
                <w:szCs w:val="22"/>
                <w:lang w:val="en-GB" w:eastAsia="en-GB" w:bidi="ar-SA"/>
              </w:rPr>
            </w:pPr>
            <w:r w:rsidRPr="008E6E6C">
              <w:rPr>
                <w:rFonts w:ascii="Arial" w:eastAsia="Times New Roman" w:hAnsi="Arial" w:cs="Arial"/>
                <w:b/>
                <w:sz w:val="22"/>
                <w:szCs w:val="22"/>
                <w:lang w:val="en-GB" w:eastAsia="en-GB" w:bidi="ar-SA"/>
              </w:rPr>
              <w:t>Module code:</w:t>
            </w:r>
          </w:p>
        </w:tc>
        <w:tc>
          <w:tcPr>
            <w:tcW w:w="3293" w:type="dxa"/>
          </w:tcPr>
          <w:p w14:paraId="621B4F6A" w14:textId="77777777" w:rsidR="008E6E6C" w:rsidRPr="008E6E6C" w:rsidRDefault="00D54C2B" w:rsidP="008E6E6C">
            <w:pPr>
              <w:spacing w:before="120" w:after="120" w:line="240" w:lineRule="auto"/>
              <w:rPr>
                <w:rFonts w:ascii="Arial" w:eastAsia="Times New Roman" w:hAnsi="Arial" w:cs="Arial"/>
                <w:b/>
                <w:bCs/>
                <w:szCs w:val="22"/>
                <w:lang w:val="en-GB" w:eastAsia="en-GB" w:bidi="ar-SA"/>
              </w:rPr>
            </w:pPr>
            <w:r w:rsidRPr="008E6E6C">
              <w:rPr>
                <w:rFonts w:ascii="Arial" w:eastAsia="Times New Roman" w:hAnsi="Arial" w:cs="Arial"/>
                <w:b/>
                <w:bCs/>
                <w:sz w:val="22"/>
                <w:szCs w:val="22"/>
                <w:lang w:val="en-GB" w:eastAsia="en-GB" w:bidi="ar-SA"/>
              </w:rPr>
              <w:t xml:space="preserve">BMPL 4001/ </w:t>
            </w:r>
          </w:p>
        </w:tc>
        <w:tc>
          <w:tcPr>
            <w:tcW w:w="2268" w:type="dxa"/>
            <w:shd w:val="clear" w:color="auto" w:fill="D9D9D9"/>
          </w:tcPr>
          <w:p w14:paraId="4CC27BB6" w14:textId="77777777" w:rsidR="008E6E6C" w:rsidRPr="008E6E6C" w:rsidRDefault="00D54C2B" w:rsidP="008E6E6C">
            <w:pPr>
              <w:keepNext/>
              <w:spacing w:after="0" w:line="240" w:lineRule="auto"/>
              <w:outlineLvl w:val="1"/>
              <w:rPr>
                <w:rFonts w:ascii="Arial" w:eastAsia="Times New Roman" w:hAnsi="Arial" w:cs="Arial"/>
                <w:b/>
                <w:szCs w:val="22"/>
                <w:lang w:val="en-GB" w:eastAsia="en-GB" w:bidi="ar-SA"/>
              </w:rPr>
            </w:pPr>
            <w:r w:rsidRPr="008E6E6C">
              <w:rPr>
                <w:rFonts w:ascii="Arial" w:eastAsia="Times New Roman" w:hAnsi="Arial" w:cs="Arial"/>
                <w:b/>
                <w:sz w:val="22"/>
                <w:szCs w:val="22"/>
                <w:lang w:val="en-GB" w:eastAsia="en-GB" w:bidi="ar-SA"/>
              </w:rPr>
              <w:t>Contribution to Overall Module Assessment (%):</w:t>
            </w:r>
          </w:p>
        </w:tc>
        <w:tc>
          <w:tcPr>
            <w:tcW w:w="2268" w:type="dxa"/>
          </w:tcPr>
          <w:p w14:paraId="5C10C5AA" w14:textId="77777777" w:rsidR="008E6E6C" w:rsidRPr="008E6E6C" w:rsidRDefault="00D54C2B" w:rsidP="008E6E6C">
            <w:pPr>
              <w:spacing w:before="120" w:after="120" w:line="240" w:lineRule="auto"/>
              <w:rPr>
                <w:rFonts w:ascii="Arial" w:eastAsia="Times New Roman" w:hAnsi="Arial" w:cs="Arial"/>
                <w:b/>
                <w:bCs/>
                <w:szCs w:val="22"/>
                <w:lang w:val="en-GB" w:eastAsia="en-GB" w:bidi="ar-SA"/>
              </w:rPr>
            </w:pPr>
            <w:r w:rsidRPr="008E6E6C">
              <w:rPr>
                <w:rFonts w:ascii="Arial" w:eastAsia="Times New Roman" w:hAnsi="Arial" w:cs="Arial"/>
                <w:b/>
                <w:bCs/>
                <w:sz w:val="22"/>
                <w:szCs w:val="22"/>
                <w:lang w:val="en-GB" w:eastAsia="en-GB" w:bidi="ar-SA"/>
              </w:rPr>
              <w:t>50%</w:t>
            </w:r>
          </w:p>
        </w:tc>
      </w:tr>
      <w:tr w:rsidR="004D2E7A" w14:paraId="74DA3B04" w14:textId="77777777" w:rsidTr="008E6E6C">
        <w:tc>
          <w:tcPr>
            <w:tcW w:w="2093" w:type="dxa"/>
            <w:shd w:val="clear" w:color="auto" w:fill="auto"/>
          </w:tcPr>
          <w:p w14:paraId="4F81A1CB" w14:textId="77777777" w:rsidR="008E6E6C" w:rsidRPr="008E6E6C" w:rsidRDefault="00D54C2B" w:rsidP="008E6E6C">
            <w:pPr>
              <w:spacing w:before="120" w:after="120" w:line="240" w:lineRule="auto"/>
              <w:rPr>
                <w:rFonts w:ascii="Arial" w:eastAsia="Times New Roman" w:hAnsi="Arial" w:cs="Arial"/>
                <w:b/>
                <w:szCs w:val="22"/>
                <w:lang w:val="en-GB" w:eastAsia="en-GB" w:bidi="ar-SA"/>
              </w:rPr>
            </w:pPr>
            <w:r w:rsidRPr="008E6E6C">
              <w:rPr>
                <w:rFonts w:ascii="Arial" w:eastAsia="Times New Roman" w:hAnsi="Arial" w:cs="Arial"/>
                <w:b/>
                <w:sz w:val="22"/>
                <w:szCs w:val="22"/>
                <w:lang w:val="en-GB" w:eastAsia="en-GB" w:bidi="ar-SA"/>
              </w:rPr>
              <w:t>Lecturer:</w:t>
            </w:r>
          </w:p>
        </w:tc>
        <w:tc>
          <w:tcPr>
            <w:tcW w:w="3293" w:type="dxa"/>
          </w:tcPr>
          <w:p w14:paraId="3B28D53E" w14:textId="77777777" w:rsidR="008E6E6C" w:rsidRPr="008E6E6C" w:rsidRDefault="00D54C2B" w:rsidP="008E6E6C">
            <w:pPr>
              <w:spacing w:before="120" w:after="120" w:line="240" w:lineRule="auto"/>
              <w:rPr>
                <w:rFonts w:ascii="Arial" w:eastAsia="Times New Roman" w:hAnsi="Arial" w:cs="Arial"/>
                <w:b/>
                <w:bCs/>
                <w:szCs w:val="22"/>
                <w:lang w:val="en-GB" w:eastAsia="en-GB" w:bidi="ar-SA"/>
              </w:rPr>
            </w:pPr>
            <w:r w:rsidRPr="008E6E6C">
              <w:rPr>
                <w:rFonts w:ascii="Arial" w:eastAsia="Times New Roman" w:hAnsi="Arial" w:cs="Arial"/>
                <w:b/>
                <w:bCs/>
                <w:sz w:val="22"/>
                <w:szCs w:val="22"/>
                <w:lang w:val="en-GB" w:eastAsia="en-GB" w:bidi="ar-SA"/>
              </w:rPr>
              <w:t>Luke Roach</w:t>
            </w:r>
          </w:p>
        </w:tc>
        <w:tc>
          <w:tcPr>
            <w:tcW w:w="2268" w:type="dxa"/>
            <w:shd w:val="clear" w:color="auto" w:fill="D9D9D9"/>
          </w:tcPr>
          <w:p w14:paraId="288985F7" w14:textId="77777777" w:rsidR="008E6E6C" w:rsidRPr="008E6E6C" w:rsidRDefault="00D54C2B" w:rsidP="008E6E6C">
            <w:pPr>
              <w:spacing w:before="120" w:after="120" w:line="240" w:lineRule="auto"/>
              <w:rPr>
                <w:rFonts w:ascii="Arial" w:eastAsia="Times New Roman" w:hAnsi="Arial" w:cs="Arial"/>
                <w:b/>
                <w:szCs w:val="22"/>
                <w:lang w:val="en-GB" w:eastAsia="en-GB" w:bidi="ar-SA"/>
              </w:rPr>
            </w:pPr>
            <w:r w:rsidRPr="008E6E6C">
              <w:rPr>
                <w:rFonts w:ascii="Arial" w:eastAsia="Times New Roman" w:hAnsi="Arial" w:cs="Arial"/>
                <w:b/>
                <w:sz w:val="22"/>
                <w:szCs w:val="22"/>
                <w:lang w:val="en-GB" w:eastAsia="en-GB" w:bidi="ar-SA"/>
              </w:rPr>
              <w:t>Internal Verifier:</w:t>
            </w:r>
          </w:p>
        </w:tc>
        <w:tc>
          <w:tcPr>
            <w:tcW w:w="2268" w:type="dxa"/>
          </w:tcPr>
          <w:p w14:paraId="3EE5116C" w14:textId="77777777" w:rsidR="008E6E6C" w:rsidRPr="008E6E6C" w:rsidRDefault="00D54C2B" w:rsidP="008E6E6C">
            <w:pPr>
              <w:spacing w:before="120" w:after="120" w:line="240" w:lineRule="auto"/>
              <w:rPr>
                <w:rFonts w:ascii="Arial" w:eastAsia="Times New Roman" w:hAnsi="Arial" w:cs="Arial"/>
                <w:b/>
                <w:bCs/>
                <w:szCs w:val="22"/>
                <w:lang w:val="en-GB" w:eastAsia="en-GB" w:bidi="ar-SA"/>
              </w:rPr>
            </w:pPr>
            <w:r w:rsidRPr="008E6E6C">
              <w:rPr>
                <w:rFonts w:ascii="Arial" w:eastAsia="Times New Roman" w:hAnsi="Arial" w:cs="Arial"/>
                <w:b/>
                <w:bCs/>
                <w:sz w:val="22"/>
                <w:szCs w:val="22"/>
                <w:lang w:val="en-GB" w:eastAsia="en-GB" w:bidi="ar-SA"/>
              </w:rPr>
              <w:t>Jane Thomas</w:t>
            </w:r>
          </w:p>
        </w:tc>
      </w:tr>
      <w:tr w:rsidR="004D2E7A" w14:paraId="77A3A24F" w14:textId="77777777" w:rsidTr="008E6E6C">
        <w:tc>
          <w:tcPr>
            <w:tcW w:w="2093" w:type="dxa"/>
            <w:shd w:val="clear" w:color="auto" w:fill="auto"/>
          </w:tcPr>
          <w:p w14:paraId="73170009" w14:textId="77777777" w:rsidR="008E6E6C" w:rsidRPr="008E6E6C" w:rsidRDefault="00D54C2B" w:rsidP="008E6E6C">
            <w:pPr>
              <w:spacing w:before="120" w:after="120" w:line="240" w:lineRule="auto"/>
              <w:rPr>
                <w:rFonts w:ascii="Arial" w:eastAsia="Times New Roman" w:hAnsi="Arial" w:cs="Arial"/>
                <w:b/>
                <w:szCs w:val="22"/>
                <w:lang w:val="en-GB" w:eastAsia="en-GB" w:bidi="ar-SA"/>
              </w:rPr>
            </w:pPr>
            <w:r w:rsidRPr="008E6E6C">
              <w:rPr>
                <w:rFonts w:ascii="Arial" w:eastAsia="Times New Roman" w:hAnsi="Arial" w:cs="Arial"/>
                <w:b/>
                <w:sz w:val="22"/>
                <w:szCs w:val="22"/>
                <w:lang w:val="en-GB" w:eastAsia="en-GB" w:bidi="ar-SA"/>
              </w:rPr>
              <w:t>Assignment Title:</w:t>
            </w:r>
          </w:p>
        </w:tc>
        <w:tc>
          <w:tcPr>
            <w:tcW w:w="3293" w:type="dxa"/>
          </w:tcPr>
          <w:p w14:paraId="54695593" w14:textId="77777777" w:rsidR="008E6E6C" w:rsidRPr="008E6E6C" w:rsidRDefault="00D54C2B" w:rsidP="008E6E6C">
            <w:pPr>
              <w:spacing w:before="120" w:after="120" w:line="240" w:lineRule="auto"/>
              <w:rPr>
                <w:rFonts w:ascii="Arial" w:eastAsia="Times New Roman" w:hAnsi="Arial" w:cs="Arial"/>
                <w:b/>
                <w:bCs/>
                <w:szCs w:val="22"/>
                <w:lang w:val="en-GB" w:eastAsia="en-GB" w:bidi="ar-SA"/>
              </w:rPr>
            </w:pPr>
            <w:r w:rsidRPr="008E6E6C">
              <w:rPr>
                <w:rFonts w:ascii="Arial" w:eastAsia="Times New Roman" w:hAnsi="Arial" w:cs="Arial"/>
                <w:b/>
                <w:bCs/>
                <w:sz w:val="22"/>
                <w:szCs w:val="22"/>
                <w:lang w:val="en-GB" w:eastAsia="en-GB" w:bidi="ar-SA"/>
              </w:rPr>
              <w:t>Evidence Based Policing &amp; Applications</w:t>
            </w:r>
          </w:p>
        </w:tc>
        <w:tc>
          <w:tcPr>
            <w:tcW w:w="2268" w:type="dxa"/>
            <w:shd w:val="clear" w:color="auto" w:fill="auto"/>
          </w:tcPr>
          <w:p w14:paraId="6804CF6D" w14:textId="77777777" w:rsidR="008E6E6C" w:rsidRPr="008E6E6C" w:rsidRDefault="00D54C2B" w:rsidP="008E6E6C">
            <w:pPr>
              <w:spacing w:before="120" w:after="120" w:line="240" w:lineRule="auto"/>
              <w:rPr>
                <w:rFonts w:ascii="Arial" w:eastAsia="Times New Roman" w:hAnsi="Arial" w:cs="Arial"/>
                <w:b/>
                <w:szCs w:val="22"/>
                <w:lang w:val="en-GB" w:eastAsia="en-GB" w:bidi="ar-SA"/>
              </w:rPr>
            </w:pPr>
            <w:r w:rsidRPr="008E6E6C">
              <w:rPr>
                <w:rFonts w:ascii="Arial" w:eastAsia="Times New Roman" w:hAnsi="Arial" w:cs="Arial"/>
                <w:b/>
                <w:sz w:val="22"/>
                <w:szCs w:val="22"/>
                <w:lang w:val="en-GB" w:eastAsia="en-GB" w:bidi="ar-SA"/>
              </w:rPr>
              <w:t>Word count (or equivalent):</w:t>
            </w:r>
          </w:p>
        </w:tc>
        <w:tc>
          <w:tcPr>
            <w:tcW w:w="2268" w:type="dxa"/>
          </w:tcPr>
          <w:p w14:paraId="1B967F70" w14:textId="77777777" w:rsidR="008E6E6C" w:rsidRPr="008E6E6C" w:rsidRDefault="00D54C2B" w:rsidP="008E6E6C">
            <w:pPr>
              <w:spacing w:before="120" w:after="120" w:line="240" w:lineRule="auto"/>
              <w:rPr>
                <w:rFonts w:ascii="Arial" w:eastAsia="Times New Roman" w:hAnsi="Arial" w:cs="Arial"/>
                <w:b/>
                <w:bCs/>
                <w:szCs w:val="22"/>
                <w:lang w:val="en-GB" w:eastAsia="en-GB" w:bidi="ar-SA"/>
              </w:rPr>
            </w:pPr>
            <w:r w:rsidRPr="008E6E6C">
              <w:rPr>
                <w:rFonts w:ascii="Arial" w:eastAsia="Times New Roman" w:hAnsi="Arial" w:cs="Arial"/>
                <w:b/>
                <w:bCs/>
                <w:sz w:val="22"/>
                <w:szCs w:val="22"/>
                <w:lang w:val="en-GB" w:eastAsia="en-GB" w:bidi="ar-SA"/>
              </w:rPr>
              <w:t>2000</w:t>
            </w:r>
          </w:p>
        </w:tc>
      </w:tr>
      <w:tr w:rsidR="004D2E7A" w14:paraId="020C20F6" w14:textId="77777777" w:rsidTr="008E6E6C">
        <w:tc>
          <w:tcPr>
            <w:tcW w:w="2093" w:type="dxa"/>
            <w:shd w:val="clear" w:color="auto" w:fill="auto"/>
          </w:tcPr>
          <w:p w14:paraId="5B969A7F" w14:textId="77777777" w:rsidR="008E6E6C" w:rsidRPr="008E6E6C" w:rsidRDefault="00D54C2B" w:rsidP="008E6E6C">
            <w:pPr>
              <w:spacing w:before="120" w:after="120" w:line="240" w:lineRule="auto"/>
              <w:rPr>
                <w:rFonts w:ascii="Arial" w:eastAsia="Times New Roman" w:hAnsi="Arial" w:cs="Arial"/>
                <w:b/>
                <w:szCs w:val="22"/>
                <w:lang w:val="en-GB" w:eastAsia="en-GB" w:bidi="ar-SA"/>
              </w:rPr>
            </w:pPr>
            <w:r w:rsidRPr="008E6E6C">
              <w:rPr>
                <w:rFonts w:ascii="Arial" w:eastAsia="Times New Roman" w:hAnsi="Arial" w:cs="Arial"/>
                <w:b/>
                <w:sz w:val="22"/>
                <w:szCs w:val="22"/>
                <w:lang w:val="en-GB" w:eastAsia="en-GB" w:bidi="ar-SA"/>
              </w:rPr>
              <w:t>Submission deadline:</w:t>
            </w:r>
          </w:p>
        </w:tc>
        <w:tc>
          <w:tcPr>
            <w:tcW w:w="3293" w:type="dxa"/>
            <w:shd w:val="clear" w:color="auto" w:fill="auto"/>
          </w:tcPr>
          <w:p w14:paraId="3BB1E642" w14:textId="29C65713" w:rsidR="008E6E6C" w:rsidRPr="00CF119A" w:rsidRDefault="00250433" w:rsidP="008E6E6C">
            <w:pPr>
              <w:spacing w:before="120" w:after="120" w:line="240" w:lineRule="auto"/>
              <w:rPr>
                <w:rFonts w:ascii="Arial" w:eastAsia="Times New Roman" w:hAnsi="Arial" w:cs="Arial"/>
                <w:b/>
                <w:bCs/>
                <w:szCs w:val="22"/>
                <w:lang w:val="en-GB" w:eastAsia="en-GB" w:bidi="ar-SA"/>
              </w:rPr>
            </w:pPr>
            <w:r>
              <w:rPr>
                <w:rFonts w:ascii="Arial" w:eastAsia="Times New Roman" w:hAnsi="Arial" w:cs="Arial"/>
                <w:b/>
                <w:bCs/>
                <w:sz w:val="22"/>
                <w:szCs w:val="22"/>
                <w:lang w:val="en-GB" w:eastAsia="en-GB" w:bidi="ar-SA"/>
              </w:rPr>
              <w:t>23</w:t>
            </w:r>
            <w:r w:rsidR="00FC0603">
              <w:rPr>
                <w:rFonts w:ascii="Arial" w:eastAsia="Times New Roman" w:hAnsi="Arial" w:cs="Arial"/>
                <w:b/>
                <w:bCs/>
                <w:sz w:val="22"/>
                <w:szCs w:val="22"/>
                <w:lang w:val="en-GB" w:eastAsia="en-GB" w:bidi="ar-SA"/>
              </w:rPr>
              <w:t>:59</w:t>
            </w:r>
            <w:r w:rsidR="008E4AF7">
              <w:rPr>
                <w:rFonts w:ascii="Arial" w:eastAsia="Times New Roman" w:hAnsi="Arial" w:cs="Arial"/>
                <w:b/>
                <w:bCs/>
                <w:sz w:val="22"/>
                <w:szCs w:val="22"/>
                <w:lang w:val="en-GB" w:eastAsia="en-GB" w:bidi="ar-SA"/>
              </w:rPr>
              <w:t xml:space="preserve"> </w:t>
            </w:r>
            <w:r w:rsidR="003D24A1">
              <w:rPr>
                <w:rFonts w:ascii="Arial" w:eastAsia="Times New Roman" w:hAnsi="Arial" w:cs="Arial"/>
                <w:b/>
                <w:bCs/>
                <w:sz w:val="22"/>
                <w:szCs w:val="22"/>
                <w:lang w:val="en-GB" w:eastAsia="en-GB" w:bidi="ar-SA"/>
              </w:rPr>
              <w:t xml:space="preserve">Friday </w:t>
            </w:r>
            <w:r w:rsidR="00FD2918">
              <w:rPr>
                <w:rFonts w:ascii="Arial" w:eastAsia="Times New Roman" w:hAnsi="Arial" w:cs="Arial"/>
                <w:b/>
                <w:bCs/>
                <w:sz w:val="22"/>
                <w:szCs w:val="22"/>
                <w:lang w:val="en-GB" w:eastAsia="en-GB" w:bidi="ar-SA"/>
              </w:rPr>
              <w:t>5</w:t>
            </w:r>
            <w:r w:rsidR="00350D6A">
              <w:rPr>
                <w:rFonts w:ascii="Arial" w:eastAsia="Times New Roman" w:hAnsi="Arial" w:cs="Arial"/>
                <w:b/>
                <w:bCs/>
                <w:sz w:val="22"/>
                <w:szCs w:val="22"/>
                <w:vertAlign w:val="superscript"/>
                <w:lang w:val="en-GB" w:eastAsia="en-GB" w:bidi="ar-SA"/>
              </w:rPr>
              <w:t>th</w:t>
            </w:r>
            <w:r w:rsidR="00CF119A">
              <w:rPr>
                <w:rFonts w:ascii="Arial" w:eastAsia="Times New Roman" w:hAnsi="Arial" w:cs="Arial"/>
                <w:b/>
                <w:bCs/>
                <w:sz w:val="22"/>
                <w:szCs w:val="22"/>
                <w:vertAlign w:val="superscript"/>
                <w:lang w:val="en-GB" w:eastAsia="en-GB" w:bidi="ar-SA"/>
              </w:rPr>
              <w:t xml:space="preserve"> </w:t>
            </w:r>
            <w:r w:rsidR="00CF119A">
              <w:rPr>
                <w:rFonts w:ascii="Arial" w:eastAsia="Times New Roman" w:hAnsi="Arial" w:cs="Arial"/>
                <w:b/>
                <w:bCs/>
                <w:sz w:val="22"/>
                <w:szCs w:val="22"/>
                <w:lang w:val="en-GB" w:eastAsia="en-GB" w:bidi="ar-SA"/>
              </w:rPr>
              <w:t>May 2023</w:t>
            </w:r>
          </w:p>
        </w:tc>
        <w:tc>
          <w:tcPr>
            <w:tcW w:w="2268" w:type="dxa"/>
            <w:shd w:val="clear" w:color="auto" w:fill="auto"/>
          </w:tcPr>
          <w:p w14:paraId="32DB4FF0" w14:textId="77777777" w:rsidR="008E6E6C" w:rsidRPr="008E6E6C" w:rsidRDefault="00D54C2B" w:rsidP="008E6E6C">
            <w:pPr>
              <w:spacing w:before="120" w:after="120" w:line="240" w:lineRule="auto"/>
              <w:rPr>
                <w:rFonts w:ascii="Arial" w:eastAsia="Times New Roman" w:hAnsi="Arial" w:cs="Arial"/>
                <w:b/>
                <w:szCs w:val="22"/>
                <w:lang w:val="en-GB" w:eastAsia="en-GB" w:bidi="ar-SA"/>
              </w:rPr>
            </w:pPr>
            <w:r w:rsidRPr="008E6E6C">
              <w:rPr>
                <w:rFonts w:ascii="Arial" w:eastAsia="Times New Roman" w:hAnsi="Arial" w:cs="Arial"/>
                <w:b/>
                <w:sz w:val="22"/>
                <w:szCs w:val="22"/>
                <w:lang w:val="en-GB" w:eastAsia="en-GB" w:bidi="ar-SA"/>
              </w:rPr>
              <w:t>Return date of provisional marks &amp; written feedback:</w:t>
            </w:r>
          </w:p>
        </w:tc>
        <w:tc>
          <w:tcPr>
            <w:tcW w:w="2268" w:type="dxa"/>
          </w:tcPr>
          <w:p w14:paraId="22967B7D" w14:textId="6FF343DA" w:rsidR="008E6E6C" w:rsidRPr="00E43638" w:rsidRDefault="00CF119A" w:rsidP="008E6E6C">
            <w:pPr>
              <w:spacing w:before="120" w:after="120" w:line="259" w:lineRule="auto"/>
              <w:rPr>
                <w:rFonts w:ascii="Arial" w:eastAsia="Times New Roman" w:hAnsi="Arial" w:cs="Arial"/>
                <w:b/>
                <w:bCs/>
                <w:sz w:val="20"/>
                <w:szCs w:val="20"/>
                <w:lang w:val="en-GB" w:eastAsia="en-GB" w:bidi="ar-SA"/>
              </w:rPr>
            </w:pPr>
            <w:r>
              <w:rPr>
                <w:rFonts w:ascii="Arial" w:eastAsia="Times New Roman" w:hAnsi="Arial" w:cs="Arial"/>
                <w:b/>
                <w:bCs/>
                <w:sz w:val="20"/>
                <w:szCs w:val="20"/>
                <w:lang w:val="en-GB" w:eastAsia="en-GB" w:bidi="ar-SA"/>
              </w:rPr>
              <w:t xml:space="preserve">09:00 </w:t>
            </w:r>
            <w:r w:rsidR="00E43638">
              <w:rPr>
                <w:rFonts w:ascii="Arial" w:eastAsia="Times New Roman" w:hAnsi="Arial" w:cs="Arial"/>
                <w:b/>
                <w:bCs/>
                <w:sz w:val="20"/>
                <w:szCs w:val="20"/>
                <w:lang w:val="en-GB" w:eastAsia="en-GB" w:bidi="ar-SA"/>
              </w:rPr>
              <w:t>5</w:t>
            </w:r>
            <w:r w:rsidR="00E43638">
              <w:rPr>
                <w:rFonts w:ascii="Arial" w:eastAsia="Times New Roman" w:hAnsi="Arial" w:cs="Arial"/>
                <w:b/>
                <w:bCs/>
                <w:sz w:val="20"/>
                <w:szCs w:val="20"/>
                <w:vertAlign w:val="superscript"/>
                <w:lang w:val="en-GB" w:eastAsia="en-GB" w:bidi="ar-SA"/>
              </w:rPr>
              <w:t>st</w:t>
            </w:r>
            <w:r w:rsidR="00E43638">
              <w:rPr>
                <w:rFonts w:ascii="Arial" w:eastAsia="Times New Roman" w:hAnsi="Arial" w:cs="Arial"/>
                <w:b/>
                <w:bCs/>
                <w:sz w:val="20"/>
                <w:szCs w:val="20"/>
                <w:lang w:val="en-GB" w:eastAsia="en-GB" w:bidi="ar-SA"/>
              </w:rPr>
              <w:t xml:space="preserve"> June 2023</w:t>
            </w:r>
          </w:p>
        </w:tc>
      </w:tr>
    </w:tbl>
    <w:p w14:paraId="265939D6" w14:textId="77777777" w:rsidR="008E6E6C" w:rsidRDefault="008E6E6C" w:rsidP="00032E90">
      <w:pPr>
        <w:spacing w:line="360" w:lineRule="auto"/>
        <w:jc w:val="center"/>
        <w:rPr>
          <w:b/>
          <w:bCs/>
          <w:sz w:val="28"/>
        </w:rPr>
      </w:pPr>
    </w:p>
    <w:p w14:paraId="480C90A0" w14:textId="77777777" w:rsidR="008E6E6C" w:rsidRDefault="008E6E6C" w:rsidP="00032E90">
      <w:pPr>
        <w:spacing w:line="360" w:lineRule="auto"/>
        <w:jc w:val="center"/>
        <w:rPr>
          <w:b/>
          <w:bCs/>
          <w:sz w:val="28"/>
        </w:rPr>
      </w:pPr>
    </w:p>
    <w:p w14:paraId="2515185A" w14:textId="77777777" w:rsidR="008E6E6C" w:rsidRDefault="008E6E6C" w:rsidP="00032E90">
      <w:pPr>
        <w:spacing w:line="360" w:lineRule="auto"/>
        <w:jc w:val="center"/>
        <w:rPr>
          <w:b/>
          <w:bCs/>
          <w:sz w:val="28"/>
        </w:rPr>
      </w:pPr>
    </w:p>
    <w:p w14:paraId="35540073" w14:textId="6B1A0B6F" w:rsidR="008E6E6C" w:rsidRDefault="008E6E6C" w:rsidP="00032E90">
      <w:pPr>
        <w:spacing w:line="360" w:lineRule="auto"/>
        <w:jc w:val="center"/>
        <w:rPr>
          <w:b/>
          <w:bCs/>
          <w:sz w:val="28"/>
        </w:rPr>
      </w:pPr>
    </w:p>
    <w:p w14:paraId="72A207C0" w14:textId="77777777" w:rsidR="008E6E6C" w:rsidRDefault="008E6E6C" w:rsidP="00032E90">
      <w:pPr>
        <w:spacing w:line="360" w:lineRule="auto"/>
        <w:jc w:val="center"/>
        <w:rPr>
          <w:b/>
          <w:bCs/>
          <w:sz w:val="28"/>
        </w:rPr>
      </w:pPr>
    </w:p>
    <w:p w14:paraId="4D1057FF" w14:textId="77777777" w:rsidR="008E6E6C" w:rsidRDefault="008E6E6C" w:rsidP="00032E90">
      <w:pPr>
        <w:spacing w:line="360" w:lineRule="auto"/>
        <w:jc w:val="center"/>
        <w:rPr>
          <w:b/>
          <w:bCs/>
          <w:sz w:val="28"/>
        </w:rPr>
      </w:pPr>
    </w:p>
    <w:p w14:paraId="070CA63C" w14:textId="77777777" w:rsidR="008E6E6C" w:rsidRDefault="008E6E6C" w:rsidP="00032E90">
      <w:pPr>
        <w:spacing w:line="360" w:lineRule="auto"/>
        <w:jc w:val="center"/>
        <w:rPr>
          <w:b/>
          <w:bCs/>
          <w:sz w:val="28"/>
        </w:rPr>
      </w:pPr>
    </w:p>
    <w:p w14:paraId="0B52020C" w14:textId="77777777" w:rsidR="008E6E6C" w:rsidRDefault="008E6E6C" w:rsidP="00032E90">
      <w:pPr>
        <w:spacing w:line="360" w:lineRule="auto"/>
        <w:jc w:val="center"/>
        <w:rPr>
          <w:b/>
          <w:bCs/>
          <w:sz w:val="28"/>
        </w:rPr>
      </w:pPr>
    </w:p>
    <w:p w14:paraId="64254D51" w14:textId="77777777" w:rsidR="008477C6" w:rsidRPr="004E2C94" w:rsidRDefault="00D54C2B" w:rsidP="008E6E6C">
      <w:pPr>
        <w:spacing w:after="0" w:line="360" w:lineRule="auto"/>
        <w:jc w:val="center"/>
        <w:rPr>
          <w:rFonts w:ascii="Arial Nova" w:hAnsi="Arial Nova"/>
          <w:b/>
          <w:bCs/>
          <w:sz w:val="28"/>
        </w:rPr>
      </w:pPr>
      <w:r w:rsidRPr="004E2C94">
        <w:rPr>
          <w:rFonts w:ascii="Arial Nova" w:hAnsi="Arial Nova"/>
          <w:b/>
          <w:bCs/>
          <w:sz w:val="28"/>
        </w:rPr>
        <w:lastRenderedPageBreak/>
        <w:t xml:space="preserve">Explore and Evaluate the Importance </w:t>
      </w:r>
      <w:r w:rsidR="00032E90" w:rsidRPr="004E2C94">
        <w:rPr>
          <w:rFonts w:ascii="Arial Nova" w:hAnsi="Arial Nova"/>
          <w:b/>
          <w:bCs/>
          <w:sz w:val="28"/>
        </w:rPr>
        <w:t xml:space="preserve">of “Evidence” in Evidence-Based </w:t>
      </w:r>
      <w:r w:rsidRPr="004E2C94">
        <w:rPr>
          <w:rFonts w:ascii="Arial Nova" w:hAnsi="Arial Nova"/>
          <w:b/>
          <w:bCs/>
          <w:sz w:val="28"/>
        </w:rPr>
        <w:t>Policing</w:t>
      </w:r>
    </w:p>
    <w:p w14:paraId="0613F6CB" w14:textId="77777777" w:rsidR="00A30884" w:rsidRPr="004E2C94" w:rsidRDefault="00D54C2B" w:rsidP="004E2C94">
      <w:pPr>
        <w:pStyle w:val="Heading1"/>
      </w:pPr>
      <w:r w:rsidRPr="004E2C94">
        <w:t>Introduction</w:t>
      </w:r>
      <w:bookmarkEnd w:id="0"/>
    </w:p>
    <w:p w14:paraId="46EF7F78" w14:textId="6EE9DA50" w:rsidR="00846AC2" w:rsidRPr="004E2C94" w:rsidRDefault="00D54C2B" w:rsidP="008E6E6C">
      <w:pPr>
        <w:spacing w:after="0" w:line="360" w:lineRule="auto"/>
        <w:rPr>
          <w:rFonts w:ascii="Arial Nova" w:hAnsi="Arial Nova"/>
        </w:rPr>
      </w:pPr>
      <w:r w:rsidRPr="004E2C94">
        <w:rPr>
          <w:rFonts w:ascii="Arial Nova" w:hAnsi="Arial Nova"/>
        </w:rPr>
        <w:t>The term "evidence-based policing" (EBP) refers to a system in which the most recent and reliable data are utilized to both support and question established norms and procedures. All police officers may benefit</w:t>
      </w:r>
      <w:r w:rsidR="00CC631C" w:rsidRPr="004E2C94">
        <w:rPr>
          <w:rFonts w:ascii="Arial Nova" w:hAnsi="Arial Nova"/>
        </w:rPr>
        <w:t xml:space="preserve"> from adopting an EBP strategy. In this field, there is an opportunity to work together. Also, the other </w:t>
      </w:r>
      <w:r w:rsidR="00041D67" w:rsidRPr="004E2C94">
        <w:rPr>
          <w:rFonts w:ascii="Arial Nova" w:hAnsi="Arial Nova"/>
        </w:rPr>
        <w:t>organization</w:t>
      </w:r>
      <w:r w:rsidR="00724B73" w:rsidRPr="004E2C94">
        <w:rPr>
          <w:rFonts w:ascii="Arial Nova" w:hAnsi="Arial Nova"/>
        </w:rPr>
        <w:t xml:space="preserve"> may help to accompl</w:t>
      </w:r>
      <w:r w:rsidR="00CC631C" w:rsidRPr="004E2C94">
        <w:rPr>
          <w:rFonts w:ascii="Arial Nova" w:hAnsi="Arial Nova"/>
        </w:rPr>
        <w:t>ish the goal.</w:t>
      </w:r>
      <w:r w:rsidRPr="004E2C94">
        <w:rPr>
          <w:rFonts w:ascii="Arial Nova" w:hAnsi="Arial Nova"/>
        </w:rPr>
        <w:t xml:space="preserve"> For crime prevention to be successful in any society, evidence-based policing (EBP) must be adopted as a method for informing police work and policy decisions. Evidence-based policing employs a variety of strategies, including POP, SARA, Hotspots policing, etc. The article discusses both the causes and solutions to criminal </w:t>
      </w:r>
      <w:r w:rsidR="00FF5160" w:rsidRPr="004E2C94">
        <w:rPr>
          <w:rFonts w:ascii="Arial Nova" w:hAnsi="Arial Nova"/>
        </w:rPr>
        <w:t>behavior</w:t>
      </w:r>
      <w:r w:rsidRPr="004E2C94">
        <w:rPr>
          <w:rFonts w:ascii="Arial Nova" w:hAnsi="Arial Nova"/>
        </w:rPr>
        <w:t>.</w:t>
      </w:r>
    </w:p>
    <w:p w14:paraId="6CFA017F" w14:textId="77777777" w:rsidR="00B9774F" w:rsidRPr="004E2C94" w:rsidRDefault="00D54C2B" w:rsidP="000B55EC">
      <w:pPr>
        <w:pStyle w:val="Heading2"/>
        <w:spacing w:before="0"/>
        <w:rPr>
          <w:rFonts w:ascii="Arial Nova" w:hAnsi="Arial Nova"/>
        </w:rPr>
      </w:pPr>
      <w:bookmarkStart w:id="1" w:name="_Toc129917261"/>
      <w:r w:rsidRPr="004E2C94">
        <w:rPr>
          <w:rFonts w:ascii="Arial Nova" w:hAnsi="Arial Nova"/>
        </w:rPr>
        <w:t>The Core Concepts of Evidence-Based Policing</w:t>
      </w:r>
      <w:bookmarkEnd w:id="1"/>
    </w:p>
    <w:p w14:paraId="4E185C59" w14:textId="77777777" w:rsidR="00B9774F" w:rsidRPr="004E2C94" w:rsidRDefault="00D54C2B" w:rsidP="008E6E6C">
      <w:pPr>
        <w:spacing w:after="0" w:line="360" w:lineRule="auto"/>
        <w:rPr>
          <w:rFonts w:ascii="Arial Nova" w:hAnsi="Arial Nova"/>
        </w:rPr>
      </w:pPr>
      <w:r w:rsidRPr="004E2C94">
        <w:rPr>
          <w:rFonts w:ascii="Arial Nova" w:hAnsi="Arial Nova"/>
        </w:rPr>
        <w:t xml:space="preserve">Policing is generally the working of police. In many countries, there are different kinds of policing. Evidence-based policing is very important to understand the matter. In evidence-based policing the police </w:t>
      </w:r>
      <w:r w:rsidR="00981C4A" w:rsidRPr="004E2C94">
        <w:rPr>
          <w:rFonts w:ascii="Arial Nova" w:hAnsi="Arial Nova"/>
        </w:rPr>
        <w:t>first try to find out the evidence and then take necessary steps.</w:t>
      </w:r>
      <w:r w:rsidR="00CE4008" w:rsidRPr="004E2C94">
        <w:rPr>
          <w:rFonts w:ascii="Arial Nova" w:hAnsi="Arial Nova"/>
        </w:rPr>
        <w:t xml:space="preserve"> In evidence-based policing, there are different parts. Those parts should be maintained and fulfilled to make policing successful.</w:t>
      </w:r>
      <w:r w:rsidR="00DF3BB5" w:rsidRPr="004E2C94">
        <w:rPr>
          <w:rFonts w:ascii="Arial Nova" w:hAnsi="Arial Nova"/>
        </w:rPr>
        <w:t xml:space="preserve"> Evidence-based policing focuses on two main components. Both are equally important.</w:t>
      </w:r>
    </w:p>
    <w:p w14:paraId="179B9BE0" w14:textId="77777777" w:rsidR="00663AF3" w:rsidRPr="004E2C94" w:rsidRDefault="00D54C2B" w:rsidP="008E6E6C">
      <w:pPr>
        <w:spacing w:after="0" w:line="360" w:lineRule="auto"/>
        <w:jc w:val="center"/>
        <w:rPr>
          <w:rFonts w:ascii="Arial Nova" w:hAnsi="Arial Nova"/>
        </w:rPr>
      </w:pPr>
      <w:r w:rsidRPr="004E2C94">
        <w:rPr>
          <w:rFonts w:ascii="Arial Nova" w:hAnsi="Arial Nova"/>
          <w:noProof/>
          <w:lang w:bidi="ar-SA"/>
        </w:rPr>
        <w:drawing>
          <wp:inline distT="0" distB="0" distL="0" distR="0" wp14:anchorId="77B156C1" wp14:editId="695A1662">
            <wp:extent cx="3056853" cy="1667293"/>
            <wp:effectExtent l="0" t="0" r="0" b="0"/>
            <wp:docPr id="1" name="Picture 1" descr="eb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b1.PNG"/>
                    <pic:cNvPicPr/>
                  </pic:nvPicPr>
                  <pic:blipFill>
                    <a:blip r:embed="rId9"/>
                    <a:stretch>
                      <a:fillRect/>
                    </a:stretch>
                  </pic:blipFill>
                  <pic:spPr>
                    <a:xfrm>
                      <a:off x="0" y="0"/>
                      <a:ext cx="3079536" cy="1679665"/>
                    </a:xfrm>
                    <a:prstGeom prst="rect">
                      <a:avLst/>
                    </a:prstGeom>
                  </pic:spPr>
                </pic:pic>
              </a:graphicData>
            </a:graphic>
          </wp:inline>
        </w:drawing>
      </w:r>
    </w:p>
    <w:p w14:paraId="47B7962C" w14:textId="77777777" w:rsidR="00663AF3" w:rsidRPr="004E2C94" w:rsidRDefault="00D54C2B" w:rsidP="008E6E6C">
      <w:pPr>
        <w:spacing w:after="0" w:line="360" w:lineRule="auto"/>
        <w:jc w:val="center"/>
        <w:rPr>
          <w:rFonts w:ascii="Arial Nova" w:hAnsi="Arial Nova"/>
          <w:b/>
          <w:sz w:val="20"/>
        </w:rPr>
      </w:pPr>
      <w:r w:rsidRPr="004E2C94">
        <w:rPr>
          <w:rFonts w:ascii="Arial Nova" w:hAnsi="Arial Nova"/>
          <w:b/>
          <w:sz w:val="20"/>
        </w:rPr>
        <w:t>Figure 1 Evidence Based Policing</w:t>
      </w:r>
    </w:p>
    <w:p w14:paraId="6908FFDB" w14:textId="77777777" w:rsidR="00663AF3" w:rsidRPr="004E2C94" w:rsidRDefault="00D54C2B" w:rsidP="008E6E6C">
      <w:pPr>
        <w:spacing w:after="0" w:line="360" w:lineRule="auto"/>
        <w:jc w:val="center"/>
        <w:rPr>
          <w:rFonts w:ascii="Arial Nova" w:hAnsi="Arial Nova"/>
          <w:b/>
          <w:sz w:val="20"/>
        </w:rPr>
      </w:pPr>
      <w:r w:rsidRPr="004E2C94">
        <w:rPr>
          <w:rFonts w:ascii="Arial Nova" w:hAnsi="Arial Nova"/>
          <w:b/>
          <w:sz w:val="20"/>
        </w:rPr>
        <w:t>Source: (Staller &amp; Koerner, 2021)</w:t>
      </w:r>
    </w:p>
    <w:p w14:paraId="194C67A7" w14:textId="77777777" w:rsidR="000E1704" w:rsidRPr="004E2C94" w:rsidRDefault="00D54C2B" w:rsidP="008E6E6C">
      <w:pPr>
        <w:spacing w:after="0" w:line="360" w:lineRule="auto"/>
        <w:rPr>
          <w:rFonts w:ascii="Arial Nova" w:hAnsi="Arial Nova"/>
        </w:rPr>
      </w:pPr>
      <w:r w:rsidRPr="004E2C94">
        <w:rPr>
          <w:rFonts w:ascii="Arial Nova" w:hAnsi="Arial Nova"/>
        </w:rPr>
        <w:t xml:space="preserve">First, there have been lots of studies about </w:t>
      </w:r>
      <w:r w:rsidRPr="004E2C94">
        <w:rPr>
          <w:rFonts w:ascii="Arial Nova" w:hAnsi="Arial Nova"/>
          <w:b/>
          <w:bCs/>
        </w:rPr>
        <w:t>police</w:t>
      </w:r>
      <w:r w:rsidRPr="004E2C94">
        <w:rPr>
          <w:rFonts w:ascii="Arial Nova" w:hAnsi="Arial Nova"/>
        </w:rPr>
        <w:t xml:space="preserve"> and those should be undertaken.</w:t>
      </w:r>
      <w:r w:rsidR="00A916FC" w:rsidRPr="004E2C94">
        <w:rPr>
          <w:rFonts w:ascii="Arial Nova" w:hAnsi="Arial Nova"/>
        </w:rPr>
        <w:t xml:space="preserve"> Police officers or those who investigate often do not understand how scientific research </w:t>
      </w:r>
      <w:r w:rsidR="00A916FC" w:rsidRPr="004E2C94">
        <w:rPr>
          <w:rFonts w:ascii="Arial Nova" w:hAnsi="Arial Nova"/>
        </w:rPr>
        <w:lastRenderedPageBreak/>
        <w:t xml:space="preserve">happens, </w:t>
      </w:r>
      <w:r w:rsidR="00123D21" w:rsidRPr="004E2C94">
        <w:rPr>
          <w:rFonts w:ascii="Arial Nova" w:hAnsi="Arial Nova"/>
        </w:rPr>
        <w:t>this sector is out of academic styles.</w:t>
      </w:r>
      <w:r w:rsidR="00D91A52" w:rsidRPr="004E2C94">
        <w:rPr>
          <w:rFonts w:ascii="Arial Nova" w:hAnsi="Arial Nova"/>
        </w:rPr>
        <w:t xml:space="preserve"> Mainly, criminologists conduct </w:t>
      </w:r>
      <w:r w:rsidR="008E6E6C" w:rsidRPr="004E2C94">
        <w:rPr>
          <w:rFonts w:ascii="Arial Nova" w:hAnsi="Arial Nova"/>
        </w:rPr>
        <w:t>research</w:t>
      </w:r>
      <w:r w:rsidR="00D91A52" w:rsidRPr="004E2C94">
        <w:rPr>
          <w:rFonts w:ascii="Arial Nova" w:hAnsi="Arial Nova"/>
        </w:rPr>
        <w:t xml:space="preserve"> regarding different kinds of crime and other disorders.</w:t>
      </w:r>
      <w:r w:rsidR="003E7E1F" w:rsidRPr="004E2C94">
        <w:rPr>
          <w:rFonts w:ascii="Arial Nova" w:hAnsi="Arial Nova"/>
        </w:rPr>
        <w:t xml:space="preserve"> After that, they publish those results in different academic papers.</w:t>
      </w:r>
      <w:r w:rsidR="0096737D" w:rsidRPr="004E2C94">
        <w:rPr>
          <w:rFonts w:ascii="Arial Nova" w:hAnsi="Arial Nova"/>
        </w:rPr>
        <w:t xml:space="preserve"> But many police officers do not know the research and they also do not know about the outcom</w:t>
      </w:r>
      <w:r w:rsidRPr="004E2C94">
        <w:rPr>
          <w:rFonts w:ascii="Arial Nova" w:hAnsi="Arial Nova"/>
        </w:rPr>
        <w:t>e</w:t>
      </w:r>
      <w:r w:rsidR="006B582A" w:rsidRPr="004E2C94">
        <w:rPr>
          <w:rFonts w:ascii="Arial Nova" w:hAnsi="Arial Nova"/>
        </w:rPr>
        <w:t xml:space="preserve">. </w:t>
      </w:r>
      <w:r w:rsidRPr="004E2C94">
        <w:rPr>
          <w:rFonts w:ascii="Arial Nova" w:hAnsi="Arial Nova"/>
        </w:rPr>
        <w:t>For changing this kind of activity, every police should be the driver of research, they should be connected with the research.</w:t>
      </w:r>
      <w:r w:rsidR="006969B0" w:rsidRPr="004E2C94">
        <w:rPr>
          <w:rFonts w:ascii="Arial Nova" w:hAnsi="Arial Nova"/>
        </w:rPr>
        <w:t xml:space="preserve"> Because without research police are not always right.</w:t>
      </w:r>
    </w:p>
    <w:p w14:paraId="23312525" w14:textId="77777777" w:rsidR="00C957E9" w:rsidRPr="004E2C94" w:rsidRDefault="00D54C2B" w:rsidP="008E6E6C">
      <w:pPr>
        <w:spacing w:after="0" w:line="360" w:lineRule="auto"/>
        <w:rPr>
          <w:rFonts w:ascii="Arial Nova" w:hAnsi="Arial Nova"/>
        </w:rPr>
      </w:pPr>
      <w:r w:rsidRPr="004E2C94">
        <w:rPr>
          <w:rFonts w:ascii="Arial Nova" w:hAnsi="Arial Nova"/>
        </w:rPr>
        <w:t xml:space="preserve">Secondly, </w:t>
      </w:r>
      <w:r w:rsidRPr="004E2C94">
        <w:rPr>
          <w:rFonts w:ascii="Arial Nova" w:hAnsi="Arial Nova"/>
          <w:b/>
          <w:bCs/>
        </w:rPr>
        <w:t>evidence-based policing</w:t>
      </w:r>
      <w:r w:rsidRPr="004E2C94">
        <w:rPr>
          <w:rFonts w:ascii="Arial Nova" w:hAnsi="Arial Nova"/>
        </w:rPr>
        <w:t xml:space="preserve"> is making the outcome into a form those are accessible and easy for the police officer.</w:t>
      </w:r>
      <w:r w:rsidR="00AC76D5" w:rsidRPr="004E2C94">
        <w:rPr>
          <w:rFonts w:ascii="Arial Nova" w:hAnsi="Arial Nova"/>
        </w:rPr>
        <w:t xml:space="preserve"> This is not so much easy as it looks. </w:t>
      </w:r>
      <w:r w:rsidR="00D84076" w:rsidRPr="004E2C94">
        <w:rPr>
          <w:rFonts w:ascii="Arial Nova" w:hAnsi="Arial Nova"/>
        </w:rPr>
        <w:t>Police always work to find the fault and they investigate the matter for correct identification.</w:t>
      </w:r>
      <w:r w:rsidR="006977CA" w:rsidRPr="004E2C94">
        <w:rPr>
          <w:rFonts w:ascii="Arial Nova" w:hAnsi="Arial Nova"/>
        </w:rPr>
        <w:t xml:space="preserve"> Sometimes police need prompt information to handle the situation.</w:t>
      </w:r>
      <w:r w:rsidR="00DB2F0D" w:rsidRPr="004E2C94">
        <w:rPr>
          <w:rFonts w:ascii="Arial Nova" w:hAnsi="Arial Nova"/>
        </w:rPr>
        <w:t xml:space="preserve"> And in some cases, they collect information slowly</w:t>
      </w:r>
      <w:r w:rsidR="004353B1" w:rsidRPr="004E2C94">
        <w:rPr>
          <w:rFonts w:ascii="Arial Nova" w:hAnsi="Arial Nova"/>
        </w:rPr>
        <w:t xml:space="preserve"> (Fleming &amp; Rhodes, 2018).</w:t>
      </w:r>
      <w:r w:rsidR="00DB2F0D" w:rsidRPr="004E2C94">
        <w:rPr>
          <w:rFonts w:ascii="Arial Nova" w:hAnsi="Arial Nova"/>
        </w:rPr>
        <w:t xml:space="preserve"> </w:t>
      </w:r>
      <w:r w:rsidR="003E72A4" w:rsidRPr="004E2C94">
        <w:rPr>
          <w:rFonts w:ascii="Arial Nova" w:hAnsi="Arial Nova"/>
        </w:rPr>
        <w:t xml:space="preserve">There are lots of police who consider academic research and use </w:t>
      </w:r>
      <w:r w:rsidR="008E6E6C" w:rsidRPr="004E2C94">
        <w:rPr>
          <w:rFonts w:ascii="Arial Nova" w:hAnsi="Arial Nova"/>
        </w:rPr>
        <w:t>that as practical knowledge</w:t>
      </w:r>
      <w:r w:rsidR="003E72A4" w:rsidRPr="004E2C94">
        <w:rPr>
          <w:rFonts w:ascii="Arial Nova" w:hAnsi="Arial Nova"/>
        </w:rPr>
        <w:t>.</w:t>
      </w:r>
      <w:r w:rsidR="008E7505" w:rsidRPr="004E2C94">
        <w:rPr>
          <w:rFonts w:ascii="Arial Nova" w:hAnsi="Arial Nova"/>
        </w:rPr>
        <w:t xml:space="preserve"> Every police officer should have some knowledge to solve the case correctly. For that, they might know those kinds of research.</w:t>
      </w:r>
    </w:p>
    <w:p w14:paraId="5FE6AF7E" w14:textId="18CB7703" w:rsidR="00AF4874" w:rsidRPr="004E2C94" w:rsidRDefault="0063288B" w:rsidP="008E6E6C">
      <w:pPr>
        <w:spacing w:after="0" w:line="360" w:lineRule="auto"/>
        <w:rPr>
          <w:rFonts w:ascii="Arial Nova" w:hAnsi="Arial Nova"/>
          <w:b/>
          <w:bCs/>
          <w:sz w:val="28"/>
        </w:rPr>
      </w:pPr>
      <w:r w:rsidRPr="004E2C94">
        <w:rPr>
          <w:rFonts w:ascii="Arial Nova" w:hAnsi="Arial Nova"/>
          <w:b/>
          <w:bCs/>
          <w:sz w:val="28"/>
        </w:rPr>
        <w:t>Body-</w:t>
      </w:r>
      <w:r w:rsidR="00F8329F" w:rsidRPr="004E2C94">
        <w:rPr>
          <w:rFonts w:ascii="Arial Nova" w:hAnsi="Arial Nova"/>
          <w:b/>
          <w:bCs/>
          <w:sz w:val="28"/>
        </w:rPr>
        <w:t>W</w:t>
      </w:r>
      <w:r w:rsidRPr="004E2C94">
        <w:rPr>
          <w:rFonts w:ascii="Arial Nova" w:hAnsi="Arial Nova"/>
          <w:b/>
          <w:bCs/>
          <w:sz w:val="28"/>
        </w:rPr>
        <w:t xml:space="preserve">orn </w:t>
      </w:r>
      <w:r w:rsidR="00F8329F" w:rsidRPr="004E2C94">
        <w:rPr>
          <w:rFonts w:ascii="Arial Nova" w:hAnsi="Arial Nova"/>
          <w:b/>
          <w:bCs/>
          <w:sz w:val="28"/>
        </w:rPr>
        <w:t>Ca</w:t>
      </w:r>
      <w:r w:rsidRPr="004E2C94">
        <w:rPr>
          <w:rFonts w:ascii="Arial Nova" w:hAnsi="Arial Nova"/>
          <w:b/>
          <w:bCs/>
          <w:sz w:val="28"/>
        </w:rPr>
        <w:t>meras</w:t>
      </w:r>
      <w:r w:rsidR="00F8329F" w:rsidRPr="004E2C94">
        <w:rPr>
          <w:rFonts w:ascii="Arial Nova" w:hAnsi="Arial Nova"/>
          <w:b/>
          <w:bCs/>
          <w:sz w:val="28"/>
        </w:rPr>
        <w:t xml:space="preserve">: What The Evidence </w:t>
      </w:r>
      <w:r w:rsidR="00CC35A4" w:rsidRPr="004E2C94">
        <w:rPr>
          <w:rFonts w:ascii="Arial Nova" w:hAnsi="Arial Nova"/>
          <w:b/>
          <w:bCs/>
          <w:sz w:val="28"/>
        </w:rPr>
        <w:t>Tells Us</w:t>
      </w:r>
      <w:r w:rsidRPr="004E2C94">
        <w:rPr>
          <w:rFonts w:ascii="Arial Nova" w:hAnsi="Arial Nova"/>
          <w:b/>
          <w:bCs/>
          <w:sz w:val="28"/>
        </w:rPr>
        <w:t xml:space="preserve"> </w:t>
      </w:r>
    </w:p>
    <w:p w14:paraId="50E2E374" w14:textId="2B3940FE" w:rsidR="00CC35A4" w:rsidRPr="004E2C94" w:rsidRDefault="00D87C6F" w:rsidP="00CC35A4">
      <w:pPr>
        <w:ind w:left="10" w:right="52"/>
        <w:rPr>
          <w:rFonts w:ascii="Arial Nova" w:hAnsi="Arial Nova"/>
        </w:rPr>
      </w:pPr>
      <w:r w:rsidRPr="004E2C94">
        <w:rPr>
          <w:rFonts w:ascii="Arial Nova" w:hAnsi="Arial Nova"/>
        </w:rPr>
        <w:t>Body-worn cameras have been viewed as one way to address these challenges and improve law enforcement practice more generally. The technology, which can be mounted on an officer’s eyeglasses or chest area, offers real-time information when used by officers on patrol or other assignments that bring them into contact with members of the community. Another benefit of body-worn cameras is their ability to provide law enforcement with a surveillance tool to promote officer safety and efficiency and prevent cr</w:t>
      </w:r>
      <w:r w:rsidR="00E174EF" w:rsidRPr="004E2C94">
        <w:rPr>
          <w:rFonts w:ascii="Arial Nova" w:hAnsi="Arial Nova"/>
        </w:rPr>
        <w:t>ime.</w:t>
      </w:r>
    </w:p>
    <w:p w14:paraId="353E6C09" w14:textId="77777777" w:rsidR="00AB0CA5" w:rsidRPr="004E2C94" w:rsidRDefault="00AB0CA5" w:rsidP="00AB0CA5">
      <w:pPr>
        <w:ind w:left="1810" w:right="52"/>
        <w:rPr>
          <w:rFonts w:ascii="Arial Nova" w:hAnsi="Arial Nova"/>
        </w:rPr>
      </w:pPr>
      <w:r w:rsidRPr="004E2C94">
        <w:rPr>
          <w:rFonts w:ascii="Arial Nova" w:hAnsi="Arial Nova"/>
        </w:rPr>
        <w:t xml:space="preserve">Proponents of body-worn cameras point to several potential benefits. </w:t>
      </w:r>
    </w:p>
    <w:p w14:paraId="36C35BC7" w14:textId="77777777" w:rsidR="00AB0CA5" w:rsidRPr="004E2C94" w:rsidRDefault="00AB0CA5" w:rsidP="00AB0CA5">
      <w:pPr>
        <w:spacing w:after="278"/>
        <w:ind w:left="1810" w:right="52"/>
        <w:rPr>
          <w:rFonts w:ascii="Arial Nova" w:hAnsi="Arial Nova"/>
        </w:rPr>
      </w:pPr>
      <w:r w:rsidRPr="004E2C94">
        <w:rPr>
          <w:rFonts w:ascii="Arial Nova" w:hAnsi="Arial Nova"/>
          <w:i/>
        </w:rPr>
        <w:t>Better transparency.</w:t>
      </w:r>
      <w:r w:rsidRPr="004E2C94">
        <w:rPr>
          <w:rFonts w:ascii="Arial Nova" w:hAnsi="Arial Nova"/>
        </w:rPr>
        <w:t xml:space="preserve"> First, body-worn cameras may result in better transparency and accountability and thus may improve law enforcement legitimacy. In many communities, there is a lack of trust and confidence in law enforcement. This lack of confidence is exacerbated by questions about encounters between officers and community members that often involve the use of deadly or less-lethal force. Video footage captured during these officer-community interactions might provide better documentation to help confirm the nature of events and support accounts articulated by officers and community residents.</w:t>
      </w:r>
      <w:r w:rsidRPr="004E2C94">
        <w:rPr>
          <w:rFonts w:ascii="Arial Nova" w:hAnsi="Arial Nova"/>
          <w:sz w:val="18"/>
          <w:vertAlign w:val="superscript"/>
        </w:rPr>
        <w:t>3</w:t>
      </w:r>
    </w:p>
    <w:p w14:paraId="7FA4B835" w14:textId="77777777" w:rsidR="00AB0CA5" w:rsidRPr="004E2C94" w:rsidRDefault="00AB0CA5" w:rsidP="00AB0CA5">
      <w:pPr>
        <w:spacing w:after="277"/>
        <w:ind w:left="1810" w:right="52"/>
        <w:rPr>
          <w:rFonts w:ascii="Arial Nova" w:hAnsi="Arial Nova"/>
        </w:rPr>
      </w:pPr>
      <w:r w:rsidRPr="004E2C94">
        <w:rPr>
          <w:rFonts w:ascii="Arial Nova" w:hAnsi="Arial Nova"/>
          <w:i/>
        </w:rPr>
        <w:lastRenderedPageBreak/>
        <w:t>Increased civility.</w:t>
      </w:r>
      <w:r w:rsidRPr="004E2C94">
        <w:rPr>
          <w:rFonts w:ascii="Arial Nova" w:hAnsi="Arial Nova"/>
        </w:rPr>
        <w:t xml:space="preserve"> Body-worn cameras may also result in higher rates of citizen compliance to officer commands during encounters and fewer complaints lodged against law enforcement. Citizens often change their behavior toward officers when they are informed that the encounter is being recorded. This “civilizing effect” may prevent certain situations from escalating to levels requiring the use of force and also improve interactions between officers and citizens.</w:t>
      </w:r>
      <w:r w:rsidRPr="004E2C94">
        <w:rPr>
          <w:rFonts w:ascii="Arial Nova" w:hAnsi="Arial Nova"/>
          <w:sz w:val="18"/>
          <w:vertAlign w:val="superscript"/>
        </w:rPr>
        <w:t>4</w:t>
      </w:r>
    </w:p>
    <w:p w14:paraId="33CFEE0D" w14:textId="2C1E4470" w:rsidR="00624EC5" w:rsidRPr="004E2C94" w:rsidRDefault="00AB0CA5" w:rsidP="00E67C96">
      <w:pPr>
        <w:ind w:left="1810" w:right="52"/>
        <w:rPr>
          <w:rFonts w:ascii="Arial Nova" w:hAnsi="Arial Nova"/>
          <w:lang w:bidi="en-US"/>
        </w:rPr>
      </w:pPr>
      <w:r w:rsidRPr="004E2C94">
        <w:rPr>
          <w:rFonts w:ascii="Arial Nova" w:hAnsi="Arial Nova"/>
          <w:i/>
        </w:rPr>
        <w:t>Quicker resolution.</w:t>
      </w:r>
      <w:r w:rsidRPr="004E2C94">
        <w:rPr>
          <w:rFonts w:ascii="Arial Nova" w:hAnsi="Arial Nova"/>
        </w:rPr>
        <w:t xml:space="preserve"> Body-worn cameras may lead to a faster resolution of citizen complaints and lawsuits that allege excessive use of force and other forms of officer misconduct. Investigations of cases that involve inconsistent accounts of the encounter from officers and citizens are often found to be “not sustained” and are subsequently closed when there is no video footage nor independent or corroborating witnesses. This, in turn, can decrease the public’s trust and confidence in law enforcement and increase perceptions that claims of abuse brought against officers will not be properly addressed. Video captured by </w:t>
      </w:r>
      <w:r w:rsidR="00624EC5" w:rsidRPr="004E2C94">
        <w:rPr>
          <w:rFonts w:ascii="Arial Nova" w:hAnsi="Arial Nova"/>
        </w:rPr>
        <w:t>body-worn</w:t>
      </w:r>
      <w:r w:rsidR="00624EC5" w:rsidRPr="004E2C94">
        <w:rPr>
          <w:rFonts w:ascii="Arial Nova" w:hAnsi="Arial Nova"/>
          <w:lang w:bidi="en-US"/>
        </w:rPr>
        <w:t xml:space="preserve"> cameras may help corroborate the facts of the encounter and result in a quicker resolution.</w:t>
      </w:r>
    </w:p>
    <w:p w14:paraId="7604E7D2" w14:textId="49ADED3C" w:rsidR="00AB0CA5" w:rsidRPr="004E2C94" w:rsidRDefault="00624EC5" w:rsidP="00AB0CA5">
      <w:pPr>
        <w:ind w:left="10" w:right="52"/>
        <w:rPr>
          <w:rFonts w:ascii="Arial Nova" w:hAnsi="Arial Nova"/>
        </w:rPr>
      </w:pPr>
      <w:r w:rsidRPr="004E2C94">
        <w:rPr>
          <w:rFonts w:ascii="Arial Nova" w:hAnsi="Arial Nova"/>
          <w:i/>
          <w:lang w:bidi="en-US"/>
        </w:rPr>
        <w:t>Corroborating evidence.</w:t>
      </w:r>
      <w:r w:rsidRPr="004E2C94">
        <w:rPr>
          <w:rFonts w:ascii="Arial Nova" w:hAnsi="Arial Nova"/>
          <w:lang w:bidi="en-US"/>
        </w:rPr>
        <w:t xml:space="preserve"> Footage captured may also be used as evidence in arrests or prosecutions</w:t>
      </w:r>
      <w:r w:rsidR="004E2C94">
        <w:rPr>
          <w:rFonts w:ascii="Arial Nova" w:hAnsi="Arial Nova"/>
          <w:lang w:bidi="en-US"/>
        </w:rPr>
        <w:t>. (Brett Chapman</w:t>
      </w:r>
      <w:r w:rsidR="00A76414">
        <w:rPr>
          <w:rFonts w:ascii="Arial Nova" w:hAnsi="Arial Nova"/>
          <w:lang w:bidi="en-US"/>
        </w:rPr>
        <w:t>, 2019).</w:t>
      </w:r>
    </w:p>
    <w:p w14:paraId="167762EB" w14:textId="77777777" w:rsidR="00D87C6F" w:rsidRPr="004E2C94" w:rsidRDefault="00D87C6F" w:rsidP="008E6E6C">
      <w:pPr>
        <w:spacing w:after="0" w:line="360" w:lineRule="auto"/>
        <w:rPr>
          <w:rFonts w:ascii="Arial Nova" w:hAnsi="Arial Nova"/>
        </w:rPr>
      </w:pPr>
    </w:p>
    <w:p w14:paraId="2F6ACE1D" w14:textId="77777777" w:rsidR="006B582A" w:rsidRPr="004E2C94" w:rsidRDefault="00D54C2B" w:rsidP="000B55EC">
      <w:pPr>
        <w:pStyle w:val="Heading2"/>
        <w:spacing w:before="0"/>
        <w:rPr>
          <w:rFonts w:ascii="Arial Nova" w:hAnsi="Arial Nova"/>
        </w:rPr>
      </w:pPr>
      <w:bookmarkStart w:id="2" w:name="_Toc129917262"/>
      <w:r w:rsidRPr="004E2C94">
        <w:rPr>
          <w:rFonts w:ascii="Arial Nova" w:hAnsi="Arial Nova"/>
        </w:rPr>
        <w:t>Criminological Theories which Underpin Its Use</w:t>
      </w:r>
      <w:bookmarkEnd w:id="2"/>
    </w:p>
    <w:p w14:paraId="2F7207ED" w14:textId="562718D5" w:rsidR="00585A95" w:rsidRPr="004E2C94" w:rsidRDefault="00D54C2B" w:rsidP="008E6E6C">
      <w:pPr>
        <w:spacing w:after="0" w:line="360" w:lineRule="auto"/>
        <w:rPr>
          <w:rFonts w:ascii="Arial Nova" w:hAnsi="Arial Nova"/>
        </w:rPr>
      </w:pPr>
      <w:r w:rsidRPr="004E2C94">
        <w:rPr>
          <w:rFonts w:ascii="Arial Nova" w:hAnsi="Arial Nova"/>
        </w:rPr>
        <w:t>Criminology investigates the crime. There are different</w:t>
      </w:r>
      <w:r w:rsidR="00A44219" w:rsidRPr="004E2C94">
        <w:rPr>
          <w:rFonts w:ascii="Arial Nova" w:hAnsi="Arial Nova"/>
        </w:rPr>
        <w:t xml:space="preserve"> theories associated with criminology. Those theories help to identify the problem and help the police to investigate the matter. Biological theories work on criminal </w:t>
      </w:r>
      <w:r w:rsidR="00FF5160" w:rsidRPr="004E2C94">
        <w:rPr>
          <w:rFonts w:ascii="Arial Nova" w:hAnsi="Arial Nova"/>
        </w:rPr>
        <w:t>behavior</w:t>
      </w:r>
      <w:r w:rsidR="00A44219" w:rsidRPr="004E2C94">
        <w:rPr>
          <w:rFonts w:ascii="Arial Nova" w:hAnsi="Arial Nova"/>
        </w:rPr>
        <w:t xml:space="preserve">. The tendency of doing any crime and </w:t>
      </w:r>
      <w:r w:rsidR="00FF5160" w:rsidRPr="004E2C94">
        <w:rPr>
          <w:rFonts w:ascii="Arial Nova" w:hAnsi="Arial Nova"/>
        </w:rPr>
        <w:t>behavioral</w:t>
      </w:r>
      <w:r w:rsidR="00A44219" w:rsidRPr="004E2C94">
        <w:rPr>
          <w:rFonts w:ascii="Arial Nova" w:hAnsi="Arial Nova"/>
        </w:rPr>
        <w:t xml:space="preserve"> changes are the subject of this theor</w:t>
      </w:r>
      <w:r w:rsidR="00010A37" w:rsidRPr="004E2C94">
        <w:rPr>
          <w:rFonts w:ascii="Arial Nova" w:hAnsi="Arial Nova"/>
        </w:rPr>
        <w:t>y (Davies &amp; Rowe, 2022)</w:t>
      </w:r>
      <w:r w:rsidR="00A44219" w:rsidRPr="004E2C94">
        <w:rPr>
          <w:rFonts w:ascii="Arial Nova" w:hAnsi="Arial Nova"/>
        </w:rPr>
        <w:t xml:space="preserve">. </w:t>
      </w:r>
      <w:r w:rsidR="00C16191" w:rsidRPr="004E2C94">
        <w:rPr>
          <w:rFonts w:ascii="Arial Nova" w:hAnsi="Arial Nova"/>
        </w:rPr>
        <w:t>Also, there are psychological theories, social theories, and othe</w:t>
      </w:r>
      <w:r w:rsidRPr="004E2C94">
        <w:rPr>
          <w:rFonts w:ascii="Arial Nova" w:hAnsi="Arial Nova"/>
        </w:rPr>
        <w:t>r theori</w:t>
      </w:r>
      <w:r w:rsidR="00C16191" w:rsidRPr="004E2C94">
        <w:rPr>
          <w:rFonts w:ascii="Arial Nova" w:hAnsi="Arial Nova"/>
        </w:rPr>
        <w:t>es.</w:t>
      </w:r>
      <w:r w:rsidR="00032E90" w:rsidRPr="004E2C94">
        <w:rPr>
          <w:rFonts w:ascii="Arial Nova" w:hAnsi="Arial Nova"/>
        </w:rPr>
        <w:t xml:space="preserve"> </w:t>
      </w:r>
      <w:r w:rsidR="00FF5160" w:rsidRPr="004E2C94">
        <w:rPr>
          <w:rFonts w:ascii="Arial Nova" w:hAnsi="Arial Nova"/>
        </w:rPr>
        <w:t>Motif’s</w:t>
      </w:r>
      <w:r w:rsidRPr="004E2C94">
        <w:rPr>
          <w:rFonts w:ascii="Arial Nova" w:hAnsi="Arial Nova"/>
        </w:rPr>
        <w:t xml:space="preserve"> </w:t>
      </w:r>
      <w:r w:rsidRPr="004E2C94">
        <w:rPr>
          <w:rFonts w:ascii="Arial Nova" w:hAnsi="Arial Nova"/>
          <w:b/>
          <w:bCs/>
        </w:rPr>
        <w:t>Developmental Theory</w:t>
      </w:r>
      <w:r w:rsidRPr="004E2C94">
        <w:rPr>
          <w:rFonts w:ascii="Arial Nova" w:hAnsi="Arial Nova"/>
        </w:rPr>
        <w:t xml:space="preserve"> is an important theory of criminology. </w:t>
      </w:r>
      <w:r w:rsidR="006A798D" w:rsidRPr="004E2C94">
        <w:rPr>
          <w:rFonts w:ascii="Arial Nova" w:hAnsi="Arial Nova"/>
        </w:rPr>
        <w:t xml:space="preserve">Moffit's theory of criminological development distinguishes between two sorts of juvenile offenders. The former </w:t>
      </w:r>
      <w:r w:rsidR="008E6E6C" w:rsidRPr="004E2C94">
        <w:rPr>
          <w:rFonts w:ascii="Arial Nova" w:hAnsi="Arial Nova"/>
        </w:rPr>
        <w:t>is</w:t>
      </w:r>
      <w:r w:rsidR="006A798D" w:rsidRPr="004E2C94">
        <w:rPr>
          <w:rFonts w:ascii="Arial Nova" w:hAnsi="Arial Nova"/>
        </w:rPr>
        <w:t xml:space="preserve"> called "life-course persistent," whereas the latter is called "adolescently limited." Moffit looked only at juvenile delinquency. The adolescents who showed the most life cycle persistence were thought to be the ones who would go on to commit serious crimes</w:t>
      </w:r>
      <w:r w:rsidR="00860AD3" w:rsidRPr="004E2C94">
        <w:rPr>
          <w:rFonts w:ascii="Arial Nova" w:hAnsi="Arial Nova"/>
        </w:rPr>
        <w:t xml:space="preserve"> (Kazemian et al., 2018)</w:t>
      </w:r>
      <w:r w:rsidR="006A798D" w:rsidRPr="004E2C94">
        <w:rPr>
          <w:rFonts w:ascii="Arial Nova" w:hAnsi="Arial Nova"/>
        </w:rPr>
        <w:t xml:space="preserve">. It was previously believed that adolescent-limited people only engaged in criminal </w:t>
      </w:r>
      <w:r w:rsidR="006A798D" w:rsidRPr="004E2C94">
        <w:rPr>
          <w:rFonts w:ascii="Arial Nova" w:hAnsi="Arial Nova"/>
        </w:rPr>
        <w:lastRenderedPageBreak/>
        <w:t>activity during their teenage years. The hypothesis looks at how early disparities in psychological and neurological characteristics manifest in children. The impact of one's peers is also emphasized.</w:t>
      </w:r>
    </w:p>
    <w:p w14:paraId="44A6DD53" w14:textId="77777777" w:rsidR="00F35D58" w:rsidRPr="004E2C94" w:rsidRDefault="00D54C2B" w:rsidP="008E6E6C">
      <w:pPr>
        <w:spacing w:after="0" w:line="360" w:lineRule="auto"/>
        <w:rPr>
          <w:rFonts w:ascii="Arial Nova" w:hAnsi="Arial Nova"/>
        </w:rPr>
      </w:pPr>
      <w:r w:rsidRPr="004E2C94">
        <w:rPr>
          <w:rFonts w:ascii="Arial Nova" w:hAnsi="Arial Nova"/>
          <w:b/>
          <w:bCs/>
        </w:rPr>
        <w:t>Life course theory</w:t>
      </w:r>
      <w:r w:rsidRPr="004E2C94">
        <w:rPr>
          <w:rFonts w:ascii="Arial Nova" w:hAnsi="Arial Nova"/>
        </w:rPr>
        <w:t xml:space="preserve"> is also important to understand criminology. Although no two people are indeed exactly alike, the life cycle theory of criminology argues that some behaviours and attitudes may be better understood when seen in the context of a person's whole existence</w:t>
      </w:r>
      <w:r w:rsidR="00904F2C" w:rsidRPr="004E2C94">
        <w:rPr>
          <w:rFonts w:ascii="Arial Nova" w:hAnsi="Arial Nova"/>
        </w:rPr>
        <w:t xml:space="preserve"> (Kazemian et al., 2018)</w:t>
      </w:r>
      <w:r w:rsidRPr="004E2C94">
        <w:rPr>
          <w:rFonts w:ascii="Arial Nova" w:hAnsi="Arial Nova"/>
        </w:rPr>
        <w:t>. This hypothesis hopes that it will shed light on why criminal conduct persists over the lifespan. It follows one person through many stages of their life and the impact those stages have on them</w:t>
      </w:r>
      <w:r w:rsidR="006360FF" w:rsidRPr="004E2C94">
        <w:rPr>
          <w:rFonts w:ascii="Arial Nova" w:hAnsi="Arial Nova"/>
        </w:rPr>
        <w:t xml:space="preserve"> (Carlsson &amp; Sarnecki, 2016)</w:t>
      </w:r>
      <w:r w:rsidRPr="004E2C94">
        <w:rPr>
          <w:rFonts w:ascii="Arial Nova" w:hAnsi="Arial Nova"/>
        </w:rPr>
        <w:t>. It seeks to ascertain whether or not certain occurrences increase or decrease the probability that an individual would conduct a criminal act.</w:t>
      </w:r>
      <w:r w:rsidR="00032E90" w:rsidRPr="004E2C94">
        <w:rPr>
          <w:rFonts w:ascii="Arial Nova" w:hAnsi="Arial Nova"/>
        </w:rPr>
        <w:t xml:space="preserve"> </w:t>
      </w:r>
      <w:r w:rsidRPr="004E2C94">
        <w:rPr>
          <w:rFonts w:ascii="Arial Nova" w:hAnsi="Arial Nova"/>
        </w:rPr>
        <w:t xml:space="preserve">Another criminology theory is </w:t>
      </w:r>
      <w:r w:rsidRPr="004E2C94">
        <w:rPr>
          <w:rFonts w:ascii="Arial Nova" w:hAnsi="Arial Nova"/>
          <w:b/>
          <w:bCs/>
        </w:rPr>
        <w:t>rational choice theory</w:t>
      </w:r>
      <w:r w:rsidR="00A26BB9" w:rsidRPr="004E2C94">
        <w:rPr>
          <w:rFonts w:ascii="Arial Nova" w:hAnsi="Arial Nova"/>
        </w:rPr>
        <w:t xml:space="preserve">. </w:t>
      </w:r>
      <w:r w:rsidR="005D3B5E" w:rsidRPr="004E2C94">
        <w:rPr>
          <w:rFonts w:ascii="Arial Nova" w:hAnsi="Arial Nova"/>
        </w:rPr>
        <w:t>In criminology, the utilitarian concept that people are rational agents who balance means and goals, costs and rewards, is the basis of the rational choice theory</w:t>
      </w:r>
      <w:r w:rsidR="00FA6002" w:rsidRPr="004E2C94">
        <w:rPr>
          <w:rFonts w:ascii="Arial Nova" w:hAnsi="Arial Nova"/>
        </w:rPr>
        <w:t xml:space="preserve"> (Clarke &amp; Felson, 2017)</w:t>
      </w:r>
      <w:r w:rsidR="005D3B5E" w:rsidRPr="004E2C94">
        <w:rPr>
          <w:rFonts w:ascii="Arial Nova" w:hAnsi="Arial Nova"/>
        </w:rPr>
        <w:t>. Cornish and Clarke developed this strategy to facilitate situational approaches to crime prevention.</w:t>
      </w:r>
    </w:p>
    <w:p w14:paraId="508584E7" w14:textId="77777777" w:rsidR="00BC5E2E" w:rsidRPr="004E2C94" w:rsidRDefault="00D54C2B" w:rsidP="000B55EC">
      <w:pPr>
        <w:pStyle w:val="Heading2"/>
        <w:spacing w:before="0"/>
        <w:rPr>
          <w:rFonts w:ascii="Arial Nova" w:hAnsi="Arial Nova"/>
        </w:rPr>
      </w:pPr>
      <w:bookmarkStart w:id="3" w:name="_Toc129917263"/>
      <w:r w:rsidRPr="004E2C94">
        <w:rPr>
          <w:rFonts w:ascii="Arial Nova" w:hAnsi="Arial Nova"/>
        </w:rPr>
        <w:t>The Methods Used for the Collection of Data Which Informs Evidence-Based Policing</w:t>
      </w:r>
      <w:bookmarkEnd w:id="3"/>
    </w:p>
    <w:p w14:paraId="2D488443" w14:textId="77777777" w:rsidR="000B2788" w:rsidRPr="004E2C94" w:rsidRDefault="00D54C2B" w:rsidP="008E6E6C">
      <w:pPr>
        <w:spacing w:after="0" w:line="360" w:lineRule="auto"/>
        <w:rPr>
          <w:rFonts w:ascii="Arial Nova" w:hAnsi="Arial Nova"/>
        </w:rPr>
      </w:pPr>
      <w:r w:rsidRPr="004E2C94">
        <w:rPr>
          <w:rFonts w:ascii="Arial Nova" w:hAnsi="Arial Nova"/>
        </w:rPr>
        <w:t>Evidence</w:t>
      </w:r>
      <w:r w:rsidR="00BE43F5" w:rsidRPr="004E2C94">
        <w:rPr>
          <w:rFonts w:ascii="Arial Nova" w:hAnsi="Arial Nova"/>
        </w:rPr>
        <w:t>-based</w:t>
      </w:r>
      <w:r w:rsidRPr="004E2C94">
        <w:rPr>
          <w:rFonts w:ascii="Arial Nova" w:hAnsi="Arial Nova"/>
        </w:rPr>
        <w:t xml:space="preserve"> policing is becoming popular day by day.</w:t>
      </w:r>
      <w:r w:rsidR="006D3FE8" w:rsidRPr="004E2C94">
        <w:rPr>
          <w:rFonts w:ascii="Arial Nova" w:hAnsi="Arial Nova"/>
        </w:rPr>
        <w:t xml:space="preserve"> There are different ways to collect information about incidents that help evidence-based policing.</w:t>
      </w:r>
      <w:r w:rsidR="00463F27" w:rsidRPr="004E2C94">
        <w:rPr>
          <w:rFonts w:ascii="Arial Nova" w:hAnsi="Arial Nova"/>
        </w:rPr>
        <w:t xml:space="preserve"> Generally, police collect data from </w:t>
      </w:r>
      <w:r w:rsidR="00463F27" w:rsidRPr="004E2C94">
        <w:rPr>
          <w:rFonts w:ascii="Arial Nova" w:hAnsi="Arial Nova"/>
          <w:b/>
          <w:bCs/>
        </w:rPr>
        <w:t>interviews and physical evidence</w:t>
      </w:r>
      <w:r w:rsidR="00463F27" w:rsidRPr="004E2C94">
        <w:rPr>
          <w:rFonts w:ascii="Arial Nova" w:hAnsi="Arial Nova"/>
        </w:rPr>
        <w:t>.</w:t>
      </w:r>
      <w:r w:rsidR="00562619" w:rsidRPr="004E2C94">
        <w:rPr>
          <w:rFonts w:ascii="Arial Nova" w:hAnsi="Arial Nova"/>
        </w:rPr>
        <w:t xml:space="preserve"> Then police analyze those data and try to figure out the incident.</w:t>
      </w:r>
      <w:r w:rsidR="00BE43F5" w:rsidRPr="004E2C94">
        <w:rPr>
          <w:rFonts w:ascii="Arial Nova" w:hAnsi="Arial Nova"/>
        </w:rPr>
        <w:t xml:space="preserve"> Officers are sent to the location of a reported crime as quickly as possible after receiving a call about the incident. The police may be able to apprehend the suspect there and then. Officers will then make an arrest and transport the suspect to either the local police station or the county prison for booking. The police will still gather evidence at the site of the crime to sustain a criminal penalty, even if they apprehend the culprit in the act. Witnesses at the site will be interviewed as part of this evidence-collecting process. Pictures, measurements, forensic evidence, general observations, and everything else that could be relevant to the crime will be taken throughout the site investigation</w:t>
      </w:r>
      <w:r w:rsidR="00295081" w:rsidRPr="004E2C94">
        <w:rPr>
          <w:rFonts w:ascii="Arial Nova" w:hAnsi="Arial Nova"/>
        </w:rPr>
        <w:t xml:space="preserve"> (Sollie et al., 2017)</w:t>
      </w:r>
      <w:r w:rsidR="00BE43F5" w:rsidRPr="004E2C94">
        <w:rPr>
          <w:rFonts w:ascii="Arial Nova" w:hAnsi="Arial Nova"/>
        </w:rPr>
        <w:t xml:space="preserve">. The police and their personnel must always act by the </w:t>
      </w:r>
      <w:r w:rsidR="00BE43F5" w:rsidRPr="004E2C94">
        <w:rPr>
          <w:rFonts w:ascii="Arial Nova" w:hAnsi="Arial Nova"/>
        </w:rPr>
        <w:lastRenderedPageBreak/>
        <w:t>Fourth Amendment's protection against unreasonable searches and seizures. This implies that the police will often need a warrant or probable cause to search for private property.</w:t>
      </w:r>
    </w:p>
    <w:p w14:paraId="5206B8DC" w14:textId="77777777" w:rsidR="000B2788" w:rsidRPr="004E2C94" w:rsidRDefault="00D54C2B" w:rsidP="008E6E6C">
      <w:pPr>
        <w:spacing w:after="0" w:line="360" w:lineRule="auto"/>
        <w:rPr>
          <w:rFonts w:ascii="Arial Nova" w:hAnsi="Arial Nova"/>
        </w:rPr>
      </w:pPr>
      <w:r w:rsidRPr="004E2C94">
        <w:rPr>
          <w:rFonts w:ascii="Arial Nova" w:hAnsi="Arial Nova"/>
          <w:b/>
          <w:bCs/>
        </w:rPr>
        <w:t>The interviews</w:t>
      </w:r>
      <w:r w:rsidRPr="004E2C94">
        <w:rPr>
          <w:rFonts w:ascii="Arial Nova" w:hAnsi="Arial Nova"/>
        </w:rPr>
        <w:t xml:space="preserve"> conducted by the police are meant to establish the facts of the case, as the investigators attempt to determine what occurred and who could be at fault. It is common to practise to conduct many interviews with witnesses to get a full picture of what happened. Anyone with firsthand information about the crime will be a priority for investigators</w:t>
      </w:r>
      <w:r w:rsidR="00295081" w:rsidRPr="004E2C94">
        <w:rPr>
          <w:rFonts w:ascii="Arial Nova" w:hAnsi="Arial Nova"/>
        </w:rPr>
        <w:t xml:space="preserve"> (Gordon &amp; Fleisher, 2019)</w:t>
      </w:r>
      <w:r w:rsidRPr="004E2C94">
        <w:rPr>
          <w:rFonts w:ascii="Arial Nova" w:hAnsi="Arial Nova"/>
        </w:rPr>
        <w:t>. Personal knowledge requires direct experience, such as seeing, hearing, smelling, tasting, or touching. The police will meticulously record the statements of witnesses and the officer's observations of the witness so that the material is accessible to current and future law enforcement personnel, investigators, and prosecutors.</w:t>
      </w:r>
    </w:p>
    <w:p w14:paraId="66EEA470" w14:textId="77777777" w:rsidR="000B2788" w:rsidRPr="004E2C94" w:rsidRDefault="00D54C2B" w:rsidP="008E6E6C">
      <w:pPr>
        <w:spacing w:after="0" w:line="360" w:lineRule="auto"/>
        <w:rPr>
          <w:rFonts w:ascii="Arial Nova" w:hAnsi="Arial Nova"/>
        </w:rPr>
      </w:pPr>
      <w:r w:rsidRPr="004E2C94">
        <w:rPr>
          <w:rFonts w:ascii="Arial Nova" w:hAnsi="Arial Nova"/>
          <w:b/>
          <w:bCs/>
        </w:rPr>
        <w:t>Physical evidence</w:t>
      </w:r>
      <w:r w:rsidRPr="004E2C94">
        <w:rPr>
          <w:rFonts w:ascii="Arial Nova" w:hAnsi="Arial Nova"/>
        </w:rPr>
        <w:t xml:space="preserve"> will also be gathered by the police at the site of the incident. Photos, measurements, fingerprints, blood samples, and any other physical evidence might be collected in this manner. After then, it's up to you to make sure that every shred of evidence is carefully documented and preserved. Gloves will be used during the collection process to protect against contamination and preserve fingerprints. Forensic evidence, such as fingerprints, blood, or saliva, may be collected and submitted to laboratories for processing if the circumstances of the crime require it</w:t>
      </w:r>
      <w:r w:rsidR="00A9704A" w:rsidRPr="004E2C94">
        <w:rPr>
          <w:rFonts w:ascii="Arial Nova" w:hAnsi="Arial Nova"/>
        </w:rPr>
        <w:t xml:space="preserve"> (Kaplan, 2019)</w:t>
      </w:r>
      <w:r w:rsidRPr="004E2C94">
        <w:rPr>
          <w:rFonts w:ascii="Arial Nova" w:hAnsi="Arial Nova"/>
        </w:rPr>
        <w:t>. After the materials are collected, they will be put in a sealed, clearly labelled evidence bag. Each item of evidence will have its chain of custody established, beginning with the person who collected it and continuing through all those who handled the evidence before it was presented in court.</w:t>
      </w:r>
    </w:p>
    <w:p w14:paraId="6C2758B1" w14:textId="77777777" w:rsidR="000B2788" w:rsidRPr="004E2C94" w:rsidRDefault="00D54C2B" w:rsidP="008E6E6C">
      <w:pPr>
        <w:pStyle w:val="Heading2"/>
        <w:spacing w:before="0"/>
        <w:rPr>
          <w:rFonts w:ascii="Arial Nova" w:hAnsi="Arial Nova"/>
        </w:rPr>
      </w:pPr>
      <w:bookmarkStart w:id="4" w:name="_Toc129917264"/>
      <w:r w:rsidRPr="004E2C94">
        <w:rPr>
          <w:rFonts w:ascii="Arial Nova" w:hAnsi="Arial Nova"/>
        </w:rPr>
        <w:t>Evidence-Based Policing and Criminology</w:t>
      </w:r>
      <w:bookmarkEnd w:id="4"/>
      <w:r w:rsidRPr="004E2C94">
        <w:rPr>
          <w:rFonts w:ascii="Arial Nova" w:hAnsi="Arial Nova"/>
        </w:rPr>
        <w:t xml:space="preserve"> </w:t>
      </w:r>
    </w:p>
    <w:p w14:paraId="3C826FBE" w14:textId="77777777" w:rsidR="00515FB8" w:rsidRPr="004E2C94" w:rsidRDefault="00D54C2B" w:rsidP="008E6E6C">
      <w:pPr>
        <w:spacing w:after="0" w:line="360" w:lineRule="auto"/>
        <w:rPr>
          <w:rFonts w:ascii="Arial Nova" w:hAnsi="Arial Nova"/>
        </w:rPr>
      </w:pPr>
      <w:r w:rsidRPr="004E2C94">
        <w:rPr>
          <w:rFonts w:ascii="Arial Nova" w:hAnsi="Arial Nova"/>
          <w:b/>
          <w:bCs/>
        </w:rPr>
        <w:t>Criminal activity</w:t>
      </w:r>
      <w:r w:rsidRPr="004E2C94">
        <w:rPr>
          <w:rFonts w:ascii="Arial Nova" w:hAnsi="Arial Nova"/>
        </w:rPr>
        <w:t xml:space="preserve"> involving controlled substances may include activities such as production, distribution, and sale. Drug crimes include any illegal behaviour involving drugs. The spread and abuse of illicit drugs have rapidly evolved into a global epidemic. These criminal acts are often committed by young people. Over </w:t>
      </w:r>
      <w:r w:rsidR="004B4024" w:rsidRPr="004E2C94">
        <w:rPr>
          <w:rFonts w:ascii="Arial Nova" w:hAnsi="Arial Nova"/>
        </w:rPr>
        <w:t>27</w:t>
      </w:r>
      <w:r w:rsidRPr="004E2C94">
        <w:rPr>
          <w:rFonts w:ascii="Arial Nova" w:hAnsi="Arial Nova"/>
        </w:rPr>
        <w:t>% of people in England and Wales between the ages of 16 and 24 are invo</w:t>
      </w:r>
      <w:r w:rsidR="004B4024" w:rsidRPr="004E2C94">
        <w:rPr>
          <w:rFonts w:ascii="Arial Nova" w:hAnsi="Arial Nova"/>
        </w:rPr>
        <w:t>lved in drug criminality in 2021</w:t>
      </w:r>
      <w:r w:rsidR="00B870A0" w:rsidRPr="004E2C94">
        <w:rPr>
          <w:rFonts w:ascii="Arial Nova" w:hAnsi="Arial Nova"/>
        </w:rPr>
        <w:t>, according to the Crime Survey</w:t>
      </w:r>
      <w:r w:rsidR="00E5526F" w:rsidRPr="004E2C94">
        <w:rPr>
          <w:rFonts w:ascii="Arial Nova" w:hAnsi="Arial Nova"/>
        </w:rPr>
        <w:t xml:space="preserve"> (Douglas &amp; Braga, 2021)</w:t>
      </w:r>
      <w:r w:rsidRPr="004E2C94">
        <w:rPr>
          <w:rFonts w:ascii="Arial Nova" w:hAnsi="Arial Nova"/>
        </w:rPr>
        <w:t xml:space="preserve">. This poll demonstrates the seriousness with which people face this problem. According to traditional criminological </w:t>
      </w:r>
      <w:r w:rsidRPr="004E2C94">
        <w:rPr>
          <w:rFonts w:ascii="Arial Nova" w:hAnsi="Arial Nova"/>
        </w:rPr>
        <w:lastRenderedPageBreak/>
        <w:t xml:space="preserve">theory, harsh penalties are necessary to deter criminal behaviour like this. In </w:t>
      </w:r>
      <w:r w:rsidRPr="004E2C94">
        <w:rPr>
          <w:rFonts w:ascii="Arial Nova" w:hAnsi="Arial Nova"/>
          <w:b/>
          <w:bCs/>
        </w:rPr>
        <w:t>classical criminology</w:t>
      </w:r>
      <w:r w:rsidRPr="004E2C94">
        <w:rPr>
          <w:rFonts w:ascii="Arial Nova" w:hAnsi="Arial Nova"/>
        </w:rPr>
        <w:t>, the proportionate notion states that punishment should match the seriousness of the crime. As illegal drug trafficking promotes crime in different cultures but unlawful intake and use of drugs engenders one's personal life, the two should be punished differently.</w:t>
      </w:r>
    </w:p>
    <w:p w14:paraId="7305A602" w14:textId="77777777" w:rsidR="00515FB8" w:rsidRPr="004E2C94" w:rsidRDefault="00D54C2B" w:rsidP="008E6E6C">
      <w:pPr>
        <w:spacing w:after="0" w:line="360" w:lineRule="auto"/>
        <w:rPr>
          <w:rFonts w:ascii="Arial Nova" w:hAnsi="Arial Nova"/>
        </w:rPr>
      </w:pPr>
      <w:r w:rsidRPr="004E2C94">
        <w:rPr>
          <w:rFonts w:ascii="Arial Nova" w:hAnsi="Arial Nova"/>
        </w:rPr>
        <w:t xml:space="preserve">This is why the severity of the penalty should change according to the principle of proportionality. As a result, a drug distributor will face harsher penalties than a user. In contrast, policing based on evidence guarantees that offenders are punished to reduce crime via the use of several models and tactics. The drug hot zone is a good paradigm for reducing drug-related </w:t>
      </w:r>
      <w:r w:rsidR="00B870A0" w:rsidRPr="004E2C94">
        <w:rPr>
          <w:rFonts w:ascii="Arial Nova" w:hAnsi="Arial Nova"/>
        </w:rPr>
        <w:t>crime</w:t>
      </w:r>
      <w:r w:rsidRPr="004E2C94">
        <w:rPr>
          <w:rFonts w:ascii="Arial Nova" w:hAnsi="Arial Nova"/>
        </w:rPr>
        <w:t xml:space="preserve">. This strategy targets hotspots where </w:t>
      </w:r>
      <w:r w:rsidRPr="004E2C94">
        <w:rPr>
          <w:rFonts w:ascii="Arial Nova" w:hAnsi="Arial Nova"/>
          <w:b/>
          <w:bCs/>
        </w:rPr>
        <w:t>criminal activity</w:t>
      </w:r>
      <w:r w:rsidRPr="004E2C94">
        <w:rPr>
          <w:rFonts w:ascii="Arial Nova" w:hAnsi="Arial Nova"/>
        </w:rPr>
        <w:t xml:space="preserve"> is most likely to occur and where victims would suffer the most. Certain geographic regions are more conducive to the distribution and sale of drugs, and as a result, drug crime, which includes smuggling and illicit use of the substance, is developed there</w:t>
      </w:r>
      <w:r w:rsidR="002A6B3E" w:rsidRPr="004E2C94">
        <w:rPr>
          <w:rFonts w:ascii="Arial Nova" w:hAnsi="Arial Nova"/>
        </w:rPr>
        <w:t xml:space="preserve"> (Douglas &amp; Braga, 2021)</w:t>
      </w:r>
      <w:r w:rsidRPr="004E2C94">
        <w:rPr>
          <w:rFonts w:ascii="Arial Nova" w:hAnsi="Arial Nova"/>
        </w:rPr>
        <w:t>. Crimes of this kind may be prevented or mitigated by law enforcement using the hot spot concept. Due to the need of raising public and societal consciousness about the issue of drug crime prevention, problem-oriented policing (POP) is equally useful here. For example, to combat drug abuse in a neighbourhood, police may work together with concerned citizens and neighbourhood groups via problem-oriented policing.</w:t>
      </w:r>
    </w:p>
    <w:p w14:paraId="3ABEA0B3" w14:textId="77777777" w:rsidR="00515FB8" w:rsidRPr="004E2C94" w:rsidRDefault="00D54C2B" w:rsidP="008E6E6C">
      <w:pPr>
        <w:pStyle w:val="Heading2"/>
        <w:spacing w:before="0"/>
        <w:rPr>
          <w:rFonts w:ascii="Arial Nova" w:hAnsi="Arial Nova"/>
        </w:rPr>
      </w:pPr>
      <w:bookmarkStart w:id="5" w:name="_Toc129917265"/>
      <w:r w:rsidRPr="004E2C94">
        <w:rPr>
          <w:rFonts w:ascii="Arial Nova" w:hAnsi="Arial Nova"/>
        </w:rPr>
        <w:t>Strengths and Weakness of Evidence-Based Policing and Criminology</w:t>
      </w:r>
      <w:bookmarkEnd w:id="5"/>
    </w:p>
    <w:p w14:paraId="3E27C42D" w14:textId="77777777" w:rsidR="00FF5F14" w:rsidRPr="004E2C94" w:rsidRDefault="00D54C2B" w:rsidP="008E6E6C">
      <w:pPr>
        <w:spacing w:after="0" w:line="360" w:lineRule="auto"/>
        <w:rPr>
          <w:rFonts w:ascii="Arial Nova" w:hAnsi="Arial Nova"/>
        </w:rPr>
      </w:pPr>
      <w:r w:rsidRPr="004E2C94">
        <w:rPr>
          <w:rFonts w:ascii="Arial Nova" w:hAnsi="Arial Nova"/>
        </w:rPr>
        <w:t xml:space="preserve">Since it offers explanations for why people engage in criminal behaviour and proposes solutions like stricter law enforcement, </w:t>
      </w:r>
      <w:r w:rsidRPr="004E2C94">
        <w:rPr>
          <w:rFonts w:ascii="Arial Nova" w:hAnsi="Arial Nova"/>
          <w:b/>
          <w:bCs/>
        </w:rPr>
        <w:t>classical criminology</w:t>
      </w:r>
      <w:r w:rsidRPr="004E2C94">
        <w:rPr>
          <w:rFonts w:ascii="Arial Nova" w:hAnsi="Arial Nova"/>
        </w:rPr>
        <w:t xml:space="preserve"> has gained a global following. Both praise and criticism are included. The rationality idea, which was first proposed in classical criminology, is the theory's greatest strength since it is widely acknowledged among academics. Since it is generally acknowledged that a criminal should get a harsher sentence in proportion to the severity of their crime, proportionality is another strength of the idea. </w:t>
      </w:r>
    </w:p>
    <w:p w14:paraId="169DC153" w14:textId="77777777" w:rsidR="00FF5F14" w:rsidRPr="004E2C94" w:rsidRDefault="00D54C2B" w:rsidP="008E6E6C">
      <w:pPr>
        <w:spacing w:after="0" w:line="360" w:lineRule="auto"/>
        <w:jc w:val="center"/>
        <w:rPr>
          <w:rFonts w:ascii="Arial Nova" w:hAnsi="Arial Nova"/>
        </w:rPr>
      </w:pPr>
      <w:r w:rsidRPr="004E2C94">
        <w:rPr>
          <w:rFonts w:ascii="Arial Nova" w:hAnsi="Arial Nova"/>
          <w:noProof/>
          <w:lang w:bidi="ar-SA"/>
        </w:rPr>
        <w:lastRenderedPageBreak/>
        <w:drawing>
          <wp:inline distT="0" distB="0" distL="0" distR="0" wp14:anchorId="40199993" wp14:editId="31256C6D">
            <wp:extent cx="3743325" cy="208597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0"/>
                    <a:stretch>
                      <a:fillRect/>
                    </a:stretch>
                  </pic:blipFill>
                  <pic:spPr bwMode="auto">
                    <a:xfrm>
                      <a:off x="0" y="0"/>
                      <a:ext cx="3743325" cy="2085975"/>
                    </a:xfrm>
                    <a:prstGeom prst="rect">
                      <a:avLst/>
                    </a:prstGeom>
                    <a:noFill/>
                    <a:ln w="9525">
                      <a:noFill/>
                      <a:miter lim="800000"/>
                      <a:headEnd/>
                      <a:tailEnd/>
                    </a:ln>
                  </pic:spPr>
                </pic:pic>
              </a:graphicData>
            </a:graphic>
          </wp:inline>
        </w:drawing>
      </w:r>
    </w:p>
    <w:p w14:paraId="3D0E51DD" w14:textId="77777777" w:rsidR="00FF5F14" w:rsidRPr="004E2C94" w:rsidRDefault="00D54C2B" w:rsidP="008E6E6C">
      <w:pPr>
        <w:spacing w:after="0" w:line="360" w:lineRule="auto"/>
        <w:jc w:val="center"/>
        <w:rPr>
          <w:rFonts w:ascii="Arial Nova" w:hAnsi="Arial Nova"/>
          <w:b/>
          <w:sz w:val="20"/>
        </w:rPr>
      </w:pPr>
      <w:r w:rsidRPr="004E2C94">
        <w:rPr>
          <w:rFonts w:ascii="Arial Nova" w:hAnsi="Arial Nova"/>
          <w:b/>
          <w:sz w:val="20"/>
        </w:rPr>
        <w:t>Figure 2: Criminal Justice and Criminology</w:t>
      </w:r>
    </w:p>
    <w:p w14:paraId="6967546A" w14:textId="77777777" w:rsidR="00FF5F14" w:rsidRPr="004E2C94" w:rsidRDefault="00D54C2B" w:rsidP="008E6E6C">
      <w:pPr>
        <w:spacing w:after="0" w:line="360" w:lineRule="auto"/>
        <w:jc w:val="center"/>
        <w:rPr>
          <w:rFonts w:ascii="Arial Nova" w:hAnsi="Arial Nova"/>
          <w:b/>
          <w:sz w:val="20"/>
        </w:rPr>
      </w:pPr>
      <w:r w:rsidRPr="004E2C94">
        <w:rPr>
          <w:rFonts w:ascii="Arial Nova" w:hAnsi="Arial Nova"/>
          <w:b/>
          <w:sz w:val="20"/>
        </w:rPr>
        <w:t>Source: (McGuire et al., 2021)</w:t>
      </w:r>
    </w:p>
    <w:p w14:paraId="3C1E4B23" w14:textId="77777777" w:rsidR="006759EA" w:rsidRPr="004E2C94" w:rsidRDefault="00D54C2B" w:rsidP="008E6E6C">
      <w:pPr>
        <w:spacing w:after="0" w:line="360" w:lineRule="auto"/>
        <w:rPr>
          <w:rFonts w:ascii="Arial Nova" w:hAnsi="Arial Nova"/>
        </w:rPr>
      </w:pPr>
      <w:r w:rsidRPr="004E2C94">
        <w:rPr>
          <w:rFonts w:ascii="Arial Nova" w:hAnsi="Arial Nova"/>
        </w:rPr>
        <w:t>Yet, a lack of depth in discussing traditional criminology is a flaw. Everyone has the option to make a criminal choice, but the argument does not explain why more people do not. Poverty, unemployment, and other causes push people to commit a crime, therefore classical criminology's failure to account for these and other social and economic issues is another critique.</w:t>
      </w:r>
    </w:p>
    <w:p w14:paraId="71355561" w14:textId="77777777" w:rsidR="00515FB8" w:rsidRPr="004E2C94" w:rsidRDefault="00D54C2B" w:rsidP="008E6E6C">
      <w:pPr>
        <w:spacing w:after="0" w:line="360" w:lineRule="auto"/>
        <w:rPr>
          <w:rFonts w:ascii="Arial Nova" w:hAnsi="Arial Nova"/>
        </w:rPr>
      </w:pPr>
      <w:r w:rsidRPr="004E2C94">
        <w:rPr>
          <w:rFonts w:ascii="Arial Nova" w:hAnsi="Arial Nova"/>
        </w:rPr>
        <w:t xml:space="preserve">There are </w:t>
      </w:r>
      <w:r w:rsidRPr="004E2C94">
        <w:rPr>
          <w:rFonts w:ascii="Arial Nova" w:hAnsi="Arial Nova"/>
          <w:b/>
          <w:bCs/>
        </w:rPr>
        <w:t>benefits and drawbacks</w:t>
      </w:r>
      <w:r w:rsidRPr="004E2C94">
        <w:rPr>
          <w:rFonts w:ascii="Arial Nova" w:hAnsi="Arial Nova"/>
        </w:rPr>
        <w:t xml:space="preserve"> to using EBP (evidence-based policing). One advantage of Evidence-based policing is the increased emphasis on investigating and analysing crimes. To effectively prevent crime, the police need to do research using a variety of models (POP, hot spot, etc.). Police are better able to carry out their responsibilities of crime prevention and offender punishment when they work together with members of the community and other societal institutions</w:t>
      </w:r>
      <w:r w:rsidR="009B3C31" w:rsidRPr="004E2C94">
        <w:rPr>
          <w:rFonts w:ascii="Arial Nova" w:hAnsi="Arial Nova"/>
        </w:rPr>
        <w:t xml:space="preserve"> (Hinkle et al., 2021)</w:t>
      </w:r>
      <w:r w:rsidRPr="004E2C94">
        <w:rPr>
          <w:rFonts w:ascii="Arial Nova" w:hAnsi="Arial Nova"/>
        </w:rPr>
        <w:t>. In addition, cops do their jobs by respecting lows, a symbol of social acceptance. Yet, it's not without its flaws and critics. While making an arrest, police only consider the offender's unlawful behaviour, never their motivations. This creates an ethical dilemma that calls into doubt their efficacy in fighting crime. It has been said that one of the weaknesses of evidence-based policing is that it does not encourage innovation, preferring instead to stick with tried-and-true practices.</w:t>
      </w:r>
    </w:p>
    <w:p w14:paraId="26195803" w14:textId="77777777" w:rsidR="00B02AFF" w:rsidRPr="004E2C94" w:rsidRDefault="00D54C2B" w:rsidP="004E2C94">
      <w:pPr>
        <w:pStyle w:val="Heading1"/>
      </w:pPr>
      <w:bookmarkStart w:id="6" w:name="_Toc129917266"/>
      <w:r w:rsidRPr="004E2C94">
        <w:t>Conclusion</w:t>
      </w:r>
      <w:bookmarkEnd w:id="6"/>
    </w:p>
    <w:p w14:paraId="3552229D" w14:textId="77777777" w:rsidR="00B02AFF" w:rsidRPr="004E2C94" w:rsidRDefault="00D54C2B" w:rsidP="00473B5E">
      <w:pPr>
        <w:spacing w:line="360" w:lineRule="auto"/>
        <w:rPr>
          <w:rFonts w:ascii="Arial Nova" w:hAnsi="Arial Nova"/>
        </w:rPr>
      </w:pPr>
      <w:r w:rsidRPr="004E2C94">
        <w:rPr>
          <w:rFonts w:ascii="Arial Nova" w:hAnsi="Arial Nova"/>
        </w:rPr>
        <w:t xml:space="preserve">Evidence-based policing is becoming popular day by day. It gives a clear investigation into any situation. People like those reports which are analyzed through proper </w:t>
      </w:r>
      <w:r w:rsidRPr="004E2C94">
        <w:rPr>
          <w:rFonts w:ascii="Arial Nova" w:hAnsi="Arial Nova"/>
        </w:rPr>
        <w:lastRenderedPageBreak/>
        <w:t>investigation. Also, police nowadays do research scientifically that increases the acceptance of their reports.</w:t>
      </w:r>
      <w:r w:rsidR="005F37E4" w:rsidRPr="004E2C94">
        <w:rPr>
          <w:rFonts w:ascii="Arial Nova" w:hAnsi="Arial Nova"/>
        </w:rPr>
        <w:t xml:space="preserve"> Evidence-based policing also provides the right evidence for the incident.</w:t>
      </w:r>
      <w:r w:rsidR="001D112B" w:rsidRPr="004E2C94">
        <w:rPr>
          <w:rFonts w:ascii="Arial Nova" w:hAnsi="Arial Nova"/>
        </w:rPr>
        <w:t xml:space="preserve"> There is a widespread complaint that neither traditional criminology nor evidence-based policing considers social and economic aspects when determining how to punish criminals. Even if each has some flaws in particular areas, their importance in crime prevention and ensuring criminals are punished cannot be understated. </w:t>
      </w:r>
      <w:r w:rsidR="008E6E6C" w:rsidRPr="004E2C94">
        <w:rPr>
          <w:rFonts w:ascii="Arial Nova" w:hAnsi="Arial Nova"/>
        </w:rPr>
        <w:t>So,</w:t>
      </w:r>
      <w:r w:rsidR="001D112B" w:rsidRPr="004E2C94">
        <w:rPr>
          <w:rFonts w:ascii="Arial Nova" w:hAnsi="Arial Nova"/>
        </w:rPr>
        <w:t xml:space="preserve"> evidence-based policing should be practised by police officials. </w:t>
      </w:r>
    </w:p>
    <w:p w14:paraId="2B06AB5E" w14:textId="77777777" w:rsidR="004D1999" w:rsidRPr="004E2C94" w:rsidRDefault="00D54C2B" w:rsidP="00473B5E">
      <w:pPr>
        <w:spacing w:line="360" w:lineRule="auto"/>
        <w:rPr>
          <w:rFonts w:ascii="Arial Nova" w:hAnsi="Arial Nova"/>
        </w:rPr>
      </w:pPr>
      <w:r w:rsidRPr="004E2C94">
        <w:rPr>
          <w:rFonts w:ascii="Arial Nova" w:hAnsi="Arial Nova"/>
        </w:rPr>
        <w:br w:type="page"/>
      </w:r>
    </w:p>
    <w:p w14:paraId="39E8EFD1" w14:textId="77777777" w:rsidR="007D1709" w:rsidRPr="004E2C94" w:rsidRDefault="00D54C2B" w:rsidP="004E2C94">
      <w:pPr>
        <w:pStyle w:val="Heading1"/>
      </w:pPr>
      <w:bookmarkStart w:id="7" w:name="_Toc129917267"/>
      <w:r w:rsidRPr="004E2C94">
        <w:lastRenderedPageBreak/>
        <w:t>References</w:t>
      </w:r>
      <w:bookmarkEnd w:id="7"/>
    </w:p>
    <w:p w14:paraId="38450762" w14:textId="77777777" w:rsidR="008E6E6C" w:rsidRPr="004E2C94" w:rsidRDefault="00D54C2B" w:rsidP="008E6E6C">
      <w:pPr>
        <w:spacing w:after="0" w:line="360" w:lineRule="auto"/>
        <w:rPr>
          <w:rFonts w:ascii="Arial Nova" w:hAnsi="Arial Nova"/>
        </w:rPr>
      </w:pPr>
      <w:r w:rsidRPr="004E2C94">
        <w:rPr>
          <w:rFonts w:ascii="Arial Nova" w:hAnsi="Arial Nova"/>
        </w:rPr>
        <w:t xml:space="preserve">Carlsson, C. and Sarnecki, J. (2016) </w:t>
      </w:r>
      <w:r w:rsidRPr="004E2C94">
        <w:rPr>
          <w:rFonts w:ascii="Arial Nova" w:hAnsi="Arial Nova"/>
          <w:i/>
          <w:iCs/>
        </w:rPr>
        <w:t>An introduction to life-course criminology</w:t>
      </w:r>
      <w:r w:rsidRPr="004E2C94">
        <w:rPr>
          <w:rFonts w:ascii="Arial Nova" w:hAnsi="Arial Nova"/>
        </w:rPr>
        <w:t xml:space="preserve">. Los Angeles i pozostałe: Sage. </w:t>
      </w:r>
    </w:p>
    <w:p w14:paraId="4B390801" w14:textId="77777777" w:rsidR="008E6E6C" w:rsidRPr="004E2C94" w:rsidRDefault="00D54C2B" w:rsidP="008E6E6C">
      <w:pPr>
        <w:spacing w:after="0" w:line="360" w:lineRule="auto"/>
        <w:rPr>
          <w:rFonts w:ascii="Arial Nova" w:hAnsi="Arial Nova"/>
        </w:rPr>
      </w:pPr>
      <w:r w:rsidRPr="004E2C94">
        <w:rPr>
          <w:rFonts w:ascii="Arial Nova" w:hAnsi="Arial Nova"/>
        </w:rPr>
        <w:t xml:space="preserve">Clarke, R.V. and Felson, M. (2017) “Introduction: Criminology, routine activity, and rational choice,” </w:t>
      </w:r>
      <w:r w:rsidRPr="004E2C94">
        <w:rPr>
          <w:rFonts w:ascii="Arial Nova" w:hAnsi="Arial Nova"/>
          <w:i/>
          <w:iCs/>
        </w:rPr>
        <w:t>Routine Activity and Rational Choice</w:t>
      </w:r>
      <w:r w:rsidRPr="004E2C94">
        <w:rPr>
          <w:rFonts w:ascii="Arial Nova" w:hAnsi="Arial Nova"/>
        </w:rPr>
        <w:t xml:space="preserve">, pp. 1–14. Available at: https://doi.org/10.4324/9781315128788-1. </w:t>
      </w:r>
    </w:p>
    <w:p w14:paraId="65F4DA30" w14:textId="77777777" w:rsidR="008E6E6C" w:rsidRPr="004E2C94" w:rsidRDefault="00D54C2B" w:rsidP="008E6E6C">
      <w:pPr>
        <w:spacing w:after="0" w:line="360" w:lineRule="auto"/>
        <w:rPr>
          <w:rFonts w:ascii="Arial Nova" w:hAnsi="Arial Nova"/>
        </w:rPr>
      </w:pPr>
      <w:r w:rsidRPr="004E2C94">
        <w:rPr>
          <w:rFonts w:ascii="Arial Nova" w:hAnsi="Arial Nova"/>
        </w:rPr>
        <w:t xml:space="preserve">Davies, P. and Rowe, M. (2022) </w:t>
      </w:r>
      <w:r w:rsidRPr="004E2C94">
        <w:rPr>
          <w:rFonts w:ascii="Arial Nova" w:hAnsi="Arial Nova"/>
          <w:i/>
          <w:iCs/>
        </w:rPr>
        <w:t>An introduction to criminology</w:t>
      </w:r>
      <w:r w:rsidRPr="004E2C94">
        <w:rPr>
          <w:rFonts w:ascii="Arial Nova" w:hAnsi="Arial Nova"/>
        </w:rPr>
        <w:t xml:space="preserve">. Los Angeles: SAGE. </w:t>
      </w:r>
    </w:p>
    <w:p w14:paraId="7D635CBE" w14:textId="77777777" w:rsidR="008E6E6C" w:rsidRDefault="00D54C2B" w:rsidP="008E6E6C">
      <w:pPr>
        <w:spacing w:after="0" w:line="360" w:lineRule="auto"/>
        <w:rPr>
          <w:rFonts w:ascii="Arial Nova" w:hAnsi="Arial Nova"/>
        </w:rPr>
      </w:pPr>
      <w:r w:rsidRPr="004E2C94">
        <w:rPr>
          <w:rFonts w:ascii="Arial Nova" w:hAnsi="Arial Nova"/>
        </w:rPr>
        <w:t xml:space="preserve">Douglas, S. and Braga, A.A. (2021) “Non-traditional research partnerships to aid the adoption of evidence-based policing,” </w:t>
      </w:r>
      <w:r w:rsidRPr="004E2C94">
        <w:rPr>
          <w:rFonts w:ascii="Arial Nova" w:hAnsi="Arial Nova"/>
          <w:i/>
          <w:iCs/>
        </w:rPr>
        <w:t>The Globalization of Evidence-Based Policing</w:t>
      </w:r>
      <w:r w:rsidRPr="004E2C94">
        <w:rPr>
          <w:rFonts w:ascii="Arial Nova" w:hAnsi="Arial Nova"/>
        </w:rPr>
        <w:t xml:space="preserve">, pp. 178–190. Available at: https://doi.org/10.4324/9781003027508-16. </w:t>
      </w:r>
    </w:p>
    <w:p w14:paraId="27C53B28" w14:textId="04848572" w:rsidR="005C14CB" w:rsidRPr="004E2C94" w:rsidRDefault="005C14CB" w:rsidP="008E6E6C">
      <w:pPr>
        <w:spacing w:after="0" w:line="360" w:lineRule="auto"/>
        <w:rPr>
          <w:rFonts w:ascii="Arial Nova" w:hAnsi="Arial Nova"/>
        </w:rPr>
      </w:pPr>
      <w:r>
        <w:rPr>
          <w:rFonts w:ascii="Arial Nova" w:hAnsi="Arial Nova"/>
        </w:rPr>
        <w:t xml:space="preserve">Brett Chapman (2019), “Body-Worn Cameras: What the Evidence Tells Us”, NIJ Journal 280, January 2019, </w:t>
      </w:r>
      <w:hyperlink r:id="rId11" w:history="1">
        <w:r w:rsidRPr="00672C91">
          <w:rPr>
            <w:rStyle w:val="Hyperlink"/>
            <w:rFonts w:ascii="Arial Nova" w:hAnsi="Arial Nova"/>
          </w:rPr>
          <w:t>https://www.nij.gov/journals/280/Pages/body-worn-cameras-what-evidence-tells-us</w:t>
        </w:r>
      </w:hyperlink>
      <w:r>
        <w:rPr>
          <w:rFonts w:ascii="Arial Nova" w:hAnsi="Arial Nova"/>
        </w:rPr>
        <w:t xml:space="preserve">. </w:t>
      </w:r>
      <w:proofErr w:type="spellStart"/>
      <w:r>
        <w:rPr>
          <w:rFonts w:ascii="Arial Nova" w:hAnsi="Arial Nova"/>
        </w:rPr>
        <w:t>Aspx</w:t>
      </w:r>
      <w:proofErr w:type="spellEnd"/>
      <w:r>
        <w:rPr>
          <w:rFonts w:ascii="Arial Nova" w:hAnsi="Arial Nova"/>
        </w:rPr>
        <w:t>.</w:t>
      </w:r>
    </w:p>
    <w:p w14:paraId="67E9E825" w14:textId="77777777" w:rsidR="008E6E6C" w:rsidRPr="004E2C94" w:rsidRDefault="00D54C2B" w:rsidP="008E6E6C">
      <w:pPr>
        <w:spacing w:after="0" w:line="360" w:lineRule="auto"/>
        <w:rPr>
          <w:rFonts w:ascii="Arial Nova" w:hAnsi="Arial Nova"/>
        </w:rPr>
      </w:pPr>
      <w:r w:rsidRPr="004E2C94">
        <w:rPr>
          <w:rFonts w:ascii="Arial Nova" w:hAnsi="Arial Nova"/>
        </w:rPr>
        <w:t xml:space="preserve">Fleming, J. and Rhodes, R. (2018) “Can experience be evidence? craft knowledge and evidence-based policing,” </w:t>
      </w:r>
      <w:r w:rsidRPr="004E2C94">
        <w:rPr>
          <w:rFonts w:ascii="Arial Nova" w:hAnsi="Arial Nova"/>
          <w:i/>
          <w:iCs/>
        </w:rPr>
        <w:t>Policy &amp; Politics</w:t>
      </w:r>
      <w:r w:rsidRPr="004E2C94">
        <w:rPr>
          <w:rFonts w:ascii="Arial Nova" w:hAnsi="Arial Nova"/>
        </w:rPr>
        <w:t xml:space="preserve">, 46(1), pp. 3–26. Available at: https://doi.org/10.1332/030557317x14957211514333. </w:t>
      </w:r>
    </w:p>
    <w:p w14:paraId="137BCEB4" w14:textId="77777777" w:rsidR="008E6E6C" w:rsidRPr="004E2C94" w:rsidRDefault="00D54C2B" w:rsidP="008E6E6C">
      <w:pPr>
        <w:spacing w:after="0" w:line="360" w:lineRule="auto"/>
        <w:rPr>
          <w:rFonts w:ascii="Arial Nova" w:hAnsi="Arial Nova"/>
        </w:rPr>
      </w:pPr>
      <w:r w:rsidRPr="004E2C94">
        <w:rPr>
          <w:rFonts w:ascii="Arial Nova" w:hAnsi="Arial Nova"/>
        </w:rPr>
        <w:t xml:space="preserve">Gordon, N.J. and Fleisher, W.L. (2019) “Interviewing witnesses and victims,” </w:t>
      </w:r>
      <w:r w:rsidRPr="004E2C94">
        <w:rPr>
          <w:rFonts w:ascii="Arial Nova" w:hAnsi="Arial Nova"/>
          <w:i/>
          <w:iCs/>
        </w:rPr>
        <w:t>Effective Interviewing and Interrogation Techniques</w:t>
      </w:r>
      <w:r w:rsidRPr="004E2C94">
        <w:rPr>
          <w:rFonts w:ascii="Arial Nova" w:hAnsi="Arial Nova"/>
        </w:rPr>
        <w:t xml:space="preserve">, pp. 207–211. Available at: https://doi.org/10.1016/b978-0-08-102610-6.00012-0. </w:t>
      </w:r>
    </w:p>
    <w:p w14:paraId="0FB57B27" w14:textId="77777777" w:rsidR="008E6E6C" w:rsidRPr="004E2C94" w:rsidRDefault="00D54C2B" w:rsidP="008E6E6C">
      <w:pPr>
        <w:spacing w:after="0" w:line="360" w:lineRule="auto"/>
        <w:rPr>
          <w:rFonts w:ascii="Arial Nova" w:hAnsi="Arial Nova"/>
        </w:rPr>
      </w:pPr>
      <w:r w:rsidRPr="004E2C94">
        <w:rPr>
          <w:rFonts w:ascii="Arial Nova" w:hAnsi="Arial Nova"/>
        </w:rPr>
        <w:t xml:space="preserve">Hinkle, J.C. </w:t>
      </w:r>
      <w:r w:rsidRPr="004E2C94">
        <w:rPr>
          <w:rFonts w:ascii="Arial Nova" w:hAnsi="Arial Nova"/>
          <w:i/>
          <w:iCs/>
        </w:rPr>
        <w:t>et al.</w:t>
      </w:r>
      <w:r w:rsidRPr="004E2C94">
        <w:rPr>
          <w:rFonts w:ascii="Arial Nova" w:hAnsi="Arial Nova"/>
        </w:rPr>
        <w:t xml:space="preserve"> (2021) “Problem-oriented policing for reducing crime and disorder: An updated systematic review and meta-analysis,” </w:t>
      </w:r>
      <w:r w:rsidRPr="004E2C94">
        <w:rPr>
          <w:rFonts w:ascii="Arial Nova" w:hAnsi="Arial Nova"/>
          <w:i/>
          <w:iCs/>
        </w:rPr>
        <w:t>CrimRxiv</w:t>
      </w:r>
      <w:r w:rsidRPr="004E2C94">
        <w:rPr>
          <w:rFonts w:ascii="Arial Nova" w:hAnsi="Arial Nova"/>
        </w:rPr>
        <w:t xml:space="preserve"> [Preprint]. Available at: https://doi.org/10.21428/cb6ab371.5277ad69. </w:t>
      </w:r>
    </w:p>
    <w:p w14:paraId="40423DA4" w14:textId="77777777" w:rsidR="008E6E6C" w:rsidRPr="004E2C94" w:rsidRDefault="00D54C2B" w:rsidP="008E6E6C">
      <w:pPr>
        <w:spacing w:after="0" w:line="360" w:lineRule="auto"/>
        <w:rPr>
          <w:rFonts w:ascii="Arial Nova" w:hAnsi="Arial Nova"/>
        </w:rPr>
      </w:pPr>
      <w:r w:rsidRPr="004E2C94">
        <w:rPr>
          <w:rFonts w:ascii="Arial Nova" w:hAnsi="Arial Nova"/>
        </w:rPr>
        <w:t xml:space="preserve">Kaplan, M.A. (2019) “Keynote speech: The Role of Forensic Science in Criminal Investigation,” </w:t>
      </w:r>
      <w:r w:rsidRPr="004E2C94">
        <w:rPr>
          <w:rFonts w:ascii="Arial Nova" w:hAnsi="Arial Nova"/>
          <w:i/>
          <w:iCs/>
        </w:rPr>
        <w:t>Anti-Terrorism; Forensic Science; Psychology in Police Investigations</w:t>
      </w:r>
      <w:r w:rsidRPr="004E2C94">
        <w:rPr>
          <w:rFonts w:ascii="Arial Nova" w:hAnsi="Arial Nova"/>
        </w:rPr>
        <w:t xml:space="preserve">, pp. 17–25. Available at: https://doi.org/10.4324/9780429036590-4. </w:t>
      </w:r>
    </w:p>
    <w:p w14:paraId="48439871" w14:textId="77777777" w:rsidR="008E6E6C" w:rsidRPr="004E2C94" w:rsidRDefault="00D54C2B" w:rsidP="008E6E6C">
      <w:pPr>
        <w:spacing w:after="0" w:line="360" w:lineRule="auto"/>
        <w:rPr>
          <w:rFonts w:ascii="Arial Nova" w:hAnsi="Arial Nova"/>
        </w:rPr>
      </w:pPr>
      <w:r w:rsidRPr="004E2C94">
        <w:rPr>
          <w:rFonts w:ascii="Arial Nova" w:hAnsi="Arial Nova"/>
        </w:rPr>
        <w:t xml:space="preserve">Kazemian, L., Farrington, D.P. and Piquero, A.R. (2018) “Developmental and life-course criminology,” </w:t>
      </w:r>
      <w:r w:rsidRPr="004E2C94">
        <w:rPr>
          <w:rFonts w:ascii="Arial Nova" w:hAnsi="Arial Nova"/>
          <w:i/>
          <w:iCs/>
        </w:rPr>
        <w:t>The Oxford Handbook of Developmental and Life-Course Criminology</w:t>
      </w:r>
      <w:r w:rsidRPr="004E2C94">
        <w:rPr>
          <w:rFonts w:ascii="Arial Nova" w:hAnsi="Arial Nova"/>
        </w:rPr>
        <w:t xml:space="preserve">, pp. 2–10. Available at: https://doi.org/10.1093/oxfordhb/9780190201371.013.1. </w:t>
      </w:r>
    </w:p>
    <w:p w14:paraId="643BF50D" w14:textId="77777777" w:rsidR="008E6E6C" w:rsidRPr="004E2C94" w:rsidRDefault="00D54C2B" w:rsidP="008E6E6C">
      <w:pPr>
        <w:spacing w:after="0" w:line="360" w:lineRule="auto"/>
        <w:rPr>
          <w:rFonts w:ascii="Arial Nova" w:hAnsi="Arial Nova"/>
        </w:rPr>
      </w:pPr>
      <w:r w:rsidRPr="004E2C94">
        <w:rPr>
          <w:rFonts w:ascii="Arial Nova" w:hAnsi="Arial Nova"/>
        </w:rPr>
        <w:lastRenderedPageBreak/>
        <w:t xml:space="preserve">McGuire, J., Evans, E. and Kane, E. (2021) </w:t>
      </w:r>
      <w:r w:rsidRPr="004E2C94">
        <w:rPr>
          <w:rFonts w:ascii="Arial Nova" w:hAnsi="Arial Nova"/>
          <w:i/>
          <w:iCs/>
        </w:rPr>
        <w:t>Evidence-based policing and Community Crime Prevention</w:t>
      </w:r>
      <w:r w:rsidRPr="004E2C94">
        <w:rPr>
          <w:rFonts w:ascii="Arial Nova" w:hAnsi="Arial Nova"/>
        </w:rPr>
        <w:t xml:space="preserve">. Cham: Springer. </w:t>
      </w:r>
    </w:p>
    <w:p w14:paraId="6B34D0EE" w14:textId="77777777" w:rsidR="008E6E6C" w:rsidRPr="004E2C94" w:rsidRDefault="00D54C2B" w:rsidP="008E6E6C">
      <w:pPr>
        <w:spacing w:after="0" w:line="360" w:lineRule="auto"/>
        <w:rPr>
          <w:rFonts w:ascii="Arial Nova" w:hAnsi="Arial Nova"/>
        </w:rPr>
      </w:pPr>
      <w:r w:rsidRPr="004E2C94">
        <w:rPr>
          <w:rFonts w:ascii="Arial Nova" w:hAnsi="Arial Nova"/>
        </w:rPr>
        <w:t xml:space="preserve">Sollie, H., Kop, N. and Euwema, M.C. (2017) “Mental resilience of crime scene investigators: How police officers perceive and cope with the impact of demanding work situations,” </w:t>
      </w:r>
      <w:r w:rsidRPr="004E2C94">
        <w:rPr>
          <w:rFonts w:ascii="Arial Nova" w:hAnsi="Arial Nova"/>
          <w:i/>
          <w:iCs/>
        </w:rPr>
        <w:t>Criminal Justice and Behavior</w:t>
      </w:r>
      <w:r w:rsidRPr="004E2C94">
        <w:rPr>
          <w:rFonts w:ascii="Arial Nova" w:hAnsi="Arial Nova"/>
        </w:rPr>
        <w:t xml:space="preserve">, 44(12), pp. 1580–1603. Available at: https://doi.org/10.1177/0093854817716959. </w:t>
      </w:r>
    </w:p>
    <w:p w14:paraId="6440392A" w14:textId="77777777" w:rsidR="008E6E6C" w:rsidRPr="004E2C94" w:rsidRDefault="00D54C2B" w:rsidP="008E6E6C">
      <w:pPr>
        <w:spacing w:after="0" w:line="360" w:lineRule="auto"/>
        <w:rPr>
          <w:rFonts w:ascii="Arial Nova" w:hAnsi="Arial Nova"/>
        </w:rPr>
      </w:pPr>
      <w:r w:rsidRPr="004E2C94">
        <w:rPr>
          <w:rFonts w:ascii="Arial Nova" w:hAnsi="Arial Nova"/>
        </w:rPr>
        <w:t xml:space="preserve">Staller, M.S. and Koerner, S. (2021) “Evidence-based policing or reflexive policing: A commentary on Koziarski and huey,” </w:t>
      </w:r>
      <w:r w:rsidRPr="004E2C94">
        <w:rPr>
          <w:rFonts w:ascii="Arial Nova" w:hAnsi="Arial Nova"/>
          <w:i/>
          <w:iCs/>
        </w:rPr>
        <w:t>International Journal of Comparative and Applied Criminal Justice</w:t>
      </w:r>
      <w:r w:rsidRPr="004E2C94">
        <w:rPr>
          <w:rFonts w:ascii="Arial Nova" w:hAnsi="Arial Nova"/>
        </w:rPr>
        <w:t xml:space="preserve">, 45(4), pp. 423–426. Available at: https://doi.org/10.1080/01924036.2021.1949619. </w:t>
      </w:r>
    </w:p>
    <w:sectPr w:rsidR="008E6E6C" w:rsidRPr="004E2C94" w:rsidSect="00473B5E">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BCEBA" w14:textId="77777777" w:rsidR="00E4047C" w:rsidRDefault="00E4047C">
      <w:pPr>
        <w:spacing w:after="0" w:line="240" w:lineRule="auto"/>
      </w:pPr>
      <w:r>
        <w:separator/>
      </w:r>
    </w:p>
  </w:endnote>
  <w:endnote w:type="continuationSeparator" w:id="0">
    <w:p w14:paraId="7A314BEF" w14:textId="77777777" w:rsidR="00E4047C" w:rsidRDefault="00E4047C">
      <w:pPr>
        <w:spacing w:after="0" w:line="240" w:lineRule="auto"/>
      </w:pPr>
      <w:r>
        <w:continuationSeparator/>
      </w:r>
    </w:p>
  </w:endnote>
  <w:endnote w:type="continuationNotice" w:id="1">
    <w:p w14:paraId="06301F4B" w14:textId="77777777" w:rsidR="00E4047C" w:rsidRDefault="00E404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74951"/>
      <w:docPartObj>
        <w:docPartGallery w:val="Page Numbers (Bottom of Page)"/>
        <w:docPartUnique/>
      </w:docPartObj>
    </w:sdtPr>
    <w:sdtEndPr>
      <w:rPr>
        <w:color w:val="7F7F7F"/>
        <w:spacing w:val="60"/>
      </w:rPr>
    </w:sdtEndPr>
    <w:sdtContent>
      <w:p w14:paraId="0BC71877" w14:textId="77777777" w:rsidR="00473B5E" w:rsidRDefault="00D54C2B" w:rsidP="008E6E6C">
        <w:pPr>
          <w:pStyle w:val="Footer"/>
          <w:pBdr>
            <w:top w:val="single" w:sz="4" w:space="1" w:color="D9D9D9"/>
          </w:pBdr>
          <w:rPr>
            <w:b/>
          </w:rPr>
        </w:pPr>
        <w:r w:rsidRPr="00473B5E">
          <w:fldChar w:fldCharType="begin"/>
        </w:r>
        <w:r w:rsidR="006B2428">
          <w:instrText xml:space="preserve"> PAGE   \* MERGEFORMAT </w:instrText>
        </w:r>
        <w:r w:rsidRPr="00473B5E">
          <w:fldChar w:fldCharType="separate"/>
        </w:r>
        <w:r w:rsidR="001044E6" w:rsidRPr="001044E6">
          <w:rPr>
            <w:b/>
            <w:noProof/>
          </w:rPr>
          <w:t>6</w:t>
        </w:r>
        <w:r w:rsidRPr="00473B5E">
          <w:rPr>
            <w:b/>
            <w:noProof/>
          </w:rPr>
          <w:fldChar w:fldCharType="end"/>
        </w:r>
        <w:r w:rsidR="006B2428">
          <w:rPr>
            <w:b/>
          </w:rPr>
          <w:t xml:space="preserve"> | </w:t>
        </w:r>
        <w:r w:rsidR="006B2428" w:rsidRPr="008E6E6C">
          <w:rPr>
            <w:color w:val="7F7F7F"/>
            <w:spacing w:val="60"/>
          </w:rPr>
          <w:t>Page</w:t>
        </w:r>
      </w:p>
    </w:sdtContent>
  </w:sdt>
  <w:p w14:paraId="700247BF" w14:textId="77777777" w:rsidR="00473B5E" w:rsidRDefault="00473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39B98" w14:textId="77777777" w:rsidR="00E4047C" w:rsidRDefault="00E4047C">
      <w:pPr>
        <w:spacing w:after="0" w:line="240" w:lineRule="auto"/>
      </w:pPr>
      <w:r>
        <w:separator/>
      </w:r>
    </w:p>
  </w:footnote>
  <w:footnote w:type="continuationSeparator" w:id="0">
    <w:p w14:paraId="5458DC8A" w14:textId="77777777" w:rsidR="00E4047C" w:rsidRDefault="00E4047C">
      <w:pPr>
        <w:spacing w:after="0" w:line="240" w:lineRule="auto"/>
      </w:pPr>
      <w:r>
        <w:continuationSeparator/>
      </w:r>
    </w:p>
  </w:footnote>
  <w:footnote w:type="continuationNotice" w:id="1">
    <w:p w14:paraId="673C38E8" w14:textId="77777777" w:rsidR="00E4047C" w:rsidRDefault="00E4047C">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884"/>
    <w:rsid w:val="00001E14"/>
    <w:rsid w:val="00010A37"/>
    <w:rsid w:val="0001771E"/>
    <w:rsid w:val="00032E90"/>
    <w:rsid w:val="00041D67"/>
    <w:rsid w:val="00090A77"/>
    <w:rsid w:val="000B2788"/>
    <w:rsid w:val="000B55EC"/>
    <w:rsid w:val="000E1704"/>
    <w:rsid w:val="000E2E70"/>
    <w:rsid w:val="001044E6"/>
    <w:rsid w:val="00123D21"/>
    <w:rsid w:val="00124A5B"/>
    <w:rsid w:val="00160BEC"/>
    <w:rsid w:val="001A5C8B"/>
    <w:rsid w:val="001D112B"/>
    <w:rsid w:val="001F0A4A"/>
    <w:rsid w:val="001F4EB0"/>
    <w:rsid w:val="00200220"/>
    <w:rsid w:val="002010CD"/>
    <w:rsid w:val="00216CE1"/>
    <w:rsid w:val="00227830"/>
    <w:rsid w:val="00250433"/>
    <w:rsid w:val="00273FFA"/>
    <w:rsid w:val="002910B6"/>
    <w:rsid w:val="00295081"/>
    <w:rsid w:val="002956A0"/>
    <w:rsid w:val="002A6B3E"/>
    <w:rsid w:val="002C0349"/>
    <w:rsid w:val="003054E1"/>
    <w:rsid w:val="00324CA9"/>
    <w:rsid w:val="00342BAE"/>
    <w:rsid w:val="00350D6A"/>
    <w:rsid w:val="003A7575"/>
    <w:rsid w:val="003D24A1"/>
    <w:rsid w:val="003E72A4"/>
    <w:rsid w:val="003E7E1F"/>
    <w:rsid w:val="00406F6C"/>
    <w:rsid w:val="004205C8"/>
    <w:rsid w:val="00433091"/>
    <w:rsid w:val="004353B1"/>
    <w:rsid w:val="00463F27"/>
    <w:rsid w:val="00473B5E"/>
    <w:rsid w:val="004B4024"/>
    <w:rsid w:val="004D1999"/>
    <w:rsid w:val="004D2E7A"/>
    <w:rsid w:val="004E2C94"/>
    <w:rsid w:val="004E4DFA"/>
    <w:rsid w:val="004F300E"/>
    <w:rsid w:val="00515FB8"/>
    <w:rsid w:val="00562619"/>
    <w:rsid w:val="00585A95"/>
    <w:rsid w:val="005C14CB"/>
    <w:rsid w:val="005D3B5E"/>
    <w:rsid w:val="005F08D5"/>
    <w:rsid w:val="005F37E4"/>
    <w:rsid w:val="00624EC5"/>
    <w:rsid w:val="0063288B"/>
    <w:rsid w:val="006360FF"/>
    <w:rsid w:val="006529B4"/>
    <w:rsid w:val="00663AF3"/>
    <w:rsid w:val="006759EA"/>
    <w:rsid w:val="006969B0"/>
    <w:rsid w:val="006977CA"/>
    <w:rsid w:val="006A3692"/>
    <w:rsid w:val="006A798D"/>
    <w:rsid w:val="006B2428"/>
    <w:rsid w:val="006B582A"/>
    <w:rsid w:val="006D3FE8"/>
    <w:rsid w:val="006E4C09"/>
    <w:rsid w:val="00724B73"/>
    <w:rsid w:val="007D1709"/>
    <w:rsid w:val="00805E70"/>
    <w:rsid w:val="00846AC2"/>
    <w:rsid w:val="008477C6"/>
    <w:rsid w:val="00860AD3"/>
    <w:rsid w:val="00867313"/>
    <w:rsid w:val="008A3C7B"/>
    <w:rsid w:val="008E4AF7"/>
    <w:rsid w:val="008E6E6C"/>
    <w:rsid w:val="008E7505"/>
    <w:rsid w:val="00903678"/>
    <w:rsid w:val="00904F2C"/>
    <w:rsid w:val="00907C29"/>
    <w:rsid w:val="00917C7B"/>
    <w:rsid w:val="00926058"/>
    <w:rsid w:val="00961F2A"/>
    <w:rsid w:val="0096737D"/>
    <w:rsid w:val="00981C4A"/>
    <w:rsid w:val="009B3C31"/>
    <w:rsid w:val="00A26BB9"/>
    <w:rsid w:val="00A30884"/>
    <w:rsid w:val="00A44219"/>
    <w:rsid w:val="00A505FF"/>
    <w:rsid w:val="00A76414"/>
    <w:rsid w:val="00A916FC"/>
    <w:rsid w:val="00A9704A"/>
    <w:rsid w:val="00AB0CA5"/>
    <w:rsid w:val="00AC7184"/>
    <w:rsid w:val="00AC76D5"/>
    <w:rsid w:val="00AF4874"/>
    <w:rsid w:val="00B02AFF"/>
    <w:rsid w:val="00B07EF3"/>
    <w:rsid w:val="00B32020"/>
    <w:rsid w:val="00B870A0"/>
    <w:rsid w:val="00B9774F"/>
    <w:rsid w:val="00BC5E2E"/>
    <w:rsid w:val="00BD406E"/>
    <w:rsid w:val="00BE43F5"/>
    <w:rsid w:val="00BE4548"/>
    <w:rsid w:val="00C066C4"/>
    <w:rsid w:val="00C16191"/>
    <w:rsid w:val="00C24C8F"/>
    <w:rsid w:val="00C86BA4"/>
    <w:rsid w:val="00C957E9"/>
    <w:rsid w:val="00CC35A4"/>
    <w:rsid w:val="00CC631C"/>
    <w:rsid w:val="00CE4008"/>
    <w:rsid w:val="00CF119A"/>
    <w:rsid w:val="00D54C2B"/>
    <w:rsid w:val="00D84076"/>
    <w:rsid w:val="00D87C6F"/>
    <w:rsid w:val="00D91A52"/>
    <w:rsid w:val="00DB2F0D"/>
    <w:rsid w:val="00DF3BB5"/>
    <w:rsid w:val="00E13819"/>
    <w:rsid w:val="00E174EF"/>
    <w:rsid w:val="00E4047C"/>
    <w:rsid w:val="00E43638"/>
    <w:rsid w:val="00E53152"/>
    <w:rsid w:val="00E5526F"/>
    <w:rsid w:val="00E73D42"/>
    <w:rsid w:val="00EA08E9"/>
    <w:rsid w:val="00F17D84"/>
    <w:rsid w:val="00F30986"/>
    <w:rsid w:val="00F35D58"/>
    <w:rsid w:val="00F8329F"/>
    <w:rsid w:val="00FA6002"/>
    <w:rsid w:val="00FC0603"/>
    <w:rsid w:val="00FD2918"/>
    <w:rsid w:val="00FF5160"/>
    <w:rsid w:val="00FF5F1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30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884"/>
    <w:pPr>
      <w:jc w:val="both"/>
    </w:pPr>
    <w:rPr>
      <w:rFonts w:ascii="Times New Roman" w:hAnsi="Times New Roman"/>
      <w:sz w:val="24"/>
    </w:rPr>
  </w:style>
  <w:style w:type="paragraph" w:styleId="Heading1">
    <w:name w:val="heading 1"/>
    <w:basedOn w:val="Normal"/>
    <w:next w:val="Normal"/>
    <w:link w:val="Heading1Char"/>
    <w:autoRedefine/>
    <w:uiPriority w:val="9"/>
    <w:qFormat/>
    <w:rsid w:val="004E2C94"/>
    <w:pPr>
      <w:keepNext/>
      <w:keepLines/>
      <w:spacing w:after="0" w:line="360" w:lineRule="auto"/>
      <w:outlineLvl w:val="0"/>
    </w:pPr>
    <w:rPr>
      <w:rFonts w:ascii="Arial Nova" w:eastAsiaTheme="majorEastAsia" w:hAnsi="Arial Nova" w:cstheme="majorBidi"/>
      <w:b/>
      <w:bCs/>
      <w:sz w:val="28"/>
      <w:szCs w:val="35"/>
    </w:rPr>
  </w:style>
  <w:style w:type="paragraph" w:styleId="Heading2">
    <w:name w:val="heading 2"/>
    <w:basedOn w:val="Normal"/>
    <w:next w:val="Normal"/>
    <w:link w:val="Heading2Char"/>
    <w:uiPriority w:val="9"/>
    <w:unhideWhenUsed/>
    <w:qFormat/>
    <w:rsid w:val="008E6E6C"/>
    <w:pPr>
      <w:keepNext/>
      <w:keepLines/>
      <w:spacing w:before="200" w:after="0" w:line="360" w:lineRule="auto"/>
      <w:outlineLvl w:val="1"/>
    </w:pPr>
    <w:rPr>
      <w:rFonts w:eastAsiaTheme="majorEastAsia" w:cstheme="majorBidi"/>
      <w:b/>
      <w:bCs/>
      <w:sz w:val="26"/>
      <w:szCs w:val="33"/>
    </w:rPr>
  </w:style>
  <w:style w:type="paragraph" w:styleId="Heading4">
    <w:name w:val="heading 4"/>
    <w:basedOn w:val="Normal"/>
    <w:next w:val="Normal"/>
    <w:link w:val="Heading4Char"/>
    <w:uiPriority w:val="9"/>
    <w:semiHidden/>
    <w:unhideWhenUsed/>
    <w:qFormat/>
    <w:rsid w:val="00032E9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C94"/>
    <w:rPr>
      <w:rFonts w:ascii="Arial Nova" w:eastAsiaTheme="majorEastAsia" w:hAnsi="Arial Nova" w:cstheme="majorBidi"/>
      <w:b/>
      <w:bCs/>
      <w:sz w:val="28"/>
      <w:szCs w:val="35"/>
    </w:rPr>
  </w:style>
  <w:style w:type="character" w:customStyle="1" w:styleId="Heading2Char">
    <w:name w:val="Heading 2 Char"/>
    <w:basedOn w:val="DefaultParagraphFont"/>
    <w:link w:val="Heading2"/>
    <w:uiPriority w:val="9"/>
    <w:rsid w:val="008E6E6C"/>
    <w:rPr>
      <w:rFonts w:ascii="Times New Roman" w:eastAsiaTheme="majorEastAsia" w:hAnsi="Times New Roman" w:cstheme="majorBidi"/>
      <w:b/>
      <w:bCs/>
      <w:sz w:val="26"/>
      <w:szCs w:val="33"/>
    </w:rPr>
  </w:style>
  <w:style w:type="paragraph" w:styleId="NormalWeb">
    <w:name w:val="Normal (Web)"/>
    <w:basedOn w:val="Normal"/>
    <w:uiPriority w:val="99"/>
    <w:semiHidden/>
    <w:unhideWhenUsed/>
    <w:rsid w:val="001A5C8B"/>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473B5E"/>
    <w:pPr>
      <w:jc w:val="left"/>
      <w:outlineLvl w:val="9"/>
    </w:pPr>
    <w:rPr>
      <w:rFonts w:asciiTheme="majorHAnsi" w:hAnsiTheme="majorHAnsi"/>
      <w:szCs w:val="28"/>
      <w:lang w:bidi="ar-SA"/>
    </w:rPr>
  </w:style>
  <w:style w:type="paragraph" w:styleId="TOC1">
    <w:name w:val="toc 1"/>
    <w:basedOn w:val="Normal"/>
    <w:next w:val="Normal"/>
    <w:autoRedefine/>
    <w:uiPriority w:val="39"/>
    <w:unhideWhenUsed/>
    <w:rsid w:val="00473B5E"/>
    <w:pPr>
      <w:tabs>
        <w:tab w:val="right" w:leader="dot" w:pos="9350"/>
      </w:tabs>
      <w:spacing w:after="100" w:line="360" w:lineRule="auto"/>
    </w:pPr>
  </w:style>
  <w:style w:type="character" w:styleId="Hyperlink">
    <w:name w:val="Hyperlink"/>
    <w:basedOn w:val="DefaultParagraphFont"/>
    <w:uiPriority w:val="99"/>
    <w:unhideWhenUsed/>
    <w:rsid w:val="00473B5E"/>
    <w:rPr>
      <w:color w:val="0000FF" w:themeColor="hyperlink"/>
      <w:u w:val="single"/>
    </w:rPr>
  </w:style>
  <w:style w:type="paragraph" w:styleId="BalloonText">
    <w:name w:val="Balloon Text"/>
    <w:basedOn w:val="Normal"/>
    <w:link w:val="BalloonTextChar"/>
    <w:uiPriority w:val="99"/>
    <w:semiHidden/>
    <w:unhideWhenUsed/>
    <w:rsid w:val="00473B5E"/>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73B5E"/>
    <w:rPr>
      <w:rFonts w:ascii="Tahoma" w:hAnsi="Tahoma" w:cs="Tahoma"/>
      <w:sz w:val="16"/>
      <w:szCs w:val="20"/>
    </w:rPr>
  </w:style>
  <w:style w:type="paragraph" w:styleId="Header">
    <w:name w:val="header"/>
    <w:basedOn w:val="Normal"/>
    <w:link w:val="HeaderChar"/>
    <w:unhideWhenUsed/>
    <w:rsid w:val="00473B5E"/>
    <w:pPr>
      <w:tabs>
        <w:tab w:val="center" w:pos="4680"/>
        <w:tab w:val="right" w:pos="9360"/>
      </w:tabs>
      <w:spacing w:after="0" w:line="240" w:lineRule="auto"/>
    </w:pPr>
  </w:style>
  <w:style w:type="character" w:customStyle="1" w:styleId="HeaderChar">
    <w:name w:val="Header Char"/>
    <w:basedOn w:val="DefaultParagraphFont"/>
    <w:link w:val="Header"/>
    <w:rsid w:val="00473B5E"/>
    <w:rPr>
      <w:rFonts w:ascii="Times New Roman" w:hAnsi="Times New Roman"/>
      <w:sz w:val="24"/>
    </w:rPr>
  </w:style>
  <w:style w:type="paragraph" w:styleId="Footer">
    <w:name w:val="footer"/>
    <w:basedOn w:val="Normal"/>
    <w:link w:val="FooterChar"/>
    <w:uiPriority w:val="99"/>
    <w:unhideWhenUsed/>
    <w:rsid w:val="00473B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B5E"/>
    <w:rPr>
      <w:rFonts w:ascii="Times New Roman" w:hAnsi="Times New Roman"/>
      <w:sz w:val="24"/>
    </w:rPr>
  </w:style>
  <w:style w:type="character" w:customStyle="1" w:styleId="Heading4Char">
    <w:name w:val="Heading 4 Char"/>
    <w:basedOn w:val="DefaultParagraphFont"/>
    <w:link w:val="Heading4"/>
    <w:uiPriority w:val="9"/>
    <w:semiHidden/>
    <w:rsid w:val="00032E90"/>
    <w:rPr>
      <w:rFonts w:asciiTheme="majorHAnsi" w:eastAsiaTheme="majorEastAsia" w:hAnsiTheme="majorHAnsi" w:cstheme="majorBidi"/>
      <w:i/>
      <w:iCs/>
      <w:color w:val="365F91" w:themeColor="accent1" w:themeShade="BF"/>
      <w:sz w:val="24"/>
    </w:rPr>
  </w:style>
  <w:style w:type="paragraph" w:styleId="Caption">
    <w:name w:val="caption"/>
    <w:basedOn w:val="Normal"/>
    <w:next w:val="Normal"/>
    <w:uiPriority w:val="35"/>
    <w:unhideWhenUsed/>
    <w:qFormat/>
    <w:rsid w:val="00926058"/>
    <w:pPr>
      <w:spacing w:line="240" w:lineRule="auto"/>
    </w:pPr>
    <w:rPr>
      <w:i/>
      <w:iCs/>
      <w:color w:val="1F497D" w:themeColor="text2"/>
      <w:sz w:val="18"/>
      <w:szCs w:val="22"/>
    </w:rPr>
  </w:style>
  <w:style w:type="character" w:styleId="UnresolvedMention">
    <w:name w:val="Unresolved Mention"/>
    <w:basedOn w:val="DefaultParagraphFont"/>
    <w:uiPriority w:val="99"/>
    <w:semiHidden/>
    <w:unhideWhenUsed/>
    <w:rsid w:val="005C1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ij.gov/journals/280/Pages/body-worn-cameras-what-evidence-tells-us"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D97E3-B4E3-469D-9E06-5EE4350C3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2778</Words>
  <Characters>15836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2023-05-03T18:45:00Z</dcterms:created>
  <dcterms:modified xsi:type="dcterms:W3CDTF">2023-05-04T20:08:00Z</dcterms:modified>
</cp:coreProperties>
</file>