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C2BEC" w14:textId="4C4CE6E8" w:rsidR="00516E4B" w:rsidRDefault="00673ACD" w:rsidP="006D5F2A">
      <w:pPr>
        <w:pStyle w:val="Normal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362937A2" wp14:editId="3171A4F6">
            <wp:simplePos x="0" y="0"/>
            <wp:positionH relativeFrom="column">
              <wp:posOffset>284672</wp:posOffset>
            </wp:positionH>
            <wp:positionV relativeFrom="paragraph">
              <wp:posOffset>27</wp:posOffset>
            </wp:positionV>
            <wp:extent cx="5080958" cy="2645970"/>
            <wp:effectExtent l="0" t="0" r="5715" b="2540"/>
            <wp:wrapTopAndBottom/>
            <wp:docPr id="13285458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545896" name="Picture 132854589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958" cy="264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41681" w14:textId="38165879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4B9F6F21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7C9E48E6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6FEE64C3" w14:textId="46CB79A0" w:rsidR="00516E4B" w:rsidRPr="00756CEB" w:rsidRDefault="00E0507C" w:rsidP="006D5F2A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Name:</w:t>
      </w:r>
      <w:r w:rsidR="00756CEB">
        <w:rPr>
          <w:rFonts w:ascii="Arial" w:hAnsi="Arial" w:cs="Arial"/>
          <w:b/>
          <w:bCs/>
        </w:rPr>
        <w:t xml:space="preserve"> </w:t>
      </w:r>
      <w:r w:rsidR="00756CEB">
        <w:rPr>
          <w:rFonts w:ascii="Arial" w:hAnsi="Arial" w:cs="Arial"/>
        </w:rPr>
        <w:t xml:space="preserve">Nazmin Malik </w:t>
      </w:r>
    </w:p>
    <w:p w14:paraId="15BBB92C" w14:textId="22F73C72" w:rsidR="00E0507C" w:rsidRPr="00756CEB" w:rsidRDefault="00E0507C" w:rsidP="006D5F2A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Student no:</w:t>
      </w:r>
      <w:r w:rsidR="00756CEB">
        <w:rPr>
          <w:rFonts w:ascii="Arial" w:hAnsi="Arial" w:cs="Arial"/>
          <w:b/>
          <w:bCs/>
        </w:rPr>
        <w:t xml:space="preserve"> </w:t>
      </w:r>
      <w:r w:rsidR="00756CEB">
        <w:rPr>
          <w:rFonts w:ascii="Arial" w:hAnsi="Arial" w:cs="Arial"/>
        </w:rPr>
        <w:t>2242813</w:t>
      </w:r>
    </w:p>
    <w:p w14:paraId="2869F12C" w14:textId="188E33C2" w:rsidR="00E0507C" w:rsidRPr="003F59D2" w:rsidRDefault="00756CEB" w:rsidP="006D5F2A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Module:</w:t>
      </w:r>
      <w:r w:rsidR="003F59D2">
        <w:rPr>
          <w:rFonts w:ascii="Arial" w:hAnsi="Arial" w:cs="Arial"/>
          <w:b/>
          <w:bCs/>
        </w:rPr>
        <w:t xml:space="preserve"> </w:t>
      </w:r>
      <w:r w:rsidR="003F59D2" w:rsidRPr="003F59D2">
        <w:rPr>
          <w:rFonts w:ascii="Arial" w:hAnsi="Arial" w:cs="Arial"/>
        </w:rPr>
        <w:t>Empowering</w:t>
      </w:r>
      <w:r w:rsidR="00396908">
        <w:rPr>
          <w:rFonts w:ascii="Arial" w:hAnsi="Arial" w:cs="Arial"/>
        </w:rPr>
        <w:t xml:space="preserve"> the</w:t>
      </w:r>
      <w:r w:rsidR="003F59D2" w:rsidRPr="003F59D2">
        <w:rPr>
          <w:rFonts w:ascii="Arial" w:hAnsi="Arial" w:cs="Arial"/>
        </w:rPr>
        <w:t xml:space="preserve"> </w:t>
      </w:r>
      <w:r w:rsidR="00396908">
        <w:rPr>
          <w:rFonts w:ascii="Arial" w:hAnsi="Arial" w:cs="Arial"/>
        </w:rPr>
        <w:t>Ol</w:t>
      </w:r>
      <w:r w:rsidR="003F59D2" w:rsidRPr="003F59D2">
        <w:rPr>
          <w:rFonts w:ascii="Arial" w:hAnsi="Arial" w:cs="Arial"/>
        </w:rPr>
        <w:t>der</w:t>
      </w:r>
      <w:r w:rsidR="00396908">
        <w:rPr>
          <w:rFonts w:ascii="Arial" w:hAnsi="Arial" w:cs="Arial"/>
        </w:rPr>
        <w:t xml:space="preserve"> Person</w:t>
      </w:r>
    </w:p>
    <w:p w14:paraId="4015F26B" w14:textId="0436AA1D" w:rsidR="00756CEB" w:rsidRDefault="00756CEB" w:rsidP="006D5F2A">
      <w:pPr>
        <w:pStyle w:val="NormalWeb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</w:t>
      </w:r>
      <w:r w:rsidR="003F59D2">
        <w:rPr>
          <w:rFonts w:ascii="Arial" w:hAnsi="Arial" w:cs="Arial"/>
          <w:b/>
          <w:bCs/>
        </w:rPr>
        <w:t xml:space="preserve"> </w:t>
      </w:r>
      <w:r w:rsidR="00676830" w:rsidRPr="00676830">
        <w:rPr>
          <w:rFonts w:ascii="Arial" w:hAnsi="Arial" w:cs="Arial"/>
        </w:rPr>
        <w:t>BMHP6027</w:t>
      </w:r>
    </w:p>
    <w:p w14:paraId="18A37008" w14:textId="6CFBDBF6" w:rsidR="00756CEB" w:rsidRPr="000C71A1" w:rsidRDefault="00756CEB" w:rsidP="006D5F2A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Title:</w:t>
      </w:r>
      <w:r w:rsidR="003F59D2">
        <w:rPr>
          <w:rFonts w:ascii="Arial" w:hAnsi="Arial" w:cs="Arial"/>
          <w:b/>
          <w:bCs/>
        </w:rPr>
        <w:t xml:space="preserve"> </w:t>
      </w:r>
      <w:r w:rsidR="000C71A1">
        <w:rPr>
          <w:rFonts w:ascii="Arial" w:hAnsi="Arial" w:cs="Arial"/>
        </w:rPr>
        <w:t xml:space="preserve">Debate/ Discussion </w:t>
      </w:r>
    </w:p>
    <w:p w14:paraId="2F9AB355" w14:textId="7B553F14" w:rsidR="00756CEB" w:rsidRPr="008F0061" w:rsidRDefault="00756CEB" w:rsidP="006D5F2A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>Lecture:</w:t>
      </w:r>
      <w:r w:rsidR="00F50923">
        <w:rPr>
          <w:rFonts w:ascii="Arial" w:hAnsi="Arial" w:cs="Arial"/>
          <w:b/>
          <w:bCs/>
        </w:rPr>
        <w:t xml:space="preserve"> </w:t>
      </w:r>
      <w:r w:rsidR="00F50923">
        <w:rPr>
          <w:rFonts w:ascii="Arial" w:hAnsi="Arial" w:cs="Arial"/>
        </w:rPr>
        <w:t xml:space="preserve">Mr </w:t>
      </w:r>
      <w:r w:rsidR="00F50923" w:rsidRPr="008F0061">
        <w:rPr>
          <w:rFonts w:ascii="Arial" w:eastAsia="Times New Roman" w:hAnsi="Arial" w:cs="Arial"/>
          <w:color w:val="242130"/>
          <w:sz w:val="22"/>
          <w:szCs w:val="22"/>
          <w:shd w:val="clear" w:color="auto" w:fill="FFFFFF"/>
        </w:rPr>
        <w:t>Tomy Adattu Chacko</w:t>
      </w:r>
    </w:p>
    <w:p w14:paraId="397D2BF5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76977A07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7D0F76ED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53E29D88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35DD32BC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77C990FE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7DE5A44B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577F490C" w14:textId="77777777" w:rsidR="00516E4B" w:rsidRDefault="00516E4B" w:rsidP="006D5F2A">
      <w:pPr>
        <w:pStyle w:val="NormalWeb"/>
        <w:rPr>
          <w:rFonts w:ascii="Arial" w:hAnsi="Arial" w:cs="Arial"/>
          <w:b/>
          <w:bCs/>
        </w:rPr>
      </w:pPr>
    </w:p>
    <w:p w14:paraId="61D29141" w14:textId="50D14F66" w:rsidR="006D5F2A" w:rsidRPr="00843B57" w:rsidRDefault="006D5F2A" w:rsidP="00843B57">
      <w:pPr>
        <w:pStyle w:val="NormalWeb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43B57">
        <w:rPr>
          <w:rFonts w:ascii="Arial" w:hAnsi="Arial" w:cs="Arial"/>
          <w:b/>
          <w:bCs/>
          <w:sz w:val="22"/>
          <w:szCs w:val="22"/>
        </w:rPr>
        <w:lastRenderedPageBreak/>
        <w:t xml:space="preserve">References </w:t>
      </w:r>
    </w:p>
    <w:p w14:paraId="0FDA63CA" w14:textId="07BFBD6C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43B57">
        <w:rPr>
          <w:rFonts w:ascii="Arial" w:hAnsi="Arial" w:cs="Arial"/>
          <w:sz w:val="22"/>
          <w:szCs w:val="22"/>
        </w:rPr>
        <w:t>Astell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A., Ellis, M., </w:t>
      </w:r>
      <w:proofErr w:type="spellStart"/>
      <w:r w:rsidRPr="00843B57">
        <w:rPr>
          <w:rFonts w:ascii="Arial" w:hAnsi="Arial" w:cs="Arial"/>
          <w:sz w:val="22"/>
          <w:szCs w:val="22"/>
        </w:rPr>
        <w:t>Bernardi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L., </w:t>
      </w:r>
      <w:proofErr w:type="spellStart"/>
      <w:r w:rsidRPr="00843B57">
        <w:rPr>
          <w:rFonts w:ascii="Arial" w:hAnsi="Arial" w:cs="Arial"/>
          <w:sz w:val="22"/>
          <w:szCs w:val="22"/>
        </w:rPr>
        <w:t>Alm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N., Dye, R., Campbell, J. and </w:t>
      </w:r>
      <w:proofErr w:type="spellStart"/>
      <w:r w:rsidRPr="00843B57">
        <w:rPr>
          <w:rFonts w:ascii="Arial" w:hAnsi="Arial" w:cs="Arial"/>
          <w:sz w:val="22"/>
          <w:szCs w:val="22"/>
        </w:rPr>
        <w:t>Gowans</w:t>
      </w:r>
      <w:proofErr w:type="spellEnd"/>
      <w:r w:rsidRPr="00843B57">
        <w:rPr>
          <w:rFonts w:ascii="Arial" w:hAnsi="Arial" w:cs="Arial"/>
          <w:sz w:val="22"/>
          <w:szCs w:val="22"/>
        </w:rPr>
        <w:t>, G. (2019) ‘</w:t>
      </w:r>
      <w:r w:rsidRPr="00843B57">
        <w:rPr>
          <w:rFonts w:ascii="Arial" w:hAnsi="Arial" w:cs="Arial"/>
          <w:i/>
          <w:iCs/>
          <w:sz w:val="22"/>
          <w:szCs w:val="22"/>
        </w:rPr>
        <w:t>Using technology to support people with dementia in their homes: Evidence and recommendations</w:t>
      </w:r>
      <w:r w:rsidRPr="00843B57">
        <w:rPr>
          <w:rFonts w:ascii="Arial" w:hAnsi="Arial" w:cs="Arial"/>
          <w:sz w:val="22"/>
          <w:szCs w:val="22"/>
        </w:rPr>
        <w:t>’,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 </w:t>
      </w:r>
      <w:r w:rsidRPr="00843B57">
        <w:rPr>
          <w:rStyle w:val="Emphasis"/>
          <w:rFonts w:ascii="Arial" w:hAnsi="Arial" w:cs="Arial"/>
          <w:i w:val="0"/>
          <w:iCs w:val="0"/>
          <w:sz w:val="22"/>
          <w:szCs w:val="22"/>
        </w:rPr>
        <w:t>Journal of Assistive Technologies</w:t>
      </w:r>
      <w:r w:rsidRPr="00843B57">
        <w:rPr>
          <w:rFonts w:ascii="Arial" w:hAnsi="Arial" w:cs="Arial"/>
          <w:i/>
          <w:iCs/>
          <w:sz w:val="22"/>
          <w:szCs w:val="22"/>
        </w:rPr>
        <w:t>, 1</w:t>
      </w:r>
      <w:r w:rsidRPr="00843B57">
        <w:rPr>
          <w:rFonts w:ascii="Arial" w:hAnsi="Arial" w:cs="Arial"/>
          <w:sz w:val="22"/>
          <w:szCs w:val="22"/>
        </w:rPr>
        <w:t>3(1), pp. 1–12.</w:t>
      </w:r>
    </w:p>
    <w:p w14:paraId="4833092F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Beauchamp, T. and Childress, J. (2019) </w:t>
      </w:r>
      <w:r w:rsidRPr="00843B57">
        <w:rPr>
          <w:rStyle w:val="Emphasis"/>
          <w:rFonts w:ascii="Arial" w:hAnsi="Arial" w:cs="Arial"/>
          <w:sz w:val="22"/>
          <w:szCs w:val="22"/>
        </w:rPr>
        <w:t>Principles of Biomedical Ethics</w:t>
      </w:r>
      <w:r w:rsidRPr="00843B57">
        <w:rPr>
          <w:rFonts w:ascii="Arial" w:hAnsi="Arial" w:cs="Arial"/>
          <w:sz w:val="22"/>
          <w:szCs w:val="22"/>
        </w:rPr>
        <w:t xml:space="preserve">. 8th </w:t>
      </w:r>
      <w:proofErr w:type="spellStart"/>
      <w:r w:rsidRPr="00843B57">
        <w:rPr>
          <w:rFonts w:ascii="Arial" w:hAnsi="Arial" w:cs="Arial"/>
          <w:sz w:val="22"/>
          <w:szCs w:val="22"/>
        </w:rPr>
        <w:t>edn</w:t>
      </w:r>
      <w:proofErr w:type="spellEnd"/>
      <w:r w:rsidRPr="00843B57">
        <w:rPr>
          <w:rFonts w:ascii="Arial" w:hAnsi="Arial" w:cs="Arial"/>
          <w:sz w:val="22"/>
          <w:szCs w:val="22"/>
        </w:rPr>
        <w:t>. Oxford: Oxford University Press.</w:t>
      </w:r>
    </w:p>
    <w:p w14:paraId="68F430E1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Care Act 2014, Chapter 23: </w:t>
      </w:r>
      <w:r w:rsidRPr="00843B57">
        <w:rPr>
          <w:rFonts w:ascii="Arial" w:hAnsi="Arial" w:cs="Arial"/>
          <w:i/>
          <w:iCs/>
          <w:sz w:val="22"/>
          <w:szCs w:val="22"/>
        </w:rPr>
        <w:t>Local authority duties to promote wellbeing and prevent harm</w:t>
      </w:r>
      <w:r w:rsidRPr="00843B57">
        <w:rPr>
          <w:rFonts w:ascii="Arial" w:hAnsi="Arial" w:cs="Arial"/>
          <w:sz w:val="22"/>
          <w:szCs w:val="22"/>
        </w:rPr>
        <w:t xml:space="preserve">. London: HMSO. Available at: </w:t>
      </w:r>
      <w:hyperlink r:id="rId6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https://www.legislation.gov.uk/ukpga/2014/23/contents/enacted</w:t>
        </w:r>
      </w:hyperlink>
      <w:r w:rsidRPr="00843B57">
        <w:rPr>
          <w:rFonts w:ascii="Arial" w:hAnsi="Arial" w:cs="Arial"/>
          <w:sz w:val="22"/>
          <w:szCs w:val="22"/>
        </w:rPr>
        <w:t xml:space="preserve"> (Accessed: 29 October 2025).</w:t>
      </w:r>
    </w:p>
    <w:p w14:paraId="7B041BA6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>Chung, J., Sharkey, A. and Sharkey, N. (2019</w:t>
      </w:r>
      <w:r w:rsidRPr="00843B57">
        <w:rPr>
          <w:rFonts w:ascii="Arial" w:hAnsi="Arial" w:cs="Arial"/>
          <w:i/>
          <w:iCs/>
          <w:sz w:val="22"/>
          <w:szCs w:val="22"/>
        </w:rPr>
        <w:t>) ‘Ethical use of assistive technology in dementia care</w:t>
      </w:r>
      <w:r w:rsidRPr="00843B57">
        <w:rPr>
          <w:rFonts w:ascii="Arial" w:hAnsi="Arial" w:cs="Arial"/>
          <w:sz w:val="22"/>
          <w:szCs w:val="22"/>
        </w:rPr>
        <w:t xml:space="preserve">: Privacy and proportionality’, </w:t>
      </w:r>
      <w:r w:rsidRPr="00843B57">
        <w:rPr>
          <w:rStyle w:val="Emphasis"/>
          <w:rFonts w:ascii="Arial" w:hAnsi="Arial" w:cs="Arial"/>
          <w:sz w:val="22"/>
          <w:szCs w:val="22"/>
        </w:rPr>
        <w:t>Journal of Medical Ethics</w:t>
      </w:r>
      <w:r w:rsidRPr="00843B57">
        <w:rPr>
          <w:rFonts w:ascii="Arial" w:hAnsi="Arial" w:cs="Arial"/>
          <w:sz w:val="22"/>
          <w:szCs w:val="22"/>
        </w:rPr>
        <w:t>, 45(6), pp. 370–374.</w:t>
      </w:r>
    </w:p>
    <w:p w14:paraId="67A5AF6E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>Cullen, J. et al. (2022) ‘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Wearable and portable GPS solutions for monitoring mobility in patients with dementia </w:t>
      </w:r>
      <w:r w:rsidRPr="00843B57">
        <w:rPr>
          <w:rFonts w:ascii="Arial" w:hAnsi="Arial" w:cs="Arial"/>
          <w:sz w:val="22"/>
          <w:szCs w:val="22"/>
        </w:rPr>
        <w:t xml:space="preserve">or MCI’, </w:t>
      </w:r>
      <w:r w:rsidRPr="00843B57">
        <w:rPr>
          <w:rStyle w:val="Emphasis"/>
          <w:rFonts w:ascii="Arial" w:hAnsi="Arial" w:cs="Arial"/>
          <w:sz w:val="22"/>
          <w:szCs w:val="22"/>
        </w:rPr>
        <w:t>Sensors</w:t>
      </w:r>
      <w:r w:rsidRPr="00843B57">
        <w:rPr>
          <w:rFonts w:ascii="Arial" w:hAnsi="Arial" w:cs="Arial"/>
          <w:sz w:val="22"/>
          <w:szCs w:val="22"/>
        </w:rPr>
        <w:t xml:space="preserve">, 22(9), 3336. DOI: </w:t>
      </w:r>
      <w:hyperlink r:id="rId7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10.3390/s22093336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5A480007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Equality Act 2010. London: HMSO. Available at: </w:t>
      </w:r>
      <w:hyperlink r:id="rId8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https://www.gov.uk/guidance/equality-act-2010-guidance</w:t>
        </w:r>
      </w:hyperlink>
      <w:r w:rsidRPr="00843B57">
        <w:rPr>
          <w:rFonts w:ascii="Arial" w:hAnsi="Arial" w:cs="Arial"/>
          <w:sz w:val="22"/>
          <w:szCs w:val="22"/>
        </w:rPr>
        <w:t xml:space="preserve"> (Accessed: 29 October 2025).</w:t>
      </w:r>
    </w:p>
    <w:p w14:paraId="1735EA0E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GOV.UK (2010) </w:t>
      </w:r>
      <w:r w:rsidRPr="00843B57">
        <w:rPr>
          <w:rStyle w:val="Emphasis"/>
          <w:rFonts w:ascii="Arial" w:hAnsi="Arial" w:cs="Arial"/>
          <w:sz w:val="22"/>
          <w:szCs w:val="22"/>
        </w:rPr>
        <w:t>Equality Act 2010: Guidance</w:t>
      </w:r>
      <w:r w:rsidRPr="00843B57">
        <w:rPr>
          <w:rFonts w:ascii="Arial" w:hAnsi="Arial" w:cs="Arial"/>
          <w:sz w:val="22"/>
          <w:szCs w:val="22"/>
        </w:rPr>
        <w:t xml:space="preserve">. Available at: </w:t>
      </w:r>
      <w:hyperlink r:id="rId9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https://www.gov.uk/guidance/equality-act-2010-guidance</w:t>
        </w:r>
      </w:hyperlink>
      <w:r w:rsidRPr="00843B57">
        <w:rPr>
          <w:rFonts w:ascii="Arial" w:hAnsi="Arial" w:cs="Arial"/>
          <w:sz w:val="22"/>
          <w:szCs w:val="22"/>
        </w:rPr>
        <w:t xml:space="preserve"> (Accessed: 29 October 2025).</w:t>
      </w:r>
    </w:p>
    <w:p w14:paraId="1B0BD6A1" w14:textId="77777777" w:rsidR="00484587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>Landau, R. and Werner, S. (2011) ‘</w:t>
      </w:r>
      <w:r w:rsidRPr="00843B57">
        <w:rPr>
          <w:rFonts w:ascii="Arial" w:hAnsi="Arial" w:cs="Arial"/>
          <w:i/>
          <w:iCs/>
          <w:sz w:val="22"/>
          <w:szCs w:val="22"/>
        </w:rPr>
        <w:t>Ethical aspects of using GPS for tracking people with dementia: Recommendations for practice’</w:t>
      </w:r>
      <w:r w:rsidRPr="00843B57">
        <w:rPr>
          <w:rFonts w:ascii="Arial" w:hAnsi="Arial" w:cs="Arial"/>
          <w:sz w:val="22"/>
          <w:szCs w:val="22"/>
        </w:rPr>
        <w:t xml:space="preserve">, </w:t>
      </w:r>
      <w:r w:rsidRPr="00843B57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International </w:t>
      </w:r>
      <w:proofErr w:type="spellStart"/>
      <w:r w:rsidRPr="00843B57">
        <w:rPr>
          <w:rStyle w:val="Emphasis"/>
          <w:rFonts w:ascii="Arial" w:hAnsi="Arial" w:cs="Arial"/>
          <w:i w:val="0"/>
          <w:iCs w:val="0"/>
          <w:sz w:val="22"/>
          <w:szCs w:val="22"/>
        </w:rPr>
        <w:t>Psychogeriatrics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23(9), pp. 1327–1337. DOI: </w:t>
      </w:r>
      <w:hyperlink r:id="rId10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10.1017/S1041610211001888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22B67FC3" w14:textId="3035A825" w:rsidR="005A39C9" w:rsidRPr="00843B57" w:rsidRDefault="005A39C9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 Landau, R. Et al. (2009) ‘</w:t>
      </w:r>
      <w:r w:rsidRPr="00843B57">
        <w:rPr>
          <w:rFonts w:ascii="Arial" w:hAnsi="Arial" w:cs="Arial"/>
          <w:i/>
          <w:iCs/>
          <w:sz w:val="22"/>
          <w:szCs w:val="22"/>
        </w:rPr>
        <w:t>Attitudes of family and professional care-givers towards the use of GPS for tracking patients with dementia</w:t>
      </w:r>
      <w:r w:rsidRPr="00843B57">
        <w:rPr>
          <w:rFonts w:ascii="Arial" w:hAnsi="Arial" w:cs="Arial"/>
          <w:sz w:val="22"/>
          <w:szCs w:val="22"/>
        </w:rPr>
        <w:t xml:space="preserve">: An exploratory study’, The British journal of social work, 39(4), pp. 670–692. Available at: </w:t>
      </w:r>
      <w:hyperlink r:id="rId11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https://doi.org/10.1093/bjsw/bcp037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0298A574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Landau, R. et al. (2011) 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‘Who should make the decision on the use of GPS for people with dementia?’, </w:t>
      </w:r>
      <w:r w:rsidRPr="00843B57">
        <w:rPr>
          <w:rStyle w:val="Emphasis"/>
          <w:rFonts w:ascii="Arial" w:hAnsi="Arial" w:cs="Arial"/>
          <w:sz w:val="22"/>
          <w:szCs w:val="22"/>
        </w:rPr>
        <w:t>Aging &amp; Mental Health</w:t>
      </w:r>
      <w:r w:rsidRPr="00843B57">
        <w:rPr>
          <w:rFonts w:ascii="Arial" w:hAnsi="Arial" w:cs="Arial"/>
          <w:sz w:val="22"/>
          <w:szCs w:val="22"/>
        </w:rPr>
        <w:t xml:space="preserve">, 15(1), pp. 78–84. DOI: </w:t>
      </w:r>
      <w:hyperlink r:id="rId12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10.1080/13607861003713166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35100BCA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Marquardt, G., </w:t>
      </w:r>
      <w:proofErr w:type="spellStart"/>
      <w:r w:rsidRPr="00843B57">
        <w:rPr>
          <w:rFonts w:ascii="Arial" w:hAnsi="Arial" w:cs="Arial"/>
          <w:sz w:val="22"/>
          <w:szCs w:val="22"/>
        </w:rPr>
        <w:t>Bueter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K. and </w:t>
      </w:r>
      <w:proofErr w:type="spellStart"/>
      <w:r w:rsidRPr="00843B57">
        <w:rPr>
          <w:rFonts w:ascii="Arial" w:hAnsi="Arial" w:cs="Arial"/>
          <w:sz w:val="22"/>
          <w:szCs w:val="22"/>
        </w:rPr>
        <w:t>Motzek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T. (2014) </w:t>
      </w:r>
      <w:r w:rsidRPr="00843B57">
        <w:rPr>
          <w:rFonts w:ascii="Arial" w:hAnsi="Arial" w:cs="Arial"/>
          <w:i/>
          <w:iCs/>
          <w:sz w:val="22"/>
          <w:szCs w:val="22"/>
        </w:rPr>
        <w:t>‘Impact of assistive technologies on the mobility of people with dementia’</w:t>
      </w:r>
      <w:r w:rsidRPr="00843B57">
        <w:rPr>
          <w:rFonts w:ascii="Arial" w:hAnsi="Arial" w:cs="Arial"/>
          <w:sz w:val="22"/>
          <w:szCs w:val="22"/>
        </w:rPr>
        <w:t xml:space="preserve">, </w:t>
      </w:r>
      <w:r w:rsidRPr="00843B57">
        <w:rPr>
          <w:rStyle w:val="Emphasis"/>
          <w:rFonts w:ascii="Arial" w:hAnsi="Arial" w:cs="Arial"/>
          <w:sz w:val="22"/>
          <w:szCs w:val="22"/>
        </w:rPr>
        <w:t>Journal of Alzheimer’s Disease</w:t>
      </w:r>
      <w:r w:rsidRPr="00843B57">
        <w:rPr>
          <w:rFonts w:ascii="Arial" w:hAnsi="Arial" w:cs="Arial"/>
          <w:sz w:val="22"/>
          <w:szCs w:val="22"/>
        </w:rPr>
        <w:t>, 41(3), pp. 935–945.</w:t>
      </w:r>
    </w:p>
    <w:p w14:paraId="03A95066" w14:textId="77777777" w:rsidR="00872E0B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lastRenderedPageBreak/>
        <w:t>McShane, R. (2013)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 ‘Ethical aspects of using GPS for tracking people with dementia’, </w:t>
      </w:r>
      <w:r w:rsidRPr="00843B57">
        <w:rPr>
          <w:rStyle w:val="Emphasis"/>
          <w:rFonts w:ascii="Arial" w:hAnsi="Arial" w:cs="Arial"/>
          <w:sz w:val="22"/>
          <w:szCs w:val="22"/>
        </w:rPr>
        <w:t xml:space="preserve">International </w:t>
      </w:r>
      <w:proofErr w:type="spellStart"/>
      <w:r w:rsidRPr="00843B57">
        <w:rPr>
          <w:rStyle w:val="Emphasis"/>
          <w:rFonts w:ascii="Arial" w:hAnsi="Arial" w:cs="Arial"/>
          <w:sz w:val="22"/>
          <w:szCs w:val="22"/>
        </w:rPr>
        <w:t>Psychogeriatrics</w:t>
      </w:r>
      <w:proofErr w:type="spellEnd"/>
      <w:r w:rsidRPr="00843B57">
        <w:rPr>
          <w:rFonts w:ascii="Arial" w:hAnsi="Arial" w:cs="Arial"/>
          <w:sz w:val="22"/>
          <w:szCs w:val="22"/>
        </w:rPr>
        <w:t>, 25(11), pp. 1779–1783.</w:t>
      </w:r>
    </w:p>
    <w:p w14:paraId="671BD9A9" w14:textId="7EF7CE11" w:rsidR="00CC1CCB" w:rsidRPr="00843B57" w:rsidRDefault="00CC1CCB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 Meyer, A., </w:t>
      </w:r>
      <w:proofErr w:type="spellStart"/>
      <w:r w:rsidRPr="00843B57">
        <w:rPr>
          <w:rFonts w:ascii="Arial" w:hAnsi="Arial" w:cs="Arial"/>
          <w:sz w:val="22"/>
          <w:szCs w:val="22"/>
        </w:rPr>
        <w:t>Ballegaard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S.A. and </w:t>
      </w:r>
      <w:proofErr w:type="spellStart"/>
      <w:r w:rsidRPr="00843B57">
        <w:rPr>
          <w:rFonts w:ascii="Arial" w:hAnsi="Arial" w:cs="Arial"/>
          <w:sz w:val="22"/>
          <w:szCs w:val="22"/>
        </w:rPr>
        <w:t>Albrechtslund</w:t>
      </w:r>
      <w:proofErr w:type="spellEnd"/>
      <w:r w:rsidRPr="00843B57">
        <w:rPr>
          <w:rFonts w:ascii="Arial" w:hAnsi="Arial" w:cs="Arial"/>
          <w:sz w:val="22"/>
          <w:szCs w:val="22"/>
        </w:rPr>
        <w:t>, A. (2025) ‘</w:t>
      </w:r>
      <w:r w:rsidRPr="00843B57">
        <w:rPr>
          <w:rFonts w:ascii="Arial" w:hAnsi="Arial" w:cs="Arial"/>
          <w:i/>
          <w:iCs/>
          <w:sz w:val="22"/>
          <w:szCs w:val="22"/>
        </w:rPr>
        <w:t>Hard-Earned Glimpses: Using GPS Tracking in Dementia Care</w:t>
      </w:r>
      <w:r w:rsidRPr="00843B57">
        <w:rPr>
          <w:rFonts w:ascii="Arial" w:hAnsi="Arial" w:cs="Arial"/>
          <w:sz w:val="22"/>
          <w:szCs w:val="22"/>
        </w:rPr>
        <w:t xml:space="preserve">’, Science, technology, &amp; human values (Preprint). Available at: </w:t>
      </w:r>
      <w:hyperlink r:id="rId13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https://doi.org/10.1177/01622439251355375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13290664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>Mental Capacity Act 2005, Chapter 9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: Making decisions on behalf of individuals lacking capacity. </w:t>
      </w:r>
      <w:r w:rsidRPr="00843B57">
        <w:rPr>
          <w:rFonts w:ascii="Arial" w:hAnsi="Arial" w:cs="Arial"/>
          <w:sz w:val="22"/>
          <w:szCs w:val="22"/>
        </w:rPr>
        <w:t xml:space="preserve">London: HMSO. Available at: </w:t>
      </w:r>
      <w:hyperlink r:id="rId14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https://www.legislation.gov.uk/ukpga/2005/9/contents</w:t>
        </w:r>
      </w:hyperlink>
      <w:r w:rsidRPr="00843B57">
        <w:rPr>
          <w:rFonts w:ascii="Arial" w:hAnsi="Arial" w:cs="Arial"/>
          <w:sz w:val="22"/>
          <w:szCs w:val="22"/>
        </w:rPr>
        <w:t xml:space="preserve"> (Accessed: 29 October 2025).</w:t>
      </w:r>
    </w:p>
    <w:p w14:paraId="27E6E2FA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>Mental Health Act 1983, Chapter 20: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 Interventions to protect individuals at risk due to mental disorder.</w:t>
      </w:r>
      <w:r w:rsidRPr="00843B57">
        <w:rPr>
          <w:rFonts w:ascii="Arial" w:hAnsi="Arial" w:cs="Arial"/>
          <w:sz w:val="22"/>
          <w:szCs w:val="22"/>
        </w:rPr>
        <w:t xml:space="preserve"> London: HMSO. Available at: </w:t>
      </w:r>
      <w:hyperlink r:id="rId15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https://www.legislation.gov.uk/ukpga/1983/20/contents</w:t>
        </w:r>
      </w:hyperlink>
      <w:r w:rsidRPr="00843B57">
        <w:rPr>
          <w:rFonts w:ascii="Arial" w:hAnsi="Arial" w:cs="Arial"/>
          <w:sz w:val="22"/>
          <w:szCs w:val="22"/>
        </w:rPr>
        <w:t xml:space="preserve"> (Accessed: 29 October 2025).</w:t>
      </w:r>
    </w:p>
    <w:p w14:paraId="5F9E5095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43B57">
        <w:rPr>
          <w:rFonts w:ascii="Arial" w:hAnsi="Arial" w:cs="Arial"/>
          <w:sz w:val="22"/>
          <w:szCs w:val="22"/>
        </w:rPr>
        <w:t>Niemeijer</w:t>
      </w:r>
      <w:proofErr w:type="spellEnd"/>
      <w:r w:rsidRPr="00843B57">
        <w:rPr>
          <w:rFonts w:ascii="Arial" w:hAnsi="Arial" w:cs="Arial"/>
          <w:sz w:val="22"/>
          <w:szCs w:val="22"/>
        </w:rPr>
        <w:t>, A.R. et al. (2010) ‘</w:t>
      </w:r>
      <w:r w:rsidRPr="00843B57">
        <w:rPr>
          <w:rFonts w:ascii="Arial" w:hAnsi="Arial" w:cs="Arial"/>
          <w:i/>
          <w:iCs/>
          <w:sz w:val="22"/>
          <w:szCs w:val="22"/>
        </w:rPr>
        <w:t>Ethics of using GPS tracking in dementia care:</w:t>
      </w:r>
      <w:r w:rsidRPr="00843B57">
        <w:rPr>
          <w:rFonts w:ascii="Arial" w:hAnsi="Arial" w:cs="Arial"/>
          <w:sz w:val="22"/>
          <w:szCs w:val="22"/>
        </w:rPr>
        <w:t xml:space="preserve"> A review of principles and practice’, </w:t>
      </w:r>
      <w:r w:rsidRPr="00843B57">
        <w:rPr>
          <w:rStyle w:val="Emphasis"/>
          <w:rFonts w:ascii="Arial" w:hAnsi="Arial" w:cs="Arial"/>
          <w:sz w:val="22"/>
          <w:szCs w:val="22"/>
        </w:rPr>
        <w:t>American Journal of Nursing</w:t>
      </w:r>
      <w:r w:rsidRPr="00843B57">
        <w:rPr>
          <w:rFonts w:ascii="Arial" w:hAnsi="Arial" w:cs="Arial"/>
          <w:sz w:val="22"/>
          <w:szCs w:val="22"/>
        </w:rPr>
        <w:t>, 110(6), pp. 28–34.</w:t>
      </w:r>
    </w:p>
    <w:p w14:paraId="57865412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Span, M., </w:t>
      </w:r>
      <w:proofErr w:type="spellStart"/>
      <w:r w:rsidRPr="00843B57">
        <w:rPr>
          <w:rFonts w:ascii="Arial" w:hAnsi="Arial" w:cs="Arial"/>
          <w:sz w:val="22"/>
          <w:szCs w:val="22"/>
        </w:rPr>
        <w:t>Hettinga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M., </w:t>
      </w:r>
      <w:proofErr w:type="spellStart"/>
      <w:r w:rsidRPr="00843B57">
        <w:rPr>
          <w:rFonts w:ascii="Arial" w:hAnsi="Arial" w:cs="Arial"/>
          <w:sz w:val="22"/>
          <w:szCs w:val="22"/>
        </w:rPr>
        <w:t>Vernooij-Dassen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M. and </w:t>
      </w:r>
      <w:proofErr w:type="spellStart"/>
      <w:r w:rsidRPr="00843B57">
        <w:rPr>
          <w:rFonts w:ascii="Arial" w:hAnsi="Arial" w:cs="Arial"/>
          <w:sz w:val="22"/>
          <w:szCs w:val="22"/>
        </w:rPr>
        <w:t>Eefsting</w:t>
      </w:r>
      <w:proofErr w:type="spellEnd"/>
      <w:r w:rsidRPr="00843B57">
        <w:rPr>
          <w:rFonts w:ascii="Arial" w:hAnsi="Arial" w:cs="Arial"/>
          <w:sz w:val="22"/>
          <w:szCs w:val="22"/>
        </w:rPr>
        <w:t>, J. (2016)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 ‘The impact of monitoring technologies on caregivers of persons with dementia’, </w:t>
      </w:r>
      <w:r w:rsidRPr="00843B57">
        <w:rPr>
          <w:rStyle w:val="Emphasis"/>
          <w:rFonts w:ascii="Arial" w:hAnsi="Arial" w:cs="Arial"/>
          <w:i w:val="0"/>
          <w:iCs w:val="0"/>
          <w:sz w:val="22"/>
          <w:szCs w:val="22"/>
        </w:rPr>
        <w:t>Aging &amp; Mental Health</w:t>
      </w:r>
      <w:r w:rsidRPr="00843B57">
        <w:rPr>
          <w:rFonts w:ascii="Arial" w:hAnsi="Arial" w:cs="Arial"/>
          <w:i/>
          <w:iCs/>
          <w:sz w:val="22"/>
          <w:szCs w:val="22"/>
        </w:rPr>
        <w:t>, 20(4), pp. 385–393.</w:t>
      </w:r>
    </w:p>
    <w:p w14:paraId="57541E9D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>Stokes, G., Clare, L. and Cox, T. (2020)</w:t>
      </w:r>
      <w:r w:rsidRPr="00843B57">
        <w:rPr>
          <w:rFonts w:ascii="Arial" w:hAnsi="Arial" w:cs="Arial"/>
          <w:sz w:val="22"/>
          <w:szCs w:val="22"/>
          <w:u w:val="single"/>
        </w:rPr>
        <w:t xml:space="preserve"> ‘Legal and ethical issues in assistive technology for dementia: </w:t>
      </w:r>
      <w:r w:rsidRPr="00843B57">
        <w:rPr>
          <w:rFonts w:ascii="Arial" w:hAnsi="Arial" w:cs="Arial"/>
          <w:sz w:val="22"/>
          <w:szCs w:val="22"/>
        </w:rPr>
        <w:t xml:space="preserve">Balancing safety and autonomy’, </w:t>
      </w:r>
      <w:r w:rsidRPr="00843B57">
        <w:rPr>
          <w:rStyle w:val="Emphasis"/>
          <w:rFonts w:ascii="Arial" w:hAnsi="Arial" w:cs="Arial"/>
          <w:sz w:val="22"/>
          <w:szCs w:val="22"/>
        </w:rPr>
        <w:t>Ageing and Society</w:t>
      </w:r>
      <w:r w:rsidRPr="00843B57">
        <w:rPr>
          <w:rFonts w:ascii="Arial" w:hAnsi="Arial" w:cs="Arial"/>
          <w:sz w:val="22"/>
          <w:szCs w:val="22"/>
        </w:rPr>
        <w:t>, 40(5), pp. 1012–1031.</w:t>
      </w:r>
    </w:p>
    <w:p w14:paraId="51275256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Tanner, J. (2022) ‘Supporting autonomy in dementia care’, </w:t>
      </w:r>
      <w:r w:rsidRPr="00843B57">
        <w:rPr>
          <w:rStyle w:val="Emphasis"/>
          <w:rFonts w:ascii="Arial" w:hAnsi="Arial" w:cs="Arial"/>
          <w:sz w:val="22"/>
          <w:szCs w:val="22"/>
        </w:rPr>
        <w:t>Journal of Medical Ethics and Practice</w:t>
      </w:r>
      <w:r w:rsidRPr="00843B57">
        <w:rPr>
          <w:rFonts w:ascii="Arial" w:hAnsi="Arial" w:cs="Arial"/>
          <w:sz w:val="22"/>
          <w:szCs w:val="22"/>
        </w:rPr>
        <w:t>, 18(2), pp. 155–163.</w:t>
      </w:r>
    </w:p>
    <w:p w14:paraId="6C8E9D42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43B57">
        <w:rPr>
          <w:rFonts w:ascii="Arial" w:hAnsi="Arial" w:cs="Arial"/>
          <w:sz w:val="22"/>
          <w:szCs w:val="22"/>
        </w:rPr>
        <w:t>Topo</w:t>
      </w:r>
      <w:proofErr w:type="spellEnd"/>
      <w:r w:rsidRPr="00843B57">
        <w:rPr>
          <w:rFonts w:ascii="Arial" w:hAnsi="Arial" w:cs="Arial"/>
          <w:sz w:val="22"/>
          <w:szCs w:val="22"/>
        </w:rPr>
        <w:t xml:space="preserve">, P. (2009) ‘Technology studies to meet the needs of people with dementia and their caregivers: A literature review’, </w:t>
      </w:r>
      <w:r w:rsidRPr="00843B57">
        <w:rPr>
          <w:rStyle w:val="Emphasis"/>
          <w:rFonts w:ascii="Arial" w:hAnsi="Arial" w:cs="Arial"/>
          <w:sz w:val="22"/>
          <w:szCs w:val="22"/>
        </w:rPr>
        <w:t>Journal of Technology in Human Services</w:t>
      </w:r>
      <w:r w:rsidRPr="00843B57">
        <w:rPr>
          <w:rFonts w:ascii="Arial" w:hAnsi="Arial" w:cs="Arial"/>
          <w:sz w:val="22"/>
          <w:szCs w:val="22"/>
        </w:rPr>
        <w:t>, 27(1), pp. 60–78.</w:t>
      </w:r>
    </w:p>
    <w:p w14:paraId="3633DC05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43B57">
        <w:rPr>
          <w:rFonts w:ascii="Arial" w:hAnsi="Arial" w:cs="Arial"/>
          <w:sz w:val="22"/>
          <w:szCs w:val="22"/>
        </w:rPr>
        <w:t>Topolovec-Vranic</w:t>
      </w:r>
      <w:proofErr w:type="spellEnd"/>
      <w:r w:rsidRPr="00843B57">
        <w:rPr>
          <w:rFonts w:ascii="Arial" w:hAnsi="Arial" w:cs="Arial"/>
          <w:sz w:val="22"/>
          <w:szCs w:val="22"/>
        </w:rPr>
        <w:t>, J. et al. (2021)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 ‘Ethical challenges of GPS tracking in dementia care’, </w:t>
      </w:r>
      <w:r w:rsidRPr="00843B57">
        <w:rPr>
          <w:rStyle w:val="Emphasis"/>
          <w:rFonts w:ascii="Arial" w:hAnsi="Arial" w:cs="Arial"/>
          <w:i w:val="0"/>
          <w:iCs w:val="0"/>
          <w:sz w:val="22"/>
          <w:szCs w:val="22"/>
        </w:rPr>
        <w:t>Journal of Medical Ethics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, </w:t>
      </w:r>
      <w:r w:rsidRPr="00843B57">
        <w:rPr>
          <w:rFonts w:ascii="Arial" w:hAnsi="Arial" w:cs="Arial"/>
          <w:sz w:val="22"/>
          <w:szCs w:val="22"/>
        </w:rPr>
        <w:t>47(12), pp. 804–810.</w:t>
      </w:r>
    </w:p>
    <w:p w14:paraId="05BFCA64" w14:textId="72CAB89F" w:rsidR="004077C4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Van der </w:t>
      </w:r>
      <w:proofErr w:type="spellStart"/>
      <w:r w:rsidRPr="00843B57">
        <w:rPr>
          <w:rFonts w:ascii="Arial" w:hAnsi="Arial" w:cs="Arial"/>
          <w:sz w:val="22"/>
          <w:szCs w:val="22"/>
        </w:rPr>
        <w:t>Putten</w:t>
      </w:r>
      <w:proofErr w:type="spellEnd"/>
      <w:r w:rsidRPr="00843B57">
        <w:rPr>
          <w:rFonts w:ascii="Arial" w:hAnsi="Arial" w:cs="Arial"/>
          <w:sz w:val="22"/>
          <w:szCs w:val="22"/>
        </w:rPr>
        <w:t>, D. et al. (2019)</w:t>
      </w:r>
      <w:r w:rsidRPr="00843B57">
        <w:rPr>
          <w:rFonts w:ascii="Arial" w:hAnsi="Arial" w:cs="Arial"/>
          <w:i/>
          <w:iCs/>
          <w:sz w:val="22"/>
          <w:szCs w:val="22"/>
        </w:rPr>
        <w:t xml:space="preserve"> ‘Surveillance technologies and people with dementia: </w:t>
      </w:r>
      <w:r w:rsidRPr="00843B57">
        <w:rPr>
          <w:rFonts w:ascii="Arial" w:hAnsi="Arial" w:cs="Arial"/>
          <w:sz w:val="22"/>
          <w:szCs w:val="22"/>
        </w:rPr>
        <w:t xml:space="preserve">Autonomy and privacy issues’, </w:t>
      </w:r>
      <w:proofErr w:type="spellStart"/>
      <w:r w:rsidRPr="00843B57">
        <w:rPr>
          <w:rStyle w:val="Emphasis"/>
          <w:rFonts w:ascii="Arial" w:hAnsi="Arial" w:cs="Arial"/>
          <w:sz w:val="22"/>
          <w:szCs w:val="22"/>
        </w:rPr>
        <w:t>Gerontechnology</w:t>
      </w:r>
      <w:proofErr w:type="spellEnd"/>
      <w:r w:rsidRPr="00843B57">
        <w:rPr>
          <w:rFonts w:ascii="Arial" w:hAnsi="Arial" w:cs="Arial"/>
          <w:sz w:val="22"/>
          <w:szCs w:val="22"/>
        </w:rPr>
        <w:t>, 18(4), pp. 195–207.</w:t>
      </w:r>
    </w:p>
    <w:p w14:paraId="281368D3" w14:textId="77777777" w:rsidR="003227B5" w:rsidRPr="00843B57" w:rsidRDefault="003227B5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635BCCF4" w14:textId="02E86265" w:rsidR="004077C4" w:rsidRPr="00843B57" w:rsidRDefault="004077C4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lastRenderedPageBreak/>
        <w:t>Wan, L. Et al. (2014) ‘</w:t>
      </w:r>
      <w:r w:rsidRPr="00843B57">
        <w:rPr>
          <w:rFonts w:ascii="Arial" w:hAnsi="Arial" w:cs="Arial"/>
          <w:i/>
          <w:iCs/>
          <w:sz w:val="22"/>
          <w:szCs w:val="22"/>
        </w:rPr>
        <w:t>Addressing the subtleties in dementia care: pre-study &amp; evaluation of a GPS monitoring system’</w:t>
      </w:r>
      <w:r w:rsidRPr="00843B57">
        <w:rPr>
          <w:rFonts w:ascii="Arial" w:hAnsi="Arial" w:cs="Arial"/>
          <w:sz w:val="22"/>
          <w:szCs w:val="22"/>
        </w:rPr>
        <w:t xml:space="preserve">, in Proceedings of the SIGCHI Conference on Human Factors in Computing Systems. New York, NY, USA: ACM, pp. 3987–3996. Available at: </w:t>
      </w:r>
      <w:hyperlink r:id="rId16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https://doi.org/10.1145/2556288.2557307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710A0307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White, N. and Montgomery, P. (2014) </w:t>
      </w:r>
      <w:r w:rsidRPr="00843B57">
        <w:rPr>
          <w:rFonts w:ascii="Arial" w:hAnsi="Arial" w:cs="Arial"/>
          <w:i/>
          <w:iCs/>
          <w:sz w:val="22"/>
          <w:szCs w:val="22"/>
        </w:rPr>
        <w:t>‘Electronic tracking for people with dementia</w:t>
      </w:r>
      <w:r w:rsidRPr="00843B57">
        <w:rPr>
          <w:rFonts w:ascii="Arial" w:hAnsi="Arial" w:cs="Arial"/>
          <w:sz w:val="22"/>
          <w:szCs w:val="22"/>
        </w:rPr>
        <w:t xml:space="preserve">: An exploratory study of the ethical issues experienced by carers in making decisions about usage’, </w:t>
      </w:r>
      <w:r w:rsidRPr="00843B57">
        <w:rPr>
          <w:rStyle w:val="Emphasis"/>
          <w:rFonts w:ascii="Arial" w:hAnsi="Arial" w:cs="Arial"/>
          <w:sz w:val="22"/>
          <w:szCs w:val="22"/>
        </w:rPr>
        <w:t>Dementia</w:t>
      </w:r>
      <w:r w:rsidRPr="00843B57">
        <w:rPr>
          <w:rFonts w:ascii="Arial" w:hAnsi="Arial" w:cs="Arial"/>
          <w:sz w:val="22"/>
          <w:szCs w:val="22"/>
        </w:rPr>
        <w:t xml:space="preserve">, 13(2), pp. 216–232. DOI: </w:t>
      </w:r>
      <w:hyperlink r:id="rId17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10.1177/1471301212460445</w:t>
        </w:r>
      </w:hyperlink>
      <w:r w:rsidRPr="00843B57">
        <w:rPr>
          <w:rFonts w:ascii="Arial" w:hAnsi="Arial" w:cs="Arial"/>
          <w:sz w:val="22"/>
          <w:szCs w:val="22"/>
        </w:rPr>
        <w:t>.</w:t>
      </w:r>
    </w:p>
    <w:p w14:paraId="28230F11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843B57">
        <w:rPr>
          <w:rFonts w:ascii="Arial" w:hAnsi="Arial" w:cs="Arial"/>
          <w:sz w:val="22"/>
          <w:szCs w:val="22"/>
        </w:rPr>
        <w:t xml:space="preserve">World Health Organization (2023) </w:t>
      </w:r>
      <w:r w:rsidRPr="00843B57">
        <w:rPr>
          <w:rStyle w:val="Emphasis"/>
          <w:rFonts w:ascii="Arial" w:hAnsi="Arial" w:cs="Arial"/>
          <w:sz w:val="22"/>
          <w:szCs w:val="22"/>
        </w:rPr>
        <w:t>Dementia: Key facts</w:t>
      </w:r>
      <w:r w:rsidRPr="00843B57">
        <w:rPr>
          <w:rFonts w:ascii="Arial" w:hAnsi="Arial" w:cs="Arial"/>
          <w:sz w:val="22"/>
          <w:szCs w:val="22"/>
        </w:rPr>
        <w:t xml:space="preserve">. Available at: </w:t>
      </w:r>
      <w:hyperlink r:id="rId18" w:tgtFrame="_new" w:history="1">
        <w:r w:rsidRPr="00843B57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https://www.who.int/news-room/fact-sheets/detail/dementia</w:t>
        </w:r>
      </w:hyperlink>
      <w:r w:rsidRPr="00843B57">
        <w:rPr>
          <w:rFonts w:ascii="Arial" w:hAnsi="Arial" w:cs="Arial"/>
          <w:sz w:val="22"/>
          <w:szCs w:val="22"/>
        </w:rPr>
        <w:t xml:space="preserve"> (Accessed: 29 October 2025).</w:t>
      </w:r>
    </w:p>
    <w:p w14:paraId="6405CBD3" w14:textId="333E1198" w:rsidR="00A21252" w:rsidRPr="00843B57" w:rsidRDefault="00A21252" w:rsidP="00843B57">
      <w:pPr>
        <w:spacing w:line="360" w:lineRule="auto"/>
        <w:rPr>
          <w:rFonts w:ascii="Arial" w:eastAsia="Times New Roman" w:hAnsi="Arial" w:cs="Arial"/>
          <w:sz w:val="22"/>
          <w:szCs w:val="22"/>
        </w:rPr>
      </w:pPr>
    </w:p>
    <w:p w14:paraId="1CFBAF13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62C88D5B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3624BA73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51ABB1D4" w14:textId="77777777" w:rsidR="00A21252" w:rsidRPr="00843B57" w:rsidRDefault="00A21252" w:rsidP="00843B5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sectPr w:rsidR="00A21252" w:rsidRPr="00843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54A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015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33AB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7E3865"/>
    <w:multiLevelType w:val="hybridMultilevel"/>
    <w:tmpl w:val="8A1E3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E525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9937977">
    <w:abstractNumId w:val="1"/>
  </w:num>
  <w:num w:numId="2" w16cid:durableId="403532774">
    <w:abstractNumId w:val="0"/>
  </w:num>
  <w:num w:numId="3" w16cid:durableId="1091047278">
    <w:abstractNumId w:val="4"/>
  </w:num>
  <w:num w:numId="4" w16cid:durableId="54201216">
    <w:abstractNumId w:val="2"/>
  </w:num>
  <w:num w:numId="5" w16cid:durableId="3294108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C41"/>
    <w:rsid w:val="00027BD5"/>
    <w:rsid w:val="000C71A1"/>
    <w:rsid w:val="00154BC3"/>
    <w:rsid w:val="00157337"/>
    <w:rsid w:val="00205BA7"/>
    <w:rsid w:val="00211DFC"/>
    <w:rsid w:val="002A11DF"/>
    <w:rsid w:val="0031214F"/>
    <w:rsid w:val="003227B5"/>
    <w:rsid w:val="003335E6"/>
    <w:rsid w:val="0034414B"/>
    <w:rsid w:val="00346F09"/>
    <w:rsid w:val="00392541"/>
    <w:rsid w:val="00396908"/>
    <w:rsid w:val="003A1929"/>
    <w:rsid w:val="003F59D2"/>
    <w:rsid w:val="004077C4"/>
    <w:rsid w:val="00407D0F"/>
    <w:rsid w:val="00484587"/>
    <w:rsid w:val="004E62F4"/>
    <w:rsid w:val="00516E4B"/>
    <w:rsid w:val="005A39C9"/>
    <w:rsid w:val="00673ACD"/>
    <w:rsid w:val="00676830"/>
    <w:rsid w:val="006D5F2A"/>
    <w:rsid w:val="00756CEB"/>
    <w:rsid w:val="007A26DE"/>
    <w:rsid w:val="00843B57"/>
    <w:rsid w:val="00872E0B"/>
    <w:rsid w:val="008D7E5A"/>
    <w:rsid w:val="008F0061"/>
    <w:rsid w:val="009B5517"/>
    <w:rsid w:val="009D15FA"/>
    <w:rsid w:val="009E3800"/>
    <w:rsid w:val="00A21252"/>
    <w:rsid w:val="00A50C41"/>
    <w:rsid w:val="00AD6001"/>
    <w:rsid w:val="00B560DD"/>
    <w:rsid w:val="00B97CB8"/>
    <w:rsid w:val="00BF78EE"/>
    <w:rsid w:val="00CC1CCB"/>
    <w:rsid w:val="00D0321E"/>
    <w:rsid w:val="00D7429C"/>
    <w:rsid w:val="00DD3CD5"/>
    <w:rsid w:val="00DD6F9C"/>
    <w:rsid w:val="00E04FA8"/>
    <w:rsid w:val="00E0507C"/>
    <w:rsid w:val="00E263CA"/>
    <w:rsid w:val="00E5616A"/>
    <w:rsid w:val="00E92852"/>
    <w:rsid w:val="00F0573A"/>
    <w:rsid w:val="00F5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88106"/>
  <w15:chartTrackingRefBased/>
  <w15:docId w15:val="{864F8B9E-5BBA-8F44-96B3-F864CF00C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0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0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0C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C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C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C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C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C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C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C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0C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0C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C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C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C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C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C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C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0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0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C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0C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0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0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0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0C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C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C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0C4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A50C41"/>
    <w:rPr>
      <w:b/>
      <w:bCs/>
    </w:rPr>
  </w:style>
  <w:style w:type="paragraph" w:styleId="NormalWeb">
    <w:name w:val="Normal (Web)"/>
    <w:basedOn w:val="Normal"/>
    <w:uiPriority w:val="99"/>
    <w:unhideWhenUsed/>
    <w:rsid w:val="00A50C4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A50C41"/>
    <w:rPr>
      <w:i/>
      <w:iCs/>
    </w:rPr>
  </w:style>
  <w:style w:type="character" w:styleId="Hyperlink">
    <w:name w:val="Hyperlink"/>
    <w:basedOn w:val="DefaultParagraphFont"/>
    <w:uiPriority w:val="99"/>
    <w:unhideWhenUsed/>
    <w:rsid w:val="00407D0F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07D0F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07D0F"/>
    <w:rPr>
      <w:rFonts w:ascii="Arial" w:hAnsi="Arial" w:cs="Arial"/>
      <w:vanish/>
      <w:kern w:val="0"/>
      <w:sz w:val="16"/>
      <w:szCs w:val="16"/>
      <w14:ligatures w14:val="none"/>
    </w:rPr>
  </w:style>
  <w:style w:type="paragraph" w:customStyle="1" w:styleId="placeholder">
    <w:name w:val="placeholder"/>
    <w:basedOn w:val="Normal"/>
    <w:rsid w:val="00407D0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07D0F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07D0F"/>
    <w:rPr>
      <w:rFonts w:ascii="Arial" w:hAnsi="Arial" w:cs="Arial"/>
      <w:vanish/>
      <w:kern w:val="0"/>
      <w:sz w:val="16"/>
      <w:szCs w:val="16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A1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equality-act-2010-guidance" TargetMode="External" /><Relationship Id="rId13" Type="http://schemas.openxmlformats.org/officeDocument/2006/relationships/hyperlink" Target="https://doi.org/10.1177/01622439251355375" TargetMode="External" /><Relationship Id="rId18" Type="http://schemas.openxmlformats.org/officeDocument/2006/relationships/hyperlink" Target="https://www.who.int/news-room/fact-sheets/detail/dementia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mdpi.com/1424-8220/22/9/3336?utm_source=chatgpt.com" TargetMode="External" /><Relationship Id="rId12" Type="http://schemas.openxmlformats.org/officeDocument/2006/relationships/hyperlink" Target="https://pubmed.ncbi.nlm.nih.gov/20924823/?utm_source=chatgpt.com" TargetMode="External" /><Relationship Id="rId17" Type="http://schemas.openxmlformats.org/officeDocument/2006/relationships/hyperlink" Target="https://pubmed.ncbi.nlm.nih.gov/24599815/?utm_source=chatgpt.com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doi.org/10.1145/2556288.2557307" TargetMode="External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hyperlink" Target="https://www.legislation.gov.uk/ukpga/2014/23/contents/enacted" TargetMode="External" /><Relationship Id="rId11" Type="http://schemas.openxmlformats.org/officeDocument/2006/relationships/hyperlink" Target="https://doi.org/10.1093/bjsw/bcp037" TargetMode="External" /><Relationship Id="rId5" Type="http://schemas.openxmlformats.org/officeDocument/2006/relationships/image" Target="media/image1.jpeg" /><Relationship Id="rId15" Type="http://schemas.openxmlformats.org/officeDocument/2006/relationships/hyperlink" Target="https://www.legislation.gov.uk/ukpga/1983/20/contents" TargetMode="External" /><Relationship Id="rId10" Type="http://schemas.openxmlformats.org/officeDocument/2006/relationships/hyperlink" Target="https://pubmed.ncbi.nlm.nih.gov/22014284/?utm_source=chatgpt.com" TargetMode="External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www.gov.uk/guidance/equality-act-2010-guidance" TargetMode="External" /><Relationship Id="rId14" Type="http://schemas.openxmlformats.org/officeDocument/2006/relationships/hyperlink" Target="https://www.legislation.gov.uk/ukpga/2005/9/cont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868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Nazmin Malik (2242813)</dc:creator>
  <cp:keywords/>
  <dc:description/>
  <cp:lastModifiedBy>Nazmin Malik (2242813)</cp:lastModifiedBy>
  <cp:revision>44</cp:revision>
  <dcterms:created xsi:type="dcterms:W3CDTF">2025-10-29T13:56:00Z</dcterms:created>
  <dcterms:modified xsi:type="dcterms:W3CDTF">2025-11-08T17:39:00Z</dcterms:modified>
</cp:coreProperties>
</file>