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83E6A8D" w14:textId="77777777" w:rsidR="00C9445C" w:rsidRPr="003A423B" w:rsidRDefault="00C9445C" w:rsidP="003A423B">
      <w:pPr>
        <w:spacing w:line="480" w:lineRule="auto"/>
        <w:jc w:val="center"/>
        <w:rPr>
          <w:rFonts w:ascii="Arial" w:eastAsia="Arial" w:hAnsi="Arial" w:cs="Arial"/>
          <w:sz w:val="24"/>
          <w:szCs w:val="24"/>
          <w:u w:val="single"/>
        </w:rPr>
      </w:pPr>
      <w:r w:rsidRPr="003A423B">
        <w:rPr>
          <w:rFonts w:ascii="Arial" w:eastAsia="Arial" w:hAnsi="Arial" w:cs="Arial"/>
          <w:sz w:val="24"/>
          <w:szCs w:val="24"/>
          <w:u w:val="single"/>
        </w:rPr>
        <w:t>The effects of short-term gaming on cognitive performance, exploring the impact of gaming genre and prior gaming experience on memory, attention and reaction time.</w:t>
      </w:r>
    </w:p>
    <w:p w14:paraId="2AAFC9EA" w14:textId="77777777" w:rsidR="0029724C" w:rsidRDefault="0029724C" w:rsidP="003A423B">
      <w:pPr>
        <w:spacing w:line="480" w:lineRule="auto"/>
        <w:rPr>
          <w:rFonts w:ascii="Arial" w:hAnsi="Arial" w:cs="Arial"/>
          <w:sz w:val="24"/>
          <w:szCs w:val="24"/>
        </w:rPr>
      </w:pPr>
      <w:r>
        <w:rPr>
          <w:rFonts w:ascii="Arial" w:hAnsi="Arial" w:cs="Arial"/>
          <w:sz w:val="24"/>
          <w:szCs w:val="24"/>
        </w:rPr>
        <w:t>Chapter 1: Literature Review</w:t>
      </w:r>
    </w:p>
    <w:p w14:paraId="4A408C04" w14:textId="7C82381E" w:rsidR="00355206" w:rsidRPr="003A423B" w:rsidRDefault="00355206" w:rsidP="003A423B">
      <w:pPr>
        <w:spacing w:line="480" w:lineRule="auto"/>
        <w:rPr>
          <w:rFonts w:ascii="Arial" w:hAnsi="Arial" w:cs="Arial"/>
          <w:sz w:val="24"/>
          <w:szCs w:val="24"/>
        </w:rPr>
      </w:pPr>
      <w:r w:rsidRPr="003A423B">
        <w:rPr>
          <w:rFonts w:ascii="Arial" w:hAnsi="Arial" w:cs="Arial"/>
          <w:sz w:val="24"/>
          <w:szCs w:val="24"/>
        </w:rPr>
        <w:t>In today's digital age, video gaming has become ubiquitous and pervasive. With such a diverse variety of genres and platforms, the gaming industry attracts millions of individuals across all ages, genders and cultural boundaries (Birk et al., 2017). An activity used for leisure, which has grown exponentially in popularity throughout the years, is not only used for relaxation and challenges yet also has been known to stimulate the cognitive capacities of its players (Kuhn et al., 2019). Among children aged between two to 17 years, a recent 2022 survey in the United States demonstrated that 71% partake in video game activities, indicating a four-percentage-point rise compared to the statistics recorded in 2018 (NPD, 2022). There has been a suggestion that engaging in video games can lead to cognitive, motivational, emotional, and social advantages (Granic et al., 2014).</w:t>
      </w:r>
    </w:p>
    <w:p w14:paraId="29484E05" w14:textId="77777777" w:rsidR="00355206" w:rsidRPr="003A423B" w:rsidRDefault="00355206" w:rsidP="003A423B">
      <w:pPr>
        <w:spacing w:line="480" w:lineRule="auto"/>
        <w:rPr>
          <w:rFonts w:ascii="Arial" w:hAnsi="Arial" w:cs="Arial"/>
          <w:sz w:val="24"/>
          <w:szCs w:val="24"/>
        </w:rPr>
      </w:pPr>
      <w:r w:rsidRPr="003A423B">
        <w:rPr>
          <w:rFonts w:ascii="Arial" w:hAnsi="Arial" w:cs="Arial"/>
          <w:sz w:val="24"/>
          <w:szCs w:val="24"/>
        </w:rPr>
        <w:t xml:space="preserve">Existing literature has demonstrated a compelling relationship between gaming experience levels and cognitive task performance. Numerous studies have consistently highlighted the advantages experienced gamers possess over those with limited gaming experience. For instance, Green and Bavelier (2003) have done research that showcased those individuals who extensively engaged in video games displayed enhanced visual attention, spatial resolution and multitasking abilities compared to non-gamers. Correspondingly, Boot et al. (2011) conducted a meta-analysis and collated findings across various studies, reinforcing the notion by Green and Bavelier (2003) that individuals who frequently game tend to exhibit quicker and much more accurate decision-making skills, improved working memory and </w:t>
      </w:r>
      <w:r w:rsidRPr="003A423B">
        <w:rPr>
          <w:rFonts w:ascii="Arial" w:hAnsi="Arial" w:cs="Arial"/>
          <w:sz w:val="24"/>
          <w:szCs w:val="24"/>
        </w:rPr>
        <w:lastRenderedPageBreak/>
        <w:t>heightened cognitive flexibility compared to those who do not game. Both the findings above suggest a positive association between experienced gamers and superior cognitive task performance across various domains; these indicate potential cognitive benefits associated with prolonged gaming engagement. However, whilst Boot et al. (2011) and Green and Bavelier (2003) meta-analysis and study findings supported the notion that frequent gamers tend to exhibit improved cognitive skills, findings from Kuhn et al. (2019) offer a different perspective. Whilst the two studies above have suggested enhanced decision-making, working memory and cognitive flexibility among frequent gamers, Kuhn et al. (2019) found that although gamers might excel in specific cognitive tasks, these gains may not generalise to overall cognitive abilities or academic performance.</w:t>
      </w:r>
    </w:p>
    <w:p w14:paraId="55E5E41E" w14:textId="77777777" w:rsidR="00355206" w:rsidRPr="003A423B" w:rsidRDefault="00355206" w:rsidP="003A423B">
      <w:pPr>
        <w:spacing w:line="480" w:lineRule="auto"/>
        <w:rPr>
          <w:rFonts w:ascii="Arial" w:hAnsi="Arial" w:cs="Arial"/>
          <w:sz w:val="24"/>
          <w:szCs w:val="24"/>
        </w:rPr>
      </w:pPr>
      <w:r w:rsidRPr="003A423B">
        <w:rPr>
          <w:rFonts w:ascii="Arial" w:hAnsi="Arial" w:cs="Arial"/>
          <w:sz w:val="24"/>
          <w:szCs w:val="24"/>
        </w:rPr>
        <w:t>Furthermore, Kuhn et al.'s (2019) study emphasised the potential detrimental effects of extensive gaming on brain structure, mainly grey matter volume (the brain and spinal cords darker tissue, composed of nerve cell bodies and branching dendrites), highlighting concerns regarding the long-term consequences of prolonged gaming on cognitive health. Echoing Kühn et al. (2019), Pan et al. (2018) discovered associations between prolonged gaming and brain structure alterations linked to cognitive control. Both studies by Kuhn et al. (2019) and Pan et al. (2018) highlight concerns about potential grey matter changes in brain regions crucial for cognitive functions among frequent gamers. Therefore, while Boot et al. (2011) support a positive relationship between gaming experience and specific cognitive skills, the broader implications and potential drawbacks, as highlighted by Kuhn et al. (2019) and Pan et al. (2018), suggest a need for a more comprehensive understanding of multifaceted impacts of gaming on cognitive abilities.</w:t>
      </w:r>
    </w:p>
    <w:p w14:paraId="6F6D259E" w14:textId="77777777" w:rsidR="00355206" w:rsidRPr="003A423B" w:rsidRDefault="00355206" w:rsidP="003A423B">
      <w:pPr>
        <w:spacing w:line="480" w:lineRule="auto"/>
        <w:rPr>
          <w:rFonts w:ascii="Arial" w:hAnsi="Arial" w:cs="Arial"/>
          <w:sz w:val="24"/>
          <w:szCs w:val="24"/>
        </w:rPr>
      </w:pPr>
      <w:r w:rsidRPr="003A423B">
        <w:rPr>
          <w:rFonts w:ascii="Arial" w:hAnsi="Arial" w:cs="Arial"/>
          <w:sz w:val="24"/>
          <w:szCs w:val="24"/>
        </w:rPr>
        <w:lastRenderedPageBreak/>
        <w:t xml:space="preserve">Chaarani et al. (2022) conducted research to find the association between video gaming and cognitive performance among younger people. This study consisted of 2217 participants, with 1399 being female, using both non-video gamers (NVG), zero hours of gaming and video gamers (VG), over 21 hours per week of gaming. Utilising an fMRI task consisting of distorted images and response time to identify the image correctly. This task identified that VGs scored better on the fMRI task, resulting in better reaction times and go times (reacting when saying three, two, one, go). The results also identified that VGs had better responses in the key region of the cortex, which is responsible for visual, attention and memory processing. However, Chaarani et al. (2022) found that VG's had attention problems (distracted more easily) and suffered more with mental health issues, i.e., depression compared to NVG's. In support of Chaarani et al.'s 2022 study is Ziv et al. (2022), who found that VG's had faster reaction times than those classified as NVGs. </w:t>
      </w:r>
    </w:p>
    <w:p w14:paraId="49490C9E" w14:textId="77777777" w:rsidR="00355206" w:rsidRPr="003A423B" w:rsidRDefault="00355206" w:rsidP="003A423B">
      <w:pPr>
        <w:spacing w:line="480" w:lineRule="auto"/>
        <w:rPr>
          <w:rFonts w:ascii="Arial" w:hAnsi="Arial" w:cs="Arial"/>
          <w:sz w:val="24"/>
          <w:szCs w:val="24"/>
        </w:rPr>
      </w:pPr>
      <w:r w:rsidRPr="003A423B">
        <w:rPr>
          <w:rFonts w:ascii="Arial" w:hAnsi="Arial" w:cs="Arial"/>
          <w:sz w:val="24"/>
          <w:szCs w:val="24"/>
        </w:rPr>
        <w:t>Furthermore, Papanastasiou et al. (2017) wrote a review paper focusing on the cognitive outcomes associated with action games. Their review consistently indicated that playing action games significantly correlates with improved reaction times. Participants who engage in action games consistently displayed faster responses to visual and auditory cues, indicative of heightened cognitive processing speed. Parallelly, Mishra et al. (2012) found similar findings five years prior to Papanastasiou et al. (2017). This further accentuated the strong association between action gaming and enhanced reaction times.</w:t>
      </w:r>
    </w:p>
    <w:p w14:paraId="1275EABC" w14:textId="77777777" w:rsidR="00355206" w:rsidRPr="003A423B" w:rsidRDefault="00355206" w:rsidP="003A423B">
      <w:pPr>
        <w:spacing w:line="480" w:lineRule="auto"/>
        <w:rPr>
          <w:rFonts w:ascii="Arial" w:hAnsi="Arial" w:cs="Arial"/>
          <w:sz w:val="24"/>
          <w:szCs w:val="24"/>
        </w:rPr>
      </w:pPr>
      <w:r w:rsidRPr="003A423B">
        <w:rPr>
          <w:rFonts w:ascii="Arial" w:hAnsi="Arial" w:cs="Arial"/>
          <w:sz w:val="24"/>
          <w:szCs w:val="24"/>
        </w:rPr>
        <w:t xml:space="preserve">In contrast, cognitive advantages that were linked to strategy gaming were also found. Papanastasiou et al. (2017) highlighted an association between strategy gaming and enhanced attentional performance. Also, players who engaged in the strategy gaming over the action gaming displayed superior attentional control, </w:t>
      </w:r>
      <w:r w:rsidRPr="003A423B">
        <w:rPr>
          <w:rFonts w:ascii="Arial" w:hAnsi="Arial" w:cs="Arial"/>
          <w:sz w:val="24"/>
          <w:szCs w:val="24"/>
        </w:rPr>
        <w:lastRenderedPageBreak/>
        <w:t xml:space="preserve">effectively filtering out distractions and maintaining their focus attention on pertinent information. Likewise, Mishra et al. (2012), again five years prior, found a similar correlation: individuals immersed in a strategy game demonstrated refined attentional allocation and sustained focus, thus indicating the potential of strategy game genres to bolster selective attention. </w:t>
      </w:r>
    </w:p>
    <w:p w14:paraId="50BADFE6" w14:textId="0F76D5C4" w:rsidR="00355206" w:rsidRPr="003A423B" w:rsidRDefault="00355206" w:rsidP="003A423B">
      <w:pPr>
        <w:spacing w:line="480" w:lineRule="auto"/>
        <w:rPr>
          <w:rFonts w:ascii="Arial" w:hAnsi="Arial" w:cs="Arial"/>
          <w:sz w:val="24"/>
          <w:szCs w:val="24"/>
        </w:rPr>
      </w:pPr>
      <w:r w:rsidRPr="003A423B">
        <w:rPr>
          <w:rFonts w:ascii="Arial" w:hAnsi="Arial" w:cs="Arial"/>
          <w:sz w:val="24"/>
          <w:szCs w:val="24"/>
        </w:rPr>
        <w:t xml:space="preserve">Moreover, Castell et al. (2019) investigated the spatial learning through video games. Found that experienced video gamers, mainly </w:t>
      </w:r>
      <w:r w:rsidR="00486FB9" w:rsidRPr="003A423B">
        <w:rPr>
          <w:rFonts w:ascii="Arial" w:hAnsi="Arial" w:cs="Arial"/>
          <w:sz w:val="24"/>
          <w:szCs w:val="24"/>
        </w:rPr>
        <w:t>that adept</w:t>
      </w:r>
      <w:r w:rsidRPr="003A423B">
        <w:rPr>
          <w:rFonts w:ascii="Arial" w:hAnsi="Arial" w:cs="Arial"/>
          <w:sz w:val="24"/>
          <w:szCs w:val="24"/>
        </w:rPr>
        <w:t xml:space="preserve"> in strategy-based games, showcased enhanced performance in recalling the general location of a platform in a virtual maze. This indicated that memory was enhanced by playing video games, specifically strategy games. Additionally, Yao et al. (2015) delved into action real-time strategy gaming (ARSG), a genre that combines both action and strategy elements. Their findings revealed that experienced ARSGs exhibited higher accuracy and larger visual working memory (VWM) capacity in comparison to non-experienced in a change detection task. The study's event-related potential measurements indicated a notably larger VWM capacity in experienced gamers, thus suggesting that prolonged ARSG experience correlates with enhanced VWM. Collectively, both the above studies by Castell et al. (2019) and Yao et al. (2015) underscore the advantages of strategy-based gaming experiences in enhancing memory performance and emphasising the cognitive benefits associated with engaging in strategic gaming experiences.</w:t>
      </w:r>
    </w:p>
    <w:p w14:paraId="2C2C5DD6" w14:textId="77777777" w:rsidR="00355206" w:rsidRPr="003A423B" w:rsidRDefault="00355206" w:rsidP="003A423B">
      <w:pPr>
        <w:spacing w:line="480" w:lineRule="auto"/>
        <w:rPr>
          <w:rFonts w:ascii="Arial" w:hAnsi="Arial" w:cs="Arial"/>
          <w:sz w:val="24"/>
          <w:szCs w:val="24"/>
        </w:rPr>
      </w:pPr>
      <w:r w:rsidRPr="003A423B">
        <w:rPr>
          <w:rFonts w:ascii="Arial" w:hAnsi="Arial" w:cs="Arial"/>
          <w:sz w:val="24"/>
          <w:szCs w:val="24"/>
        </w:rPr>
        <w:t xml:space="preserve">In contrast to the studies by Castell et al. (2019) and Yao et al. (2015), who suggest positive effects of video game experience on cognitive abilities, Bailey et al. (2009) presented their findings, which challenge this notion. This study specifically focused on the impact of video game experience on cognitive control, specifically proactive and reactive control. Contrary to the notion of positive influence of gaming on </w:t>
      </w:r>
      <w:r w:rsidRPr="003A423B">
        <w:rPr>
          <w:rFonts w:ascii="Arial" w:hAnsi="Arial" w:cs="Arial"/>
          <w:sz w:val="24"/>
          <w:szCs w:val="24"/>
        </w:rPr>
        <w:lastRenderedPageBreak/>
        <w:t>cognitive abilities, Bailey et al.'s (2009) findings indicated a potential negative influence of video game experience on proactive cognitive control. Through this, it indicated that experienced video gamers showed no difference in the Stroop interference effect compared to low gaming experience, suggesting a lack of advantage in proactive cognitive control. Moreover, the reduction in the conflict adaption effect (the brain's adjustment in handling challenges based on past experiences, improving performance on similar tasks) and attenuation of specific brain potentials, specifically the medial frontal negativity and frontal slow wave, in experienced gamers further support the idea of a potentially detrimental effect of video game experience on proactive cognitive control. The findings outlined here serve as a critical counterpoint to the prevailing idea of a universally positive effects of gaming on cognitive functions. Highlighting the nuanced and potentially negative influences of gaming on specific aspects of cognitive control (Bailey et al., 2009).</w:t>
      </w:r>
    </w:p>
    <w:p w14:paraId="3D18A812" w14:textId="77777777" w:rsidR="00355206" w:rsidRPr="003A423B" w:rsidRDefault="00355206" w:rsidP="003A423B">
      <w:pPr>
        <w:spacing w:line="480" w:lineRule="auto"/>
        <w:rPr>
          <w:rFonts w:ascii="Arial" w:hAnsi="Arial" w:cs="Arial"/>
          <w:sz w:val="24"/>
          <w:szCs w:val="24"/>
        </w:rPr>
      </w:pPr>
      <w:r w:rsidRPr="003A423B">
        <w:rPr>
          <w:rFonts w:ascii="Arial" w:hAnsi="Arial" w:cs="Arial"/>
          <w:sz w:val="24"/>
          <w:szCs w:val="24"/>
        </w:rPr>
        <w:t xml:space="preserve">Nevertheless, there have been many prior studies that have consistently indicated the potential cognitive advantages associated with gaming, showcasing enhancements in reaction times, attentional capacity, and working memory (Mishra et al., 2011; Simons et al., 2016) alongside the ones already discussed (Castell et al., 2019; Yao et al., 2015; Mishra et al., 2012; Papanastasiou et al., 2017). Likewise, individuals with prior gaming experience exhibit superior task-learning abilities and a swifter adaptation to diverse cognitive challenges than non-gamers (Smith et al., 2020). However, these studies present specific limitations, particularly in the comprehensive exploration of how distinct gaming genres and levels of gaming experience specifically impact memory, attention, and reaction times within a short-term temporal framework. Moreover, the absence of an ANOVA design in these </w:t>
      </w:r>
      <w:r w:rsidRPr="003A423B">
        <w:rPr>
          <w:rFonts w:ascii="Arial" w:hAnsi="Arial" w:cs="Arial"/>
          <w:sz w:val="24"/>
          <w:szCs w:val="24"/>
        </w:rPr>
        <w:lastRenderedPageBreak/>
        <w:t>studies hampers a more in-depth analysis (Szűcs &amp; Ioannidis, 2017; Green &amp; Bavelier, 2008). Recognising these research gaps is crucial.</w:t>
      </w:r>
    </w:p>
    <w:p w14:paraId="75F47F65" w14:textId="77777777" w:rsidR="00355206" w:rsidRPr="003A423B" w:rsidRDefault="00355206" w:rsidP="003A423B">
      <w:pPr>
        <w:spacing w:line="480" w:lineRule="auto"/>
        <w:rPr>
          <w:rFonts w:ascii="Arial" w:hAnsi="Arial" w:cs="Arial"/>
          <w:sz w:val="24"/>
          <w:szCs w:val="24"/>
        </w:rPr>
      </w:pPr>
      <w:r w:rsidRPr="003A423B">
        <w:rPr>
          <w:rFonts w:ascii="Arial" w:hAnsi="Arial" w:cs="Arial"/>
          <w:sz w:val="24"/>
          <w:szCs w:val="24"/>
        </w:rPr>
        <w:t xml:space="preserve">Additionally, the prior research into the effects of gaming on cognitive functions does not have a specific focus. Instead, it is an overall outlook on gaming on cognitive functions. The research available does not have a specific focus on the fact that gaming is more universal and aimed at all ages. The focus of these studies is on one category, either children/adolescents or male gamers. Lacking a diverse viewpoint on whether short-term gaming genres and experience influence cognitive performance throughout all genders, ages and backgrounds. </w:t>
      </w:r>
      <w:proofErr w:type="spellStart"/>
      <w:r w:rsidRPr="003A423B">
        <w:rPr>
          <w:rFonts w:ascii="Arial" w:hAnsi="Arial" w:cs="Arial"/>
          <w:sz w:val="24"/>
          <w:szCs w:val="24"/>
        </w:rPr>
        <w:t>Subeh</w:t>
      </w:r>
      <w:proofErr w:type="spellEnd"/>
      <w:r w:rsidRPr="003A423B">
        <w:rPr>
          <w:rFonts w:ascii="Arial" w:hAnsi="Arial" w:cs="Arial"/>
          <w:sz w:val="24"/>
          <w:szCs w:val="24"/>
        </w:rPr>
        <w:t xml:space="preserve"> and Alzoubi's (2021) research paper suggests that males and females of all ages should be in all studies where appropriate and suggests that ignoring one side of the coin is unethical and will not accurately represent the population.</w:t>
      </w:r>
    </w:p>
    <w:p w14:paraId="3FC8431F" w14:textId="524B2E82" w:rsidR="00355206" w:rsidRPr="003A423B" w:rsidRDefault="00355206" w:rsidP="003A423B">
      <w:pPr>
        <w:spacing w:line="480" w:lineRule="auto"/>
        <w:rPr>
          <w:rFonts w:ascii="Arial" w:hAnsi="Arial" w:cs="Arial"/>
          <w:sz w:val="24"/>
          <w:szCs w:val="24"/>
        </w:rPr>
      </w:pPr>
      <w:r w:rsidRPr="003A423B">
        <w:rPr>
          <w:rFonts w:ascii="Arial" w:hAnsi="Arial" w:cs="Arial"/>
          <w:sz w:val="24"/>
          <w:szCs w:val="24"/>
        </w:rPr>
        <w:t>In addition, understanding the impact of gaming on cognitive performance in memory, attention, and learning can be framed through Sweller's (1988) Cognitive Load Theory (CLT). CLT explores how memory and attention are influenced by the mental effort required to process information, coined cognitive load. Cognitive load refers to the total demand placed on an individual's cognitive system while processing information or performing a task (Stiller &amp; Schworm, 2019). In the context of gaming effects on cognitive performance, different gaming genres may impose varying cognitive loads. With their complex planning and resource management, strategy games likely impose a higher intrinsic cognitive load, potentially enhancing memory performance as players manage intricate game plans. On the other hand, action games, focusing on rapid reactions and attention, may impose a cognitive load geared toward immediate decision-making, possibly influencing attentional aspects more than memory. Sweller's</w:t>
      </w:r>
      <w:r w:rsidR="00486FB9">
        <w:rPr>
          <w:rFonts w:ascii="Arial" w:hAnsi="Arial" w:cs="Arial"/>
          <w:sz w:val="24"/>
          <w:szCs w:val="24"/>
        </w:rPr>
        <w:t xml:space="preserve"> (1988)</w:t>
      </w:r>
      <w:r w:rsidRPr="003A423B">
        <w:rPr>
          <w:rFonts w:ascii="Arial" w:hAnsi="Arial" w:cs="Arial"/>
          <w:sz w:val="24"/>
          <w:szCs w:val="24"/>
        </w:rPr>
        <w:t xml:space="preserve"> theory provides a framework for </w:t>
      </w:r>
      <w:r w:rsidRPr="003A423B">
        <w:rPr>
          <w:rFonts w:ascii="Arial" w:hAnsi="Arial" w:cs="Arial"/>
          <w:sz w:val="24"/>
          <w:szCs w:val="24"/>
        </w:rPr>
        <w:lastRenderedPageBreak/>
        <w:t>understanding how cognitive loads associated with gaming genres impact memory, attention, and learning, shedding light on the mechanisms underlying cognitive enhancements or deficits in gaming experiences (Leahy &amp; Sweller, 2011).</w:t>
      </w:r>
    </w:p>
    <w:p w14:paraId="00C3D8CD" w14:textId="77777777" w:rsidR="00355206" w:rsidRPr="003A423B" w:rsidRDefault="00355206" w:rsidP="003A423B">
      <w:pPr>
        <w:spacing w:line="480" w:lineRule="auto"/>
        <w:rPr>
          <w:rFonts w:ascii="Arial" w:hAnsi="Arial" w:cs="Arial"/>
          <w:sz w:val="24"/>
          <w:szCs w:val="24"/>
        </w:rPr>
      </w:pPr>
      <w:r w:rsidRPr="003A423B">
        <w:rPr>
          <w:rFonts w:ascii="Arial" w:hAnsi="Arial" w:cs="Arial"/>
          <w:sz w:val="24"/>
          <w:szCs w:val="24"/>
        </w:rPr>
        <w:t>The rationale for the purpose of this study stems from the identified gaps within the existing body of research concerning the impact of short-term gaming experiences and gaming genres on cognitive experiences. Whilst prior studies have suggested that there are, in fact, cognitive benefits associated with gaming, such as enhancements in reaction times, attention and working memory (Mishra et al., 2011; Simons et al., 2016; Castell et al., 2017; Yao et al., 2015), there remains a substantial need to delve deeper into the specifics and by utilising both sexes, all ages and a variety of experienced and non-experienced gamers. Moreover, empirical evidence in this literature has indicated that individuals with gaming experience exhibit more efficient task learning and quicker adaption to cognitive challenges than non-gamers (Smith et al., 2020). However, the limitations of these studies have opened a gap for more research, specifically in the thorough examination of how gaming genres and gaming experience levels distinctly influence memory, attention and reaction times within a short-term context and from a diverse mix of participants. The fundamental objective of this study is to address these gaps and limitations by leveraging the empirical evidence from prior research to gain a more profound understanding of the effects of short-term gaming and gaming genres on cognitive performance.</w:t>
      </w:r>
    </w:p>
    <w:p w14:paraId="6E3EF15B" w14:textId="377018E4" w:rsidR="00624005" w:rsidRPr="001E43CA" w:rsidRDefault="00355206" w:rsidP="00624005">
      <w:pPr>
        <w:spacing w:line="480" w:lineRule="auto"/>
        <w:rPr>
          <w:rFonts w:ascii="Arial" w:hAnsi="Arial" w:cs="Arial"/>
          <w:color w:val="000000" w:themeColor="text1"/>
          <w:sz w:val="24"/>
          <w:szCs w:val="24"/>
        </w:rPr>
      </w:pPr>
      <w:r w:rsidRPr="003A423B">
        <w:rPr>
          <w:rFonts w:ascii="Arial" w:hAnsi="Arial" w:cs="Arial"/>
          <w:sz w:val="24"/>
          <w:szCs w:val="24"/>
        </w:rPr>
        <w:t xml:space="preserve">This study aims to examine the intricate influence of short-term gaming experiences and gaming genres on cognitive performance, with a particular emphasis on memory, attention, and reaction times. By employing a robust 2x3 ANOVA design, the study seeks to conduct a comprehensive comparative analysis of cognitive task </w:t>
      </w:r>
      <w:r w:rsidRPr="003A423B">
        <w:rPr>
          <w:rFonts w:ascii="Arial" w:hAnsi="Arial" w:cs="Arial"/>
          <w:sz w:val="24"/>
          <w:szCs w:val="24"/>
        </w:rPr>
        <w:lastRenderedPageBreak/>
        <w:t>performance across diverse gaming genres and levels of gaming experience. The pre- and post-measurements involving attention, memory, and reaction time tasks will play a pivotal role in meticulously assessing these cognitive functions. The chosen gaming genres, strategy/puzzle (Mah-jong) and action/sport (Rocket League) will serve as distinct categories for comparison, enabling an insightful exploration of how different genres impact cognitive abilities within a short-term gaming context. Additionally, integrating the Cognitive Load Theory (Sweller, 1988) into this study will enable an in-depth exploration of whether gaming genres influence cognitive load and subsequent task performance differently. Ultimately, through this concerted effort to consolidate empirical findings from prior studies (Green &amp; Bavelier, 2008; Mishra et al., 2011; Simons et al., 2016; Li et al., 2009), the research endeavours to significantly contribute to the understanding of short-term gaming's effects on cognitive performance.</w:t>
      </w:r>
      <w:r w:rsidR="00624005">
        <w:rPr>
          <w:rFonts w:ascii="Arial" w:hAnsi="Arial" w:cs="Arial"/>
          <w:sz w:val="24"/>
          <w:szCs w:val="24"/>
        </w:rPr>
        <w:t xml:space="preserve"> </w:t>
      </w:r>
      <w:r w:rsidR="00624005">
        <w:rPr>
          <w:rFonts w:ascii="Arial" w:hAnsi="Arial" w:cs="Arial"/>
          <w:color w:val="000000" w:themeColor="text1"/>
          <w:sz w:val="24"/>
          <w:szCs w:val="24"/>
        </w:rPr>
        <w:t>Overall aiming</w:t>
      </w:r>
      <w:r w:rsidR="00624005" w:rsidRPr="001E43CA">
        <w:rPr>
          <w:rFonts w:ascii="Arial" w:hAnsi="Arial" w:cs="Arial"/>
          <w:color w:val="000000" w:themeColor="text1"/>
          <w:sz w:val="24"/>
          <w:szCs w:val="24"/>
        </w:rPr>
        <w:t xml:space="preserve"> to explore the interaction effects between gaming genre and gaming experience on memory, attention, and reaction times, providing comprehensive insights into the combined influence of these variables on cognitive performance.</w:t>
      </w:r>
    </w:p>
    <w:p w14:paraId="7460F075" w14:textId="7FBE3341" w:rsidR="00355206" w:rsidRPr="003A423B" w:rsidRDefault="00355206" w:rsidP="003A423B">
      <w:pPr>
        <w:spacing w:line="480" w:lineRule="auto"/>
        <w:rPr>
          <w:rFonts w:ascii="Arial" w:hAnsi="Arial" w:cs="Arial"/>
          <w:sz w:val="24"/>
          <w:szCs w:val="24"/>
        </w:rPr>
      </w:pPr>
    </w:p>
    <w:p w14:paraId="0C4BECE3" w14:textId="77777777" w:rsidR="00355206" w:rsidRPr="003A423B" w:rsidRDefault="00355206" w:rsidP="003A423B">
      <w:pPr>
        <w:spacing w:line="480" w:lineRule="auto"/>
        <w:rPr>
          <w:rFonts w:ascii="Arial" w:hAnsi="Arial" w:cs="Arial"/>
          <w:sz w:val="24"/>
          <w:szCs w:val="24"/>
        </w:rPr>
      </w:pPr>
      <w:r w:rsidRPr="003A423B">
        <w:rPr>
          <w:rFonts w:ascii="Arial" w:hAnsi="Arial" w:cs="Arial"/>
          <w:sz w:val="24"/>
          <w:szCs w:val="24"/>
        </w:rPr>
        <w:t>The hypotheses for this study are outlined below:</w:t>
      </w:r>
    </w:p>
    <w:p w14:paraId="1E2362B8" w14:textId="38CC2FA0" w:rsidR="007730F3" w:rsidRPr="003A423B" w:rsidRDefault="007730F3" w:rsidP="003A423B">
      <w:pPr>
        <w:spacing w:line="480" w:lineRule="auto"/>
        <w:rPr>
          <w:rFonts w:ascii="Arial" w:hAnsi="Arial" w:cs="Arial"/>
          <w:sz w:val="24"/>
          <w:szCs w:val="24"/>
        </w:rPr>
      </w:pPr>
      <w:r w:rsidRPr="003A423B">
        <w:rPr>
          <w:rFonts w:ascii="Arial" w:hAnsi="Arial" w:cs="Arial"/>
          <w:sz w:val="24"/>
          <w:szCs w:val="24"/>
        </w:rPr>
        <w:t>H</w:t>
      </w:r>
      <w:r w:rsidR="00BD1541" w:rsidRPr="003A423B">
        <w:rPr>
          <w:rFonts w:ascii="Arial" w:hAnsi="Arial" w:cs="Arial"/>
          <w:sz w:val="24"/>
          <w:szCs w:val="24"/>
          <w:vertAlign w:val="subscript"/>
        </w:rPr>
        <w:t>1</w:t>
      </w:r>
      <w:r w:rsidRPr="003A423B">
        <w:rPr>
          <w:rFonts w:ascii="Arial" w:hAnsi="Arial" w:cs="Arial"/>
          <w:sz w:val="24"/>
          <w:szCs w:val="24"/>
        </w:rPr>
        <w:t>: Participants with higher levels of gaming experience (expert gamers) will demonstrate superior cognitive task performance (reaction times, memory, attention) compared to participants with lower levels of gaming experience (novice gamers and non-gamers).</w:t>
      </w:r>
    </w:p>
    <w:p w14:paraId="5D375951" w14:textId="2D80457E" w:rsidR="007730F3" w:rsidRPr="003A423B" w:rsidRDefault="007730F3" w:rsidP="003A423B">
      <w:pPr>
        <w:spacing w:line="480" w:lineRule="auto"/>
        <w:rPr>
          <w:rFonts w:ascii="Arial" w:hAnsi="Arial" w:cs="Arial"/>
          <w:sz w:val="24"/>
          <w:szCs w:val="24"/>
        </w:rPr>
      </w:pPr>
      <w:r w:rsidRPr="003A423B">
        <w:rPr>
          <w:rFonts w:ascii="Arial" w:hAnsi="Arial" w:cs="Arial"/>
          <w:sz w:val="24"/>
          <w:szCs w:val="24"/>
        </w:rPr>
        <w:lastRenderedPageBreak/>
        <w:t>H</w:t>
      </w:r>
      <w:r w:rsidR="00BD1541" w:rsidRPr="003A423B">
        <w:rPr>
          <w:rFonts w:ascii="Arial" w:hAnsi="Arial" w:cs="Arial"/>
          <w:sz w:val="24"/>
          <w:szCs w:val="24"/>
          <w:vertAlign w:val="subscript"/>
        </w:rPr>
        <w:t>2</w:t>
      </w:r>
      <w:r w:rsidRPr="003A423B">
        <w:rPr>
          <w:rFonts w:ascii="Arial" w:hAnsi="Arial" w:cs="Arial"/>
          <w:sz w:val="24"/>
          <w:szCs w:val="24"/>
        </w:rPr>
        <w:t>: Participants who engage in action/sports gaming (Rocket League) will show better reaction times and attentional performance than those who engage in strategy/puzzle gaming (Mah-jong).</w:t>
      </w:r>
    </w:p>
    <w:p w14:paraId="208062BC" w14:textId="499C02EF" w:rsidR="007730F3" w:rsidRPr="003A423B" w:rsidRDefault="007730F3" w:rsidP="003A423B">
      <w:pPr>
        <w:spacing w:line="480" w:lineRule="auto"/>
        <w:rPr>
          <w:rFonts w:ascii="Arial" w:hAnsi="Arial" w:cs="Arial"/>
          <w:sz w:val="24"/>
          <w:szCs w:val="24"/>
        </w:rPr>
      </w:pPr>
      <w:r w:rsidRPr="003A423B">
        <w:rPr>
          <w:rFonts w:ascii="Arial" w:hAnsi="Arial" w:cs="Arial"/>
          <w:sz w:val="24"/>
          <w:szCs w:val="24"/>
        </w:rPr>
        <w:t>H</w:t>
      </w:r>
      <w:r w:rsidR="00BD1541" w:rsidRPr="003A423B">
        <w:rPr>
          <w:rFonts w:ascii="Arial" w:hAnsi="Arial" w:cs="Arial"/>
          <w:sz w:val="24"/>
          <w:szCs w:val="24"/>
          <w:vertAlign w:val="subscript"/>
        </w:rPr>
        <w:t>3</w:t>
      </w:r>
      <w:r w:rsidRPr="003A423B">
        <w:rPr>
          <w:rFonts w:ascii="Arial" w:hAnsi="Arial" w:cs="Arial"/>
          <w:sz w:val="24"/>
          <w:szCs w:val="24"/>
        </w:rPr>
        <w:t>: Participants who engage in strategy/puzzle gaming (Mah-jong) will exhibit enhanced memory performance compared to participants who engage in action/sports gaming (Rocket League).</w:t>
      </w:r>
    </w:p>
    <w:p w14:paraId="3E0C76EF" w14:textId="79CADBA9" w:rsidR="003A423B" w:rsidRDefault="007730F3" w:rsidP="003A423B">
      <w:pPr>
        <w:spacing w:line="480" w:lineRule="auto"/>
        <w:rPr>
          <w:rFonts w:ascii="Arial" w:hAnsi="Arial" w:cs="Arial"/>
          <w:sz w:val="24"/>
          <w:szCs w:val="24"/>
        </w:rPr>
      </w:pPr>
      <w:r w:rsidRPr="003A423B">
        <w:rPr>
          <w:rFonts w:ascii="Arial" w:hAnsi="Arial" w:cs="Arial"/>
          <w:sz w:val="24"/>
          <w:szCs w:val="24"/>
        </w:rPr>
        <w:t>H</w:t>
      </w:r>
      <w:r w:rsidR="00BD1541" w:rsidRPr="003A423B">
        <w:rPr>
          <w:rFonts w:ascii="Arial" w:hAnsi="Arial" w:cs="Arial"/>
          <w:sz w:val="24"/>
          <w:szCs w:val="24"/>
          <w:vertAlign w:val="subscript"/>
        </w:rPr>
        <w:t>4</w:t>
      </w:r>
      <w:r w:rsidRPr="003A423B">
        <w:rPr>
          <w:rFonts w:ascii="Arial" w:hAnsi="Arial" w:cs="Arial"/>
          <w:sz w:val="24"/>
          <w:szCs w:val="24"/>
        </w:rPr>
        <w:t>: Non-gamers will demonstrate greater improvements in cognitive task performance (reaction times, memory, attention) than gamers after the study tasks.</w:t>
      </w:r>
    </w:p>
    <w:p w14:paraId="47745A22" w14:textId="4B93B26D" w:rsidR="003A423B" w:rsidRPr="003A423B" w:rsidRDefault="003A423B" w:rsidP="003A423B">
      <w:pPr>
        <w:spacing w:line="480" w:lineRule="auto"/>
        <w:rPr>
          <w:rFonts w:ascii="Arial" w:hAnsi="Arial" w:cs="Arial"/>
          <w:sz w:val="24"/>
          <w:szCs w:val="24"/>
          <w:u w:val="single"/>
        </w:rPr>
      </w:pPr>
      <w:r w:rsidRPr="003A423B">
        <w:rPr>
          <w:rFonts w:ascii="Arial" w:hAnsi="Arial" w:cs="Arial"/>
          <w:sz w:val="24"/>
          <w:szCs w:val="24"/>
          <w:u w:val="single"/>
        </w:rPr>
        <w:t>References</w:t>
      </w:r>
    </w:p>
    <w:p w14:paraId="55B29F65" w14:textId="77777777" w:rsidR="003A423B" w:rsidRPr="003A423B" w:rsidRDefault="003A423B" w:rsidP="003A423B">
      <w:pPr>
        <w:spacing w:line="480" w:lineRule="auto"/>
        <w:ind w:left="720" w:hanging="720"/>
        <w:rPr>
          <w:rFonts w:ascii="Arial" w:hAnsi="Arial" w:cs="Arial"/>
          <w:sz w:val="24"/>
          <w:szCs w:val="24"/>
        </w:rPr>
      </w:pPr>
      <w:r w:rsidRPr="003A423B">
        <w:rPr>
          <w:rFonts w:ascii="Arial" w:hAnsi="Arial" w:cs="Arial"/>
          <w:sz w:val="24"/>
          <w:szCs w:val="24"/>
        </w:rPr>
        <w:t xml:space="preserve">Al </w:t>
      </w:r>
      <w:proofErr w:type="spellStart"/>
      <w:r w:rsidRPr="003A423B">
        <w:rPr>
          <w:rFonts w:ascii="Arial" w:hAnsi="Arial" w:cs="Arial"/>
          <w:sz w:val="24"/>
          <w:szCs w:val="24"/>
        </w:rPr>
        <w:t>Subeh</w:t>
      </w:r>
      <w:proofErr w:type="spellEnd"/>
      <w:r w:rsidRPr="003A423B">
        <w:rPr>
          <w:rFonts w:ascii="Arial" w:hAnsi="Arial" w:cs="Arial"/>
          <w:sz w:val="24"/>
          <w:szCs w:val="24"/>
        </w:rPr>
        <w:t xml:space="preserve">, Z. Y., &amp; Alzoubi, K. H. (2021). Researchers’ ethical perspective about women participation in research studies in Jordan. </w:t>
      </w:r>
      <w:proofErr w:type="spellStart"/>
      <w:r w:rsidRPr="003A423B">
        <w:rPr>
          <w:rFonts w:ascii="Arial" w:hAnsi="Arial" w:cs="Arial"/>
          <w:i/>
          <w:iCs/>
          <w:sz w:val="24"/>
          <w:szCs w:val="24"/>
        </w:rPr>
        <w:t>Heliyon</w:t>
      </w:r>
      <w:proofErr w:type="spellEnd"/>
      <w:r w:rsidRPr="003A423B">
        <w:rPr>
          <w:rFonts w:ascii="Arial" w:hAnsi="Arial" w:cs="Arial"/>
          <w:i/>
          <w:iCs/>
          <w:sz w:val="24"/>
          <w:szCs w:val="24"/>
        </w:rPr>
        <w:t>, 7</w:t>
      </w:r>
      <w:r w:rsidRPr="003A423B">
        <w:rPr>
          <w:rFonts w:ascii="Arial" w:hAnsi="Arial" w:cs="Arial"/>
          <w:sz w:val="24"/>
          <w:szCs w:val="24"/>
        </w:rPr>
        <w:t>(12).</w:t>
      </w:r>
    </w:p>
    <w:p w14:paraId="4099C5C0" w14:textId="77777777" w:rsidR="003A423B" w:rsidRPr="003A423B" w:rsidRDefault="003A423B" w:rsidP="003A423B">
      <w:pPr>
        <w:spacing w:line="480" w:lineRule="auto"/>
        <w:ind w:left="720" w:hanging="720"/>
        <w:rPr>
          <w:rFonts w:ascii="Arial" w:hAnsi="Arial" w:cs="Arial"/>
          <w:sz w:val="24"/>
          <w:szCs w:val="24"/>
        </w:rPr>
      </w:pPr>
      <w:r w:rsidRPr="003A423B">
        <w:rPr>
          <w:rFonts w:ascii="Arial" w:hAnsi="Arial" w:cs="Arial"/>
          <w:sz w:val="24"/>
          <w:szCs w:val="24"/>
        </w:rPr>
        <w:t>Bailey, K</w:t>
      </w:r>
      <w:r w:rsidRPr="003A423B">
        <w:rPr>
          <w:rFonts w:ascii="Arial" w:hAnsi="Arial" w:cs="Arial"/>
          <w:sz w:val="24"/>
          <w:szCs w:val="24"/>
        </w:rPr>
        <w:t>.,</w:t>
      </w:r>
      <w:r w:rsidRPr="003A423B">
        <w:rPr>
          <w:rFonts w:ascii="Arial" w:hAnsi="Arial" w:cs="Arial"/>
          <w:sz w:val="24"/>
          <w:szCs w:val="24"/>
        </w:rPr>
        <w:t xml:space="preserve"> West, </w:t>
      </w:r>
      <w:r w:rsidRPr="003A423B">
        <w:rPr>
          <w:rFonts w:ascii="Arial" w:hAnsi="Arial" w:cs="Arial"/>
          <w:sz w:val="24"/>
          <w:szCs w:val="24"/>
        </w:rPr>
        <w:t>R</w:t>
      </w:r>
      <w:r w:rsidRPr="003A423B">
        <w:rPr>
          <w:rFonts w:ascii="Arial" w:hAnsi="Arial" w:cs="Arial"/>
          <w:sz w:val="24"/>
          <w:szCs w:val="24"/>
        </w:rPr>
        <w:t xml:space="preserve"> &amp; Anderson, C. (2009). A negative association between video game experience and proactive cognitive control. </w:t>
      </w:r>
      <w:r w:rsidRPr="003A423B">
        <w:rPr>
          <w:rFonts w:ascii="Arial" w:hAnsi="Arial" w:cs="Arial"/>
          <w:i/>
          <w:iCs/>
          <w:sz w:val="24"/>
          <w:szCs w:val="24"/>
        </w:rPr>
        <w:t>Psychophysiology. 47</w:t>
      </w:r>
      <w:r w:rsidRPr="003A423B">
        <w:rPr>
          <w:rFonts w:ascii="Arial" w:hAnsi="Arial" w:cs="Arial"/>
          <w:sz w:val="24"/>
          <w:szCs w:val="24"/>
        </w:rPr>
        <w:t>,</w:t>
      </w:r>
      <w:r w:rsidRPr="003A423B">
        <w:rPr>
          <w:rFonts w:ascii="Arial" w:hAnsi="Arial" w:cs="Arial"/>
          <w:sz w:val="24"/>
          <w:szCs w:val="24"/>
        </w:rPr>
        <w:t xml:space="preserve"> 34-42. </w:t>
      </w:r>
      <w:hyperlink r:id="rId9" w:history="1">
        <w:r w:rsidRPr="003A423B">
          <w:rPr>
            <w:rStyle w:val="Hyperlink"/>
            <w:rFonts w:ascii="Arial" w:hAnsi="Arial" w:cs="Arial"/>
            <w:color w:val="auto"/>
            <w:sz w:val="24"/>
            <w:szCs w:val="24"/>
          </w:rPr>
          <w:t>https://doi.org/</w:t>
        </w:r>
        <w:r w:rsidRPr="003A423B">
          <w:rPr>
            <w:rStyle w:val="Hyperlink"/>
            <w:rFonts w:ascii="Arial" w:hAnsi="Arial" w:cs="Arial"/>
            <w:color w:val="auto"/>
            <w:sz w:val="24"/>
            <w:szCs w:val="24"/>
          </w:rPr>
          <w:t>10.1111/j.1469-8986.2009.00925.x</w:t>
        </w:r>
      </w:hyperlink>
      <w:r w:rsidRPr="003A423B">
        <w:rPr>
          <w:rFonts w:ascii="Arial" w:hAnsi="Arial" w:cs="Arial"/>
          <w:sz w:val="24"/>
          <w:szCs w:val="24"/>
        </w:rPr>
        <w:t xml:space="preserve"> </w:t>
      </w:r>
    </w:p>
    <w:p w14:paraId="66442B58" w14:textId="77777777" w:rsidR="003A423B" w:rsidRPr="003A423B" w:rsidRDefault="003A423B" w:rsidP="003A423B">
      <w:pPr>
        <w:spacing w:line="480" w:lineRule="auto"/>
        <w:ind w:left="720" w:hanging="720"/>
        <w:rPr>
          <w:rFonts w:ascii="Arial" w:hAnsi="Arial" w:cs="Arial"/>
          <w:sz w:val="24"/>
          <w:szCs w:val="24"/>
        </w:rPr>
      </w:pPr>
      <w:r w:rsidRPr="003A423B">
        <w:rPr>
          <w:rFonts w:ascii="Arial" w:hAnsi="Arial" w:cs="Arial"/>
          <w:sz w:val="24"/>
          <w:szCs w:val="24"/>
        </w:rPr>
        <w:t xml:space="preserve">Birk, M., Maximilian, A., F., &amp; Mandryk, R. (2017). Age-Based Preferences and Player Experience: A Crowdsourced Cross-sectional Study. </w:t>
      </w:r>
      <w:r w:rsidRPr="003A423B">
        <w:rPr>
          <w:rFonts w:ascii="Arial" w:hAnsi="Arial" w:cs="Arial"/>
          <w:i/>
          <w:iCs/>
          <w:sz w:val="24"/>
          <w:szCs w:val="24"/>
        </w:rPr>
        <w:t>The Annual Symposium</w:t>
      </w:r>
      <w:r w:rsidRPr="003A423B">
        <w:rPr>
          <w:rFonts w:ascii="Arial" w:hAnsi="Arial" w:cs="Arial"/>
          <w:sz w:val="24"/>
          <w:szCs w:val="24"/>
        </w:rPr>
        <w:t xml:space="preserve">, 157-170. </w:t>
      </w:r>
      <w:hyperlink r:id="rId10" w:history="1">
        <w:r w:rsidRPr="003A423B">
          <w:rPr>
            <w:rStyle w:val="Hyperlink"/>
            <w:rFonts w:ascii="Arial" w:hAnsi="Arial" w:cs="Arial"/>
            <w:color w:val="auto"/>
            <w:sz w:val="24"/>
            <w:szCs w:val="24"/>
          </w:rPr>
          <w:t>https://doi.org/10.1145/3116595.3116608</w:t>
        </w:r>
      </w:hyperlink>
      <w:r w:rsidRPr="003A423B">
        <w:rPr>
          <w:rFonts w:ascii="Arial" w:hAnsi="Arial" w:cs="Arial"/>
          <w:sz w:val="24"/>
          <w:szCs w:val="24"/>
        </w:rPr>
        <w:t xml:space="preserve"> </w:t>
      </w:r>
    </w:p>
    <w:p w14:paraId="603FAB94" w14:textId="77777777" w:rsidR="003A423B" w:rsidRPr="003A423B" w:rsidRDefault="003A423B" w:rsidP="003A423B">
      <w:pPr>
        <w:spacing w:line="480" w:lineRule="auto"/>
        <w:ind w:left="720" w:hanging="720"/>
        <w:rPr>
          <w:rFonts w:ascii="Arial" w:hAnsi="Arial" w:cs="Arial"/>
          <w:sz w:val="24"/>
          <w:szCs w:val="24"/>
        </w:rPr>
      </w:pPr>
      <w:r w:rsidRPr="003A423B">
        <w:rPr>
          <w:rFonts w:ascii="Arial" w:hAnsi="Arial" w:cs="Arial"/>
          <w:sz w:val="24"/>
          <w:szCs w:val="24"/>
        </w:rPr>
        <w:t xml:space="preserve">Boot, W, R., Blakely, D., &amp; Simons, D. (2011). Do Action Video Games Improve Perception and Cognition? </w:t>
      </w:r>
      <w:r w:rsidRPr="003A423B">
        <w:rPr>
          <w:rFonts w:ascii="Arial" w:hAnsi="Arial" w:cs="Arial"/>
          <w:i/>
          <w:iCs/>
          <w:sz w:val="24"/>
          <w:szCs w:val="24"/>
        </w:rPr>
        <w:t>Frontiers in psychology, 2</w:t>
      </w:r>
      <w:r w:rsidRPr="003A423B">
        <w:rPr>
          <w:rFonts w:ascii="Arial" w:hAnsi="Arial" w:cs="Arial"/>
          <w:sz w:val="24"/>
          <w:szCs w:val="24"/>
        </w:rPr>
        <w:t xml:space="preserve">. 226. </w:t>
      </w:r>
      <w:hyperlink r:id="rId11" w:history="1">
        <w:r w:rsidRPr="003A423B">
          <w:rPr>
            <w:rStyle w:val="Hyperlink"/>
            <w:rFonts w:ascii="Arial" w:hAnsi="Arial" w:cs="Arial"/>
            <w:color w:val="auto"/>
            <w:sz w:val="24"/>
            <w:szCs w:val="24"/>
          </w:rPr>
          <w:t>https://doi.org/10.3389/fpsyg.2011.00226</w:t>
        </w:r>
      </w:hyperlink>
      <w:r w:rsidRPr="003A423B">
        <w:rPr>
          <w:rFonts w:ascii="Arial" w:hAnsi="Arial" w:cs="Arial"/>
          <w:sz w:val="24"/>
          <w:szCs w:val="24"/>
        </w:rPr>
        <w:t xml:space="preserve"> </w:t>
      </w:r>
    </w:p>
    <w:p w14:paraId="05A63A17" w14:textId="77777777" w:rsidR="003A423B" w:rsidRPr="003A423B" w:rsidRDefault="003A423B" w:rsidP="003A423B">
      <w:pPr>
        <w:spacing w:line="480" w:lineRule="auto"/>
        <w:ind w:left="720" w:hanging="720"/>
        <w:rPr>
          <w:rFonts w:ascii="Arial" w:hAnsi="Arial" w:cs="Arial"/>
          <w:sz w:val="24"/>
          <w:szCs w:val="24"/>
        </w:rPr>
      </w:pPr>
      <w:r w:rsidRPr="003A423B">
        <w:rPr>
          <w:rFonts w:ascii="Arial" w:hAnsi="Arial" w:cs="Arial"/>
          <w:sz w:val="24"/>
          <w:szCs w:val="24"/>
        </w:rPr>
        <w:t xml:space="preserve">Chaarani, B., Ortigara, J., Yuan, D., Loso, H., Potter, A., &amp; Garavan, H, P. (2022). Association of Video Gaming with Cognitive Performance Among Children. </w:t>
      </w:r>
      <w:r w:rsidRPr="003A423B">
        <w:rPr>
          <w:rFonts w:ascii="Arial" w:hAnsi="Arial" w:cs="Arial"/>
          <w:i/>
          <w:iCs/>
          <w:sz w:val="24"/>
          <w:szCs w:val="24"/>
        </w:rPr>
        <w:t>JAMA Netw Open</w:t>
      </w:r>
      <w:r w:rsidRPr="003A423B">
        <w:rPr>
          <w:rFonts w:ascii="Arial" w:hAnsi="Arial" w:cs="Arial"/>
          <w:sz w:val="24"/>
          <w:szCs w:val="24"/>
        </w:rPr>
        <w:t xml:space="preserve">, </w:t>
      </w:r>
      <w:r w:rsidRPr="003A423B">
        <w:rPr>
          <w:rFonts w:ascii="Arial" w:hAnsi="Arial" w:cs="Arial"/>
          <w:i/>
          <w:iCs/>
          <w:sz w:val="24"/>
          <w:szCs w:val="24"/>
        </w:rPr>
        <w:t>5</w:t>
      </w:r>
      <w:r w:rsidRPr="003A423B">
        <w:rPr>
          <w:rFonts w:ascii="Arial" w:hAnsi="Arial" w:cs="Arial"/>
          <w:sz w:val="24"/>
          <w:szCs w:val="24"/>
        </w:rPr>
        <w:t xml:space="preserve">(1). </w:t>
      </w:r>
      <w:hyperlink r:id="rId12" w:history="1">
        <w:r w:rsidRPr="003A423B">
          <w:rPr>
            <w:rStyle w:val="Hyperlink"/>
            <w:rFonts w:ascii="Arial" w:hAnsi="Arial" w:cs="Arial"/>
            <w:color w:val="auto"/>
            <w:sz w:val="24"/>
            <w:szCs w:val="24"/>
          </w:rPr>
          <w:t>https://doi:10.1001/jamanetworkopen.2022.3572</w:t>
        </w:r>
      </w:hyperlink>
      <w:r w:rsidRPr="003A423B">
        <w:rPr>
          <w:rFonts w:ascii="Arial" w:hAnsi="Arial" w:cs="Arial"/>
          <w:sz w:val="24"/>
          <w:szCs w:val="24"/>
        </w:rPr>
        <w:t xml:space="preserve"> </w:t>
      </w:r>
    </w:p>
    <w:p w14:paraId="550F385B" w14:textId="77777777" w:rsidR="003A423B" w:rsidRPr="003A423B" w:rsidRDefault="003A423B" w:rsidP="003A423B">
      <w:pPr>
        <w:spacing w:line="480" w:lineRule="auto"/>
        <w:ind w:left="720" w:hanging="720"/>
        <w:rPr>
          <w:rFonts w:ascii="Arial" w:hAnsi="Arial" w:cs="Arial"/>
          <w:sz w:val="24"/>
          <w:szCs w:val="24"/>
        </w:rPr>
      </w:pPr>
      <w:r w:rsidRPr="003A423B">
        <w:rPr>
          <w:rFonts w:ascii="Arial" w:hAnsi="Arial" w:cs="Arial"/>
          <w:sz w:val="24"/>
          <w:szCs w:val="24"/>
        </w:rPr>
        <w:lastRenderedPageBreak/>
        <w:t xml:space="preserve">De Castell, S., Larios, H., Jenson, J., &amp; Smith, D. H. (2015). The role of video game experience in spatial learning and memory. </w:t>
      </w:r>
      <w:r w:rsidRPr="003A423B">
        <w:rPr>
          <w:rFonts w:ascii="Arial" w:hAnsi="Arial" w:cs="Arial"/>
          <w:i/>
          <w:iCs/>
          <w:sz w:val="24"/>
          <w:szCs w:val="24"/>
        </w:rPr>
        <w:t>Journal of Gaming &amp; Virtual Worlds, 7</w:t>
      </w:r>
      <w:r w:rsidRPr="003A423B">
        <w:rPr>
          <w:rFonts w:ascii="Arial" w:hAnsi="Arial" w:cs="Arial"/>
          <w:sz w:val="24"/>
          <w:szCs w:val="24"/>
        </w:rPr>
        <w:t>(1), 21-40.</w:t>
      </w:r>
    </w:p>
    <w:p w14:paraId="43F1D725" w14:textId="77777777" w:rsidR="003A423B" w:rsidRPr="003A423B" w:rsidRDefault="003A423B" w:rsidP="003A423B">
      <w:pPr>
        <w:spacing w:line="480" w:lineRule="auto"/>
        <w:ind w:left="720" w:hanging="720"/>
        <w:rPr>
          <w:rFonts w:ascii="Arial" w:hAnsi="Arial" w:cs="Arial"/>
          <w:sz w:val="24"/>
          <w:szCs w:val="24"/>
        </w:rPr>
      </w:pPr>
      <w:r w:rsidRPr="003A423B">
        <w:rPr>
          <w:rFonts w:ascii="Arial" w:hAnsi="Arial" w:cs="Arial"/>
          <w:sz w:val="24"/>
          <w:szCs w:val="24"/>
        </w:rPr>
        <w:t xml:space="preserve"> Granic, I., Lobel, A. &amp; Engels, R. C. (2014). The benefits of playing video games. </w:t>
      </w:r>
      <w:r w:rsidRPr="003A423B">
        <w:rPr>
          <w:rFonts w:ascii="Arial" w:hAnsi="Arial" w:cs="Arial"/>
          <w:i/>
          <w:iCs/>
          <w:sz w:val="24"/>
          <w:szCs w:val="24"/>
        </w:rPr>
        <w:t>Am. Psychol., 69</w:t>
      </w:r>
      <w:r w:rsidRPr="003A423B">
        <w:rPr>
          <w:rFonts w:ascii="Arial" w:hAnsi="Arial" w:cs="Arial"/>
          <w:sz w:val="24"/>
          <w:szCs w:val="24"/>
        </w:rPr>
        <w:t>, 66–78.</w:t>
      </w:r>
    </w:p>
    <w:p w14:paraId="2FD78959" w14:textId="77777777" w:rsidR="003A423B" w:rsidRPr="003A423B" w:rsidRDefault="003A423B" w:rsidP="003A423B">
      <w:pPr>
        <w:spacing w:line="480" w:lineRule="auto"/>
        <w:ind w:left="720" w:hanging="720"/>
        <w:rPr>
          <w:rFonts w:ascii="Arial" w:hAnsi="Arial" w:cs="Arial"/>
          <w:sz w:val="24"/>
          <w:szCs w:val="24"/>
        </w:rPr>
      </w:pPr>
      <w:r w:rsidRPr="003A423B">
        <w:rPr>
          <w:rFonts w:ascii="Arial" w:hAnsi="Arial" w:cs="Arial"/>
          <w:sz w:val="24"/>
          <w:szCs w:val="24"/>
        </w:rPr>
        <w:t xml:space="preserve">Green, C. S., &amp; Bavelier, D. (2008). Exercising your brain: a review of human brain plasticity and training-induced learning. </w:t>
      </w:r>
      <w:r w:rsidRPr="003A423B">
        <w:rPr>
          <w:rFonts w:ascii="Arial" w:hAnsi="Arial" w:cs="Arial"/>
          <w:i/>
          <w:iCs/>
          <w:sz w:val="24"/>
          <w:szCs w:val="24"/>
        </w:rPr>
        <w:t>Psychology and aging, 23</w:t>
      </w:r>
      <w:r w:rsidRPr="003A423B">
        <w:rPr>
          <w:rFonts w:ascii="Arial" w:hAnsi="Arial" w:cs="Arial"/>
          <w:sz w:val="24"/>
          <w:szCs w:val="24"/>
        </w:rPr>
        <w:t xml:space="preserve">(4), 692–701. </w:t>
      </w:r>
      <w:hyperlink r:id="rId13" w:history="1">
        <w:r w:rsidRPr="003A423B">
          <w:rPr>
            <w:rStyle w:val="Hyperlink"/>
            <w:rFonts w:ascii="Arial" w:hAnsi="Arial" w:cs="Arial"/>
            <w:color w:val="auto"/>
            <w:sz w:val="24"/>
            <w:szCs w:val="24"/>
          </w:rPr>
          <w:t>https://doi.org/10.1037/a0014345</w:t>
        </w:r>
      </w:hyperlink>
      <w:r w:rsidRPr="003A423B">
        <w:rPr>
          <w:rFonts w:ascii="Arial" w:hAnsi="Arial" w:cs="Arial"/>
          <w:sz w:val="24"/>
          <w:szCs w:val="24"/>
        </w:rPr>
        <w:t xml:space="preserve"> </w:t>
      </w:r>
    </w:p>
    <w:p w14:paraId="7ABCEC2D" w14:textId="77777777" w:rsidR="003A423B" w:rsidRPr="003A423B" w:rsidRDefault="003A423B" w:rsidP="003A423B">
      <w:pPr>
        <w:spacing w:line="480" w:lineRule="auto"/>
        <w:ind w:left="720" w:hanging="720"/>
        <w:rPr>
          <w:rFonts w:ascii="Arial" w:hAnsi="Arial" w:cs="Arial"/>
          <w:sz w:val="24"/>
          <w:szCs w:val="24"/>
        </w:rPr>
      </w:pPr>
      <w:r w:rsidRPr="003A423B">
        <w:rPr>
          <w:rFonts w:ascii="Arial" w:hAnsi="Arial" w:cs="Arial"/>
          <w:sz w:val="24"/>
          <w:szCs w:val="24"/>
        </w:rPr>
        <w:t xml:space="preserve">Green, C., Bavelier, D. (2003). Action video game modifies visual selective attention. </w:t>
      </w:r>
      <w:r w:rsidRPr="003A423B">
        <w:rPr>
          <w:rFonts w:ascii="Arial" w:hAnsi="Arial" w:cs="Arial"/>
          <w:i/>
          <w:iCs/>
          <w:sz w:val="24"/>
          <w:szCs w:val="24"/>
        </w:rPr>
        <w:t>Nature 423</w:t>
      </w:r>
      <w:r w:rsidRPr="003A423B">
        <w:rPr>
          <w:rFonts w:ascii="Arial" w:hAnsi="Arial" w:cs="Arial"/>
          <w:sz w:val="24"/>
          <w:szCs w:val="24"/>
        </w:rPr>
        <w:t xml:space="preserve">, 534–537. </w:t>
      </w:r>
      <w:hyperlink r:id="rId14" w:history="1">
        <w:r w:rsidRPr="003A423B">
          <w:rPr>
            <w:rStyle w:val="Hyperlink"/>
            <w:rFonts w:ascii="Arial" w:hAnsi="Arial" w:cs="Arial"/>
            <w:color w:val="auto"/>
            <w:sz w:val="24"/>
            <w:szCs w:val="24"/>
          </w:rPr>
          <w:t>https://doi.org/10.1038/nature01647</w:t>
        </w:r>
      </w:hyperlink>
      <w:r w:rsidRPr="003A423B">
        <w:rPr>
          <w:rFonts w:ascii="Arial" w:hAnsi="Arial" w:cs="Arial"/>
          <w:sz w:val="24"/>
          <w:szCs w:val="24"/>
        </w:rPr>
        <w:t xml:space="preserve"> </w:t>
      </w:r>
    </w:p>
    <w:p w14:paraId="3CBD7A2D" w14:textId="77777777" w:rsidR="003A423B" w:rsidRPr="003A423B" w:rsidRDefault="003A423B" w:rsidP="003A423B">
      <w:pPr>
        <w:shd w:val="clear" w:color="auto" w:fill="FFFFFF"/>
        <w:spacing w:after="0" w:line="480" w:lineRule="auto"/>
        <w:ind w:left="720" w:hanging="720"/>
        <w:rPr>
          <w:rFonts w:ascii="Arial" w:eastAsia="Times New Roman" w:hAnsi="Arial" w:cs="Arial"/>
          <w:kern w:val="0"/>
          <w:sz w:val="24"/>
          <w:szCs w:val="24"/>
          <w:lang w:eastAsia="en-GB"/>
          <w14:ligatures w14:val="none"/>
        </w:rPr>
      </w:pPr>
      <w:r w:rsidRPr="003A423B">
        <w:rPr>
          <w:rFonts w:ascii="Arial" w:eastAsia="Times New Roman" w:hAnsi="Arial" w:cs="Arial"/>
          <w:kern w:val="0"/>
          <w:sz w:val="24"/>
          <w:szCs w:val="24"/>
          <w:lang w:eastAsia="en-GB"/>
          <w14:ligatures w14:val="none"/>
        </w:rPr>
        <w:t>Kühn, S., Gallinat, J., &amp; Mascherek, A. (2019). Effects of computer gaming on cognition, brain structure, and function: a critical reflection on existing literature. </w:t>
      </w:r>
      <w:r w:rsidRPr="003A423B">
        <w:rPr>
          <w:rFonts w:ascii="Arial" w:eastAsia="Times New Roman" w:hAnsi="Arial" w:cs="Arial"/>
          <w:i/>
          <w:iCs/>
          <w:kern w:val="0"/>
          <w:sz w:val="24"/>
          <w:szCs w:val="24"/>
          <w:lang w:eastAsia="en-GB"/>
          <w14:ligatures w14:val="none"/>
        </w:rPr>
        <w:t>Dialogues in clinical neuroscience</w:t>
      </w:r>
      <w:r w:rsidRPr="003A423B">
        <w:rPr>
          <w:rFonts w:ascii="Arial" w:eastAsia="Times New Roman" w:hAnsi="Arial" w:cs="Arial"/>
          <w:kern w:val="0"/>
          <w:sz w:val="24"/>
          <w:szCs w:val="24"/>
          <w:lang w:eastAsia="en-GB"/>
          <w14:ligatures w14:val="none"/>
        </w:rPr>
        <w:t>, </w:t>
      </w:r>
      <w:r w:rsidRPr="003A423B">
        <w:rPr>
          <w:rFonts w:ascii="Arial" w:eastAsia="Times New Roman" w:hAnsi="Arial" w:cs="Arial"/>
          <w:i/>
          <w:iCs/>
          <w:kern w:val="0"/>
          <w:sz w:val="24"/>
          <w:szCs w:val="24"/>
          <w:lang w:eastAsia="en-GB"/>
          <w14:ligatures w14:val="none"/>
        </w:rPr>
        <w:t>21</w:t>
      </w:r>
      <w:r w:rsidRPr="003A423B">
        <w:rPr>
          <w:rFonts w:ascii="Arial" w:eastAsia="Times New Roman" w:hAnsi="Arial" w:cs="Arial"/>
          <w:kern w:val="0"/>
          <w:sz w:val="24"/>
          <w:szCs w:val="24"/>
          <w:lang w:eastAsia="en-GB"/>
          <w14:ligatures w14:val="none"/>
        </w:rPr>
        <w:t xml:space="preserve">(3), 319–330. </w:t>
      </w:r>
      <w:hyperlink r:id="rId15" w:history="1">
        <w:r w:rsidRPr="003A423B">
          <w:rPr>
            <w:rStyle w:val="Hyperlink"/>
            <w:rFonts w:ascii="Arial" w:eastAsia="Times New Roman" w:hAnsi="Arial" w:cs="Arial"/>
            <w:color w:val="auto"/>
            <w:kern w:val="0"/>
            <w:sz w:val="24"/>
            <w:szCs w:val="24"/>
            <w:lang w:eastAsia="en-GB"/>
            <w14:ligatures w14:val="none"/>
          </w:rPr>
          <w:t>https://doi.org/10.31887/DCNS.2019.21.3/skuehn</w:t>
        </w:r>
      </w:hyperlink>
      <w:r w:rsidRPr="003A423B">
        <w:rPr>
          <w:rFonts w:ascii="Arial" w:eastAsia="Times New Roman" w:hAnsi="Arial" w:cs="Arial"/>
          <w:kern w:val="0"/>
          <w:sz w:val="24"/>
          <w:szCs w:val="24"/>
          <w:lang w:eastAsia="en-GB"/>
          <w14:ligatures w14:val="none"/>
        </w:rPr>
        <w:t xml:space="preserve"> </w:t>
      </w:r>
    </w:p>
    <w:p w14:paraId="4C04E5B1" w14:textId="77777777" w:rsidR="003A423B" w:rsidRPr="003A423B" w:rsidRDefault="003A423B" w:rsidP="003A423B">
      <w:pPr>
        <w:spacing w:line="480" w:lineRule="auto"/>
        <w:ind w:left="720" w:hanging="720"/>
        <w:rPr>
          <w:rFonts w:ascii="Arial" w:hAnsi="Arial" w:cs="Arial"/>
          <w:sz w:val="24"/>
          <w:szCs w:val="24"/>
        </w:rPr>
      </w:pPr>
      <w:r w:rsidRPr="003A423B">
        <w:rPr>
          <w:rFonts w:ascii="Arial" w:hAnsi="Arial" w:cs="Arial"/>
          <w:sz w:val="24"/>
          <w:szCs w:val="24"/>
        </w:rPr>
        <w:t>Leahy, W</w:t>
      </w:r>
      <w:r w:rsidRPr="003A423B">
        <w:rPr>
          <w:rFonts w:ascii="Arial" w:hAnsi="Arial" w:cs="Arial"/>
          <w:sz w:val="24"/>
          <w:szCs w:val="24"/>
        </w:rPr>
        <w:t>.,</w:t>
      </w:r>
      <w:r w:rsidRPr="003A423B">
        <w:rPr>
          <w:rFonts w:ascii="Arial" w:hAnsi="Arial" w:cs="Arial"/>
          <w:sz w:val="24"/>
          <w:szCs w:val="24"/>
        </w:rPr>
        <w:t xml:space="preserve"> &amp; Sweller, J. (2011). Cognitive load theory, modality of presentation and the transient information effect. </w:t>
      </w:r>
      <w:r w:rsidRPr="003A423B">
        <w:rPr>
          <w:rFonts w:ascii="Arial" w:hAnsi="Arial" w:cs="Arial"/>
          <w:i/>
          <w:iCs/>
          <w:sz w:val="24"/>
          <w:szCs w:val="24"/>
        </w:rPr>
        <w:t>Applied Cognitive Psychology. 25</w:t>
      </w:r>
      <w:r w:rsidRPr="003A423B">
        <w:rPr>
          <w:rFonts w:ascii="Arial" w:hAnsi="Arial" w:cs="Arial"/>
          <w:sz w:val="24"/>
          <w:szCs w:val="24"/>
        </w:rPr>
        <w:t>. 943 - 951. 10.1002/acp.1787.</w:t>
      </w:r>
    </w:p>
    <w:p w14:paraId="72EC8CDE" w14:textId="77777777" w:rsidR="003A423B" w:rsidRPr="003A423B" w:rsidRDefault="003A423B" w:rsidP="003A423B">
      <w:pPr>
        <w:spacing w:line="480" w:lineRule="auto"/>
        <w:ind w:left="720" w:hanging="720"/>
        <w:rPr>
          <w:rFonts w:ascii="Arial" w:hAnsi="Arial" w:cs="Arial"/>
          <w:sz w:val="24"/>
          <w:szCs w:val="24"/>
        </w:rPr>
      </w:pPr>
      <w:r w:rsidRPr="003A423B">
        <w:rPr>
          <w:rFonts w:ascii="Arial" w:hAnsi="Arial" w:cs="Arial"/>
          <w:sz w:val="24"/>
          <w:szCs w:val="24"/>
        </w:rPr>
        <w:t xml:space="preserve">Li, R., Polat, U., </w:t>
      </w:r>
      <w:proofErr w:type="spellStart"/>
      <w:r w:rsidRPr="003A423B">
        <w:rPr>
          <w:rFonts w:ascii="Arial" w:hAnsi="Arial" w:cs="Arial"/>
          <w:sz w:val="24"/>
          <w:szCs w:val="24"/>
        </w:rPr>
        <w:t>Makous</w:t>
      </w:r>
      <w:proofErr w:type="spellEnd"/>
      <w:r w:rsidRPr="003A423B">
        <w:rPr>
          <w:rFonts w:ascii="Arial" w:hAnsi="Arial" w:cs="Arial"/>
          <w:sz w:val="24"/>
          <w:szCs w:val="24"/>
        </w:rPr>
        <w:t xml:space="preserve">, W., &amp; Bavelier, D. (2009). Enhancing the contrast sensitivity function through action video game training. </w:t>
      </w:r>
      <w:r w:rsidRPr="003A423B">
        <w:rPr>
          <w:rFonts w:ascii="Arial" w:hAnsi="Arial" w:cs="Arial"/>
          <w:i/>
          <w:iCs/>
          <w:sz w:val="24"/>
          <w:szCs w:val="24"/>
        </w:rPr>
        <w:t>Nature neuroscience, 12</w:t>
      </w:r>
      <w:r w:rsidRPr="003A423B">
        <w:rPr>
          <w:rFonts w:ascii="Arial" w:hAnsi="Arial" w:cs="Arial"/>
          <w:sz w:val="24"/>
          <w:szCs w:val="24"/>
        </w:rPr>
        <w:t xml:space="preserve">(5), 549–551. </w:t>
      </w:r>
      <w:hyperlink r:id="rId16" w:history="1">
        <w:r w:rsidRPr="003A423B">
          <w:rPr>
            <w:rStyle w:val="Hyperlink"/>
            <w:rFonts w:ascii="Arial" w:hAnsi="Arial" w:cs="Arial"/>
            <w:color w:val="auto"/>
            <w:sz w:val="24"/>
            <w:szCs w:val="24"/>
          </w:rPr>
          <w:t>https://doi.org/10.1038/nn.2296</w:t>
        </w:r>
      </w:hyperlink>
      <w:r w:rsidRPr="003A423B">
        <w:rPr>
          <w:rFonts w:ascii="Arial" w:hAnsi="Arial" w:cs="Arial"/>
          <w:sz w:val="24"/>
          <w:szCs w:val="24"/>
        </w:rPr>
        <w:t xml:space="preserve"> </w:t>
      </w:r>
    </w:p>
    <w:p w14:paraId="77E50B1E" w14:textId="77777777" w:rsidR="003A423B" w:rsidRPr="003A423B" w:rsidRDefault="003A423B" w:rsidP="003A423B">
      <w:pPr>
        <w:spacing w:line="480" w:lineRule="auto"/>
        <w:ind w:left="720" w:hanging="720"/>
        <w:rPr>
          <w:rFonts w:ascii="Arial" w:hAnsi="Arial" w:cs="Arial"/>
          <w:sz w:val="24"/>
          <w:szCs w:val="24"/>
        </w:rPr>
      </w:pPr>
      <w:r w:rsidRPr="003A423B">
        <w:rPr>
          <w:rFonts w:ascii="Arial" w:hAnsi="Arial" w:cs="Arial"/>
          <w:sz w:val="24"/>
          <w:szCs w:val="24"/>
        </w:rPr>
        <w:t xml:space="preserve">Mishra, J., Bavelier, D., &amp; Gazzaley, A. (2012). How to Assess Gaming-Induced Benefits on Attention and Working Memory. </w:t>
      </w:r>
      <w:r w:rsidRPr="003A423B">
        <w:rPr>
          <w:rFonts w:ascii="Arial" w:hAnsi="Arial" w:cs="Arial"/>
          <w:i/>
          <w:iCs/>
          <w:sz w:val="24"/>
          <w:szCs w:val="24"/>
        </w:rPr>
        <w:t>Games for health journal, 1</w:t>
      </w:r>
      <w:r w:rsidRPr="003A423B">
        <w:rPr>
          <w:rFonts w:ascii="Arial" w:hAnsi="Arial" w:cs="Arial"/>
          <w:sz w:val="24"/>
          <w:szCs w:val="24"/>
        </w:rPr>
        <w:t xml:space="preserve">(3), 192–198. </w:t>
      </w:r>
      <w:hyperlink r:id="rId17" w:history="1">
        <w:r w:rsidRPr="003A423B">
          <w:rPr>
            <w:rStyle w:val="Hyperlink"/>
            <w:rFonts w:ascii="Arial" w:hAnsi="Arial" w:cs="Arial"/>
            <w:color w:val="auto"/>
            <w:sz w:val="24"/>
            <w:szCs w:val="24"/>
          </w:rPr>
          <w:t>https://doi.org/10.1089/g4h.2011.0033</w:t>
        </w:r>
      </w:hyperlink>
      <w:r w:rsidRPr="003A423B">
        <w:rPr>
          <w:rFonts w:ascii="Arial" w:hAnsi="Arial" w:cs="Arial"/>
          <w:sz w:val="24"/>
          <w:szCs w:val="24"/>
        </w:rPr>
        <w:t xml:space="preserve"> </w:t>
      </w:r>
    </w:p>
    <w:p w14:paraId="28E88273" w14:textId="77777777" w:rsidR="003A423B" w:rsidRPr="003A423B" w:rsidRDefault="003A423B" w:rsidP="003A423B">
      <w:pPr>
        <w:spacing w:line="480" w:lineRule="auto"/>
        <w:ind w:left="720" w:hanging="720"/>
        <w:rPr>
          <w:rFonts w:ascii="Arial" w:hAnsi="Arial" w:cs="Arial"/>
          <w:sz w:val="24"/>
          <w:szCs w:val="24"/>
        </w:rPr>
      </w:pPr>
      <w:r w:rsidRPr="003A423B">
        <w:rPr>
          <w:rFonts w:ascii="Arial" w:hAnsi="Arial" w:cs="Arial"/>
          <w:sz w:val="24"/>
          <w:szCs w:val="24"/>
        </w:rPr>
        <w:lastRenderedPageBreak/>
        <w:t xml:space="preserve">Mishra, J., Zinni, M., Bavelier, D., &amp; Hillyard, S. A. (2011). Neural basis of superior performance of action videogame players in an attention-demanding task. </w:t>
      </w:r>
      <w:r w:rsidRPr="003A423B">
        <w:rPr>
          <w:rFonts w:ascii="Arial" w:hAnsi="Arial" w:cs="Arial"/>
          <w:i/>
          <w:iCs/>
          <w:sz w:val="24"/>
          <w:szCs w:val="24"/>
        </w:rPr>
        <w:t>The Journal of neuroscience, 31</w:t>
      </w:r>
      <w:r w:rsidRPr="003A423B">
        <w:rPr>
          <w:rFonts w:ascii="Arial" w:hAnsi="Arial" w:cs="Arial"/>
          <w:sz w:val="24"/>
          <w:szCs w:val="24"/>
        </w:rPr>
        <w:t xml:space="preserve">(3), 992–998. </w:t>
      </w:r>
      <w:hyperlink r:id="rId18" w:history="1">
        <w:r w:rsidRPr="003A423B">
          <w:rPr>
            <w:rStyle w:val="Hyperlink"/>
            <w:rFonts w:ascii="Arial" w:hAnsi="Arial" w:cs="Arial"/>
            <w:color w:val="auto"/>
            <w:sz w:val="24"/>
            <w:szCs w:val="24"/>
          </w:rPr>
          <w:t>https://doi.org/10.1523/JNEUROSCI.4834-10.2011</w:t>
        </w:r>
      </w:hyperlink>
      <w:r w:rsidRPr="003A423B">
        <w:rPr>
          <w:rFonts w:ascii="Arial" w:hAnsi="Arial" w:cs="Arial"/>
          <w:sz w:val="24"/>
          <w:szCs w:val="24"/>
        </w:rPr>
        <w:t xml:space="preserve"> </w:t>
      </w:r>
    </w:p>
    <w:p w14:paraId="7AE135B0" w14:textId="77777777" w:rsidR="003A423B" w:rsidRPr="003A423B" w:rsidRDefault="003A423B" w:rsidP="003A423B">
      <w:pPr>
        <w:spacing w:line="480" w:lineRule="auto"/>
        <w:ind w:left="720" w:hanging="720"/>
        <w:rPr>
          <w:rFonts w:ascii="Arial" w:hAnsi="Arial" w:cs="Arial"/>
          <w:sz w:val="24"/>
          <w:szCs w:val="24"/>
        </w:rPr>
      </w:pPr>
      <w:r w:rsidRPr="003A423B">
        <w:rPr>
          <w:rFonts w:ascii="Arial" w:hAnsi="Arial" w:cs="Arial"/>
          <w:sz w:val="24"/>
          <w:szCs w:val="24"/>
        </w:rPr>
        <w:t xml:space="preserve">Pan, N., Yang, Y., Du, X., Qi, X., Du, G., Zhang, Y., &amp; Zhang, Q. (2018). Brain structures associated with internet addiction tendency in adolescent online game players. </w:t>
      </w:r>
      <w:r w:rsidRPr="003A423B">
        <w:rPr>
          <w:rFonts w:ascii="Arial" w:hAnsi="Arial" w:cs="Arial"/>
          <w:i/>
          <w:iCs/>
          <w:sz w:val="24"/>
          <w:szCs w:val="24"/>
        </w:rPr>
        <w:t>Frontiers in psychiatry, 9</w:t>
      </w:r>
      <w:r w:rsidRPr="003A423B">
        <w:rPr>
          <w:rFonts w:ascii="Arial" w:hAnsi="Arial" w:cs="Arial"/>
          <w:sz w:val="24"/>
          <w:szCs w:val="24"/>
        </w:rPr>
        <w:t>, 67.</w:t>
      </w:r>
    </w:p>
    <w:p w14:paraId="2CD59ED2" w14:textId="77777777" w:rsidR="003A423B" w:rsidRPr="003A423B" w:rsidRDefault="003A423B" w:rsidP="003A423B">
      <w:pPr>
        <w:spacing w:line="480" w:lineRule="auto"/>
        <w:ind w:left="720" w:hanging="720"/>
        <w:rPr>
          <w:rFonts w:ascii="Arial" w:hAnsi="Arial" w:cs="Arial"/>
          <w:sz w:val="24"/>
          <w:szCs w:val="24"/>
        </w:rPr>
      </w:pPr>
      <w:r w:rsidRPr="003A423B">
        <w:rPr>
          <w:rFonts w:ascii="Arial" w:hAnsi="Arial" w:cs="Arial"/>
          <w:sz w:val="24"/>
          <w:szCs w:val="24"/>
        </w:rPr>
        <w:t xml:space="preserve">Papanastasiou, G., </w:t>
      </w:r>
      <w:proofErr w:type="spellStart"/>
      <w:r w:rsidRPr="003A423B">
        <w:rPr>
          <w:rFonts w:ascii="Arial" w:hAnsi="Arial" w:cs="Arial"/>
          <w:sz w:val="24"/>
          <w:szCs w:val="24"/>
        </w:rPr>
        <w:t>Drigas</w:t>
      </w:r>
      <w:proofErr w:type="spellEnd"/>
      <w:r w:rsidRPr="003A423B">
        <w:rPr>
          <w:rFonts w:ascii="Arial" w:hAnsi="Arial" w:cs="Arial"/>
          <w:sz w:val="24"/>
          <w:szCs w:val="24"/>
        </w:rPr>
        <w:t xml:space="preserve">, A., </w:t>
      </w:r>
      <w:proofErr w:type="spellStart"/>
      <w:r w:rsidRPr="003A423B">
        <w:rPr>
          <w:rFonts w:ascii="Arial" w:hAnsi="Arial" w:cs="Arial"/>
          <w:sz w:val="24"/>
          <w:szCs w:val="24"/>
        </w:rPr>
        <w:t>Skianis</w:t>
      </w:r>
      <w:proofErr w:type="spellEnd"/>
      <w:r w:rsidRPr="003A423B">
        <w:rPr>
          <w:rFonts w:ascii="Arial" w:hAnsi="Arial" w:cs="Arial"/>
          <w:sz w:val="24"/>
          <w:szCs w:val="24"/>
        </w:rPr>
        <w:t xml:space="preserve">, C., &amp; Lytras, M. D. (2017). Serious games in K-12 education: Benefits and impacts on students with attention, memory and developmental disabilities. </w:t>
      </w:r>
      <w:r w:rsidRPr="003A423B">
        <w:rPr>
          <w:rFonts w:ascii="Arial" w:hAnsi="Arial" w:cs="Arial"/>
          <w:i/>
          <w:iCs/>
          <w:sz w:val="24"/>
          <w:szCs w:val="24"/>
        </w:rPr>
        <w:t>Program, 51</w:t>
      </w:r>
      <w:r w:rsidRPr="003A423B">
        <w:rPr>
          <w:rFonts w:ascii="Arial" w:hAnsi="Arial" w:cs="Arial"/>
          <w:sz w:val="24"/>
          <w:szCs w:val="24"/>
        </w:rPr>
        <w:t>(4), 424-440.</w:t>
      </w:r>
    </w:p>
    <w:p w14:paraId="1A3A97C3" w14:textId="77777777" w:rsidR="003A423B" w:rsidRPr="003A423B" w:rsidRDefault="003A423B" w:rsidP="003A423B">
      <w:pPr>
        <w:spacing w:line="480" w:lineRule="auto"/>
        <w:ind w:left="720" w:hanging="720"/>
        <w:rPr>
          <w:rFonts w:ascii="Arial" w:hAnsi="Arial" w:cs="Arial"/>
          <w:sz w:val="24"/>
          <w:szCs w:val="24"/>
        </w:rPr>
      </w:pPr>
      <w:r w:rsidRPr="003A423B">
        <w:rPr>
          <w:rFonts w:ascii="Arial" w:hAnsi="Arial" w:cs="Arial"/>
          <w:sz w:val="24"/>
          <w:szCs w:val="24"/>
        </w:rPr>
        <w:t xml:space="preserve">Simons, D. J., Boot, W. R., </w:t>
      </w:r>
      <w:proofErr w:type="spellStart"/>
      <w:r w:rsidRPr="003A423B">
        <w:rPr>
          <w:rFonts w:ascii="Arial" w:hAnsi="Arial" w:cs="Arial"/>
          <w:sz w:val="24"/>
          <w:szCs w:val="24"/>
        </w:rPr>
        <w:t>Charness</w:t>
      </w:r>
      <w:proofErr w:type="spellEnd"/>
      <w:r w:rsidRPr="003A423B">
        <w:rPr>
          <w:rFonts w:ascii="Arial" w:hAnsi="Arial" w:cs="Arial"/>
          <w:sz w:val="24"/>
          <w:szCs w:val="24"/>
        </w:rPr>
        <w:t xml:space="preserve">, N., Gathercole, S. E., Chabris, C. F., Hambrick, D. Z., &amp; Stine-Morrow, E. A. (2016). Do "Brain-Training" Programs Work? </w:t>
      </w:r>
      <w:r w:rsidRPr="003A423B">
        <w:rPr>
          <w:rFonts w:ascii="Arial" w:hAnsi="Arial" w:cs="Arial"/>
          <w:i/>
          <w:iCs/>
          <w:sz w:val="24"/>
          <w:szCs w:val="24"/>
        </w:rPr>
        <w:t>American Psychological Society, 17(</w:t>
      </w:r>
      <w:r w:rsidRPr="003A423B">
        <w:rPr>
          <w:rFonts w:ascii="Arial" w:hAnsi="Arial" w:cs="Arial"/>
          <w:sz w:val="24"/>
          <w:szCs w:val="24"/>
        </w:rPr>
        <w:t xml:space="preserve">3), 103–186. </w:t>
      </w:r>
      <w:hyperlink r:id="rId19" w:history="1">
        <w:r w:rsidRPr="003A423B">
          <w:rPr>
            <w:rStyle w:val="Hyperlink"/>
            <w:rFonts w:ascii="Arial" w:hAnsi="Arial" w:cs="Arial"/>
            <w:color w:val="auto"/>
            <w:sz w:val="24"/>
            <w:szCs w:val="24"/>
          </w:rPr>
          <w:t>https://doi.org/10.1177/1529100616661983</w:t>
        </w:r>
      </w:hyperlink>
      <w:r w:rsidRPr="003A423B">
        <w:rPr>
          <w:rFonts w:ascii="Arial" w:hAnsi="Arial" w:cs="Arial"/>
          <w:sz w:val="24"/>
          <w:szCs w:val="24"/>
        </w:rPr>
        <w:t xml:space="preserve"> </w:t>
      </w:r>
      <w:r w:rsidRPr="003A423B">
        <w:rPr>
          <w:rFonts w:ascii="Arial" w:hAnsi="Arial" w:cs="Arial"/>
          <w:sz w:val="24"/>
          <w:szCs w:val="24"/>
        </w:rPr>
        <w:t xml:space="preserve"> </w:t>
      </w:r>
    </w:p>
    <w:p w14:paraId="54DCD387" w14:textId="77777777" w:rsidR="003A423B" w:rsidRPr="003A423B" w:rsidRDefault="003A423B" w:rsidP="003A423B">
      <w:pPr>
        <w:spacing w:line="480" w:lineRule="auto"/>
        <w:ind w:left="720" w:hanging="720"/>
        <w:rPr>
          <w:rFonts w:ascii="Arial" w:hAnsi="Arial" w:cs="Arial"/>
          <w:sz w:val="24"/>
          <w:szCs w:val="24"/>
        </w:rPr>
      </w:pPr>
      <w:r w:rsidRPr="003A423B">
        <w:rPr>
          <w:rFonts w:ascii="Arial" w:hAnsi="Arial" w:cs="Arial"/>
          <w:sz w:val="24"/>
          <w:szCs w:val="24"/>
        </w:rPr>
        <w:t xml:space="preserve">Smith, E. T., Bhaskar, B., Hinerman, A., &amp; Basak, C. (2020). Past Gaming Experience and Cognition as Selective Predictors of Novel Game Learning Across Different Gaming Genres. </w:t>
      </w:r>
      <w:r w:rsidRPr="003A423B">
        <w:rPr>
          <w:rFonts w:ascii="Arial" w:hAnsi="Arial" w:cs="Arial"/>
          <w:i/>
          <w:iCs/>
          <w:sz w:val="24"/>
          <w:szCs w:val="24"/>
        </w:rPr>
        <w:t>Frontiers in psychology, 11</w:t>
      </w:r>
      <w:r w:rsidRPr="003A423B">
        <w:rPr>
          <w:rFonts w:ascii="Arial" w:hAnsi="Arial" w:cs="Arial"/>
          <w:sz w:val="24"/>
          <w:szCs w:val="24"/>
        </w:rPr>
        <w:t xml:space="preserve">, 786. </w:t>
      </w:r>
      <w:hyperlink r:id="rId20" w:history="1">
        <w:r w:rsidRPr="003A423B">
          <w:rPr>
            <w:rStyle w:val="Hyperlink"/>
            <w:rFonts w:ascii="Arial" w:hAnsi="Arial" w:cs="Arial"/>
            <w:color w:val="auto"/>
            <w:sz w:val="24"/>
            <w:szCs w:val="24"/>
          </w:rPr>
          <w:t>https://doi.org/10.3389/fpsyg.2020.00786</w:t>
        </w:r>
      </w:hyperlink>
      <w:r w:rsidRPr="003A423B">
        <w:rPr>
          <w:rFonts w:ascii="Arial" w:hAnsi="Arial" w:cs="Arial"/>
          <w:sz w:val="24"/>
          <w:szCs w:val="24"/>
        </w:rPr>
        <w:t xml:space="preserve"> </w:t>
      </w:r>
    </w:p>
    <w:p w14:paraId="36ABCB05" w14:textId="77777777" w:rsidR="003A423B" w:rsidRPr="003A423B" w:rsidRDefault="003A423B" w:rsidP="003A423B">
      <w:pPr>
        <w:spacing w:line="480" w:lineRule="auto"/>
        <w:ind w:left="720" w:hanging="720"/>
        <w:rPr>
          <w:rFonts w:ascii="Arial" w:hAnsi="Arial" w:cs="Arial"/>
          <w:sz w:val="24"/>
          <w:szCs w:val="24"/>
        </w:rPr>
      </w:pPr>
      <w:r w:rsidRPr="003A423B">
        <w:rPr>
          <w:rFonts w:ascii="Arial" w:hAnsi="Arial" w:cs="Arial"/>
          <w:sz w:val="24"/>
          <w:szCs w:val="24"/>
        </w:rPr>
        <w:t>Stiller, K. D., &amp; Schworm, S. (2019). Game-Based Learning of the Structure and Functioning of Body Cells in a Foreign Language: Effects on Motivation, Cognitive Load, and Performance.</w:t>
      </w:r>
      <w:r w:rsidRPr="003A423B">
        <w:rPr>
          <w:rFonts w:ascii="Arial" w:hAnsi="Arial" w:cs="Arial"/>
          <w:i/>
          <w:iCs/>
          <w:sz w:val="24"/>
          <w:szCs w:val="24"/>
        </w:rPr>
        <w:t xml:space="preserve"> Proceedings /</w:t>
      </w:r>
      <w:r w:rsidRPr="003A423B">
        <w:rPr>
          <w:rFonts w:ascii="Arial" w:hAnsi="Arial" w:cs="Arial"/>
          <w:sz w:val="24"/>
          <w:szCs w:val="24"/>
        </w:rPr>
        <w:t xml:space="preserve">, 4. </w:t>
      </w:r>
      <w:hyperlink r:id="rId21" w:history="1">
        <w:r w:rsidRPr="003A423B">
          <w:rPr>
            <w:rStyle w:val="Hyperlink"/>
            <w:rFonts w:ascii="Arial" w:hAnsi="Arial" w:cs="Arial"/>
            <w:color w:val="auto"/>
            <w:sz w:val="24"/>
            <w:szCs w:val="24"/>
          </w:rPr>
          <w:t>https://doi.org/10.3389/feduc.2019.00018</w:t>
        </w:r>
      </w:hyperlink>
      <w:r w:rsidRPr="003A423B">
        <w:rPr>
          <w:rFonts w:ascii="Arial" w:hAnsi="Arial" w:cs="Arial"/>
          <w:sz w:val="24"/>
          <w:szCs w:val="24"/>
        </w:rPr>
        <w:t xml:space="preserve"> </w:t>
      </w:r>
    </w:p>
    <w:p w14:paraId="779844A6" w14:textId="77777777" w:rsidR="003A423B" w:rsidRPr="003A423B" w:rsidRDefault="003A423B" w:rsidP="003A423B">
      <w:pPr>
        <w:spacing w:line="480" w:lineRule="auto"/>
        <w:ind w:left="720" w:hanging="720"/>
        <w:rPr>
          <w:rFonts w:ascii="Arial" w:hAnsi="Arial" w:cs="Arial"/>
          <w:sz w:val="24"/>
          <w:szCs w:val="24"/>
        </w:rPr>
      </w:pPr>
      <w:r w:rsidRPr="003A423B">
        <w:rPr>
          <w:rFonts w:ascii="Arial" w:hAnsi="Arial" w:cs="Arial"/>
          <w:sz w:val="24"/>
          <w:szCs w:val="24"/>
        </w:rPr>
        <w:t xml:space="preserve">Sweller, J. (1988), Cognitive Load During Problem Solving: Effects on Learning. </w:t>
      </w:r>
      <w:r w:rsidRPr="003A423B">
        <w:rPr>
          <w:rFonts w:ascii="Arial" w:hAnsi="Arial" w:cs="Arial"/>
          <w:i/>
          <w:iCs/>
          <w:sz w:val="24"/>
          <w:szCs w:val="24"/>
        </w:rPr>
        <w:t>Cognitive Science, 12</w:t>
      </w:r>
      <w:r w:rsidRPr="003A423B">
        <w:rPr>
          <w:rFonts w:ascii="Arial" w:hAnsi="Arial" w:cs="Arial"/>
          <w:sz w:val="24"/>
          <w:szCs w:val="24"/>
        </w:rPr>
        <w:t xml:space="preserve">, 257-285. </w:t>
      </w:r>
      <w:hyperlink r:id="rId22" w:history="1">
        <w:r w:rsidRPr="003A423B">
          <w:rPr>
            <w:rStyle w:val="Hyperlink"/>
            <w:rFonts w:ascii="Arial" w:hAnsi="Arial" w:cs="Arial"/>
            <w:color w:val="auto"/>
            <w:sz w:val="24"/>
            <w:szCs w:val="24"/>
          </w:rPr>
          <w:t>https://doi.org/10.1207/s15516709cog1202_4</w:t>
        </w:r>
      </w:hyperlink>
      <w:r w:rsidRPr="003A423B">
        <w:rPr>
          <w:rFonts w:ascii="Arial" w:hAnsi="Arial" w:cs="Arial"/>
          <w:sz w:val="24"/>
          <w:szCs w:val="24"/>
        </w:rPr>
        <w:t xml:space="preserve"> </w:t>
      </w:r>
    </w:p>
    <w:p w14:paraId="278E793C" w14:textId="77777777" w:rsidR="003A423B" w:rsidRPr="003A423B" w:rsidRDefault="003A423B" w:rsidP="003A423B">
      <w:pPr>
        <w:spacing w:line="480" w:lineRule="auto"/>
        <w:ind w:left="720" w:hanging="720"/>
        <w:rPr>
          <w:rFonts w:ascii="Arial" w:hAnsi="Arial" w:cs="Arial"/>
          <w:sz w:val="24"/>
          <w:szCs w:val="24"/>
        </w:rPr>
      </w:pPr>
      <w:r w:rsidRPr="003A423B">
        <w:rPr>
          <w:rFonts w:ascii="Arial" w:hAnsi="Arial" w:cs="Arial"/>
          <w:sz w:val="24"/>
          <w:szCs w:val="24"/>
        </w:rPr>
        <w:lastRenderedPageBreak/>
        <w:t>Szucs, D, &amp; Ioannidis, J. P. A. (2017). Empirical assessment of published effect sizes and power in the recent cognitive neuroscience and psychology literature</w:t>
      </w:r>
      <w:r w:rsidRPr="003A423B">
        <w:rPr>
          <w:rFonts w:ascii="Arial" w:hAnsi="Arial" w:cs="Arial"/>
          <w:i/>
          <w:iCs/>
          <w:sz w:val="24"/>
          <w:szCs w:val="24"/>
        </w:rPr>
        <w:t>. PLOS Biology</w:t>
      </w:r>
      <w:r w:rsidRPr="003A423B">
        <w:rPr>
          <w:rFonts w:ascii="Arial" w:hAnsi="Arial" w:cs="Arial"/>
          <w:i/>
          <w:iCs/>
          <w:sz w:val="24"/>
          <w:szCs w:val="24"/>
        </w:rPr>
        <w:t>,</w:t>
      </w:r>
      <w:r w:rsidRPr="003A423B">
        <w:rPr>
          <w:rFonts w:ascii="Arial" w:hAnsi="Arial" w:cs="Arial"/>
          <w:i/>
          <w:iCs/>
          <w:sz w:val="24"/>
          <w:szCs w:val="24"/>
        </w:rPr>
        <w:t xml:space="preserve"> 15</w:t>
      </w:r>
      <w:r w:rsidRPr="003A423B">
        <w:rPr>
          <w:rFonts w:ascii="Arial" w:hAnsi="Arial" w:cs="Arial"/>
          <w:sz w:val="24"/>
          <w:szCs w:val="24"/>
        </w:rPr>
        <w:t xml:space="preserve">(3). </w:t>
      </w:r>
      <w:hyperlink r:id="rId23" w:history="1">
        <w:r w:rsidRPr="003A423B">
          <w:rPr>
            <w:rStyle w:val="Hyperlink"/>
            <w:rFonts w:ascii="Arial" w:hAnsi="Arial" w:cs="Arial"/>
            <w:color w:val="auto"/>
            <w:sz w:val="24"/>
            <w:szCs w:val="24"/>
          </w:rPr>
          <w:t>https://doi.org/10.1371/journal.pbio.2000797</w:t>
        </w:r>
      </w:hyperlink>
      <w:r w:rsidRPr="003A423B">
        <w:rPr>
          <w:rFonts w:ascii="Arial" w:hAnsi="Arial" w:cs="Arial"/>
          <w:sz w:val="24"/>
          <w:szCs w:val="24"/>
        </w:rPr>
        <w:t xml:space="preserve"> </w:t>
      </w:r>
    </w:p>
    <w:p w14:paraId="1FCDC00D" w14:textId="77777777" w:rsidR="003A423B" w:rsidRPr="003A423B" w:rsidRDefault="003A423B" w:rsidP="003A423B">
      <w:pPr>
        <w:spacing w:line="480" w:lineRule="auto"/>
        <w:ind w:left="720" w:hanging="720"/>
        <w:rPr>
          <w:rFonts w:ascii="Arial" w:hAnsi="Arial" w:cs="Arial"/>
          <w:sz w:val="24"/>
          <w:szCs w:val="24"/>
        </w:rPr>
      </w:pPr>
      <w:r w:rsidRPr="003A423B">
        <w:rPr>
          <w:rFonts w:ascii="Arial" w:hAnsi="Arial" w:cs="Arial"/>
          <w:sz w:val="24"/>
          <w:szCs w:val="24"/>
        </w:rPr>
        <w:t xml:space="preserve">The NPD Group. (2022). </w:t>
      </w:r>
      <w:r w:rsidRPr="003A423B">
        <w:rPr>
          <w:rFonts w:ascii="Arial" w:hAnsi="Arial" w:cs="Arial"/>
          <w:i/>
          <w:iCs/>
          <w:sz w:val="24"/>
          <w:szCs w:val="24"/>
        </w:rPr>
        <w:t>Video games.</w:t>
      </w:r>
      <w:r w:rsidRPr="003A423B">
        <w:rPr>
          <w:rFonts w:ascii="Arial" w:hAnsi="Arial" w:cs="Arial"/>
          <w:sz w:val="24"/>
          <w:szCs w:val="24"/>
        </w:rPr>
        <w:t xml:space="preserve"> https://www.npd.com/industry-expertise/video-games.</w:t>
      </w:r>
    </w:p>
    <w:p w14:paraId="334D709D" w14:textId="77777777" w:rsidR="003A423B" w:rsidRPr="003A423B" w:rsidRDefault="003A423B" w:rsidP="003A423B">
      <w:pPr>
        <w:spacing w:line="480" w:lineRule="auto"/>
        <w:ind w:left="720" w:hanging="720"/>
        <w:rPr>
          <w:rFonts w:ascii="Arial" w:hAnsi="Arial" w:cs="Arial"/>
          <w:sz w:val="24"/>
          <w:szCs w:val="24"/>
        </w:rPr>
      </w:pPr>
      <w:r w:rsidRPr="003A423B">
        <w:rPr>
          <w:rFonts w:ascii="Arial" w:hAnsi="Arial" w:cs="Arial"/>
          <w:sz w:val="24"/>
          <w:szCs w:val="24"/>
        </w:rPr>
        <w:t xml:space="preserve">Yao, Y., Cui, R., Li, Y., Zeng, L., Jiang, J., Qiu, N., ... &amp; Liu, T. (2020). Action real-time strategy gaming experience related to enhanced capacity of visual working memory. </w:t>
      </w:r>
      <w:r w:rsidRPr="003A423B">
        <w:rPr>
          <w:rFonts w:ascii="Arial" w:hAnsi="Arial" w:cs="Arial"/>
          <w:i/>
          <w:iCs/>
          <w:sz w:val="24"/>
          <w:szCs w:val="24"/>
        </w:rPr>
        <w:t>Frontiers in Human Neuroscience, 14,</w:t>
      </w:r>
      <w:r w:rsidRPr="003A423B">
        <w:rPr>
          <w:rFonts w:ascii="Arial" w:hAnsi="Arial" w:cs="Arial"/>
          <w:sz w:val="24"/>
          <w:szCs w:val="24"/>
        </w:rPr>
        <w:t xml:space="preserve"> 333.</w:t>
      </w:r>
    </w:p>
    <w:p w14:paraId="3CE61239" w14:textId="77777777" w:rsidR="003A423B" w:rsidRDefault="003A423B" w:rsidP="003A423B">
      <w:pPr>
        <w:spacing w:line="480" w:lineRule="auto"/>
        <w:ind w:left="720" w:hanging="720"/>
        <w:rPr>
          <w:rStyle w:val="Hyperlink"/>
          <w:rFonts w:ascii="Arial" w:hAnsi="Arial" w:cs="Arial"/>
          <w:color w:val="auto"/>
          <w:sz w:val="24"/>
          <w:szCs w:val="24"/>
        </w:rPr>
      </w:pPr>
      <w:r w:rsidRPr="003A423B">
        <w:rPr>
          <w:rFonts w:ascii="Arial" w:hAnsi="Arial" w:cs="Arial"/>
          <w:sz w:val="24"/>
          <w:szCs w:val="24"/>
        </w:rPr>
        <w:t xml:space="preserve">Ziv, G., Lidor, R., &amp; Levin, O. (2022). Reaction time and working memory in gamers and non-gamers. </w:t>
      </w:r>
      <w:r w:rsidRPr="003A423B">
        <w:rPr>
          <w:rFonts w:ascii="Arial" w:hAnsi="Arial" w:cs="Arial"/>
          <w:i/>
          <w:iCs/>
          <w:sz w:val="24"/>
          <w:szCs w:val="24"/>
        </w:rPr>
        <w:t>Scientific Reports, 12</w:t>
      </w:r>
      <w:r w:rsidRPr="003A423B">
        <w:rPr>
          <w:rFonts w:ascii="Arial" w:hAnsi="Arial" w:cs="Arial"/>
          <w:sz w:val="24"/>
          <w:szCs w:val="24"/>
        </w:rPr>
        <w:t xml:space="preserve">(1). </w:t>
      </w:r>
      <w:hyperlink r:id="rId24" w:history="1">
        <w:r w:rsidRPr="003A423B">
          <w:rPr>
            <w:rStyle w:val="Hyperlink"/>
            <w:rFonts w:ascii="Arial" w:hAnsi="Arial" w:cs="Arial"/>
            <w:color w:val="auto"/>
            <w:sz w:val="24"/>
            <w:szCs w:val="24"/>
          </w:rPr>
          <w:t>https://doi.org/10.1038/s41598-022-10986-3</w:t>
        </w:r>
      </w:hyperlink>
    </w:p>
    <w:p w14:paraId="7153F988" w14:textId="77777777" w:rsidR="0085795D" w:rsidRDefault="0085795D" w:rsidP="003A423B">
      <w:pPr>
        <w:spacing w:line="480" w:lineRule="auto"/>
        <w:ind w:left="720" w:hanging="720"/>
        <w:rPr>
          <w:rStyle w:val="Hyperlink"/>
          <w:rFonts w:ascii="Arial" w:hAnsi="Arial" w:cs="Arial"/>
          <w:color w:val="auto"/>
          <w:sz w:val="24"/>
          <w:szCs w:val="24"/>
        </w:rPr>
      </w:pPr>
    </w:p>
    <w:p w14:paraId="2854941D" w14:textId="77777777" w:rsidR="0085795D" w:rsidRDefault="0085795D" w:rsidP="003A423B">
      <w:pPr>
        <w:spacing w:line="480" w:lineRule="auto"/>
        <w:ind w:left="720" w:hanging="720"/>
        <w:rPr>
          <w:rStyle w:val="Hyperlink"/>
          <w:rFonts w:ascii="Arial" w:hAnsi="Arial" w:cs="Arial"/>
          <w:color w:val="auto"/>
          <w:sz w:val="24"/>
          <w:szCs w:val="24"/>
        </w:rPr>
      </w:pPr>
    </w:p>
    <w:p w14:paraId="04673E94" w14:textId="77777777" w:rsidR="0085795D" w:rsidRDefault="0085795D" w:rsidP="003A423B">
      <w:pPr>
        <w:spacing w:line="480" w:lineRule="auto"/>
        <w:ind w:left="720" w:hanging="720"/>
        <w:rPr>
          <w:rStyle w:val="Hyperlink"/>
          <w:rFonts w:ascii="Arial" w:hAnsi="Arial" w:cs="Arial"/>
          <w:color w:val="auto"/>
          <w:sz w:val="24"/>
          <w:szCs w:val="24"/>
        </w:rPr>
      </w:pPr>
    </w:p>
    <w:p w14:paraId="13DDE89F" w14:textId="77777777" w:rsidR="0085795D" w:rsidRDefault="0085795D" w:rsidP="003A423B">
      <w:pPr>
        <w:spacing w:line="480" w:lineRule="auto"/>
        <w:ind w:left="720" w:hanging="720"/>
        <w:rPr>
          <w:rStyle w:val="Hyperlink"/>
          <w:rFonts w:ascii="Arial" w:hAnsi="Arial" w:cs="Arial"/>
          <w:color w:val="auto"/>
          <w:sz w:val="24"/>
          <w:szCs w:val="24"/>
        </w:rPr>
      </w:pPr>
    </w:p>
    <w:p w14:paraId="69E23D94" w14:textId="77777777" w:rsidR="0085795D" w:rsidRDefault="0085795D" w:rsidP="003A423B">
      <w:pPr>
        <w:spacing w:line="480" w:lineRule="auto"/>
        <w:ind w:left="720" w:hanging="720"/>
        <w:rPr>
          <w:rStyle w:val="Hyperlink"/>
          <w:rFonts w:ascii="Arial" w:hAnsi="Arial" w:cs="Arial"/>
          <w:color w:val="auto"/>
          <w:sz w:val="24"/>
          <w:szCs w:val="24"/>
        </w:rPr>
      </w:pPr>
    </w:p>
    <w:p w14:paraId="5A44316E" w14:textId="77777777" w:rsidR="0085795D" w:rsidRDefault="0085795D" w:rsidP="003A423B">
      <w:pPr>
        <w:spacing w:line="480" w:lineRule="auto"/>
        <w:ind w:left="720" w:hanging="720"/>
        <w:rPr>
          <w:rStyle w:val="Hyperlink"/>
          <w:rFonts w:ascii="Arial" w:hAnsi="Arial" w:cs="Arial"/>
          <w:color w:val="auto"/>
          <w:sz w:val="24"/>
          <w:szCs w:val="24"/>
        </w:rPr>
      </w:pPr>
    </w:p>
    <w:p w14:paraId="19E05957" w14:textId="77777777" w:rsidR="0085795D" w:rsidRDefault="0085795D" w:rsidP="003A423B">
      <w:pPr>
        <w:spacing w:line="480" w:lineRule="auto"/>
        <w:ind w:left="720" w:hanging="720"/>
        <w:rPr>
          <w:rStyle w:val="Hyperlink"/>
          <w:rFonts w:ascii="Arial" w:hAnsi="Arial" w:cs="Arial"/>
          <w:color w:val="auto"/>
          <w:sz w:val="24"/>
          <w:szCs w:val="24"/>
        </w:rPr>
      </w:pPr>
    </w:p>
    <w:p w14:paraId="21CDC4B9" w14:textId="77777777" w:rsidR="0085795D" w:rsidRDefault="0085795D" w:rsidP="003A423B">
      <w:pPr>
        <w:spacing w:line="480" w:lineRule="auto"/>
        <w:ind w:left="720" w:hanging="720"/>
        <w:rPr>
          <w:rStyle w:val="Hyperlink"/>
          <w:rFonts w:ascii="Arial" w:hAnsi="Arial" w:cs="Arial"/>
          <w:color w:val="auto"/>
          <w:sz w:val="24"/>
          <w:szCs w:val="24"/>
        </w:rPr>
      </w:pPr>
    </w:p>
    <w:p w14:paraId="2A8E3AD3" w14:textId="77777777" w:rsidR="0085795D" w:rsidRDefault="0085795D" w:rsidP="003A423B">
      <w:pPr>
        <w:spacing w:line="480" w:lineRule="auto"/>
        <w:ind w:left="720" w:hanging="720"/>
        <w:rPr>
          <w:rStyle w:val="Hyperlink"/>
          <w:rFonts w:ascii="Arial" w:hAnsi="Arial" w:cs="Arial"/>
          <w:color w:val="auto"/>
          <w:sz w:val="24"/>
          <w:szCs w:val="24"/>
        </w:rPr>
      </w:pPr>
    </w:p>
    <w:p w14:paraId="3AB3CF80" w14:textId="77777777" w:rsidR="0085795D" w:rsidRDefault="0085795D" w:rsidP="00340132">
      <w:pPr>
        <w:spacing w:line="480" w:lineRule="auto"/>
        <w:rPr>
          <w:rStyle w:val="Hyperlink"/>
          <w:rFonts w:ascii="Arial" w:hAnsi="Arial" w:cs="Arial"/>
          <w:color w:val="auto"/>
          <w:sz w:val="24"/>
          <w:szCs w:val="24"/>
        </w:rPr>
      </w:pPr>
    </w:p>
    <w:p w14:paraId="589AE2AB" w14:textId="0E7FE15F" w:rsidR="0085795D" w:rsidRPr="00340132" w:rsidRDefault="00340132" w:rsidP="00C83B24">
      <w:pPr>
        <w:spacing w:line="360" w:lineRule="auto"/>
        <w:rPr>
          <w:rFonts w:ascii="Arial" w:hAnsi="Arial" w:cs="Arial"/>
          <w:color w:val="000000" w:themeColor="text1"/>
          <w:sz w:val="24"/>
          <w:szCs w:val="24"/>
          <w:u w:val="single"/>
        </w:rPr>
      </w:pPr>
      <w:r>
        <w:rPr>
          <w:rFonts w:ascii="Arial" w:hAnsi="Arial" w:cs="Arial"/>
          <w:color w:val="000000" w:themeColor="text1"/>
          <w:sz w:val="24"/>
          <w:szCs w:val="24"/>
          <w:u w:val="single"/>
        </w:rPr>
        <w:lastRenderedPageBreak/>
        <w:t xml:space="preserve">Chapter 2: </w:t>
      </w:r>
      <w:r w:rsidR="0085795D" w:rsidRPr="00340132">
        <w:rPr>
          <w:rFonts w:ascii="Arial" w:hAnsi="Arial" w:cs="Arial"/>
          <w:color w:val="000000" w:themeColor="text1"/>
          <w:sz w:val="24"/>
          <w:szCs w:val="24"/>
          <w:u w:val="single"/>
        </w:rPr>
        <w:t>Method</w:t>
      </w:r>
    </w:p>
    <w:p w14:paraId="297BC441" w14:textId="4D85E6F7" w:rsidR="001E43CA" w:rsidRDefault="001E43CA" w:rsidP="00C83B24">
      <w:pPr>
        <w:spacing w:line="360" w:lineRule="auto"/>
        <w:rPr>
          <w:rFonts w:ascii="Arial" w:hAnsi="Arial" w:cs="Arial"/>
          <w:color w:val="000000" w:themeColor="text1"/>
          <w:sz w:val="24"/>
          <w:szCs w:val="24"/>
        </w:rPr>
      </w:pPr>
      <w:r w:rsidRPr="001E43CA">
        <w:rPr>
          <w:rFonts w:ascii="Arial" w:hAnsi="Arial" w:cs="Arial"/>
          <w:color w:val="000000" w:themeColor="text1"/>
          <w:sz w:val="24"/>
          <w:szCs w:val="24"/>
        </w:rPr>
        <w:t>Participants</w:t>
      </w:r>
    </w:p>
    <w:p w14:paraId="010AACA8" w14:textId="72BD0052" w:rsidR="001E43CA" w:rsidRPr="001E43CA" w:rsidRDefault="00170423" w:rsidP="00C83B24">
      <w:pPr>
        <w:spacing w:line="360" w:lineRule="auto"/>
        <w:rPr>
          <w:rFonts w:ascii="Arial" w:hAnsi="Arial" w:cs="Arial"/>
          <w:color w:val="000000" w:themeColor="text1"/>
          <w:sz w:val="24"/>
          <w:szCs w:val="24"/>
        </w:rPr>
      </w:pPr>
      <w:r>
        <w:rPr>
          <w:rFonts w:ascii="Arial" w:hAnsi="Arial" w:cs="Arial"/>
          <w:color w:val="000000" w:themeColor="text1"/>
          <w:sz w:val="24"/>
          <w:szCs w:val="24"/>
        </w:rPr>
        <w:t xml:space="preserve">A </w:t>
      </w:r>
      <w:r w:rsidR="003E7050">
        <w:rPr>
          <w:rFonts w:ascii="Arial" w:hAnsi="Arial" w:cs="Arial"/>
          <w:color w:val="000000" w:themeColor="text1"/>
          <w:sz w:val="24"/>
          <w:szCs w:val="24"/>
        </w:rPr>
        <w:t>convenience</w:t>
      </w:r>
      <w:r w:rsidR="00064956">
        <w:rPr>
          <w:rFonts w:ascii="Arial" w:hAnsi="Arial" w:cs="Arial"/>
          <w:color w:val="000000" w:themeColor="text1"/>
          <w:sz w:val="24"/>
          <w:szCs w:val="24"/>
        </w:rPr>
        <w:t xml:space="preserve"> </w:t>
      </w:r>
      <w:r w:rsidR="003E7050">
        <w:rPr>
          <w:rFonts w:ascii="Arial" w:hAnsi="Arial" w:cs="Arial"/>
          <w:color w:val="000000" w:themeColor="text1"/>
          <w:sz w:val="24"/>
          <w:szCs w:val="24"/>
        </w:rPr>
        <w:t xml:space="preserve">and stratified </w:t>
      </w:r>
      <w:r w:rsidR="00064956">
        <w:rPr>
          <w:rFonts w:ascii="Arial" w:hAnsi="Arial" w:cs="Arial"/>
          <w:color w:val="000000" w:themeColor="text1"/>
          <w:sz w:val="24"/>
          <w:szCs w:val="24"/>
        </w:rPr>
        <w:t>sample of ** participants comple</w:t>
      </w:r>
      <w:r w:rsidR="00F10ACA">
        <w:rPr>
          <w:rFonts w:ascii="Arial" w:hAnsi="Arial" w:cs="Arial"/>
          <w:color w:val="000000" w:themeColor="text1"/>
          <w:sz w:val="24"/>
          <w:szCs w:val="24"/>
        </w:rPr>
        <w:t xml:space="preserve">ted both the demographic form and consent form </w:t>
      </w:r>
      <w:r w:rsidR="001953B7">
        <w:rPr>
          <w:rFonts w:ascii="Arial" w:hAnsi="Arial" w:cs="Arial"/>
          <w:color w:val="000000" w:themeColor="text1"/>
          <w:sz w:val="24"/>
          <w:szCs w:val="24"/>
        </w:rPr>
        <w:t>prior to completing tasks for the purpose of this study</w:t>
      </w:r>
      <w:r w:rsidR="0039406F">
        <w:rPr>
          <w:rFonts w:ascii="Arial" w:hAnsi="Arial" w:cs="Arial"/>
          <w:color w:val="000000" w:themeColor="text1"/>
          <w:sz w:val="24"/>
          <w:szCs w:val="24"/>
        </w:rPr>
        <w:t xml:space="preserve">: ** males and ** females. Ages ranged from </w:t>
      </w:r>
      <w:r w:rsidR="009E254A">
        <w:rPr>
          <w:rFonts w:ascii="Arial" w:hAnsi="Arial" w:cs="Arial"/>
          <w:color w:val="000000" w:themeColor="text1"/>
          <w:sz w:val="24"/>
          <w:szCs w:val="24"/>
        </w:rPr>
        <w:t>*</w:t>
      </w:r>
      <w:proofErr w:type="gramStart"/>
      <w:r w:rsidR="009E254A">
        <w:rPr>
          <w:rFonts w:ascii="Arial" w:hAnsi="Arial" w:cs="Arial"/>
          <w:color w:val="000000" w:themeColor="text1"/>
          <w:sz w:val="24"/>
          <w:szCs w:val="24"/>
        </w:rPr>
        <w:t>*?*</w:t>
      </w:r>
      <w:proofErr w:type="gramEnd"/>
      <w:r w:rsidR="009E254A">
        <w:rPr>
          <w:rFonts w:ascii="Arial" w:hAnsi="Arial" w:cs="Arial"/>
          <w:color w:val="000000" w:themeColor="text1"/>
          <w:sz w:val="24"/>
          <w:szCs w:val="24"/>
        </w:rPr>
        <w:t>* (</w:t>
      </w:r>
      <w:r w:rsidR="009E254A" w:rsidRPr="009E254A">
        <w:rPr>
          <w:rFonts w:ascii="Arial" w:hAnsi="Arial" w:cs="Arial"/>
          <w:i/>
          <w:iCs/>
          <w:color w:val="000000" w:themeColor="text1"/>
          <w:sz w:val="24"/>
          <w:szCs w:val="24"/>
        </w:rPr>
        <w:t>M</w:t>
      </w:r>
      <w:r w:rsidR="009E254A">
        <w:rPr>
          <w:rFonts w:ascii="Arial" w:hAnsi="Arial" w:cs="Arial"/>
          <w:color w:val="000000" w:themeColor="text1"/>
          <w:sz w:val="24"/>
          <w:szCs w:val="24"/>
        </w:rPr>
        <w:t xml:space="preserve"> =????, </w:t>
      </w:r>
      <w:r w:rsidR="009E254A" w:rsidRPr="009E254A">
        <w:rPr>
          <w:rFonts w:ascii="Arial" w:hAnsi="Arial" w:cs="Arial"/>
          <w:i/>
          <w:iCs/>
          <w:color w:val="000000" w:themeColor="text1"/>
          <w:sz w:val="24"/>
          <w:szCs w:val="24"/>
        </w:rPr>
        <w:t>SD</w:t>
      </w:r>
      <w:r w:rsidR="009E254A">
        <w:rPr>
          <w:rFonts w:ascii="Arial" w:hAnsi="Arial" w:cs="Arial"/>
          <w:color w:val="000000" w:themeColor="text1"/>
          <w:sz w:val="24"/>
          <w:szCs w:val="24"/>
        </w:rPr>
        <w:t xml:space="preserve"> = ?? years)</w:t>
      </w:r>
      <w:r w:rsidR="0079645D">
        <w:rPr>
          <w:rFonts w:ascii="Arial" w:hAnsi="Arial" w:cs="Arial"/>
          <w:color w:val="000000" w:themeColor="text1"/>
          <w:sz w:val="24"/>
          <w:szCs w:val="24"/>
        </w:rPr>
        <w:t xml:space="preserve">. </w:t>
      </w:r>
      <w:r w:rsidR="003117C7">
        <w:rPr>
          <w:rFonts w:ascii="Arial" w:hAnsi="Arial" w:cs="Arial"/>
          <w:color w:val="000000" w:themeColor="text1"/>
          <w:sz w:val="24"/>
          <w:szCs w:val="24"/>
        </w:rPr>
        <w:t xml:space="preserve">The participants who have taken part of this study </w:t>
      </w:r>
      <w:r w:rsidR="00681953">
        <w:rPr>
          <w:rFonts w:ascii="Arial" w:hAnsi="Arial" w:cs="Arial"/>
          <w:color w:val="000000" w:themeColor="text1"/>
          <w:sz w:val="24"/>
          <w:szCs w:val="24"/>
        </w:rPr>
        <w:t>are all from the student body at the University of Wales Trinity Saint David (UWTSD), under the Psychology and Counselling umbrella</w:t>
      </w:r>
      <w:r w:rsidR="0079645D">
        <w:rPr>
          <w:rFonts w:ascii="Arial" w:hAnsi="Arial" w:cs="Arial"/>
          <w:color w:val="000000" w:themeColor="text1"/>
          <w:sz w:val="24"/>
          <w:szCs w:val="24"/>
        </w:rPr>
        <w:t>, in return for Experiment Management System (EMS) credits</w:t>
      </w:r>
      <w:r w:rsidR="00FE0CC4">
        <w:rPr>
          <w:rFonts w:ascii="Arial" w:hAnsi="Arial" w:cs="Arial"/>
          <w:color w:val="000000" w:themeColor="text1"/>
          <w:sz w:val="24"/>
          <w:szCs w:val="24"/>
        </w:rPr>
        <w:t xml:space="preserve">. </w:t>
      </w:r>
      <w:r w:rsidR="00986972">
        <w:rPr>
          <w:rFonts w:ascii="Arial" w:hAnsi="Arial" w:cs="Arial"/>
          <w:color w:val="000000" w:themeColor="text1"/>
          <w:sz w:val="24"/>
          <w:szCs w:val="24"/>
        </w:rPr>
        <w:t xml:space="preserve">Participants were recruited through the </w:t>
      </w:r>
      <w:r w:rsidR="00FE0CC4">
        <w:rPr>
          <w:rFonts w:ascii="Arial" w:hAnsi="Arial" w:cs="Arial"/>
          <w:color w:val="000000" w:themeColor="text1"/>
          <w:sz w:val="24"/>
          <w:szCs w:val="24"/>
        </w:rPr>
        <w:t>university’s</w:t>
      </w:r>
      <w:r w:rsidR="00986972">
        <w:rPr>
          <w:rFonts w:ascii="Arial" w:hAnsi="Arial" w:cs="Arial"/>
          <w:color w:val="000000" w:themeColor="text1"/>
          <w:sz w:val="24"/>
          <w:szCs w:val="24"/>
        </w:rPr>
        <w:t xml:space="preserve"> EMS</w:t>
      </w:r>
      <w:r w:rsidR="00892C37">
        <w:rPr>
          <w:rFonts w:ascii="Arial" w:hAnsi="Arial" w:cs="Arial"/>
          <w:color w:val="000000" w:themeColor="text1"/>
          <w:sz w:val="24"/>
          <w:szCs w:val="24"/>
        </w:rPr>
        <w:t xml:space="preserve">. </w:t>
      </w:r>
      <w:r w:rsidR="00832F17">
        <w:rPr>
          <w:rFonts w:ascii="Arial" w:hAnsi="Arial" w:cs="Arial"/>
          <w:color w:val="000000" w:themeColor="text1"/>
          <w:sz w:val="24"/>
          <w:szCs w:val="24"/>
        </w:rPr>
        <w:t>Participants were aware of the purpose of the experiment and consent was gained prior to beginning tasks</w:t>
      </w:r>
      <w:r w:rsidR="007D026A">
        <w:rPr>
          <w:rFonts w:ascii="Arial" w:hAnsi="Arial" w:cs="Arial"/>
          <w:color w:val="000000" w:themeColor="text1"/>
          <w:sz w:val="24"/>
          <w:szCs w:val="24"/>
        </w:rPr>
        <w:t>; consent form and information sheet was available on the EMS</w:t>
      </w:r>
      <w:r w:rsidR="002D0307">
        <w:rPr>
          <w:rFonts w:ascii="Arial" w:hAnsi="Arial" w:cs="Arial"/>
          <w:color w:val="000000" w:themeColor="text1"/>
          <w:sz w:val="24"/>
          <w:szCs w:val="24"/>
        </w:rPr>
        <w:t xml:space="preserve"> and in person (see appendix 1 and 2).</w:t>
      </w:r>
    </w:p>
    <w:p w14:paraId="1B85CFAA" w14:textId="4BF98A9F" w:rsidR="001E43CA" w:rsidRDefault="001E43CA" w:rsidP="00C83B24">
      <w:pPr>
        <w:spacing w:line="360" w:lineRule="auto"/>
        <w:rPr>
          <w:rFonts w:ascii="Arial" w:hAnsi="Arial" w:cs="Arial"/>
          <w:color w:val="000000" w:themeColor="text1"/>
          <w:sz w:val="24"/>
          <w:szCs w:val="24"/>
        </w:rPr>
      </w:pPr>
      <w:r w:rsidRPr="001E43CA">
        <w:rPr>
          <w:rFonts w:ascii="Arial" w:hAnsi="Arial" w:cs="Arial"/>
          <w:color w:val="000000" w:themeColor="text1"/>
          <w:sz w:val="24"/>
          <w:szCs w:val="24"/>
        </w:rPr>
        <w:t>Design</w:t>
      </w:r>
    </w:p>
    <w:p w14:paraId="6A55A68A" w14:textId="424CE20C" w:rsidR="00F4336B" w:rsidRDefault="00CE0D55" w:rsidP="00C83B24">
      <w:pPr>
        <w:spacing w:line="360" w:lineRule="auto"/>
        <w:rPr>
          <w:rFonts w:ascii="Arial" w:hAnsi="Arial" w:cs="Arial"/>
          <w:color w:val="000000" w:themeColor="text1"/>
          <w:sz w:val="24"/>
          <w:szCs w:val="24"/>
        </w:rPr>
      </w:pPr>
      <w:r>
        <w:rPr>
          <w:rFonts w:ascii="Arial" w:hAnsi="Arial" w:cs="Arial"/>
          <w:color w:val="000000" w:themeColor="text1"/>
          <w:sz w:val="24"/>
          <w:szCs w:val="24"/>
        </w:rPr>
        <w:t>The study has employed a mixed-design ANOVA. The independent variables (IVs) included gaming genre and gaming experience. Gaming genre had two</w:t>
      </w:r>
      <w:r w:rsidR="00F75655">
        <w:rPr>
          <w:rFonts w:ascii="Arial" w:hAnsi="Arial" w:cs="Arial"/>
          <w:color w:val="000000" w:themeColor="text1"/>
          <w:sz w:val="24"/>
          <w:szCs w:val="24"/>
        </w:rPr>
        <w:t xml:space="preserve"> levels: action/sport (Rocket League) and strategy/puzzle (Mah-jong</w:t>
      </w:r>
      <w:r w:rsidR="006A19A4">
        <w:rPr>
          <w:rFonts w:ascii="Arial" w:hAnsi="Arial" w:cs="Arial"/>
          <w:color w:val="000000" w:themeColor="text1"/>
          <w:sz w:val="24"/>
          <w:szCs w:val="24"/>
        </w:rPr>
        <w:t>), participants</w:t>
      </w:r>
      <w:r w:rsidR="00125DD9">
        <w:rPr>
          <w:rFonts w:ascii="Arial" w:hAnsi="Arial" w:cs="Arial"/>
          <w:color w:val="000000" w:themeColor="text1"/>
          <w:sz w:val="24"/>
          <w:szCs w:val="24"/>
        </w:rPr>
        <w:t xml:space="preserve"> will be </w:t>
      </w:r>
      <w:r w:rsidR="006A19A4">
        <w:rPr>
          <w:rFonts w:ascii="Arial" w:hAnsi="Arial" w:cs="Arial"/>
          <w:color w:val="000000" w:themeColor="text1"/>
          <w:sz w:val="24"/>
          <w:szCs w:val="24"/>
        </w:rPr>
        <w:t>divided</w:t>
      </w:r>
      <w:r w:rsidR="00125DD9">
        <w:rPr>
          <w:rFonts w:ascii="Arial" w:hAnsi="Arial" w:cs="Arial"/>
          <w:color w:val="000000" w:themeColor="text1"/>
          <w:sz w:val="24"/>
          <w:szCs w:val="24"/>
        </w:rPr>
        <w:t xml:space="preserve"> between both gaming genre</w:t>
      </w:r>
      <w:r w:rsidR="006A19A4">
        <w:rPr>
          <w:rFonts w:ascii="Arial" w:hAnsi="Arial" w:cs="Arial"/>
          <w:color w:val="000000" w:themeColor="text1"/>
          <w:sz w:val="24"/>
          <w:szCs w:val="24"/>
        </w:rPr>
        <w:t>.</w:t>
      </w:r>
      <w:r w:rsidR="00125DD9">
        <w:rPr>
          <w:rFonts w:ascii="Arial" w:hAnsi="Arial" w:cs="Arial"/>
          <w:color w:val="000000" w:themeColor="text1"/>
          <w:sz w:val="24"/>
          <w:szCs w:val="24"/>
        </w:rPr>
        <w:t xml:space="preserve"> </w:t>
      </w:r>
      <w:r w:rsidR="006A11F1">
        <w:rPr>
          <w:rFonts w:ascii="Arial" w:hAnsi="Arial" w:cs="Arial"/>
          <w:color w:val="000000" w:themeColor="text1"/>
          <w:sz w:val="24"/>
          <w:szCs w:val="24"/>
        </w:rPr>
        <w:t>Gaming experience will have two levels: non-gamer and gamer</w:t>
      </w:r>
      <w:r w:rsidR="006A19A4">
        <w:rPr>
          <w:rFonts w:ascii="Arial" w:hAnsi="Arial" w:cs="Arial"/>
          <w:color w:val="000000" w:themeColor="text1"/>
          <w:sz w:val="24"/>
          <w:szCs w:val="24"/>
        </w:rPr>
        <w:t xml:space="preserve">; </w:t>
      </w:r>
      <w:r w:rsidR="006A19A4">
        <w:rPr>
          <w:rFonts w:ascii="Arial" w:hAnsi="Arial" w:cs="Arial"/>
          <w:color w:val="000000" w:themeColor="text1"/>
          <w:sz w:val="24"/>
          <w:szCs w:val="24"/>
        </w:rPr>
        <w:t>ensuring a mix of gamers and non-gamers participate in both genres.</w:t>
      </w:r>
      <w:r w:rsidR="00882E93">
        <w:rPr>
          <w:rFonts w:ascii="Arial" w:hAnsi="Arial" w:cs="Arial"/>
          <w:color w:val="000000" w:themeColor="text1"/>
          <w:sz w:val="24"/>
          <w:szCs w:val="24"/>
        </w:rPr>
        <w:t xml:space="preserve"> </w:t>
      </w:r>
      <w:r w:rsidR="00895CDC" w:rsidRPr="00895CDC">
        <w:rPr>
          <w:rFonts w:ascii="Arial" w:hAnsi="Arial" w:cs="Arial"/>
          <w:color w:val="000000" w:themeColor="text1"/>
          <w:sz w:val="24"/>
          <w:szCs w:val="24"/>
        </w:rPr>
        <w:t>The dependent variables (DVs) include</w:t>
      </w:r>
      <w:r w:rsidR="00895CDC">
        <w:rPr>
          <w:rFonts w:ascii="Arial" w:hAnsi="Arial" w:cs="Arial"/>
          <w:color w:val="000000" w:themeColor="text1"/>
          <w:sz w:val="24"/>
          <w:szCs w:val="24"/>
        </w:rPr>
        <w:t>d</w:t>
      </w:r>
      <w:r w:rsidR="00895CDC" w:rsidRPr="00895CDC">
        <w:rPr>
          <w:rFonts w:ascii="Arial" w:hAnsi="Arial" w:cs="Arial"/>
          <w:color w:val="000000" w:themeColor="text1"/>
          <w:sz w:val="24"/>
          <w:szCs w:val="24"/>
        </w:rPr>
        <w:t xml:space="preserve"> the scores from the reaction times</w:t>
      </w:r>
      <w:r w:rsidR="00DD0A43">
        <w:rPr>
          <w:rFonts w:ascii="Arial" w:hAnsi="Arial" w:cs="Arial"/>
          <w:color w:val="000000" w:themeColor="text1"/>
          <w:sz w:val="24"/>
          <w:szCs w:val="24"/>
        </w:rPr>
        <w:t xml:space="preserve"> (Reaction App)</w:t>
      </w:r>
      <w:r w:rsidR="00895CDC" w:rsidRPr="00895CDC">
        <w:rPr>
          <w:rFonts w:ascii="Arial" w:hAnsi="Arial" w:cs="Arial"/>
          <w:color w:val="000000" w:themeColor="text1"/>
          <w:sz w:val="24"/>
          <w:szCs w:val="24"/>
        </w:rPr>
        <w:t>, memory performance</w:t>
      </w:r>
      <w:r w:rsidR="00DD0A43">
        <w:rPr>
          <w:rFonts w:ascii="Arial" w:hAnsi="Arial" w:cs="Arial"/>
          <w:color w:val="000000" w:themeColor="text1"/>
          <w:sz w:val="24"/>
          <w:szCs w:val="24"/>
        </w:rPr>
        <w:t xml:space="preserve"> (word recall)</w:t>
      </w:r>
      <w:r w:rsidR="00895CDC" w:rsidRPr="00895CDC">
        <w:rPr>
          <w:rFonts w:ascii="Arial" w:hAnsi="Arial" w:cs="Arial"/>
          <w:color w:val="000000" w:themeColor="text1"/>
          <w:sz w:val="24"/>
          <w:szCs w:val="24"/>
        </w:rPr>
        <w:t>, and attentional performance</w:t>
      </w:r>
      <w:r w:rsidR="00DD0A43">
        <w:rPr>
          <w:rFonts w:ascii="Arial" w:hAnsi="Arial" w:cs="Arial"/>
          <w:color w:val="000000" w:themeColor="text1"/>
          <w:sz w:val="24"/>
          <w:szCs w:val="24"/>
        </w:rPr>
        <w:t xml:space="preserve"> (Where’s Wally)</w:t>
      </w:r>
      <w:r w:rsidR="00895CDC" w:rsidRPr="00895CDC">
        <w:rPr>
          <w:rFonts w:ascii="Arial" w:hAnsi="Arial" w:cs="Arial"/>
          <w:color w:val="000000" w:themeColor="text1"/>
          <w:sz w:val="24"/>
          <w:szCs w:val="24"/>
        </w:rPr>
        <w:t xml:space="preserve"> tasks. </w:t>
      </w:r>
      <w:r w:rsidR="00882E93">
        <w:rPr>
          <w:rFonts w:ascii="Arial" w:hAnsi="Arial" w:cs="Arial"/>
          <w:color w:val="000000" w:themeColor="text1"/>
          <w:sz w:val="24"/>
          <w:szCs w:val="24"/>
        </w:rPr>
        <w:t xml:space="preserve">Participants completed a demographic form prior to </w:t>
      </w:r>
      <w:r w:rsidR="002227C6">
        <w:rPr>
          <w:rFonts w:ascii="Arial" w:hAnsi="Arial" w:cs="Arial"/>
          <w:color w:val="000000" w:themeColor="text1"/>
          <w:sz w:val="24"/>
          <w:szCs w:val="24"/>
        </w:rPr>
        <w:t>tasks</w:t>
      </w:r>
      <w:r w:rsidR="00895CDC">
        <w:rPr>
          <w:rFonts w:ascii="Arial" w:hAnsi="Arial" w:cs="Arial"/>
          <w:color w:val="000000" w:themeColor="text1"/>
          <w:sz w:val="24"/>
          <w:szCs w:val="24"/>
        </w:rPr>
        <w:t>. All data was screened and cleaned prior to analysis</w:t>
      </w:r>
      <w:r w:rsidR="00811C2E">
        <w:rPr>
          <w:rFonts w:ascii="Arial" w:hAnsi="Arial" w:cs="Arial"/>
          <w:color w:val="000000" w:themeColor="text1"/>
          <w:sz w:val="24"/>
          <w:szCs w:val="24"/>
        </w:rPr>
        <w:t>. Three 2x2 ANOVAs was utilised.</w:t>
      </w:r>
    </w:p>
    <w:p w14:paraId="5DF4898E" w14:textId="59CA443A" w:rsidR="00186F74" w:rsidRDefault="00186F74" w:rsidP="00C83B24">
      <w:pPr>
        <w:spacing w:line="360" w:lineRule="auto"/>
        <w:rPr>
          <w:rFonts w:ascii="Arial" w:hAnsi="Arial" w:cs="Arial"/>
          <w:color w:val="000000" w:themeColor="text1"/>
          <w:sz w:val="24"/>
          <w:szCs w:val="24"/>
        </w:rPr>
      </w:pPr>
      <w:r>
        <w:rPr>
          <w:rFonts w:ascii="Arial" w:hAnsi="Arial" w:cs="Arial"/>
          <w:color w:val="000000" w:themeColor="text1"/>
          <w:sz w:val="24"/>
          <w:szCs w:val="24"/>
        </w:rPr>
        <w:t>*(See appendix 3 for Rocket League).</w:t>
      </w:r>
    </w:p>
    <w:p w14:paraId="3490A1AC" w14:textId="296D8A90" w:rsidR="00186F74" w:rsidRDefault="00186F74" w:rsidP="00C83B24">
      <w:pPr>
        <w:spacing w:line="360" w:lineRule="auto"/>
        <w:rPr>
          <w:rFonts w:ascii="Arial" w:hAnsi="Arial" w:cs="Arial"/>
          <w:color w:val="000000" w:themeColor="text1"/>
          <w:sz w:val="24"/>
          <w:szCs w:val="24"/>
        </w:rPr>
      </w:pPr>
      <w:r>
        <w:rPr>
          <w:rFonts w:ascii="Arial" w:hAnsi="Arial" w:cs="Arial"/>
          <w:color w:val="000000" w:themeColor="text1"/>
          <w:sz w:val="24"/>
          <w:szCs w:val="24"/>
        </w:rPr>
        <w:t>**(See appendix 4 for Mahjong).</w:t>
      </w:r>
    </w:p>
    <w:p w14:paraId="0BE2924D" w14:textId="4C056AAF" w:rsidR="00C83B24" w:rsidRDefault="00C83B24" w:rsidP="00C83B24">
      <w:pPr>
        <w:spacing w:line="360" w:lineRule="auto"/>
        <w:rPr>
          <w:rFonts w:ascii="Arial" w:hAnsi="Arial" w:cs="Arial"/>
          <w:color w:val="000000" w:themeColor="text1"/>
          <w:sz w:val="24"/>
          <w:szCs w:val="24"/>
        </w:rPr>
      </w:pPr>
      <w:r>
        <w:rPr>
          <w:rFonts w:ascii="Arial" w:hAnsi="Arial" w:cs="Arial"/>
          <w:color w:val="000000" w:themeColor="text1"/>
          <w:sz w:val="24"/>
          <w:szCs w:val="24"/>
        </w:rPr>
        <w:t>***(See appendix 5 for gamer and non-gamer).</w:t>
      </w:r>
    </w:p>
    <w:p w14:paraId="09878A1E" w14:textId="71F8EA1E" w:rsidR="00DD0A43" w:rsidRDefault="00DD0A43" w:rsidP="00C83B24">
      <w:pPr>
        <w:spacing w:line="360" w:lineRule="auto"/>
        <w:rPr>
          <w:rFonts w:ascii="Arial" w:hAnsi="Arial" w:cs="Arial"/>
          <w:color w:val="000000" w:themeColor="text1"/>
          <w:sz w:val="24"/>
          <w:szCs w:val="24"/>
        </w:rPr>
      </w:pPr>
      <w:r>
        <w:rPr>
          <w:rFonts w:ascii="Arial" w:hAnsi="Arial" w:cs="Arial"/>
          <w:color w:val="000000" w:themeColor="text1"/>
          <w:sz w:val="24"/>
          <w:szCs w:val="24"/>
        </w:rPr>
        <w:t>****(See appendix 6 for</w:t>
      </w:r>
      <w:r w:rsidR="007C1602">
        <w:rPr>
          <w:rFonts w:ascii="Arial" w:hAnsi="Arial" w:cs="Arial"/>
          <w:color w:val="000000" w:themeColor="text1"/>
          <w:sz w:val="24"/>
          <w:szCs w:val="24"/>
        </w:rPr>
        <w:t xml:space="preserve"> reaction app)</w:t>
      </w:r>
      <w:r w:rsidR="00390371">
        <w:rPr>
          <w:rFonts w:ascii="Arial" w:hAnsi="Arial" w:cs="Arial"/>
          <w:color w:val="000000" w:themeColor="text1"/>
          <w:sz w:val="24"/>
          <w:szCs w:val="24"/>
        </w:rPr>
        <w:t>.</w:t>
      </w:r>
    </w:p>
    <w:p w14:paraId="36B6B75E" w14:textId="7DE915DE" w:rsidR="007C1602" w:rsidRDefault="007C1602" w:rsidP="00C83B24">
      <w:pPr>
        <w:spacing w:line="360" w:lineRule="auto"/>
        <w:rPr>
          <w:rFonts w:ascii="Arial" w:hAnsi="Arial" w:cs="Arial"/>
          <w:color w:val="000000" w:themeColor="text1"/>
          <w:sz w:val="24"/>
          <w:szCs w:val="24"/>
        </w:rPr>
      </w:pPr>
      <w:r>
        <w:rPr>
          <w:rFonts w:ascii="Arial" w:hAnsi="Arial" w:cs="Arial"/>
          <w:color w:val="000000" w:themeColor="text1"/>
          <w:sz w:val="24"/>
          <w:szCs w:val="24"/>
        </w:rPr>
        <w:t>*****(See appendix 7 for word recall)</w:t>
      </w:r>
      <w:r w:rsidR="00390371">
        <w:rPr>
          <w:rFonts w:ascii="Arial" w:hAnsi="Arial" w:cs="Arial"/>
          <w:color w:val="000000" w:themeColor="text1"/>
          <w:sz w:val="24"/>
          <w:szCs w:val="24"/>
        </w:rPr>
        <w:t>.</w:t>
      </w:r>
    </w:p>
    <w:p w14:paraId="3CF4C3F1" w14:textId="64D2969E" w:rsidR="007C1602" w:rsidRDefault="00390371" w:rsidP="00C83B24">
      <w:pPr>
        <w:spacing w:line="360" w:lineRule="auto"/>
        <w:rPr>
          <w:rFonts w:ascii="Arial" w:hAnsi="Arial" w:cs="Arial"/>
          <w:color w:val="000000" w:themeColor="text1"/>
          <w:sz w:val="24"/>
          <w:szCs w:val="24"/>
        </w:rPr>
      </w:pPr>
      <w:r>
        <w:rPr>
          <w:rFonts w:ascii="Arial" w:hAnsi="Arial" w:cs="Arial"/>
          <w:color w:val="000000" w:themeColor="text1"/>
          <w:sz w:val="24"/>
          <w:szCs w:val="24"/>
        </w:rPr>
        <w:t>******(See appendix 8 for Where’s Wally).</w:t>
      </w:r>
    </w:p>
    <w:p w14:paraId="1C50BEFB" w14:textId="77777777" w:rsidR="00BE4E59" w:rsidRPr="001E43CA" w:rsidRDefault="00BE4E59" w:rsidP="00C83B24">
      <w:pPr>
        <w:spacing w:line="360" w:lineRule="auto"/>
        <w:rPr>
          <w:rFonts w:ascii="Arial" w:hAnsi="Arial" w:cs="Arial"/>
          <w:color w:val="000000" w:themeColor="text1"/>
          <w:sz w:val="24"/>
          <w:szCs w:val="24"/>
        </w:rPr>
      </w:pPr>
    </w:p>
    <w:p w14:paraId="006898F6" w14:textId="62A292C2" w:rsidR="001E43CA" w:rsidRDefault="001E43CA" w:rsidP="001E43CA">
      <w:pPr>
        <w:spacing w:line="480" w:lineRule="auto"/>
        <w:rPr>
          <w:rFonts w:ascii="Arial" w:hAnsi="Arial" w:cs="Arial"/>
          <w:color w:val="000000" w:themeColor="text1"/>
          <w:sz w:val="24"/>
          <w:szCs w:val="24"/>
        </w:rPr>
      </w:pPr>
      <w:r w:rsidRPr="001E43CA">
        <w:rPr>
          <w:rFonts w:ascii="Arial" w:hAnsi="Arial" w:cs="Arial"/>
          <w:color w:val="000000" w:themeColor="text1"/>
          <w:sz w:val="24"/>
          <w:szCs w:val="24"/>
        </w:rPr>
        <w:lastRenderedPageBreak/>
        <w:t>Materials</w:t>
      </w:r>
    </w:p>
    <w:p w14:paraId="1CF92F0C" w14:textId="1CDE6066" w:rsidR="00034674" w:rsidRDefault="005B1720" w:rsidP="00034674">
      <w:pPr>
        <w:pStyle w:val="ListParagraph"/>
        <w:numPr>
          <w:ilvl w:val="0"/>
          <w:numId w:val="1"/>
        </w:numPr>
        <w:spacing w:line="480" w:lineRule="auto"/>
        <w:rPr>
          <w:rFonts w:ascii="Arial" w:hAnsi="Arial" w:cs="Arial"/>
          <w:color w:val="000000" w:themeColor="text1"/>
          <w:sz w:val="24"/>
          <w:szCs w:val="24"/>
        </w:rPr>
      </w:pPr>
      <w:r>
        <w:rPr>
          <w:rFonts w:ascii="Arial" w:hAnsi="Arial" w:cs="Arial"/>
          <w:color w:val="000000" w:themeColor="text1"/>
          <w:sz w:val="24"/>
          <w:szCs w:val="24"/>
        </w:rPr>
        <w:t>Multiple p</w:t>
      </w:r>
      <w:r w:rsidR="00034674">
        <w:rPr>
          <w:rFonts w:ascii="Arial" w:hAnsi="Arial" w:cs="Arial"/>
          <w:color w:val="000000" w:themeColor="text1"/>
          <w:sz w:val="24"/>
          <w:szCs w:val="24"/>
        </w:rPr>
        <w:t>en</w:t>
      </w:r>
      <w:r>
        <w:rPr>
          <w:rFonts w:ascii="Arial" w:hAnsi="Arial" w:cs="Arial"/>
          <w:color w:val="000000" w:themeColor="text1"/>
          <w:sz w:val="24"/>
          <w:szCs w:val="24"/>
        </w:rPr>
        <w:t>s</w:t>
      </w:r>
      <w:r w:rsidR="00034674">
        <w:rPr>
          <w:rFonts w:ascii="Arial" w:hAnsi="Arial" w:cs="Arial"/>
          <w:color w:val="000000" w:themeColor="text1"/>
          <w:sz w:val="24"/>
          <w:szCs w:val="24"/>
        </w:rPr>
        <w:t xml:space="preserve">                        </w:t>
      </w:r>
    </w:p>
    <w:p w14:paraId="5A520187" w14:textId="36E69F6D" w:rsidR="005B1720" w:rsidRDefault="005B1720" w:rsidP="00034674">
      <w:pPr>
        <w:pStyle w:val="ListParagraph"/>
        <w:numPr>
          <w:ilvl w:val="0"/>
          <w:numId w:val="1"/>
        </w:numPr>
        <w:spacing w:line="480" w:lineRule="auto"/>
        <w:rPr>
          <w:rFonts w:ascii="Arial" w:hAnsi="Arial" w:cs="Arial"/>
          <w:color w:val="000000" w:themeColor="text1"/>
          <w:sz w:val="24"/>
          <w:szCs w:val="24"/>
        </w:rPr>
      </w:pPr>
      <w:r>
        <w:rPr>
          <w:rFonts w:ascii="Arial" w:hAnsi="Arial" w:cs="Arial"/>
          <w:color w:val="000000" w:themeColor="text1"/>
          <w:sz w:val="24"/>
          <w:szCs w:val="24"/>
        </w:rPr>
        <w:t>Plenty of white A4 paper</w:t>
      </w:r>
    </w:p>
    <w:p w14:paraId="4667440B" w14:textId="4464CB2B" w:rsidR="005B1720" w:rsidRDefault="005B1720" w:rsidP="00034674">
      <w:pPr>
        <w:pStyle w:val="ListParagraph"/>
        <w:numPr>
          <w:ilvl w:val="0"/>
          <w:numId w:val="1"/>
        </w:numPr>
        <w:spacing w:line="480" w:lineRule="auto"/>
        <w:rPr>
          <w:rFonts w:ascii="Arial" w:hAnsi="Arial" w:cs="Arial"/>
          <w:color w:val="000000" w:themeColor="text1"/>
          <w:sz w:val="24"/>
          <w:szCs w:val="24"/>
        </w:rPr>
      </w:pPr>
      <w:r>
        <w:rPr>
          <w:rFonts w:ascii="Arial" w:hAnsi="Arial" w:cs="Arial"/>
          <w:color w:val="000000" w:themeColor="text1"/>
          <w:sz w:val="24"/>
          <w:szCs w:val="24"/>
        </w:rPr>
        <w:t>Computer</w:t>
      </w:r>
    </w:p>
    <w:p w14:paraId="62618A39" w14:textId="43B4FE2A" w:rsidR="005B1720" w:rsidRDefault="00096D5D" w:rsidP="00034674">
      <w:pPr>
        <w:pStyle w:val="ListParagraph"/>
        <w:numPr>
          <w:ilvl w:val="0"/>
          <w:numId w:val="1"/>
        </w:numPr>
        <w:spacing w:line="480" w:lineRule="auto"/>
        <w:rPr>
          <w:rFonts w:ascii="Arial" w:hAnsi="Arial" w:cs="Arial"/>
          <w:color w:val="000000" w:themeColor="text1"/>
          <w:sz w:val="24"/>
          <w:szCs w:val="24"/>
        </w:rPr>
      </w:pPr>
      <w:r>
        <w:rPr>
          <w:rFonts w:ascii="Arial" w:hAnsi="Arial" w:cs="Arial"/>
          <w:color w:val="000000" w:themeColor="text1"/>
          <w:sz w:val="24"/>
          <w:szCs w:val="24"/>
        </w:rPr>
        <w:t>Xbox one and controller</w:t>
      </w:r>
    </w:p>
    <w:p w14:paraId="10E8697E" w14:textId="25323B52" w:rsidR="00096D5D" w:rsidRDefault="00096D5D" w:rsidP="00034674">
      <w:pPr>
        <w:pStyle w:val="ListParagraph"/>
        <w:numPr>
          <w:ilvl w:val="0"/>
          <w:numId w:val="1"/>
        </w:numPr>
        <w:spacing w:line="480" w:lineRule="auto"/>
        <w:rPr>
          <w:rFonts w:ascii="Arial" w:hAnsi="Arial" w:cs="Arial"/>
          <w:color w:val="000000" w:themeColor="text1"/>
          <w:sz w:val="24"/>
          <w:szCs w:val="24"/>
        </w:rPr>
      </w:pPr>
      <w:r>
        <w:rPr>
          <w:rFonts w:ascii="Arial" w:hAnsi="Arial" w:cs="Arial"/>
          <w:color w:val="000000" w:themeColor="text1"/>
          <w:sz w:val="24"/>
          <w:szCs w:val="24"/>
        </w:rPr>
        <w:t>PowerPoint slides</w:t>
      </w:r>
    </w:p>
    <w:p w14:paraId="7978AA32" w14:textId="5457EC9D" w:rsidR="00096D5D" w:rsidRDefault="00096D5D" w:rsidP="00034674">
      <w:pPr>
        <w:pStyle w:val="ListParagraph"/>
        <w:numPr>
          <w:ilvl w:val="0"/>
          <w:numId w:val="1"/>
        </w:numPr>
        <w:spacing w:line="480" w:lineRule="auto"/>
        <w:rPr>
          <w:rFonts w:ascii="Arial" w:hAnsi="Arial" w:cs="Arial"/>
          <w:color w:val="000000" w:themeColor="text1"/>
          <w:sz w:val="24"/>
          <w:szCs w:val="24"/>
        </w:rPr>
      </w:pPr>
      <w:r>
        <w:rPr>
          <w:rFonts w:ascii="Arial" w:hAnsi="Arial" w:cs="Arial"/>
          <w:color w:val="000000" w:themeColor="text1"/>
          <w:sz w:val="24"/>
          <w:szCs w:val="24"/>
        </w:rPr>
        <w:t>Printer and ink, both in black and colour.</w:t>
      </w:r>
    </w:p>
    <w:p w14:paraId="16D7CD4C" w14:textId="15668679" w:rsidR="00096D5D" w:rsidRDefault="00EE6E83" w:rsidP="00034674">
      <w:pPr>
        <w:pStyle w:val="ListParagraph"/>
        <w:numPr>
          <w:ilvl w:val="0"/>
          <w:numId w:val="1"/>
        </w:numPr>
        <w:spacing w:line="480" w:lineRule="auto"/>
        <w:rPr>
          <w:rFonts w:ascii="Arial" w:hAnsi="Arial" w:cs="Arial"/>
          <w:color w:val="000000" w:themeColor="text1"/>
          <w:sz w:val="24"/>
          <w:szCs w:val="24"/>
        </w:rPr>
      </w:pPr>
      <w:r>
        <w:rPr>
          <w:rFonts w:ascii="Arial" w:hAnsi="Arial" w:cs="Arial"/>
          <w:color w:val="000000" w:themeColor="text1"/>
          <w:sz w:val="24"/>
          <w:szCs w:val="24"/>
        </w:rPr>
        <w:t>Stopwatch</w:t>
      </w:r>
    </w:p>
    <w:p w14:paraId="1F14B3FB" w14:textId="5875F972" w:rsidR="00F82AEF" w:rsidRPr="00AF13D8" w:rsidRDefault="00EE6E83" w:rsidP="001E43CA">
      <w:pPr>
        <w:pStyle w:val="ListParagraph"/>
        <w:numPr>
          <w:ilvl w:val="0"/>
          <w:numId w:val="1"/>
        </w:numPr>
        <w:spacing w:line="480" w:lineRule="auto"/>
        <w:rPr>
          <w:rFonts w:ascii="Arial" w:hAnsi="Arial" w:cs="Arial"/>
          <w:color w:val="000000" w:themeColor="text1"/>
          <w:sz w:val="24"/>
          <w:szCs w:val="24"/>
        </w:rPr>
      </w:pPr>
      <w:r>
        <w:rPr>
          <w:rFonts w:ascii="Arial" w:hAnsi="Arial" w:cs="Arial"/>
          <w:color w:val="000000" w:themeColor="text1"/>
          <w:sz w:val="24"/>
          <w:szCs w:val="24"/>
        </w:rPr>
        <w:t>Internet access</w:t>
      </w:r>
    </w:p>
    <w:p w14:paraId="3624553D" w14:textId="1136A232" w:rsidR="009716E5" w:rsidRDefault="001E43CA" w:rsidP="001E43CA">
      <w:pPr>
        <w:spacing w:line="480" w:lineRule="auto"/>
        <w:rPr>
          <w:rFonts w:ascii="Arial" w:hAnsi="Arial" w:cs="Arial"/>
          <w:color w:val="000000" w:themeColor="text1"/>
          <w:sz w:val="24"/>
          <w:szCs w:val="24"/>
        </w:rPr>
      </w:pPr>
      <w:r w:rsidRPr="001E43CA">
        <w:rPr>
          <w:rFonts w:ascii="Arial" w:hAnsi="Arial" w:cs="Arial"/>
          <w:color w:val="000000" w:themeColor="text1"/>
          <w:sz w:val="24"/>
          <w:szCs w:val="24"/>
        </w:rPr>
        <w:t>Participants will engage in pre-test and post-test measurements across three cognitive tasks: reaction times</w:t>
      </w:r>
      <w:r w:rsidR="00EC7486">
        <w:rPr>
          <w:rFonts w:ascii="Arial" w:hAnsi="Arial" w:cs="Arial"/>
          <w:color w:val="000000" w:themeColor="text1"/>
          <w:sz w:val="24"/>
          <w:szCs w:val="24"/>
        </w:rPr>
        <w:t xml:space="preserve"> (reaction time app)</w:t>
      </w:r>
      <w:r w:rsidRPr="001E43CA">
        <w:rPr>
          <w:rFonts w:ascii="Arial" w:hAnsi="Arial" w:cs="Arial"/>
          <w:color w:val="000000" w:themeColor="text1"/>
          <w:sz w:val="24"/>
          <w:szCs w:val="24"/>
        </w:rPr>
        <w:t>, memory performance</w:t>
      </w:r>
      <w:r w:rsidR="00EC7486">
        <w:rPr>
          <w:rFonts w:ascii="Arial" w:hAnsi="Arial" w:cs="Arial"/>
          <w:color w:val="000000" w:themeColor="text1"/>
          <w:sz w:val="24"/>
          <w:szCs w:val="24"/>
        </w:rPr>
        <w:t xml:space="preserve"> (word recall</w:t>
      </w:r>
      <w:r w:rsidR="00E23595">
        <w:rPr>
          <w:rFonts w:ascii="Arial" w:hAnsi="Arial" w:cs="Arial"/>
          <w:color w:val="000000" w:themeColor="text1"/>
          <w:sz w:val="24"/>
          <w:szCs w:val="24"/>
        </w:rPr>
        <w:t>)</w:t>
      </w:r>
      <w:r w:rsidRPr="001E43CA">
        <w:rPr>
          <w:rFonts w:ascii="Arial" w:hAnsi="Arial" w:cs="Arial"/>
          <w:color w:val="000000" w:themeColor="text1"/>
          <w:sz w:val="24"/>
          <w:szCs w:val="24"/>
        </w:rPr>
        <w:t>, and attentional performance</w:t>
      </w:r>
      <w:r w:rsidR="00E23595">
        <w:rPr>
          <w:rFonts w:ascii="Arial" w:hAnsi="Arial" w:cs="Arial"/>
          <w:color w:val="000000" w:themeColor="text1"/>
          <w:sz w:val="24"/>
          <w:szCs w:val="24"/>
        </w:rPr>
        <w:t xml:space="preserve"> (where’s Wally)</w:t>
      </w:r>
      <w:r w:rsidRPr="001E43CA">
        <w:rPr>
          <w:rFonts w:ascii="Arial" w:hAnsi="Arial" w:cs="Arial"/>
          <w:color w:val="000000" w:themeColor="text1"/>
          <w:sz w:val="24"/>
          <w:szCs w:val="24"/>
        </w:rPr>
        <w:t>.</w:t>
      </w:r>
      <w:r w:rsidR="00E23595">
        <w:rPr>
          <w:rFonts w:ascii="Arial" w:hAnsi="Arial" w:cs="Arial"/>
          <w:color w:val="000000" w:themeColor="text1"/>
          <w:sz w:val="24"/>
          <w:szCs w:val="24"/>
        </w:rPr>
        <w:t xml:space="preserve"> The reaction task will be presented on a computer</w:t>
      </w:r>
      <w:r w:rsidR="00C80316">
        <w:rPr>
          <w:rFonts w:ascii="Arial" w:hAnsi="Arial" w:cs="Arial"/>
          <w:color w:val="000000" w:themeColor="text1"/>
          <w:sz w:val="24"/>
          <w:szCs w:val="24"/>
        </w:rPr>
        <w:t xml:space="preserve"> which will be through a downloaded reaction time game</w:t>
      </w:r>
      <w:r w:rsidR="002C3402">
        <w:rPr>
          <w:rFonts w:ascii="Arial" w:hAnsi="Arial" w:cs="Arial"/>
          <w:color w:val="000000" w:themeColor="text1"/>
          <w:sz w:val="24"/>
          <w:szCs w:val="24"/>
        </w:rPr>
        <w:t>, this task will be recorded by the researcher</w:t>
      </w:r>
      <w:r w:rsidR="00C75A6D">
        <w:rPr>
          <w:rFonts w:ascii="Arial" w:hAnsi="Arial" w:cs="Arial"/>
          <w:color w:val="000000" w:themeColor="text1"/>
          <w:sz w:val="24"/>
          <w:szCs w:val="24"/>
        </w:rPr>
        <w:t xml:space="preserve"> with pen and paper </w:t>
      </w:r>
      <w:r w:rsidR="002E4F21">
        <w:rPr>
          <w:rFonts w:ascii="Arial" w:hAnsi="Arial" w:cs="Arial"/>
          <w:color w:val="000000" w:themeColor="text1"/>
          <w:sz w:val="24"/>
          <w:szCs w:val="24"/>
        </w:rPr>
        <w:t>alongside</w:t>
      </w:r>
      <w:r w:rsidR="00AF7A0F">
        <w:rPr>
          <w:rFonts w:ascii="Arial" w:hAnsi="Arial" w:cs="Arial"/>
          <w:color w:val="000000" w:themeColor="text1"/>
          <w:sz w:val="24"/>
          <w:szCs w:val="24"/>
        </w:rPr>
        <w:t xml:space="preserve"> the participants unique ID number</w:t>
      </w:r>
      <w:r w:rsidR="00A42ABC">
        <w:rPr>
          <w:rFonts w:ascii="Arial" w:hAnsi="Arial" w:cs="Arial"/>
          <w:color w:val="000000" w:themeColor="text1"/>
          <w:sz w:val="24"/>
          <w:szCs w:val="24"/>
        </w:rPr>
        <w:t>. The reaction task will be the participants reacting and having to click when they</w:t>
      </w:r>
      <w:r w:rsidR="00A05CFE">
        <w:rPr>
          <w:rFonts w:ascii="Arial" w:hAnsi="Arial" w:cs="Arial"/>
          <w:color w:val="000000" w:themeColor="text1"/>
          <w:sz w:val="24"/>
          <w:szCs w:val="24"/>
        </w:rPr>
        <w:t xml:space="preserve"> see a change of colour on the screen and will be given scores for the quicker the reaction times.</w:t>
      </w:r>
      <w:r w:rsidRPr="001E43CA">
        <w:rPr>
          <w:rFonts w:ascii="Arial" w:hAnsi="Arial" w:cs="Arial"/>
          <w:color w:val="000000" w:themeColor="text1"/>
          <w:sz w:val="24"/>
          <w:szCs w:val="24"/>
        </w:rPr>
        <w:t xml:space="preserve"> </w:t>
      </w:r>
      <w:r w:rsidR="002E196B">
        <w:rPr>
          <w:rFonts w:ascii="Arial" w:hAnsi="Arial" w:cs="Arial"/>
          <w:color w:val="000000" w:themeColor="text1"/>
          <w:sz w:val="24"/>
          <w:szCs w:val="24"/>
        </w:rPr>
        <w:t xml:space="preserve">The word recall will be presented on a computer screen, where </w:t>
      </w:r>
      <w:r w:rsidR="00E769B3">
        <w:rPr>
          <w:rFonts w:ascii="Arial" w:hAnsi="Arial" w:cs="Arial"/>
          <w:color w:val="000000" w:themeColor="text1"/>
          <w:sz w:val="24"/>
          <w:szCs w:val="24"/>
        </w:rPr>
        <w:t xml:space="preserve">15 </w:t>
      </w:r>
      <w:r w:rsidR="002E196B">
        <w:rPr>
          <w:rFonts w:ascii="Arial" w:hAnsi="Arial" w:cs="Arial"/>
          <w:color w:val="000000" w:themeColor="text1"/>
          <w:sz w:val="24"/>
          <w:szCs w:val="24"/>
        </w:rPr>
        <w:t>words will</w:t>
      </w:r>
      <w:r w:rsidR="001D1905">
        <w:rPr>
          <w:rFonts w:ascii="Arial" w:hAnsi="Arial" w:cs="Arial"/>
          <w:color w:val="000000" w:themeColor="text1"/>
          <w:sz w:val="24"/>
          <w:szCs w:val="24"/>
        </w:rPr>
        <w:t xml:space="preserve"> </w:t>
      </w:r>
      <w:r w:rsidR="00E769B3">
        <w:rPr>
          <w:rFonts w:ascii="Arial" w:hAnsi="Arial" w:cs="Arial"/>
          <w:color w:val="000000" w:themeColor="text1"/>
          <w:sz w:val="24"/>
          <w:szCs w:val="24"/>
        </w:rPr>
        <w:t xml:space="preserve">be displayed on the screen for </w:t>
      </w:r>
      <w:r w:rsidR="00EF5D8A">
        <w:rPr>
          <w:rFonts w:ascii="Arial" w:hAnsi="Arial" w:cs="Arial"/>
          <w:color w:val="000000" w:themeColor="text1"/>
          <w:sz w:val="24"/>
          <w:szCs w:val="24"/>
        </w:rPr>
        <w:t xml:space="preserve">30 seconds and then they will have a pen and paper to recall as many words as possible in a </w:t>
      </w:r>
      <w:r w:rsidR="00F82AEF">
        <w:rPr>
          <w:rFonts w:ascii="Arial" w:hAnsi="Arial" w:cs="Arial"/>
          <w:color w:val="000000" w:themeColor="text1"/>
          <w:sz w:val="24"/>
          <w:szCs w:val="24"/>
        </w:rPr>
        <w:t>one-minute</w:t>
      </w:r>
      <w:r w:rsidR="00EF5D8A">
        <w:rPr>
          <w:rFonts w:ascii="Arial" w:hAnsi="Arial" w:cs="Arial"/>
          <w:color w:val="000000" w:themeColor="text1"/>
          <w:sz w:val="24"/>
          <w:szCs w:val="24"/>
        </w:rPr>
        <w:t xml:space="preserve"> timeframe. </w:t>
      </w:r>
      <w:r w:rsidR="00693DE4">
        <w:rPr>
          <w:rFonts w:ascii="Arial" w:hAnsi="Arial" w:cs="Arial"/>
          <w:color w:val="000000" w:themeColor="text1"/>
          <w:sz w:val="24"/>
          <w:szCs w:val="24"/>
        </w:rPr>
        <w:t xml:space="preserve">The words will be on a power point slide in </w:t>
      </w:r>
      <w:r w:rsidR="00D86916">
        <w:rPr>
          <w:rFonts w:ascii="Arial" w:hAnsi="Arial" w:cs="Arial"/>
          <w:color w:val="000000" w:themeColor="text1"/>
          <w:sz w:val="24"/>
          <w:szCs w:val="24"/>
        </w:rPr>
        <w:t>Arial font</w:t>
      </w:r>
      <w:r w:rsidR="009716E5">
        <w:rPr>
          <w:rFonts w:ascii="Arial" w:hAnsi="Arial" w:cs="Arial"/>
          <w:color w:val="000000" w:themeColor="text1"/>
          <w:sz w:val="24"/>
          <w:szCs w:val="24"/>
        </w:rPr>
        <w:t>, Black writing on a white background</w:t>
      </w:r>
      <w:r w:rsidR="00D86916">
        <w:rPr>
          <w:rFonts w:ascii="Arial" w:hAnsi="Arial" w:cs="Arial"/>
          <w:color w:val="000000" w:themeColor="text1"/>
          <w:sz w:val="24"/>
          <w:szCs w:val="24"/>
        </w:rPr>
        <w:t xml:space="preserve">, </w:t>
      </w:r>
      <w:r w:rsidR="009716E5">
        <w:rPr>
          <w:rFonts w:ascii="Arial" w:hAnsi="Arial" w:cs="Arial"/>
          <w:color w:val="000000" w:themeColor="text1"/>
          <w:sz w:val="24"/>
          <w:szCs w:val="24"/>
        </w:rPr>
        <w:t>b</w:t>
      </w:r>
      <w:r w:rsidR="00AD7DB4">
        <w:rPr>
          <w:rFonts w:ascii="Arial" w:hAnsi="Arial" w:cs="Arial"/>
          <w:color w:val="000000" w:themeColor="text1"/>
          <w:sz w:val="24"/>
          <w:szCs w:val="24"/>
        </w:rPr>
        <w:t xml:space="preserve">old and in </w:t>
      </w:r>
      <w:r w:rsidR="00D86916">
        <w:rPr>
          <w:rFonts w:ascii="Arial" w:hAnsi="Arial" w:cs="Arial"/>
          <w:color w:val="000000" w:themeColor="text1"/>
          <w:sz w:val="24"/>
          <w:szCs w:val="24"/>
        </w:rPr>
        <w:t>size</w:t>
      </w:r>
      <w:r w:rsidR="00AD7DB4">
        <w:rPr>
          <w:rFonts w:ascii="Arial" w:hAnsi="Arial" w:cs="Arial"/>
          <w:color w:val="000000" w:themeColor="text1"/>
          <w:sz w:val="24"/>
          <w:szCs w:val="24"/>
        </w:rPr>
        <w:t xml:space="preserve"> 44</w:t>
      </w:r>
      <w:r w:rsidR="009716E5">
        <w:rPr>
          <w:rFonts w:ascii="Arial" w:hAnsi="Arial" w:cs="Arial"/>
          <w:color w:val="000000" w:themeColor="text1"/>
          <w:sz w:val="24"/>
          <w:szCs w:val="24"/>
        </w:rPr>
        <w:t>.</w:t>
      </w:r>
      <w:r w:rsidR="00D86916">
        <w:rPr>
          <w:rFonts w:ascii="Arial" w:hAnsi="Arial" w:cs="Arial"/>
          <w:color w:val="000000" w:themeColor="text1"/>
          <w:sz w:val="24"/>
          <w:szCs w:val="24"/>
        </w:rPr>
        <w:t xml:space="preserve"> </w:t>
      </w:r>
      <w:r w:rsidR="00EF5D8A">
        <w:rPr>
          <w:rFonts w:ascii="Arial" w:hAnsi="Arial" w:cs="Arial"/>
          <w:color w:val="000000" w:themeColor="text1"/>
          <w:sz w:val="24"/>
          <w:szCs w:val="24"/>
        </w:rPr>
        <w:t>Lastly, the Where</w:t>
      </w:r>
      <w:r w:rsidR="001976DC">
        <w:rPr>
          <w:rFonts w:ascii="Arial" w:hAnsi="Arial" w:cs="Arial"/>
          <w:color w:val="000000" w:themeColor="text1"/>
          <w:sz w:val="24"/>
          <w:szCs w:val="24"/>
        </w:rPr>
        <w:t>’s Wally task will be printed on a</w:t>
      </w:r>
      <w:r w:rsidR="009716E5">
        <w:rPr>
          <w:rFonts w:ascii="Arial" w:hAnsi="Arial" w:cs="Arial"/>
          <w:color w:val="000000" w:themeColor="text1"/>
          <w:sz w:val="24"/>
          <w:szCs w:val="24"/>
        </w:rPr>
        <w:t xml:space="preserve"> white</w:t>
      </w:r>
      <w:r w:rsidR="001976DC">
        <w:rPr>
          <w:rFonts w:ascii="Arial" w:hAnsi="Arial" w:cs="Arial"/>
          <w:color w:val="000000" w:themeColor="text1"/>
          <w:sz w:val="24"/>
          <w:szCs w:val="24"/>
        </w:rPr>
        <w:t xml:space="preserve"> piece of paper</w:t>
      </w:r>
      <w:r w:rsidR="009716E5">
        <w:rPr>
          <w:rFonts w:ascii="Arial" w:hAnsi="Arial" w:cs="Arial"/>
          <w:color w:val="000000" w:themeColor="text1"/>
          <w:sz w:val="24"/>
          <w:szCs w:val="24"/>
        </w:rPr>
        <w:t xml:space="preserve"> in colour</w:t>
      </w:r>
      <w:r w:rsidR="001976DC">
        <w:rPr>
          <w:rFonts w:ascii="Arial" w:hAnsi="Arial" w:cs="Arial"/>
          <w:color w:val="000000" w:themeColor="text1"/>
          <w:sz w:val="24"/>
          <w:szCs w:val="24"/>
        </w:rPr>
        <w:t xml:space="preserve"> and participant’s will be timed on how fast they are able to find Wally</w:t>
      </w:r>
      <w:r w:rsidR="00F82AEF">
        <w:rPr>
          <w:rFonts w:ascii="Arial" w:hAnsi="Arial" w:cs="Arial"/>
          <w:color w:val="000000" w:themeColor="text1"/>
          <w:sz w:val="24"/>
          <w:szCs w:val="24"/>
        </w:rPr>
        <w:t>, scores will be recorded with a pen on a piece of paper next to their unique ID number.</w:t>
      </w:r>
      <w:r w:rsidR="00AF13D8">
        <w:rPr>
          <w:rFonts w:ascii="Arial" w:hAnsi="Arial" w:cs="Arial"/>
          <w:color w:val="000000" w:themeColor="text1"/>
          <w:sz w:val="24"/>
          <w:szCs w:val="24"/>
        </w:rPr>
        <w:t xml:space="preserve"> </w:t>
      </w:r>
    </w:p>
    <w:p w14:paraId="1B06A317" w14:textId="77777777" w:rsidR="001A784D" w:rsidRDefault="001E43CA" w:rsidP="001E43CA">
      <w:pPr>
        <w:spacing w:line="480" w:lineRule="auto"/>
        <w:rPr>
          <w:rFonts w:ascii="Arial" w:hAnsi="Arial" w:cs="Arial"/>
          <w:color w:val="000000" w:themeColor="text1"/>
          <w:sz w:val="24"/>
          <w:szCs w:val="24"/>
        </w:rPr>
      </w:pPr>
      <w:r w:rsidRPr="001E43CA">
        <w:rPr>
          <w:rFonts w:ascii="Arial" w:hAnsi="Arial" w:cs="Arial"/>
          <w:color w:val="000000" w:themeColor="text1"/>
          <w:sz w:val="24"/>
          <w:szCs w:val="24"/>
        </w:rPr>
        <w:lastRenderedPageBreak/>
        <w:t xml:space="preserve">Each participant will be exposed to </w:t>
      </w:r>
      <w:r w:rsidR="00AF13D8">
        <w:rPr>
          <w:rFonts w:ascii="Arial" w:hAnsi="Arial" w:cs="Arial"/>
          <w:color w:val="000000" w:themeColor="text1"/>
          <w:sz w:val="24"/>
          <w:szCs w:val="24"/>
        </w:rPr>
        <w:t>one of the</w:t>
      </w:r>
      <w:r w:rsidRPr="001E43CA">
        <w:rPr>
          <w:rFonts w:ascii="Arial" w:hAnsi="Arial" w:cs="Arial"/>
          <w:color w:val="000000" w:themeColor="text1"/>
          <w:sz w:val="24"/>
          <w:szCs w:val="24"/>
        </w:rPr>
        <w:t xml:space="preserve"> gaming genres</w:t>
      </w:r>
      <w:r w:rsidR="00AF13D8">
        <w:rPr>
          <w:rFonts w:ascii="Arial" w:hAnsi="Arial" w:cs="Arial"/>
          <w:color w:val="000000" w:themeColor="text1"/>
          <w:sz w:val="24"/>
          <w:szCs w:val="24"/>
        </w:rPr>
        <w:t>, either the sports/</w:t>
      </w:r>
      <w:r w:rsidR="0028431E">
        <w:rPr>
          <w:rFonts w:ascii="Arial" w:hAnsi="Arial" w:cs="Arial"/>
          <w:color w:val="000000" w:themeColor="text1"/>
          <w:sz w:val="24"/>
          <w:szCs w:val="24"/>
        </w:rPr>
        <w:t>action (Rocket League) or strategy/puzzle (Mah-jong)</w:t>
      </w:r>
      <w:r w:rsidRPr="001E43CA">
        <w:rPr>
          <w:rFonts w:ascii="Arial" w:hAnsi="Arial" w:cs="Arial"/>
          <w:color w:val="000000" w:themeColor="text1"/>
          <w:sz w:val="24"/>
          <w:szCs w:val="24"/>
        </w:rPr>
        <w:t>.</w:t>
      </w:r>
      <w:r w:rsidR="0028431E">
        <w:rPr>
          <w:rFonts w:ascii="Arial" w:hAnsi="Arial" w:cs="Arial"/>
          <w:color w:val="000000" w:themeColor="text1"/>
          <w:sz w:val="24"/>
          <w:szCs w:val="24"/>
        </w:rPr>
        <w:t xml:space="preserve"> Rocket league will be</w:t>
      </w:r>
      <w:r w:rsidR="004A5299">
        <w:rPr>
          <w:rFonts w:ascii="Arial" w:hAnsi="Arial" w:cs="Arial"/>
          <w:color w:val="000000" w:themeColor="text1"/>
          <w:sz w:val="24"/>
          <w:szCs w:val="24"/>
        </w:rPr>
        <w:t xml:space="preserve"> downloaded on an </w:t>
      </w:r>
      <w:r w:rsidR="001A784D">
        <w:rPr>
          <w:rFonts w:ascii="Arial" w:hAnsi="Arial" w:cs="Arial"/>
          <w:color w:val="000000" w:themeColor="text1"/>
          <w:sz w:val="24"/>
          <w:szCs w:val="24"/>
        </w:rPr>
        <w:t>Xbox</w:t>
      </w:r>
      <w:r w:rsidR="004A5299">
        <w:rPr>
          <w:rFonts w:ascii="Arial" w:hAnsi="Arial" w:cs="Arial"/>
          <w:color w:val="000000" w:themeColor="text1"/>
          <w:sz w:val="24"/>
          <w:szCs w:val="24"/>
        </w:rPr>
        <w:t xml:space="preserve"> one and </w:t>
      </w:r>
      <w:r w:rsidR="001A784D">
        <w:rPr>
          <w:rFonts w:ascii="Arial" w:hAnsi="Arial" w:cs="Arial"/>
          <w:color w:val="000000" w:themeColor="text1"/>
          <w:sz w:val="24"/>
          <w:szCs w:val="24"/>
        </w:rPr>
        <w:t>participants</w:t>
      </w:r>
      <w:r w:rsidR="004A5299">
        <w:rPr>
          <w:rFonts w:ascii="Arial" w:hAnsi="Arial" w:cs="Arial"/>
          <w:color w:val="000000" w:themeColor="text1"/>
          <w:sz w:val="24"/>
          <w:szCs w:val="24"/>
        </w:rPr>
        <w:t xml:space="preserve"> will use the console for 20 minutes to play. Mah-jong will be on an online platform on</w:t>
      </w:r>
      <w:r w:rsidR="00FE2F6E">
        <w:rPr>
          <w:rFonts w:ascii="Arial" w:hAnsi="Arial" w:cs="Arial"/>
          <w:color w:val="000000" w:themeColor="text1"/>
          <w:sz w:val="24"/>
          <w:szCs w:val="24"/>
        </w:rPr>
        <w:t xml:space="preserve"> a computer</w:t>
      </w:r>
      <w:r w:rsidR="000A342A">
        <w:rPr>
          <w:rFonts w:ascii="Arial" w:hAnsi="Arial" w:cs="Arial"/>
          <w:color w:val="000000" w:themeColor="text1"/>
          <w:sz w:val="24"/>
          <w:szCs w:val="24"/>
        </w:rPr>
        <w:t xml:space="preserve"> via </w:t>
      </w:r>
      <w:hyperlink r:id="rId25" w:history="1">
        <w:r w:rsidR="000A342A" w:rsidRPr="004401D9">
          <w:rPr>
            <w:rStyle w:val="Hyperlink"/>
            <w:rFonts w:ascii="Arial" w:hAnsi="Arial" w:cs="Arial"/>
            <w:sz w:val="24"/>
            <w:szCs w:val="24"/>
          </w:rPr>
          <w:t>https://www.free-play-mahjong.com/</w:t>
        </w:r>
      </w:hyperlink>
      <w:r w:rsidR="000A342A">
        <w:rPr>
          <w:rFonts w:ascii="Arial" w:hAnsi="Arial" w:cs="Arial"/>
          <w:color w:val="000000" w:themeColor="text1"/>
          <w:sz w:val="24"/>
          <w:szCs w:val="24"/>
        </w:rPr>
        <w:t xml:space="preserve">, participants will be </w:t>
      </w:r>
      <w:r w:rsidR="001A784D">
        <w:rPr>
          <w:rFonts w:ascii="Arial" w:hAnsi="Arial" w:cs="Arial"/>
          <w:color w:val="000000" w:themeColor="text1"/>
          <w:sz w:val="24"/>
          <w:szCs w:val="24"/>
        </w:rPr>
        <w:t>playing this game for 20 minutes.</w:t>
      </w:r>
      <w:r w:rsidRPr="001E43CA">
        <w:rPr>
          <w:rFonts w:ascii="Arial" w:hAnsi="Arial" w:cs="Arial"/>
          <w:color w:val="000000" w:themeColor="text1"/>
          <w:sz w:val="24"/>
          <w:szCs w:val="24"/>
        </w:rPr>
        <w:t xml:space="preserve"> </w:t>
      </w:r>
    </w:p>
    <w:p w14:paraId="1182A7C0" w14:textId="329A793B" w:rsidR="001E43CA" w:rsidRDefault="001E43CA" w:rsidP="001E43CA">
      <w:pPr>
        <w:spacing w:line="480" w:lineRule="auto"/>
        <w:rPr>
          <w:rFonts w:ascii="Arial" w:hAnsi="Arial" w:cs="Arial"/>
          <w:color w:val="000000" w:themeColor="text1"/>
          <w:sz w:val="24"/>
          <w:szCs w:val="24"/>
        </w:rPr>
      </w:pPr>
      <w:r w:rsidRPr="001E43CA">
        <w:rPr>
          <w:rFonts w:ascii="Arial" w:hAnsi="Arial" w:cs="Arial"/>
          <w:color w:val="000000" w:themeColor="text1"/>
          <w:sz w:val="24"/>
          <w:szCs w:val="24"/>
        </w:rPr>
        <w:t xml:space="preserve">The primary data will be </w:t>
      </w:r>
      <w:r w:rsidR="00EC7486" w:rsidRPr="001E43CA">
        <w:rPr>
          <w:rFonts w:ascii="Arial" w:hAnsi="Arial" w:cs="Arial"/>
          <w:color w:val="000000" w:themeColor="text1"/>
          <w:sz w:val="24"/>
          <w:szCs w:val="24"/>
        </w:rPr>
        <w:t>analysed</w:t>
      </w:r>
      <w:r w:rsidRPr="001E43CA">
        <w:rPr>
          <w:rFonts w:ascii="Arial" w:hAnsi="Arial" w:cs="Arial"/>
          <w:color w:val="000000" w:themeColor="text1"/>
          <w:sz w:val="24"/>
          <w:szCs w:val="24"/>
        </w:rPr>
        <w:t xml:space="preserve"> using three separate 2x2 ANOVAs, one for each cognitive task, to compare participants' performance across gaming genres and gaming experiences.</w:t>
      </w:r>
      <w:r w:rsidR="001A784D">
        <w:rPr>
          <w:rFonts w:ascii="Arial" w:hAnsi="Arial" w:cs="Arial"/>
          <w:color w:val="000000" w:themeColor="text1"/>
          <w:sz w:val="24"/>
          <w:szCs w:val="24"/>
        </w:rPr>
        <w:t xml:space="preserve"> The</w:t>
      </w:r>
      <w:r w:rsidRPr="001E43CA">
        <w:rPr>
          <w:rFonts w:ascii="Arial" w:hAnsi="Arial" w:cs="Arial"/>
          <w:color w:val="000000" w:themeColor="text1"/>
          <w:sz w:val="24"/>
          <w:szCs w:val="24"/>
        </w:rPr>
        <w:t xml:space="preserve"> mixed-design ANOVA setup enables exploration of how gaming genres influence cognitive task performance and how gaming experience affects these tasks within each gaming genre. It facilitates an examination of both between-subjects differences (across gaming genres) and within-subjects differences (across gaming experiences) across the cognitive tasks.</w:t>
      </w:r>
    </w:p>
    <w:p w14:paraId="19AF788A" w14:textId="4395C053" w:rsidR="00486FB9" w:rsidRDefault="00486FB9" w:rsidP="001E43CA">
      <w:pPr>
        <w:spacing w:line="480" w:lineRule="auto"/>
        <w:rPr>
          <w:rFonts w:ascii="Arial" w:hAnsi="Arial" w:cs="Arial"/>
          <w:color w:val="000000" w:themeColor="text1"/>
          <w:sz w:val="24"/>
          <w:szCs w:val="24"/>
        </w:rPr>
      </w:pPr>
      <w:r>
        <w:rPr>
          <w:rFonts w:ascii="Arial" w:hAnsi="Arial" w:cs="Arial"/>
          <w:color w:val="000000" w:themeColor="text1"/>
          <w:sz w:val="24"/>
          <w:szCs w:val="24"/>
        </w:rPr>
        <w:t>Ethic</w:t>
      </w:r>
      <w:r w:rsidR="00FC57CD">
        <w:rPr>
          <w:rFonts w:ascii="Arial" w:hAnsi="Arial" w:cs="Arial"/>
          <w:color w:val="000000" w:themeColor="text1"/>
          <w:sz w:val="24"/>
          <w:szCs w:val="24"/>
        </w:rPr>
        <w:t>al Considerations</w:t>
      </w:r>
    </w:p>
    <w:p w14:paraId="121F175F" w14:textId="4F16DE92" w:rsidR="00FC57CD" w:rsidRPr="001E43CA" w:rsidRDefault="00FC57CD" w:rsidP="001E43CA">
      <w:pPr>
        <w:spacing w:line="480" w:lineRule="auto"/>
        <w:rPr>
          <w:rFonts w:ascii="Arial" w:hAnsi="Arial" w:cs="Arial"/>
          <w:color w:val="000000" w:themeColor="text1"/>
          <w:sz w:val="24"/>
          <w:szCs w:val="24"/>
        </w:rPr>
      </w:pPr>
      <w:r>
        <w:rPr>
          <w:rFonts w:ascii="Arial" w:hAnsi="Arial" w:cs="Arial"/>
          <w:color w:val="000000" w:themeColor="text1"/>
          <w:sz w:val="24"/>
          <w:szCs w:val="24"/>
        </w:rPr>
        <w:t>All steps were taken to ensure the BPS ethical code</w:t>
      </w:r>
      <w:r w:rsidR="00861B2D">
        <w:rPr>
          <w:rFonts w:ascii="Arial" w:hAnsi="Arial" w:cs="Arial"/>
          <w:color w:val="000000" w:themeColor="text1"/>
          <w:sz w:val="24"/>
          <w:szCs w:val="24"/>
        </w:rPr>
        <w:t xml:space="preserve"> and UWTSD ethical codes are upheld and followed. This dissertation went through the university’s ethics committee and was approved by the </w:t>
      </w:r>
      <w:r w:rsidR="00EE5C84">
        <w:rPr>
          <w:rFonts w:ascii="Arial" w:hAnsi="Arial" w:cs="Arial"/>
          <w:color w:val="000000" w:themeColor="text1"/>
          <w:sz w:val="24"/>
          <w:szCs w:val="24"/>
        </w:rPr>
        <w:t>chairs.</w:t>
      </w:r>
    </w:p>
    <w:p w14:paraId="5C6A2C2B" w14:textId="77777777" w:rsidR="001E43CA" w:rsidRPr="001E43CA" w:rsidRDefault="001E43CA" w:rsidP="001E43CA">
      <w:pPr>
        <w:spacing w:line="480" w:lineRule="auto"/>
        <w:rPr>
          <w:rFonts w:ascii="Arial" w:hAnsi="Arial" w:cs="Arial"/>
          <w:color w:val="000000" w:themeColor="text1"/>
          <w:sz w:val="24"/>
          <w:szCs w:val="24"/>
        </w:rPr>
      </w:pPr>
    </w:p>
    <w:p w14:paraId="7F2F674D" w14:textId="77777777" w:rsidR="0085795D" w:rsidRPr="003A423B" w:rsidRDefault="0085795D" w:rsidP="003A423B">
      <w:pPr>
        <w:spacing w:line="480" w:lineRule="auto"/>
        <w:ind w:left="720" w:hanging="720"/>
        <w:rPr>
          <w:rFonts w:ascii="Arial" w:hAnsi="Arial" w:cs="Arial"/>
          <w:sz w:val="24"/>
          <w:szCs w:val="24"/>
        </w:rPr>
      </w:pPr>
    </w:p>
    <w:sectPr w:rsidR="0085795D" w:rsidRPr="003A423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0AC6CF3"/>
    <w:multiLevelType w:val="hybridMultilevel"/>
    <w:tmpl w:val="EFAEAC28"/>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9514887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B2ACB"/>
    <w:rsid w:val="00014FE2"/>
    <w:rsid w:val="000260F1"/>
    <w:rsid w:val="00032954"/>
    <w:rsid w:val="000340DA"/>
    <w:rsid w:val="00034674"/>
    <w:rsid w:val="0005597F"/>
    <w:rsid w:val="00055C6C"/>
    <w:rsid w:val="00064956"/>
    <w:rsid w:val="00096D5D"/>
    <w:rsid w:val="000A342A"/>
    <w:rsid w:val="000A7D79"/>
    <w:rsid w:val="000E421A"/>
    <w:rsid w:val="000F264A"/>
    <w:rsid w:val="000F2DCB"/>
    <w:rsid w:val="000F7340"/>
    <w:rsid w:val="00104086"/>
    <w:rsid w:val="00125DD9"/>
    <w:rsid w:val="00161820"/>
    <w:rsid w:val="00162960"/>
    <w:rsid w:val="00170423"/>
    <w:rsid w:val="0017567C"/>
    <w:rsid w:val="001769D1"/>
    <w:rsid w:val="00177F96"/>
    <w:rsid w:val="00186F74"/>
    <w:rsid w:val="001953B7"/>
    <w:rsid w:val="001976DC"/>
    <w:rsid w:val="00197968"/>
    <w:rsid w:val="001A784D"/>
    <w:rsid w:val="001C0CE1"/>
    <w:rsid w:val="001D1905"/>
    <w:rsid w:val="001E43CA"/>
    <w:rsid w:val="00201E66"/>
    <w:rsid w:val="00204F70"/>
    <w:rsid w:val="00207926"/>
    <w:rsid w:val="00212917"/>
    <w:rsid w:val="002227C6"/>
    <w:rsid w:val="002563FB"/>
    <w:rsid w:val="00262D4F"/>
    <w:rsid w:val="002676A0"/>
    <w:rsid w:val="00270500"/>
    <w:rsid w:val="0028431E"/>
    <w:rsid w:val="002950EE"/>
    <w:rsid w:val="0029724C"/>
    <w:rsid w:val="002B1C11"/>
    <w:rsid w:val="002B1E88"/>
    <w:rsid w:val="002C3402"/>
    <w:rsid w:val="002D0307"/>
    <w:rsid w:val="002E0840"/>
    <w:rsid w:val="002E196B"/>
    <w:rsid w:val="002E3672"/>
    <w:rsid w:val="002E4F21"/>
    <w:rsid w:val="003003F1"/>
    <w:rsid w:val="00300680"/>
    <w:rsid w:val="00303D56"/>
    <w:rsid w:val="003117C7"/>
    <w:rsid w:val="003143F1"/>
    <w:rsid w:val="00317233"/>
    <w:rsid w:val="00323F86"/>
    <w:rsid w:val="00340132"/>
    <w:rsid w:val="00355206"/>
    <w:rsid w:val="003640DC"/>
    <w:rsid w:val="00371272"/>
    <w:rsid w:val="00380954"/>
    <w:rsid w:val="00385221"/>
    <w:rsid w:val="00390371"/>
    <w:rsid w:val="0039406F"/>
    <w:rsid w:val="003A3A53"/>
    <w:rsid w:val="003A423B"/>
    <w:rsid w:val="003A566B"/>
    <w:rsid w:val="003B2ACB"/>
    <w:rsid w:val="003E4A0E"/>
    <w:rsid w:val="003E59F1"/>
    <w:rsid w:val="003E7050"/>
    <w:rsid w:val="003F0507"/>
    <w:rsid w:val="003F4CA0"/>
    <w:rsid w:val="003F510B"/>
    <w:rsid w:val="004014BD"/>
    <w:rsid w:val="00405554"/>
    <w:rsid w:val="0041132F"/>
    <w:rsid w:val="004163F7"/>
    <w:rsid w:val="00440B96"/>
    <w:rsid w:val="00444046"/>
    <w:rsid w:val="004612E8"/>
    <w:rsid w:val="004859F7"/>
    <w:rsid w:val="00486FB9"/>
    <w:rsid w:val="004A143D"/>
    <w:rsid w:val="004A2220"/>
    <w:rsid w:val="004A5299"/>
    <w:rsid w:val="004B2DA1"/>
    <w:rsid w:val="004C278D"/>
    <w:rsid w:val="004F21CE"/>
    <w:rsid w:val="004F385D"/>
    <w:rsid w:val="00510521"/>
    <w:rsid w:val="005131B4"/>
    <w:rsid w:val="0055087D"/>
    <w:rsid w:val="005651B2"/>
    <w:rsid w:val="0057738B"/>
    <w:rsid w:val="00584DBC"/>
    <w:rsid w:val="0058726E"/>
    <w:rsid w:val="005A075D"/>
    <w:rsid w:val="005A6525"/>
    <w:rsid w:val="005B1720"/>
    <w:rsid w:val="005B4BA6"/>
    <w:rsid w:val="005D3AA1"/>
    <w:rsid w:val="005E2480"/>
    <w:rsid w:val="005E52DA"/>
    <w:rsid w:val="005E7A77"/>
    <w:rsid w:val="0060084A"/>
    <w:rsid w:val="006228DD"/>
    <w:rsid w:val="00624005"/>
    <w:rsid w:val="0062420E"/>
    <w:rsid w:val="006319A2"/>
    <w:rsid w:val="00635909"/>
    <w:rsid w:val="006421EF"/>
    <w:rsid w:val="00644BEE"/>
    <w:rsid w:val="006545C7"/>
    <w:rsid w:val="006566E8"/>
    <w:rsid w:val="006711D4"/>
    <w:rsid w:val="006743C9"/>
    <w:rsid w:val="00681953"/>
    <w:rsid w:val="0068538E"/>
    <w:rsid w:val="00693DE4"/>
    <w:rsid w:val="006966E3"/>
    <w:rsid w:val="006A11F1"/>
    <w:rsid w:val="006A19A4"/>
    <w:rsid w:val="006C1BC1"/>
    <w:rsid w:val="006C45A0"/>
    <w:rsid w:val="006F3900"/>
    <w:rsid w:val="007018C1"/>
    <w:rsid w:val="00707284"/>
    <w:rsid w:val="007210F9"/>
    <w:rsid w:val="0072462F"/>
    <w:rsid w:val="0075354C"/>
    <w:rsid w:val="00754B56"/>
    <w:rsid w:val="00761429"/>
    <w:rsid w:val="00761FF0"/>
    <w:rsid w:val="00767DD7"/>
    <w:rsid w:val="007708F2"/>
    <w:rsid w:val="007730F3"/>
    <w:rsid w:val="0079645D"/>
    <w:rsid w:val="007C1602"/>
    <w:rsid w:val="007C2954"/>
    <w:rsid w:val="007C43BF"/>
    <w:rsid w:val="007C7575"/>
    <w:rsid w:val="007D026A"/>
    <w:rsid w:val="007D3139"/>
    <w:rsid w:val="007D6EF7"/>
    <w:rsid w:val="007E537D"/>
    <w:rsid w:val="007F71CD"/>
    <w:rsid w:val="008038B4"/>
    <w:rsid w:val="00811C2E"/>
    <w:rsid w:val="00814F29"/>
    <w:rsid w:val="00832F17"/>
    <w:rsid w:val="0084059E"/>
    <w:rsid w:val="008406E3"/>
    <w:rsid w:val="0085795D"/>
    <w:rsid w:val="00861B2D"/>
    <w:rsid w:val="00865AAA"/>
    <w:rsid w:val="00866AFD"/>
    <w:rsid w:val="00875576"/>
    <w:rsid w:val="00876362"/>
    <w:rsid w:val="00882E93"/>
    <w:rsid w:val="00883DDF"/>
    <w:rsid w:val="00892C37"/>
    <w:rsid w:val="00895CDC"/>
    <w:rsid w:val="008A0A1E"/>
    <w:rsid w:val="008A4A60"/>
    <w:rsid w:val="008B025C"/>
    <w:rsid w:val="008B0371"/>
    <w:rsid w:val="008D5707"/>
    <w:rsid w:val="008E18C4"/>
    <w:rsid w:val="00902F65"/>
    <w:rsid w:val="00911C88"/>
    <w:rsid w:val="0092284A"/>
    <w:rsid w:val="009359A5"/>
    <w:rsid w:val="00936D69"/>
    <w:rsid w:val="009426BE"/>
    <w:rsid w:val="00955ACD"/>
    <w:rsid w:val="009716E5"/>
    <w:rsid w:val="00980E2C"/>
    <w:rsid w:val="009868C4"/>
    <w:rsid w:val="00986972"/>
    <w:rsid w:val="00987046"/>
    <w:rsid w:val="0099024C"/>
    <w:rsid w:val="00992DDC"/>
    <w:rsid w:val="009A0B34"/>
    <w:rsid w:val="009A40EA"/>
    <w:rsid w:val="009B2D15"/>
    <w:rsid w:val="009B74B4"/>
    <w:rsid w:val="009D5006"/>
    <w:rsid w:val="009E254A"/>
    <w:rsid w:val="00A025CA"/>
    <w:rsid w:val="00A037EB"/>
    <w:rsid w:val="00A05608"/>
    <w:rsid w:val="00A05CFE"/>
    <w:rsid w:val="00A224A0"/>
    <w:rsid w:val="00A303E5"/>
    <w:rsid w:val="00A42ABC"/>
    <w:rsid w:val="00A47132"/>
    <w:rsid w:val="00A56772"/>
    <w:rsid w:val="00A5689F"/>
    <w:rsid w:val="00A63B73"/>
    <w:rsid w:val="00A662C9"/>
    <w:rsid w:val="00A731A3"/>
    <w:rsid w:val="00AC6D5F"/>
    <w:rsid w:val="00AD2534"/>
    <w:rsid w:val="00AD78C0"/>
    <w:rsid w:val="00AD7DB4"/>
    <w:rsid w:val="00AE0A68"/>
    <w:rsid w:val="00AE526A"/>
    <w:rsid w:val="00AF13D8"/>
    <w:rsid w:val="00AF7A0F"/>
    <w:rsid w:val="00B20BE4"/>
    <w:rsid w:val="00B423D8"/>
    <w:rsid w:val="00B42586"/>
    <w:rsid w:val="00B724D6"/>
    <w:rsid w:val="00B743F5"/>
    <w:rsid w:val="00B928E2"/>
    <w:rsid w:val="00BC3BB2"/>
    <w:rsid w:val="00BD1541"/>
    <w:rsid w:val="00BD4FAD"/>
    <w:rsid w:val="00BE0025"/>
    <w:rsid w:val="00BE4E59"/>
    <w:rsid w:val="00BE6BC4"/>
    <w:rsid w:val="00BF3C89"/>
    <w:rsid w:val="00BF4EE2"/>
    <w:rsid w:val="00C06C00"/>
    <w:rsid w:val="00C130DB"/>
    <w:rsid w:val="00C15AC1"/>
    <w:rsid w:val="00C20D00"/>
    <w:rsid w:val="00C45499"/>
    <w:rsid w:val="00C53CA2"/>
    <w:rsid w:val="00C6610F"/>
    <w:rsid w:val="00C7204D"/>
    <w:rsid w:val="00C75A6D"/>
    <w:rsid w:val="00C75EE0"/>
    <w:rsid w:val="00C80316"/>
    <w:rsid w:val="00C83B0A"/>
    <w:rsid w:val="00C83B24"/>
    <w:rsid w:val="00C86182"/>
    <w:rsid w:val="00C861CF"/>
    <w:rsid w:val="00C9445C"/>
    <w:rsid w:val="00CB2B82"/>
    <w:rsid w:val="00CC198D"/>
    <w:rsid w:val="00CC2A7D"/>
    <w:rsid w:val="00CD6B8D"/>
    <w:rsid w:val="00CE0D55"/>
    <w:rsid w:val="00CF5DA3"/>
    <w:rsid w:val="00D00794"/>
    <w:rsid w:val="00D04B74"/>
    <w:rsid w:val="00D21767"/>
    <w:rsid w:val="00D2301A"/>
    <w:rsid w:val="00D31C57"/>
    <w:rsid w:val="00D6021B"/>
    <w:rsid w:val="00D61ADE"/>
    <w:rsid w:val="00D67551"/>
    <w:rsid w:val="00D81478"/>
    <w:rsid w:val="00D86916"/>
    <w:rsid w:val="00DD0A43"/>
    <w:rsid w:val="00DD0DC0"/>
    <w:rsid w:val="00DD6099"/>
    <w:rsid w:val="00DE7901"/>
    <w:rsid w:val="00E01A00"/>
    <w:rsid w:val="00E03E26"/>
    <w:rsid w:val="00E04344"/>
    <w:rsid w:val="00E21E1F"/>
    <w:rsid w:val="00E23595"/>
    <w:rsid w:val="00E30E85"/>
    <w:rsid w:val="00E4699F"/>
    <w:rsid w:val="00E511CA"/>
    <w:rsid w:val="00E52C86"/>
    <w:rsid w:val="00E769B3"/>
    <w:rsid w:val="00E84B5A"/>
    <w:rsid w:val="00E954E2"/>
    <w:rsid w:val="00E971D7"/>
    <w:rsid w:val="00EA1312"/>
    <w:rsid w:val="00EA2F89"/>
    <w:rsid w:val="00EA347D"/>
    <w:rsid w:val="00EC5362"/>
    <w:rsid w:val="00EC64B7"/>
    <w:rsid w:val="00EC7486"/>
    <w:rsid w:val="00EE3E85"/>
    <w:rsid w:val="00EE5C84"/>
    <w:rsid w:val="00EE6E83"/>
    <w:rsid w:val="00EE77F2"/>
    <w:rsid w:val="00EF5D8A"/>
    <w:rsid w:val="00F00610"/>
    <w:rsid w:val="00F04314"/>
    <w:rsid w:val="00F10ACA"/>
    <w:rsid w:val="00F212AF"/>
    <w:rsid w:val="00F2302C"/>
    <w:rsid w:val="00F30086"/>
    <w:rsid w:val="00F419D1"/>
    <w:rsid w:val="00F4336B"/>
    <w:rsid w:val="00F5378C"/>
    <w:rsid w:val="00F61D57"/>
    <w:rsid w:val="00F6503C"/>
    <w:rsid w:val="00F72CF2"/>
    <w:rsid w:val="00F75655"/>
    <w:rsid w:val="00F82AEF"/>
    <w:rsid w:val="00F842E1"/>
    <w:rsid w:val="00F85FBF"/>
    <w:rsid w:val="00F908D3"/>
    <w:rsid w:val="00FA2F16"/>
    <w:rsid w:val="00FA69F9"/>
    <w:rsid w:val="00FB2954"/>
    <w:rsid w:val="00FC57CD"/>
    <w:rsid w:val="00FC5CEF"/>
    <w:rsid w:val="00FD37E1"/>
    <w:rsid w:val="00FD6D12"/>
    <w:rsid w:val="00FE0CC4"/>
    <w:rsid w:val="00FE2F6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32813B"/>
  <w15:chartTrackingRefBased/>
  <w15:docId w15:val="{7F0EDA0B-EF80-4F19-A75D-2C0B1D1D68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83DDF"/>
    <w:rPr>
      <w:color w:val="0563C1" w:themeColor="hyperlink"/>
      <w:u w:val="single"/>
    </w:rPr>
  </w:style>
  <w:style w:type="character" w:styleId="UnresolvedMention">
    <w:name w:val="Unresolved Mention"/>
    <w:basedOn w:val="DefaultParagraphFont"/>
    <w:uiPriority w:val="99"/>
    <w:semiHidden/>
    <w:unhideWhenUsed/>
    <w:rsid w:val="00883DDF"/>
    <w:rPr>
      <w:color w:val="605E5C"/>
      <w:shd w:val="clear" w:color="auto" w:fill="E1DFDD"/>
    </w:rPr>
  </w:style>
  <w:style w:type="paragraph" w:styleId="ListParagraph">
    <w:name w:val="List Paragraph"/>
    <w:basedOn w:val="Normal"/>
    <w:uiPriority w:val="34"/>
    <w:qFormat/>
    <w:rsid w:val="0003467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2066680">
      <w:bodyDiv w:val="1"/>
      <w:marLeft w:val="0"/>
      <w:marRight w:val="0"/>
      <w:marTop w:val="0"/>
      <w:marBottom w:val="0"/>
      <w:divBdr>
        <w:top w:val="none" w:sz="0" w:space="0" w:color="auto"/>
        <w:left w:val="none" w:sz="0" w:space="0" w:color="auto"/>
        <w:bottom w:val="none" w:sz="0" w:space="0" w:color="auto"/>
        <w:right w:val="none" w:sz="0" w:space="0" w:color="auto"/>
      </w:divBdr>
    </w:div>
    <w:div w:id="592740051">
      <w:bodyDiv w:val="1"/>
      <w:marLeft w:val="0"/>
      <w:marRight w:val="0"/>
      <w:marTop w:val="0"/>
      <w:marBottom w:val="0"/>
      <w:divBdr>
        <w:top w:val="none" w:sz="0" w:space="0" w:color="auto"/>
        <w:left w:val="none" w:sz="0" w:space="0" w:color="auto"/>
        <w:bottom w:val="none" w:sz="0" w:space="0" w:color="auto"/>
        <w:right w:val="none" w:sz="0" w:space="0" w:color="auto"/>
      </w:divBdr>
      <w:divsChild>
        <w:div w:id="1060131601">
          <w:marLeft w:val="0"/>
          <w:marRight w:val="0"/>
          <w:marTop w:val="0"/>
          <w:marBottom w:val="0"/>
          <w:divBdr>
            <w:top w:val="single" w:sz="6" w:space="0" w:color="5B616B"/>
            <w:left w:val="single" w:sz="6" w:space="0" w:color="5B616B"/>
            <w:bottom w:val="single" w:sz="6" w:space="0" w:color="5B616B"/>
            <w:right w:val="single" w:sz="6" w:space="0" w:color="5B616B"/>
          </w:divBdr>
        </w:div>
      </w:divsChild>
    </w:div>
    <w:div w:id="614680741">
      <w:bodyDiv w:val="1"/>
      <w:marLeft w:val="0"/>
      <w:marRight w:val="0"/>
      <w:marTop w:val="0"/>
      <w:marBottom w:val="0"/>
      <w:divBdr>
        <w:top w:val="none" w:sz="0" w:space="0" w:color="auto"/>
        <w:left w:val="none" w:sz="0" w:space="0" w:color="auto"/>
        <w:bottom w:val="none" w:sz="0" w:space="0" w:color="auto"/>
        <w:right w:val="none" w:sz="0" w:space="0" w:color="auto"/>
      </w:divBdr>
    </w:div>
    <w:div w:id="654644421">
      <w:bodyDiv w:val="1"/>
      <w:marLeft w:val="0"/>
      <w:marRight w:val="0"/>
      <w:marTop w:val="0"/>
      <w:marBottom w:val="0"/>
      <w:divBdr>
        <w:top w:val="none" w:sz="0" w:space="0" w:color="auto"/>
        <w:left w:val="none" w:sz="0" w:space="0" w:color="auto"/>
        <w:bottom w:val="none" w:sz="0" w:space="0" w:color="auto"/>
        <w:right w:val="none" w:sz="0" w:space="0" w:color="auto"/>
      </w:divBdr>
      <w:divsChild>
        <w:div w:id="1690906411">
          <w:marLeft w:val="0"/>
          <w:marRight w:val="0"/>
          <w:marTop w:val="0"/>
          <w:marBottom w:val="0"/>
          <w:divBdr>
            <w:top w:val="single" w:sz="2" w:space="0" w:color="D9D9E3"/>
            <w:left w:val="single" w:sz="2" w:space="0" w:color="D9D9E3"/>
            <w:bottom w:val="single" w:sz="2" w:space="0" w:color="D9D9E3"/>
            <w:right w:val="single" w:sz="2" w:space="0" w:color="D9D9E3"/>
          </w:divBdr>
          <w:divsChild>
            <w:div w:id="1853572343">
              <w:marLeft w:val="0"/>
              <w:marRight w:val="0"/>
              <w:marTop w:val="0"/>
              <w:marBottom w:val="0"/>
              <w:divBdr>
                <w:top w:val="single" w:sz="2" w:space="0" w:color="D9D9E3"/>
                <w:left w:val="single" w:sz="2" w:space="0" w:color="D9D9E3"/>
                <w:bottom w:val="single" w:sz="2" w:space="0" w:color="D9D9E3"/>
                <w:right w:val="single" w:sz="2" w:space="0" w:color="D9D9E3"/>
              </w:divBdr>
              <w:divsChild>
                <w:div w:id="1009143062">
                  <w:marLeft w:val="0"/>
                  <w:marRight w:val="0"/>
                  <w:marTop w:val="0"/>
                  <w:marBottom w:val="0"/>
                  <w:divBdr>
                    <w:top w:val="single" w:sz="2" w:space="0" w:color="D9D9E3"/>
                    <w:left w:val="single" w:sz="2" w:space="0" w:color="D9D9E3"/>
                    <w:bottom w:val="single" w:sz="2" w:space="0" w:color="D9D9E3"/>
                    <w:right w:val="single" w:sz="2" w:space="0" w:color="D9D9E3"/>
                  </w:divBdr>
                  <w:divsChild>
                    <w:div w:id="282276979">
                      <w:marLeft w:val="0"/>
                      <w:marRight w:val="0"/>
                      <w:marTop w:val="0"/>
                      <w:marBottom w:val="0"/>
                      <w:divBdr>
                        <w:top w:val="single" w:sz="2" w:space="0" w:color="D9D9E3"/>
                        <w:left w:val="single" w:sz="2" w:space="0" w:color="D9D9E3"/>
                        <w:bottom w:val="single" w:sz="2" w:space="0" w:color="D9D9E3"/>
                        <w:right w:val="single" w:sz="2" w:space="0" w:color="D9D9E3"/>
                      </w:divBdr>
                      <w:divsChild>
                        <w:div w:id="1317343057">
                          <w:marLeft w:val="0"/>
                          <w:marRight w:val="0"/>
                          <w:marTop w:val="0"/>
                          <w:marBottom w:val="0"/>
                          <w:divBdr>
                            <w:top w:val="none" w:sz="0" w:space="0" w:color="auto"/>
                            <w:left w:val="none" w:sz="0" w:space="0" w:color="auto"/>
                            <w:bottom w:val="none" w:sz="0" w:space="0" w:color="auto"/>
                            <w:right w:val="none" w:sz="0" w:space="0" w:color="auto"/>
                          </w:divBdr>
                          <w:divsChild>
                            <w:div w:id="1496847020">
                              <w:marLeft w:val="0"/>
                              <w:marRight w:val="0"/>
                              <w:marTop w:val="100"/>
                              <w:marBottom w:val="100"/>
                              <w:divBdr>
                                <w:top w:val="single" w:sz="2" w:space="0" w:color="D9D9E3"/>
                                <w:left w:val="single" w:sz="2" w:space="0" w:color="D9D9E3"/>
                                <w:bottom w:val="single" w:sz="2" w:space="0" w:color="D9D9E3"/>
                                <w:right w:val="single" w:sz="2" w:space="0" w:color="D9D9E3"/>
                              </w:divBdr>
                              <w:divsChild>
                                <w:div w:id="2077242110">
                                  <w:marLeft w:val="0"/>
                                  <w:marRight w:val="0"/>
                                  <w:marTop w:val="0"/>
                                  <w:marBottom w:val="0"/>
                                  <w:divBdr>
                                    <w:top w:val="single" w:sz="2" w:space="0" w:color="D9D9E3"/>
                                    <w:left w:val="single" w:sz="2" w:space="0" w:color="D9D9E3"/>
                                    <w:bottom w:val="single" w:sz="2" w:space="0" w:color="D9D9E3"/>
                                    <w:right w:val="single" w:sz="2" w:space="0" w:color="D9D9E3"/>
                                  </w:divBdr>
                                  <w:divsChild>
                                    <w:div w:id="836381452">
                                      <w:marLeft w:val="0"/>
                                      <w:marRight w:val="0"/>
                                      <w:marTop w:val="0"/>
                                      <w:marBottom w:val="0"/>
                                      <w:divBdr>
                                        <w:top w:val="single" w:sz="2" w:space="0" w:color="D9D9E3"/>
                                        <w:left w:val="single" w:sz="2" w:space="0" w:color="D9D9E3"/>
                                        <w:bottom w:val="single" w:sz="2" w:space="0" w:color="D9D9E3"/>
                                        <w:right w:val="single" w:sz="2" w:space="0" w:color="D9D9E3"/>
                                      </w:divBdr>
                                      <w:divsChild>
                                        <w:div w:id="977764325">
                                          <w:marLeft w:val="0"/>
                                          <w:marRight w:val="0"/>
                                          <w:marTop w:val="0"/>
                                          <w:marBottom w:val="0"/>
                                          <w:divBdr>
                                            <w:top w:val="single" w:sz="2" w:space="0" w:color="D9D9E3"/>
                                            <w:left w:val="single" w:sz="2" w:space="0" w:color="D9D9E3"/>
                                            <w:bottom w:val="single" w:sz="2" w:space="0" w:color="D9D9E3"/>
                                            <w:right w:val="single" w:sz="2" w:space="0" w:color="D9D9E3"/>
                                          </w:divBdr>
                                          <w:divsChild>
                                            <w:div w:id="646250517">
                                              <w:marLeft w:val="0"/>
                                              <w:marRight w:val="0"/>
                                              <w:marTop w:val="0"/>
                                              <w:marBottom w:val="0"/>
                                              <w:divBdr>
                                                <w:top w:val="single" w:sz="2" w:space="0" w:color="D9D9E3"/>
                                                <w:left w:val="single" w:sz="2" w:space="0" w:color="D9D9E3"/>
                                                <w:bottom w:val="single" w:sz="2" w:space="0" w:color="D9D9E3"/>
                                                <w:right w:val="single" w:sz="2" w:space="0" w:color="D9D9E3"/>
                                              </w:divBdr>
                                              <w:divsChild>
                                                <w:div w:id="1830557108">
                                                  <w:marLeft w:val="0"/>
                                                  <w:marRight w:val="0"/>
                                                  <w:marTop w:val="0"/>
                                                  <w:marBottom w:val="0"/>
                                                  <w:divBdr>
                                                    <w:top w:val="single" w:sz="2" w:space="0" w:color="D9D9E3"/>
                                                    <w:left w:val="single" w:sz="2" w:space="0" w:color="D9D9E3"/>
                                                    <w:bottom w:val="single" w:sz="2" w:space="0" w:color="D9D9E3"/>
                                                    <w:right w:val="single" w:sz="2" w:space="0" w:color="D9D9E3"/>
                                                  </w:divBdr>
                                                  <w:divsChild>
                                                    <w:div w:id="126946371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904557902">
          <w:marLeft w:val="0"/>
          <w:marRight w:val="0"/>
          <w:marTop w:val="0"/>
          <w:marBottom w:val="0"/>
          <w:divBdr>
            <w:top w:val="none" w:sz="0" w:space="0" w:color="auto"/>
            <w:left w:val="none" w:sz="0" w:space="0" w:color="auto"/>
            <w:bottom w:val="none" w:sz="0" w:space="0" w:color="auto"/>
            <w:right w:val="none" w:sz="0" w:space="0" w:color="auto"/>
          </w:divBdr>
        </w:div>
      </w:divsChild>
    </w:div>
    <w:div w:id="734936407">
      <w:bodyDiv w:val="1"/>
      <w:marLeft w:val="0"/>
      <w:marRight w:val="0"/>
      <w:marTop w:val="0"/>
      <w:marBottom w:val="0"/>
      <w:divBdr>
        <w:top w:val="none" w:sz="0" w:space="0" w:color="auto"/>
        <w:left w:val="none" w:sz="0" w:space="0" w:color="auto"/>
        <w:bottom w:val="none" w:sz="0" w:space="0" w:color="auto"/>
        <w:right w:val="none" w:sz="0" w:space="0" w:color="auto"/>
      </w:divBdr>
    </w:div>
    <w:div w:id="1004085908">
      <w:bodyDiv w:val="1"/>
      <w:marLeft w:val="0"/>
      <w:marRight w:val="0"/>
      <w:marTop w:val="0"/>
      <w:marBottom w:val="0"/>
      <w:divBdr>
        <w:top w:val="none" w:sz="0" w:space="0" w:color="auto"/>
        <w:left w:val="none" w:sz="0" w:space="0" w:color="auto"/>
        <w:bottom w:val="none" w:sz="0" w:space="0" w:color="auto"/>
        <w:right w:val="none" w:sz="0" w:space="0" w:color="auto"/>
      </w:divBdr>
      <w:divsChild>
        <w:div w:id="1796290944">
          <w:marLeft w:val="0"/>
          <w:marRight w:val="0"/>
          <w:marTop w:val="0"/>
          <w:marBottom w:val="0"/>
          <w:divBdr>
            <w:top w:val="single" w:sz="2" w:space="0" w:color="D9D9E3"/>
            <w:left w:val="single" w:sz="2" w:space="0" w:color="D9D9E3"/>
            <w:bottom w:val="single" w:sz="2" w:space="0" w:color="D9D9E3"/>
            <w:right w:val="single" w:sz="2" w:space="0" w:color="D9D9E3"/>
          </w:divBdr>
          <w:divsChild>
            <w:div w:id="713963757">
              <w:marLeft w:val="0"/>
              <w:marRight w:val="0"/>
              <w:marTop w:val="0"/>
              <w:marBottom w:val="0"/>
              <w:divBdr>
                <w:top w:val="single" w:sz="2" w:space="0" w:color="D9D9E3"/>
                <w:left w:val="single" w:sz="2" w:space="0" w:color="D9D9E3"/>
                <w:bottom w:val="single" w:sz="2" w:space="0" w:color="D9D9E3"/>
                <w:right w:val="single" w:sz="2" w:space="0" w:color="D9D9E3"/>
              </w:divBdr>
              <w:divsChild>
                <w:div w:id="240143853">
                  <w:marLeft w:val="0"/>
                  <w:marRight w:val="0"/>
                  <w:marTop w:val="0"/>
                  <w:marBottom w:val="0"/>
                  <w:divBdr>
                    <w:top w:val="single" w:sz="2" w:space="0" w:color="D9D9E3"/>
                    <w:left w:val="single" w:sz="2" w:space="0" w:color="D9D9E3"/>
                    <w:bottom w:val="single" w:sz="2" w:space="0" w:color="D9D9E3"/>
                    <w:right w:val="single" w:sz="2" w:space="0" w:color="D9D9E3"/>
                  </w:divBdr>
                  <w:divsChild>
                    <w:div w:id="934559605">
                      <w:marLeft w:val="0"/>
                      <w:marRight w:val="0"/>
                      <w:marTop w:val="0"/>
                      <w:marBottom w:val="0"/>
                      <w:divBdr>
                        <w:top w:val="single" w:sz="2" w:space="0" w:color="D9D9E3"/>
                        <w:left w:val="single" w:sz="2" w:space="0" w:color="D9D9E3"/>
                        <w:bottom w:val="single" w:sz="2" w:space="0" w:color="D9D9E3"/>
                        <w:right w:val="single" w:sz="2" w:space="0" w:color="D9D9E3"/>
                      </w:divBdr>
                      <w:divsChild>
                        <w:div w:id="784808962">
                          <w:marLeft w:val="0"/>
                          <w:marRight w:val="0"/>
                          <w:marTop w:val="0"/>
                          <w:marBottom w:val="0"/>
                          <w:divBdr>
                            <w:top w:val="none" w:sz="0" w:space="0" w:color="auto"/>
                            <w:left w:val="none" w:sz="0" w:space="0" w:color="auto"/>
                            <w:bottom w:val="none" w:sz="0" w:space="0" w:color="auto"/>
                            <w:right w:val="none" w:sz="0" w:space="0" w:color="auto"/>
                          </w:divBdr>
                          <w:divsChild>
                            <w:div w:id="1048720802">
                              <w:marLeft w:val="0"/>
                              <w:marRight w:val="0"/>
                              <w:marTop w:val="100"/>
                              <w:marBottom w:val="100"/>
                              <w:divBdr>
                                <w:top w:val="single" w:sz="2" w:space="0" w:color="D9D9E3"/>
                                <w:left w:val="single" w:sz="2" w:space="0" w:color="D9D9E3"/>
                                <w:bottom w:val="single" w:sz="2" w:space="0" w:color="D9D9E3"/>
                                <w:right w:val="single" w:sz="2" w:space="0" w:color="D9D9E3"/>
                              </w:divBdr>
                              <w:divsChild>
                                <w:div w:id="1444379748">
                                  <w:marLeft w:val="0"/>
                                  <w:marRight w:val="0"/>
                                  <w:marTop w:val="0"/>
                                  <w:marBottom w:val="0"/>
                                  <w:divBdr>
                                    <w:top w:val="single" w:sz="2" w:space="0" w:color="D9D9E3"/>
                                    <w:left w:val="single" w:sz="2" w:space="0" w:color="D9D9E3"/>
                                    <w:bottom w:val="single" w:sz="2" w:space="0" w:color="D9D9E3"/>
                                    <w:right w:val="single" w:sz="2" w:space="0" w:color="D9D9E3"/>
                                  </w:divBdr>
                                  <w:divsChild>
                                    <w:div w:id="609580890">
                                      <w:marLeft w:val="0"/>
                                      <w:marRight w:val="0"/>
                                      <w:marTop w:val="0"/>
                                      <w:marBottom w:val="0"/>
                                      <w:divBdr>
                                        <w:top w:val="single" w:sz="2" w:space="0" w:color="D9D9E3"/>
                                        <w:left w:val="single" w:sz="2" w:space="0" w:color="D9D9E3"/>
                                        <w:bottom w:val="single" w:sz="2" w:space="0" w:color="D9D9E3"/>
                                        <w:right w:val="single" w:sz="2" w:space="0" w:color="D9D9E3"/>
                                      </w:divBdr>
                                      <w:divsChild>
                                        <w:div w:id="1723477183">
                                          <w:marLeft w:val="0"/>
                                          <w:marRight w:val="0"/>
                                          <w:marTop w:val="0"/>
                                          <w:marBottom w:val="0"/>
                                          <w:divBdr>
                                            <w:top w:val="single" w:sz="2" w:space="0" w:color="D9D9E3"/>
                                            <w:left w:val="single" w:sz="2" w:space="0" w:color="D9D9E3"/>
                                            <w:bottom w:val="single" w:sz="2" w:space="0" w:color="D9D9E3"/>
                                            <w:right w:val="single" w:sz="2" w:space="0" w:color="D9D9E3"/>
                                          </w:divBdr>
                                          <w:divsChild>
                                            <w:div w:id="1374306238">
                                              <w:marLeft w:val="0"/>
                                              <w:marRight w:val="0"/>
                                              <w:marTop w:val="0"/>
                                              <w:marBottom w:val="0"/>
                                              <w:divBdr>
                                                <w:top w:val="single" w:sz="2" w:space="0" w:color="D9D9E3"/>
                                                <w:left w:val="single" w:sz="2" w:space="0" w:color="D9D9E3"/>
                                                <w:bottom w:val="single" w:sz="2" w:space="0" w:color="D9D9E3"/>
                                                <w:right w:val="single" w:sz="2" w:space="0" w:color="D9D9E3"/>
                                              </w:divBdr>
                                              <w:divsChild>
                                                <w:div w:id="1951282422">
                                                  <w:marLeft w:val="0"/>
                                                  <w:marRight w:val="0"/>
                                                  <w:marTop w:val="0"/>
                                                  <w:marBottom w:val="0"/>
                                                  <w:divBdr>
                                                    <w:top w:val="single" w:sz="2" w:space="0" w:color="D9D9E3"/>
                                                    <w:left w:val="single" w:sz="2" w:space="0" w:color="D9D9E3"/>
                                                    <w:bottom w:val="single" w:sz="2" w:space="0" w:color="D9D9E3"/>
                                                    <w:right w:val="single" w:sz="2" w:space="0" w:color="D9D9E3"/>
                                                  </w:divBdr>
                                                  <w:divsChild>
                                                    <w:div w:id="130450614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834294189">
          <w:marLeft w:val="0"/>
          <w:marRight w:val="0"/>
          <w:marTop w:val="0"/>
          <w:marBottom w:val="0"/>
          <w:divBdr>
            <w:top w:val="none" w:sz="0" w:space="0" w:color="auto"/>
            <w:left w:val="none" w:sz="0" w:space="0" w:color="auto"/>
            <w:bottom w:val="none" w:sz="0" w:space="0" w:color="auto"/>
            <w:right w:val="none" w:sz="0" w:space="0" w:color="auto"/>
          </w:divBdr>
        </w:div>
      </w:divsChild>
    </w:div>
    <w:div w:id="1241478270">
      <w:bodyDiv w:val="1"/>
      <w:marLeft w:val="0"/>
      <w:marRight w:val="0"/>
      <w:marTop w:val="0"/>
      <w:marBottom w:val="0"/>
      <w:divBdr>
        <w:top w:val="none" w:sz="0" w:space="0" w:color="auto"/>
        <w:left w:val="none" w:sz="0" w:space="0" w:color="auto"/>
        <w:bottom w:val="none" w:sz="0" w:space="0" w:color="auto"/>
        <w:right w:val="none" w:sz="0" w:space="0" w:color="auto"/>
      </w:divBdr>
    </w:div>
    <w:div w:id="1399279227">
      <w:bodyDiv w:val="1"/>
      <w:marLeft w:val="0"/>
      <w:marRight w:val="0"/>
      <w:marTop w:val="0"/>
      <w:marBottom w:val="0"/>
      <w:divBdr>
        <w:top w:val="none" w:sz="0" w:space="0" w:color="auto"/>
        <w:left w:val="none" w:sz="0" w:space="0" w:color="auto"/>
        <w:bottom w:val="none" w:sz="0" w:space="0" w:color="auto"/>
        <w:right w:val="none" w:sz="0" w:space="0" w:color="auto"/>
      </w:divBdr>
      <w:divsChild>
        <w:div w:id="856234234">
          <w:marLeft w:val="0"/>
          <w:marRight w:val="0"/>
          <w:marTop w:val="0"/>
          <w:marBottom w:val="0"/>
          <w:divBdr>
            <w:top w:val="single" w:sz="6" w:space="0" w:color="5B616B"/>
            <w:left w:val="single" w:sz="6" w:space="0" w:color="5B616B"/>
            <w:bottom w:val="single" w:sz="6" w:space="0" w:color="5B616B"/>
            <w:right w:val="single" w:sz="6" w:space="0" w:color="5B616B"/>
          </w:divBdr>
        </w:div>
      </w:divsChild>
    </w:div>
    <w:div w:id="1432361529">
      <w:bodyDiv w:val="1"/>
      <w:marLeft w:val="0"/>
      <w:marRight w:val="0"/>
      <w:marTop w:val="0"/>
      <w:marBottom w:val="0"/>
      <w:divBdr>
        <w:top w:val="none" w:sz="0" w:space="0" w:color="auto"/>
        <w:left w:val="none" w:sz="0" w:space="0" w:color="auto"/>
        <w:bottom w:val="none" w:sz="0" w:space="0" w:color="auto"/>
        <w:right w:val="none" w:sz="0" w:space="0" w:color="auto"/>
      </w:divBdr>
    </w:div>
    <w:div w:id="1457799549">
      <w:bodyDiv w:val="1"/>
      <w:marLeft w:val="0"/>
      <w:marRight w:val="0"/>
      <w:marTop w:val="0"/>
      <w:marBottom w:val="0"/>
      <w:divBdr>
        <w:top w:val="none" w:sz="0" w:space="0" w:color="auto"/>
        <w:left w:val="none" w:sz="0" w:space="0" w:color="auto"/>
        <w:bottom w:val="none" w:sz="0" w:space="0" w:color="auto"/>
        <w:right w:val="none" w:sz="0" w:space="0" w:color="auto"/>
      </w:divBdr>
      <w:divsChild>
        <w:div w:id="1059672846">
          <w:marLeft w:val="0"/>
          <w:marRight w:val="0"/>
          <w:marTop w:val="0"/>
          <w:marBottom w:val="0"/>
          <w:divBdr>
            <w:top w:val="single" w:sz="2" w:space="0" w:color="D9D9E3"/>
            <w:left w:val="single" w:sz="2" w:space="0" w:color="D9D9E3"/>
            <w:bottom w:val="single" w:sz="2" w:space="0" w:color="D9D9E3"/>
            <w:right w:val="single" w:sz="2" w:space="0" w:color="D9D9E3"/>
          </w:divBdr>
          <w:divsChild>
            <w:div w:id="384255790">
              <w:marLeft w:val="0"/>
              <w:marRight w:val="0"/>
              <w:marTop w:val="0"/>
              <w:marBottom w:val="0"/>
              <w:divBdr>
                <w:top w:val="single" w:sz="2" w:space="0" w:color="D9D9E3"/>
                <w:left w:val="single" w:sz="2" w:space="0" w:color="D9D9E3"/>
                <w:bottom w:val="single" w:sz="2" w:space="0" w:color="D9D9E3"/>
                <w:right w:val="single" w:sz="2" w:space="0" w:color="D9D9E3"/>
              </w:divBdr>
              <w:divsChild>
                <w:div w:id="1185359758">
                  <w:marLeft w:val="0"/>
                  <w:marRight w:val="0"/>
                  <w:marTop w:val="0"/>
                  <w:marBottom w:val="0"/>
                  <w:divBdr>
                    <w:top w:val="single" w:sz="2" w:space="0" w:color="D9D9E3"/>
                    <w:left w:val="single" w:sz="2" w:space="0" w:color="D9D9E3"/>
                    <w:bottom w:val="single" w:sz="2" w:space="0" w:color="D9D9E3"/>
                    <w:right w:val="single" w:sz="2" w:space="0" w:color="D9D9E3"/>
                  </w:divBdr>
                  <w:divsChild>
                    <w:div w:id="417605059">
                      <w:marLeft w:val="0"/>
                      <w:marRight w:val="0"/>
                      <w:marTop w:val="0"/>
                      <w:marBottom w:val="0"/>
                      <w:divBdr>
                        <w:top w:val="single" w:sz="2" w:space="0" w:color="D9D9E3"/>
                        <w:left w:val="single" w:sz="2" w:space="0" w:color="D9D9E3"/>
                        <w:bottom w:val="single" w:sz="2" w:space="0" w:color="D9D9E3"/>
                        <w:right w:val="single" w:sz="2" w:space="0" w:color="D9D9E3"/>
                      </w:divBdr>
                      <w:divsChild>
                        <w:div w:id="1038354136">
                          <w:marLeft w:val="0"/>
                          <w:marRight w:val="0"/>
                          <w:marTop w:val="0"/>
                          <w:marBottom w:val="0"/>
                          <w:divBdr>
                            <w:top w:val="none" w:sz="0" w:space="0" w:color="auto"/>
                            <w:left w:val="none" w:sz="0" w:space="0" w:color="auto"/>
                            <w:bottom w:val="none" w:sz="0" w:space="0" w:color="auto"/>
                            <w:right w:val="none" w:sz="0" w:space="0" w:color="auto"/>
                          </w:divBdr>
                          <w:divsChild>
                            <w:div w:id="1515457358">
                              <w:marLeft w:val="0"/>
                              <w:marRight w:val="0"/>
                              <w:marTop w:val="100"/>
                              <w:marBottom w:val="100"/>
                              <w:divBdr>
                                <w:top w:val="single" w:sz="2" w:space="0" w:color="D9D9E3"/>
                                <w:left w:val="single" w:sz="2" w:space="0" w:color="D9D9E3"/>
                                <w:bottom w:val="single" w:sz="2" w:space="0" w:color="D9D9E3"/>
                                <w:right w:val="single" w:sz="2" w:space="0" w:color="D9D9E3"/>
                              </w:divBdr>
                              <w:divsChild>
                                <w:div w:id="376198202">
                                  <w:marLeft w:val="0"/>
                                  <w:marRight w:val="0"/>
                                  <w:marTop w:val="0"/>
                                  <w:marBottom w:val="0"/>
                                  <w:divBdr>
                                    <w:top w:val="single" w:sz="2" w:space="0" w:color="D9D9E3"/>
                                    <w:left w:val="single" w:sz="2" w:space="0" w:color="D9D9E3"/>
                                    <w:bottom w:val="single" w:sz="2" w:space="0" w:color="D9D9E3"/>
                                    <w:right w:val="single" w:sz="2" w:space="0" w:color="D9D9E3"/>
                                  </w:divBdr>
                                  <w:divsChild>
                                    <w:div w:id="1109855156">
                                      <w:marLeft w:val="0"/>
                                      <w:marRight w:val="0"/>
                                      <w:marTop w:val="0"/>
                                      <w:marBottom w:val="0"/>
                                      <w:divBdr>
                                        <w:top w:val="single" w:sz="2" w:space="0" w:color="D9D9E3"/>
                                        <w:left w:val="single" w:sz="2" w:space="0" w:color="D9D9E3"/>
                                        <w:bottom w:val="single" w:sz="2" w:space="0" w:color="D9D9E3"/>
                                        <w:right w:val="single" w:sz="2" w:space="0" w:color="D9D9E3"/>
                                      </w:divBdr>
                                      <w:divsChild>
                                        <w:div w:id="1292520692">
                                          <w:marLeft w:val="0"/>
                                          <w:marRight w:val="0"/>
                                          <w:marTop w:val="0"/>
                                          <w:marBottom w:val="0"/>
                                          <w:divBdr>
                                            <w:top w:val="single" w:sz="2" w:space="0" w:color="D9D9E3"/>
                                            <w:left w:val="single" w:sz="2" w:space="0" w:color="D9D9E3"/>
                                            <w:bottom w:val="single" w:sz="2" w:space="0" w:color="D9D9E3"/>
                                            <w:right w:val="single" w:sz="2" w:space="0" w:color="D9D9E3"/>
                                          </w:divBdr>
                                          <w:divsChild>
                                            <w:div w:id="1744377422">
                                              <w:marLeft w:val="0"/>
                                              <w:marRight w:val="0"/>
                                              <w:marTop w:val="0"/>
                                              <w:marBottom w:val="0"/>
                                              <w:divBdr>
                                                <w:top w:val="single" w:sz="2" w:space="0" w:color="D9D9E3"/>
                                                <w:left w:val="single" w:sz="2" w:space="0" w:color="D9D9E3"/>
                                                <w:bottom w:val="single" w:sz="2" w:space="0" w:color="D9D9E3"/>
                                                <w:right w:val="single" w:sz="2" w:space="0" w:color="D9D9E3"/>
                                              </w:divBdr>
                                              <w:divsChild>
                                                <w:div w:id="253980926">
                                                  <w:marLeft w:val="0"/>
                                                  <w:marRight w:val="0"/>
                                                  <w:marTop w:val="0"/>
                                                  <w:marBottom w:val="0"/>
                                                  <w:divBdr>
                                                    <w:top w:val="single" w:sz="2" w:space="0" w:color="D9D9E3"/>
                                                    <w:left w:val="single" w:sz="2" w:space="0" w:color="D9D9E3"/>
                                                    <w:bottom w:val="single" w:sz="2" w:space="0" w:color="D9D9E3"/>
                                                    <w:right w:val="single" w:sz="2" w:space="0" w:color="D9D9E3"/>
                                                  </w:divBdr>
                                                  <w:divsChild>
                                                    <w:div w:id="42658318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102991107">
          <w:marLeft w:val="0"/>
          <w:marRight w:val="0"/>
          <w:marTop w:val="0"/>
          <w:marBottom w:val="0"/>
          <w:divBdr>
            <w:top w:val="none" w:sz="0" w:space="0" w:color="auto"/>
            <w:left w:val="none" w:sz="0" w:space="0" w:color="auto"/>
            <w:bottom w:val="none" w:sz="0" w:space="0" w:color="auto"/>
            <w:right w:val="none" w:sz="0" w:space="0" w:color="auto"/>
          </w:divBdr>
        </w:div>
      </w:divsChild>
    </w:div>
    <w:div w:id="1462378453">
      <w:bodyDiv w:val="1"/>
      <w:marLeft w:val="0"/>
      <w:marRight w:val="0"/>
      <w:marTop w:val="0"/>
      <w:marBottom w:val="0"/>
      <w:divBdr>
        <w:top w:val="none" w:sz="0" w:space="0" w:color="auto"/>
        <w:left w:val="none" w:sz="0" w:space="0" w:color="auto"/>
        <w:bottom w:val="none" w:sz="0" w:space="0" w:color="auto"/>
        <w:right w:val="none" w:sz="0" w:space="0" w:color="auto"/>
      </w:divBdr>
      <w:divsChild>
        <w:div w:id="819469272">
          <w:marLeft w:val="0"/>
          <w:marRight w:val="0"/>
          <w:marTop w:val="0"/>
          <w:marBottom w:val="0"/>
          <w:divBdr>
            <w:top w:val="single" w:sz="6" w:space="0" w:color="5B616B"/>
            <w:left w:val="single" w:sz="6" w:space="0" w:color="5B616B"/>
            <w:bottom w:val="single" w:sz="6" w:space="0" w:color="5B616B"/>
            <w:right w:val="single" w:sz="6" w:space="0" w:color="5B616B"/>
          </w:divBdr>
        </w:div>
      </w:divsChild>
    </w:div>
    <w:div w:id="1677730042">
      <w:bodyDiv w:val="1"/>
      <w:marLeft w:val="0"/>
      <w:marRight w:val="0"/>
      <w:marTop w:val="0"/>
      <w:marBottom w:val="0"/>
      <w:divBdr>
        <w:top w:val="none" w:sz="0" w:space="0" w:color="auto"/>
        <w:left w:val="none" w:sz="0" w:space="0" w:color="auto"/>
        <w:bottom w:val="none" w:sz="0" w:space="0" w:color="auto"/>
        <w:right w:val="none" w:sz="0" w:space="0" w:color="auto"/>
      </w:divBdr>
    </w:div>
    <w:div w:id="2074615900">
      <w:bodyDiv w:val="1"/>
      <w:marLeft w:val="0"/>
      <w:marRight w:val="0"/>
      <w:marTop w:val="0"/>
      <w:marBottom w:val="0"/>
      <w:divBdr>
        <w:top w:val="none" w:sz="0" w:space="0" w:color="auto"/>
        <w:left w:val="none" w:sz="0" w:space="0" w:color="auto"/>
        <w:bottom w:val="none" w:sz="0" w:space="0" w:color="auto"/>
        <w:right w:val="none" w:sz="0" w:space="0" w:color="auto"/>
      </w:divBdr>
      <w:divsChild>
        <w:div w:id="127094649">
          <w:marLeft w:val="0"/>
          <w:marRight w:val="0"/>
          <w:marTop w:val="0"/>
          <w:marBottom w:val="0"/>
          <w:divBdr>
            <w:top w:val="none" w:sz="0" w:space="0" w:color="auto"/>
            <w:left w:val="none" w:sz="0" w:space="0" w:color="auto"/>
            <w:bottom w:val="none" w:sz="0" w:space="0" w:color="auto"/>
            <w:right w:val="none" w:sz="0" w:space="0" w:color="auto"/>
          </w:divBdr>
          <w:divsChild>
            <w:div w:id="862981454">
              <w:marLeft w:val="0"/>
              <w:marRight w:val="0"/>
              <w:marTop w:val="100"/>
              <w:marBottom w:val="100"/>
              <w:divBdr>
                <w:top w:val="single" w:sz="2" w:space="0" w:color="D9D9E3"/>
                <w:left w:val="single" w:sz="2" w:space="0" w:color="D9D9E3"/>
                <w:bottom w:val="single" w:sz="2" w:space="0" w:color="D9D9E3"/>
                <w:right w:val="single" w:sz="2" w:space="0" w:color="D9D9E3"/>
              </w:divBdr>
              <w:divsChild>
                <w:div w:id="113911085">
                  <w:marLeft w:val="0"/>
                  <w:marRight w:val="0"/>
                  <w:marTop w:val="0"/>
                  <w:marBottom w:val="0"/>
                  <w:divBdr>
                    <w:top w:val="single" w:sz="2" w:space="0" w:color="D9D9E3"/>
                    <w:left w:val="single" w:sz="2" w:space="0" w:color="D9D9E3"/>
                    <w:bottom w:val="single" w:sz="2" w:space="0" w:color="D9D9E3"/>
                    <w:right w:val="single" w:sz="2" w:space="0" w:color="D9D9E3"/>
                  </w:divBdr>
                  <w:divsChild>
                    <w:div w:id="1878421699">
                      <w:marLeft w:val="0"/>
                      <w:marRight w:val="0"/>
                      <w:marTop w:val="0"/>
                      <w:marBottom w:val="0"/>
                      <w:divBdr>
                        <w:top w:val="single" w:sz="2" w:space="0" w:color="D9D9E3"/>
                        <w:left w:val="single" w:sz="2" w:space="0" w:color="D9D9E3"/>
                        <w:bottom w:val="single" w:sz="2" w:space="0" w:color="D9D9E3"/>
                        <w:right w:val="single" w:sz="2" w:space="0" w:color="D9D9E3"/>
                      </w:divBdr>
                      <w:divsChild>
                        <w:div w:id="233006287">
                          <w:marLeft w:val="0"/>
                          <w:marRight w:val="0"/>
                          <w:marTop w:val="0"/>
                          <w:marBottom w:val="0"/>
                          <w:divBdr>
                            <w:top w:val="single" w:sz="2" w:space="0" w:color="D9D9E3"/>
                            <w:left w:val="single" w:sz="2" w:space="0" w:color="D9D9E3"/>
                            <w:bottom w:val="single" w:sz="2" w:space="0" w:color="D9D9E3"/>
                            <w:right w:val="single" w:sz="2" w:space="0" w:color="D9D9E3"/>
                          </w:divBdr>
                          <w:divsChild>
                            <w:div w:id="1973437088">
                              <w:marLeft w:val="0"/>
                              <w:marRight w:val="0"/>
                              <w:marTop w:val="0"/>
                              <w:marBottom w:val="0"/>
                              <w:divBdr>
                                <w:top w:val="single" w:sz="2" w:space="0" w:color="D9D9E3"/>
                                <w:left w:val="single" w:sz="2" w:space="0" w:color="D9D9E3"/>
                                <w:bottom w:val="single" w:sz="2" w:space="0" w:color="D9D9E3"/>
                                <w:right w:val="single" w:sz="2" w:space="0" w:color="D9D9E3"/>
                              </w:divBdr>
                              <w:divsChild>
                                <w:div w:id="590431386">
                                  <w:marLeft w:val="0"/>
                                  <w:marRight w:val="0"/>
                                  <w:marTop w:val="0"/>
                                  <w:marBottom w:val="0"/>
                                  <w:divBdr>
                                    <w:top w:val="single" w:sz="2" w:space="0" w:color="D9D9E3"/>
                                    <w:left w:val="single" w:sz="2" w:space="0" w:color="D9D9E3"/>
                                    <w:bottom w:val="single" w:sz="2" w:space="0" w:color="D9D9E3"/>
                                    <w:right w:val="single" w:sz="2" w:space="0" w:color="D9D9E3"/>
                                  </w:divBdr>
                                  <w:divsChild>
                                    <w:div w:id="105107363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doi.org/10.1037/a0014345" TargetMode="External"/><Relationship Id="rId18" Type="http://schemas.openxmlformats.org/officeDocument/2006/relationships/hyperlink" Target="https://doi.org/10.1523/JNEUROSCI.4834-10.2011" TargetMode="External"/><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hyperlink" Target="https://doi.org/10.3389/feduc.2019.00018" TargetMode="External"/><Relationship Id="rId7" Type="http://schemas.openxmlformats.org/officeDocument/2006/relationships/settings" Target="settings.xml"/><Relationship Id="rId12" Type="http://schemas.openxmlformats.org/officeDocument/2006/relationships/hyperlink" Target="https://doi:10.1001/jamanetworkopen.2022.3572" TargetMode="External"/><Relationship Id="rId17" Type="http://schemas.openxmlformats.org/officeDocument/2006/relationships/hyperlink" Target="https://doi.org/10.1089/g4h.2011.0033" TargetMode="External"/><Relationship Id="rId25" Type="http://schemas.openxmlformats.org/officeDocument/2006/relationships/hyperlink" Target="https://www.free-play-mahjong.com/" TargetMode="External"/><Relationship Id="rId2" Type="http://schemas.openxmlformats.org/officeDocument/2006/relationships/customXml" Target="../customXml/item2.xml"/><Relationship Id="rId16" Type="http://schemas.openxmlformats.org/officeDocument/2006/relationships/hyperlink" Target="https://doi.org/10.1038/nn.2296" TargetMode="External"/><Relationship Id="rId20" Type="http://schemas.openxmlformats.org/officeDocument/2006/relationships/hyperlink" Target="https://doi.org/10.3389/fpsyg.2020.00786"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doi.org/10.3389/fpsyg.2011.00226" TargetMode="External"/><Relationship Id="rId24" Type="http://schemas.openxmlformats.org/officeDocument/2006/relationships/hyperlink" Target="https://doi.org/10.1038/s41598-022-10986-3" TargetMode="External"/><Relationship Id="rId5" Type="http://schemas.openxmlformats.org/officeDocument/2006/relationships/numbering" Target="numbering.xml"/><Relationship Id="rId15" Type="http://schemas.openxmlformats.org/officeDocument/2006/relationships/hyperlink" Target="https://doi.org/10.31887/DCNS.2019.21.3/skuehn" TargetMode="External"/><Relationship Id="rId23" Type="http://schemas.openxmlformats.org/officeDocument/2006/relationships/hyperlink" Target="https://doi.org/10.1371/journal.pbio.2000797" TargetMode="External"/><Relationship Id="rId10" Type="http://schemas.openxmlformats.org/officeDocument/2006/relationships/hyperlink" Target="https://doi.org/10.1145/3116595.3116608" TargetMode="External"/><Relationship Id="rId19" Type="http://schemas.openxmlformats.org/officeDocument/2006/relationships/hyperlink" Target="https://doi.org/10.1177/1529100616661983" TargetMode="External"/><Relationship Id="rId4" Type="http://schemas.openxmlformats.org/officeDocument/2006/relationships/customXml" Target="../customXml/item4.xml"/><Relationship Id="rId9" Type="http://schemas.openxmlformats.org/officeDocument/2006/relationships/hyperlink" Target="https://doi.org/10.1111/j.1469-8986.2009.00925.x" TargetMode="External"/><Relationship Id="rId14" Type="http://schemas.openxmlformats.org/officeDocument/2006/relationships/hyperlink" Target="https://doi.org/10.1038/nature01647" TargetMode="External"/><Relationship Id="rId22" Type="http://schemas.openxmlformats.org/officeDocument/2006/relationships/hyperlink" Target="https://doi.org/10.1207/s15516709cog1202_4"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be49ff73-cec0-4379-9da8-63ff3cc411bb" xsi:nil="true"/>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891B451D30E41240A96500EC6D397FB6" ma:contentTypeVersion="15" ma:contentTypeDescription="Create a new document." ma:contentTypeScope="" ma:versionID="e0ea6924180cf088d4f51dedc1f96aa3">
  <xsd:schema xmlns:xsd="http://www.w3.org/2001/XMLSchema" xmlns:xs="http://www.w3.org/2001/XMLSchema" xmlns:p="http://schemas.microsoft.com/office/2006/metadata/properties" xmlns:ns3="be49ff73-cec0-4379-9da8-63ff3cc411bb" xmlns:ns4="90b58af8-24e5-4252-ab67-b2f2985aee88" targetNamespace="http://schemas.microsoft.com/office/2006/metadata/properties" ma:root="true" ma:fieldsID="84d711fa1e340a8bce1606c88f504fc3" ns3:_="" ns4:_="">
    <xsd:import namespace="be49ff73-cec0-4379-9da8-63ff3cc411bb"/>
    <xsd:import namespace="90b58af8-24e5-4252-ab67-b2f2985aee88"/>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DateTaken" minOccurs="0"/>
                <xsd:element ref="ns3:MediaServiceAutoTags" minOccurs="0"/>
                <xsd:element ref="ns3:MediaLengthInSeconds" minOccurs="0"/>
                <xsd:element ref="ns4:SharedWithUsers" minOccurs="0"/>
                <xsd:element ref="ns4:SharedWithDetails" minOccurs="0"/>
                <xsd:element ref="ns4:SharingHintHash" minOccurs="0"/>
                <xsd:element ref="ns3:MediaServiceSearchProperties" minOccurs="0"/>
                <xsd:element ref="ns3:_activity" minOccurs="0"/>
                <xsd:element ref="ns3:MediaServiceObjectDetectorVersions"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e49ff73-cec0-4379-9da8-63ff3cc411b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LengthInSeconds" ma:index="14" nillable="true" ma:displayName="MediaLengthInSeconds" ma:hidden="true" ma:internalName="MediaLengthInSeconds" ma:readOnly="true">
      <xsd:simpleType>
        <xsd:restriction base="dms:Unknown"/>
      </xsd:simpleType>
    </xsd:element>
    <xsd:element name="MediaServiceSearchProperties" ma:index="18" nillable="true" ma:displayName="MediaServiceSearchProperties" ma:hidden="true" ma:internalName="MediaServiceSearchProperties" ma:readOnly="true">
      <xsd:simpleType>
        <xsd:restriction base="dms:Note"/>
      </xsd:simpleType>
    </xsd:element>
    <xsd:element name="_activity" ma:index="19" nillable="true" ma:displayName="_activity" ma:hidden="true" ma:internalName="_activity">
      <xsd:simpleType>
        <xsd:restriction base="dms:Note"/>
      </xsd:simpleType>
    </xsd:element>
    <xsd:element name="MediaServiceObjectDetectorVersions" ma:index="20" nillable="true" ma:displayName="MediaServiceObjectDetectorVersions" ma:hidden="true" ma:indexed="true" ma:internalName="MediaServiceObjectDetectorVersions" ma:readOnly="true">
      <xsd:simpleType>
        <xsd:restriction base="dms:Text"/>
      </xsd:simpleType>
    </xsd:element>
    <xsd:element name="MediaServiceGenerationTime" ma:index="21" nillable="true" ma:displayName="MediaServiceGenerationTime" ma:hidden="true" ma:internalName="MediaServiceGenerationTime" ma:readOnly="true">
      <xsd:simpleType>
        <xsd:restriction base="dms:Text"/>
      </xsd:simpleType>
    </xsd:element>
    <xsd:element name="MediaServiceEventHashCode" ma:index="22"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0b58af8-24e5-4252-ab67-b2f2985aee88" elementFormDefault="qualified">
    <xsd:import namespace="http://schemas.microsoft.com/office/2006/documentManagement/types"/>
    <xsd:import namespace="http://schemas.microsoft.com/office/infopath/2007/PartnerControls"/>
    <xsd:element name="SharedWithUsers" ma:index="15"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6" nillable="true" ma:displayName="Shared With Details" ma:internalName="SharedWithDetails" ma:readOnly="true">
      <xsd:simpleType>
        <xsd:restriction base="dms:Note">
          <xsd:maxLength value="255"/>
        </xsd:restriction>
      </xsd:simpleType>
    </xsd:element>
    <xsd:element name="SharingHintHash" ma:index="17"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022C4EAC-CFFA-4B27-9E5C-C5BC68F6A45B}">
  <ds:schemaRefs>
    <ds:schemaRef ds:uri="http://schemas.openxmlformats.org/officeDocument/2006/bibliography"/>
  </ds:schemaRefs>
</ds:datastoreItem>
</file>

<file path=customXml/itemProps2.xml><?xml version="1.0" encoding="utf-8"?>
<ds:datastoreItem xmlns:ds="http://schemas.openxmlformats.org/officeDocument/2006/customXml" ds:itemID="{EB09BC59-1506-4D32-84C2-303DBD92269B}">
  <ds:schemaRefs>
    <ds:schemaRef ds:uri="http://schemas.microsoft.com/sharepoint/v3/contenttype/forms"/>
  </ds:schemaRefs>
</ds:datastoreItem>
</file>

<file path=customXml/itemProps3.xml><?xml version="1.0" encoding="utf-8"?>
<ds:datastoreItem xmlns:ds="http://schemas.openxmlformats.org/officeDocument/2006/customXml" ds:itemID="{651AC4AA-27A8-4D6B-92CD-7563FCA64B98}">
  <ds:schemaRefs>
    <ds:schemaRef ds:uri="http://schemas.microsoft.com/office/2006/metadata/properties"/>
    <ds:schemaRef ds:uri="http://schemas.microsoft.com/office/infopath/2007/PartnerControls"/>
    <ds:schemaRef ds:uri="be49ff73-cec0-4379-9da8-63ff3cc411bb"/>
  </ds:schemaRefs>
</ds:datastoreItem>
</file>

<file path=customXml/itemProps4.xml><?xml version="1.0" encoding="utf-8"?>
<ds:datastoreItem xmlns:ds="http://schemas.openxmlformats.org/officeDocument/2006/customXml" ds:itemID="{29D871B6-1637-48C5-B0B4-5B2B81BD513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e49ff73-cec0-4379-9da8-63ff3cc411bb"/>
    <ds:schemaRef ds:uri="90b58af8-24e5-4252-ab67-b2f2985aee8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5948</TotalTime>
  <Pages>15</Pages>
  <Words>3822</Words>
  <Characters>21786</Characters>
  <Application>Microsoft Office Word</Application>
  <DocSecurity>0</DocSecurity>
  <Lines>181</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25557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Claudia Varallo (2100048)</dc:creator>
  <cp:keywords/>
  <dc:description/>
  <cp:lastModifiedBy>Claudia Varallo (2100048)</cp:lastModifiedBy>
  <cp:revision>310</cp:revision>
  <dcterms:created xsi:type="dcterms:W3CDTF">2023-10-26T12:40:00Z</dcterms:created>
  <dcterms:modified xsi:type="dcterms:W3CDTF">2023-11-27T13:56:00Z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0x010100891B451D30E41240A96500EC6D397FB6</vt:lpwstr>
  </property>
</Properties>
</file>