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251744906"/>
        <w:docPartObj>
          <w:docPartGallery w:val="Cover Pages"/>
          <w:docPartUnique/>
        </w:docPartObj>
      </w:sdtPr>
      <w:sdtEndPr>
        <w:rPr>
          <w:rFonts w:eastAsiaTheme="majorEastAsia"/>
          <w:color w:val="2F5496" w:themeColor="accent1" w:themeShade="BF"/>
          <w:lang w:val="en-US"/>
        </w:rPr>
      </w:sdtEndPr>
      <w:sdtContent>
        <w:p w14:paraId="23CA674E" w14:textId="0595D016" w:rsidR="00E06D78" w:rsidRPr="00E059BC" w:rsidRDefault="00E06D78">
          <w:pPr>
            <w:rPr>
              <w:rFonts w:ascii="Times New Roman" w:hAnsi="Times New Roman" w:cs="Times New Roman"/>
              <w:sz w:val="24"/>
              <w:szCs w:val="24"/>
            </w:rPr>
          </w:pPr>
          <w:r w:rsidRPr="00E059BC">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26E9F002" wp14:editId="77A939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BF49527" w14:textId="2A6EC144" w:rsidR="00E06D78" w:rsidRDefault="006934D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06D78">
                                      <w:rPr>
                                        <w:noProof/>
                                        <w:color w:val="44546A" w:themeColor="text2"/>
                                      </w:rPr>
                                      <w:t>Jo Edwards</w:t>
                                    </w:r>
                                  </w:sdtContent>
                                </w:sdt>
                                <w:r w:rsidR="00E059BC">
                                  <w:rPr>
                                    <w:noProof/>
                                    <w:color w:val="44546A" w:themeColor="text2"/>
                                  </w:rPr>
                                  <w:t xml:space="preserve"> (2117195)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6E9F00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BF49527" w14:textId="2A6EC144" w:rsidR="00E06D78" w:rsidRDefault="006934D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06D78">
                                <w:rPr>
                                  <w:noProof/>
                                  <w:color w:val="44546A" w:themeColor="text2"/>
                                </w:rPr>
                                <w:t>Jo Edwards</w:t>
                              </w:r>
                            </w:sdtContent>
                          </w:sdt>
                          <w:r w:rsidR="00E059BC">
                            <w:rPr>
                              <w:noProof/>
                              <w:color w:val="44546A" w:themeColor="text2"/>
                            </w:rPr>
                            <w:t xml:space="preserve"> (2117195)</w:t>
                          </w:r>
                        </w:p>
                      </w:txbxContent>
                    </v:textbox>
                    <w10:wrap type="square" anchorx="page" anchory="page"/>
                  </v:shape>
                </w:pict>
              </mc:Fallback>
            </mc:AlternateContent>
          </w:r>
          <w:r w:rsidRPr="00E059BC">
            <w:rPr>
              <w:rFonts w:ascii="Times New Roman" w:hAnsi="Times New Roman" w:cs="Times New Roman"/>
              <w:noProof/>
              <w:sz w:val="24"/>
              <w:szCs w:val="24"/>
            </w:rPr>
            <mc:AlternateContent>
              <mc:Choice Requires="wps">
                <w:drawing>
                  <wp:anchor distT="0" distB="0" distL="114300" distR="114300" simplePos="0" relativeHeight="251663360" behindDoc="1" locked="0" layoutInCell="1" allowOverlap="1" wp14:anchorId="3220BBC0" wp14:editId="2CCF8F7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61E47F" w14:textId="77777777" w:rsidR="00E06D78" w:rsidRDefault="00E06D7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20BBC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61E47F" w14:textId="77777777" w:rsidR="00E06D78" w:rsidRDefault="00E06D78"/>
                      </w:txbxContent>
                    </v:textbox>
                    <w10:wrap anchorx="page" anchory="page"/>
                  </v:rect>
                </w:pict>
              </mc:Fallback>
            </mc:AlternateContent>
          </w:r>
          <w:r w:rsidRPr="00E059B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1C086FA" wp14:editId="4206F31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F9278F" w14:textId="05D012F6" w:rsidR="00E06D78" w:rsidRDefault="006934D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B1ACD">
                                      <w:rPr>
                                        <w:color w:val="FFFFFF" w:themeColor="background1"/>
                                      </w:rPr>
                                      <w:t xml:space="preserve">An analysis of </w:t>
                                    </w:r>
                                    <w:r w:rsidR="00635566">
                                      <w:rPr>
                                        <w:color w:val="FFFFFF" w:themeColor="background1"/>
                                      </w:rPr>
                                      <w:t>Aston Martin Lagonda</w:t>
                                    </w:r>
                                    <w:r w:rsidR="00AB1ACD">
                                      <w:rPr>
                                        <w:color w:val="FFFFFF" w:themeColor="background1"/>
                                      </w:rPr>
                                      <w:t xml:space="preserve"> Global Holdings PLC</w:t>
                                    </w:r>
                                    <w:r w:rsidR="00635566">
                                      <w:rPr>
                                        <w:color w:val="FFFFFF" w:themeColor="background1"/>
                                      </w:rPr>
                                      <w:t xml:space="preserve"> </w:t>
                                    </w:r>
                                    <w:r w:rsidR="00AB1ACD">
                                      <w:rPr>
                                        <w:color w:val="FFFFFF" w:themeColor="background1"/>
                                      </w:rPr>
                                      <w:t xml:space="preserve">company performance during </w:t>
                                    </w:r>
                                    <w:proofErr w:type="gramStart"/>
                                    <w:r w:rsidR="00AB1ACD">
                                      <w:rPr>
                                        <w:color w:val="FFFFFF" w:themeColor="background1"/>
                                      </w:rPr>
                                      <w:t>financial  years</w:t>
                                    </w:r>
                                    <w:proofErr w:type="gramEnd"/>
                                    <w:r w:rsidR="00AB1ACD">
                                      <w:rPr>
                                        <w:color w:val="FFFFFF" w:themeColor="background1"/>
                                      </w:rPr>
                                      <w:t xml:space="preserve"> 2020 and 2021,  based on financial metrics for said years, available publicly  in the annual reports</w:t>
                                    </w:r>
                                    <w:r w:rsidR="000A0FA5">
                                      <w:rPr>
                                        <w:color w:val="FFFFFF" w:themeColor="background1"/>
                                      </w:rPr>
                                      <w:t>; and</w:t>
                                    </w:r>
                                    <w:r w:rsidR="00AB1ACD">
                                      <w:rPr>
                                        <w:color w:val="FFFFFF" w:themeColor="background1"/>
                                      </w:rPr>
                                      <w:t xml:space="preserve"> </w:t>
                                    </w:r>
                                    <w:r w:rsidR="000A0FA5">
                                      <w:rPr>
                                        <w:color w:val="FFFFFF" w:themeColor="background1"/>
                                      </w:rPr>
                                      <w:t>compiled</w:t>
                                    </w:r>
                                    <w:r w:rsidR="00AB1ACD">
                                      <w:rPr>
                                        <w:color w:val="FFFFFF" w:themeColor="background1"/>
                                      </w:rPr>
                                      <w:t xml:space="preserve"> to inform potential  collaboration related investment .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1C086F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9F9278F" w14:textId="05D012F6" w:rsidR="00E06D78" w:rsidRDefault="006934D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B1ACD">
                                <w:rPr>
                                  <w:color w:val="FFFFFF" w:themeColor="background1"/>
                                </w:rPr>
                                <w:t xml:space="preserve">An analysis of </w:t>
                              </w:r>
                              <w:r w:rsidR="00635566">
                                <w:rPr>
                                  <w:color w:val="FFFFFF" w:themeColor="background1"/>
                                </w:rPr>
                                <w:t>Aston Martin Lagonda</w:t>
                              </w:r>
                              <w:r w:rsidR="00AB1ACD">
                                <w:rPr>
                                  <w:color w:val="FFFFFF" w:themeColor="background1"/>
                                </w:rPr>
                                <w:t xml:space="preserve"> Global Holdings PLC</w:t>
                              </w:r>
                              <w:r w:rsidR="00635566">
                                <w:rPr>
                                  <w:color w:val="FFFFFF" w:themeColor="background1"/>
                                </w:rPr>
                                <w:t xml:space="preserve"> </w:t>
                              </w:r>
                              <w:r w:rsidR="00AB1ACD">
                                <w:rPr>
                                  <w:color w:val="FFFFFF" w:themeColor="background1"/>
                                </w:rPr>
                                <w:t xml:space="preserve">company performance during </w:t>
                              </w:r>
                              <w:proofErr w:type="gramStart"/>
                              <w:r w:rsidR="00AB1ACD">
                                <w:rPr>
                                  <w:color w:val="FFFFFF" w:themeColor="background1"/>
                                </w:rPr>
                                <w:t>financial  years</w:t>
                              </w:r>
                              <w:proofErr w:type="gramEnd"/>
                              <w:r w:rsidR="00AB1ACD">
                                <w:rPr>
                                  <w:color w:val="FFFFFF" w:themeColor="background1"/>
                                </w:rPr>
                                <w:t xml:space="preserve"> 2020 and 2021,  based on financial metrics for said years, available publicly  in the annual reports</w:t>
                              </w:r>
                              <w:r w:rsidR="000A0FA5">
                                <w:rPr>
                                  <w:color w:val="FFFFFF" w:themeColor="background1"/>
                                </w:rPr>
                                <w:t>; and</w:t>
                              </w:r>
                              <w:r w:rsidR="00AB1ACD">
                                <w:rPr>
                                  <w:color w:val="FFFFFF" w:themeColor="background1"/>
                                </w:rPr>
                                <w:t xml:space="preserve"> </w:t>
                              </w:r>
                              <w:r w:rsidR="000A0FA5">
                                <w:rPr>
                                  <w:color w:val="FFFFFF" w:themeColor="background1"/>
                                </w:rPr>
                                <w:t>compiled</w:t>
                              </w:r>
                              <w:r w:rsidR="00AB1ACD">
                                <w:rPr>
                                  <w:color w:val="FFFFFF" w:themeColor="background1"/>
                                </w:rPr>
                                <w:t xml:space="preserve"> to inform potential  collaboration related investment . </w:t>
                              </w:r>
                            </w:sdtContent>
                          </w:sdt>
                        </w:p>
                      </w:txbxContent>
                    </v:textbox>
                    <w10:wrap anchorx="page" anchory="page"/>
                  </v:rect>
                </w:pict>
              </mc:Fallback>
            </mc:AlternateContent>
          </w:r>
          <w:r w:rsidRPr="00E059B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FA9BEFC" wp14:editId="1F63E89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BCF60F" w14:textId="56DE761E" w:rsidR="00AB1ACD" w:rsidRDefault="00AB1ACD" w:rsidP="00AB1ACD">
                                <w:pPr>
                                  <w:jc w:val="center"/>
                                </w:pPr>
                                <w: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FA9BEFC"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" fillcolor="white [3212]" strokecolor="#747070 [1614]" strokeweight="1.25pt">
                    <v:textbox>
                      <w:txbxContent>
                        <w:p w14:paraId="65BCF60F" w14:textId="56DE761E" w:rsidR="00AB1ACD" w:rsidRDefault="00AB1ACD" w:rsidP="00AB1ACD">
                          <w:pPr>
                            <w:jc w:val="center"/>
                          </w:pPr>
                          <w:r>
                            <w:t>s</w:t>
                          </w:r>
                        </w:p>
                      </w:txbxContent>
                    </v:textbox>
                    <w10:wrap anchorx="page" anchory="page"/>
                  </v:rect>
                </w:pict>
              </mc:Fallback>
            </mc:AlternateContent>
          </w:r>
          <w:r w:rsidRPr="00E059BC">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CA6FDAC" wp14:editId="5D5EA6D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0F3BDB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D904C2F" w14:textId="5F5C867A" w:rsidR="00E06D78" w:rsidRPr="00E059BC" w:rsidRDefault="00E414E3">
          <w:pPr>
            <w:rPr>
              <w:rFonts w:ascii="Times New Roman" w:eastAsiaTheme="majorEastAsia" w:hAnsi="Times New Roman" w:cs="Times New Roman"/>
              <w:color w:val="2F5496" w:themeColor="accent1" w:themeShade="BF"/>
              <w:sz w:val="24"/>
              <w:szCs w:val="24"/>
              <w:lang w:val="en-US"/>
            </w:rPr>
          </w:pPr>
          <w:r w:rsidRPr="00E059BC">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33393F3" wp14:editId="6552AF5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693035" cy="138112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693504" cy="1381539"/>
                            </a:xfrm>
                            <a:prstGeom prst="rect">
                              <a:avLst/>
                            </a:prstGeom>
                            <a:noFill/>
                            <a:ln w="6350">
                              <a:noFill/>
                            </a:ln>
                            <a:effectLst/>
                          </wps:spPr>
                          <wps:txbx>
                            <w:txbxContent>
                              <w:sdt>
                                <w:sdtPr>
                                  <w:rPr>
                                    <w:rFonts w:ascii="Times New Roman" w:hAnsi="Times New Roman" w:cs="Times New Roman"/>
                                    <w:b/>
                                    <w:bCs/>
                                    <w:sz w:val="28"/>
                                    <w:szCs w:val="2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EB71861" w14:textId="3CF32737" w:rsidR="00E06D78" w:rsidRDefault="00E414E3">
                                    <w:pPr>
                                      <w:spacing w:line="240" w:lineRule="auto"/>
                                      <w:rPr>
                                        <w:rFonts w:asciiTheme="majorHAnsi" w:eastAsiaTheme="majorEastAsia" w:hAnsiTheme="majorHAnsi" w:cstheme="majorBidi"/>
                                        <w:noProof/>
                                        <w:color w:val="4472C4" w:themeColor="accent1"/>
                                        <w:sz w:val="72"/>
                                        <w:szCs w:val="144"/>
                                      </w:rPr>
                                    </w:pPr>
                                    <w:r>
                                      <w:rPr>
                                        <w:rFonts w:ascii="Times New Roman" w:hAnsi="Times New Roman" w:cs="Times New Roman"/>
                                        <w:b/>
                                        <w:bCs/>
                                        <w:sz w:val="28"/>
                                        <w:szCs w:val="28"/>
                                      </w:rPr>
                                      <w:t xml:space="preserve">Report: </w:t>
                                    </w:r>
                                    <w:r w:rsidR="00E06D78" w:rsidRPr="00E06D78">
                                      <w:rPr>
                                        <w:rFonts w:ascii="Times New Roman" w:hAnsi="Times New Roman" w:cs="Times New Roman"/>
                                        <w:b/>
                                        <w:bCs/>
                                        <w:sz w:val="28"/>
                                        <w:szCs w:val="28"/>
                                      </w:rPr>
                                      <w:t>Collaboration with Aston Martin Lagonda</w:t>
                                    </w:r>
                                  </w:p>
                                </w:sdtContent>
                              </w:sdt>
                              <w:sdt>
                                <w:sdtPr>
                                  <w:rPr>
                                    <w:rFonts w:ascii="Times New Roman" w:hAnsi="Times New Roman" w:cs="Times New Roman"/>
                                    <w:b/>
                                    <w:bCs/>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12F2BB6" w14:textId="083CA343" w:rsidR="00E06D78" w:rsidRDefault="00E414E3" w:rsidP="000F1FA7">
                                    <w:pPr>
                                      <w:jc w:val="right"/>
                                      <w:rPr>
                                        <w:rFonts w:asciiTheme="majorHAnsi" w:eastAsiaTheme="majorEastAsia" w:hAnsiTheme="majorHAnsi" w:cstheme="majorBidi"/>
                                        <w:noProof/>
                                        <w:color w:val="44546A" w:themeColor="text2"/>
                                        <w:sz w:val="32"/>
                                        <w:szCs w:val="40"/>
                                      </w:rPr>
                                    </w:pPr>
                                    <w:r>
                                      <w:rPr>
                                        <w:rFonts w:ascii="Times New Roman" w:hAnsi="Times New Roman" w:cs="Times New Roman"/>
                                        <w:b/>
                                        <w:bCs/>
                                        <w:sz w:val="24"/>
                                        <w:szCs w:val="24"/>
                                      </w:rPr>
                                      <w:t xml:space="preserve">A </w:t>
                                    </w:r>
                                    <w:r w:rsidR="00E06D78" w:rsidRPr="000F1FA7">
                                      <w:rPr>
                                        <w:rFonts w:ascii="Times New Roman" w:hAnsi="Times New Roman" w:cs="Times New Roman"/>
                                        <w:b/>
                                        <w:bCs/>
                                        <w:sz w:val="24"/>
                                        <w:szCs w:val="24"/>
                                      </w:rPr>
                                      <w:t>Risk Management Assessment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3393F3" id="Text Box 470" o:spid="_x0000_s1030" type="#_x0000_t202" style="position:absolute;margin-left:0;margin-top:0;width:212.05pt;height:108.75pt;z-index:251661312;visibility:visible;mso-wrap-style:square;mso-width-percent:0;mso-height-percent:0;mso-left-percent:455;mso-top-percent:350;mso-wrap-distance-left:9pt;mso-wrap-distance-top:0;mso-wrap-distance-right:9pt;mso-wrap-distance-bottom:0;mso-position-horizontal-relative:page;mso-position-vertical-relative:page;mso-width-percent: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" filled="f" stroked="f" strokeweight=".5pt">
                    <v:textbox>
                      <w:txbxContent>
                        <w:sdt>
                          <w:sdtPr>
                            <w:rPr>
                              <w:rFonts w:ascii="Times New Roman" w:hAnsi="Times New Roman" w:cs="Times New Roman"/>
                              <w:b/>
                              <w:bCs/>
                              <w:sz w:val="28"/>
                              <w:szCs w:val="2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EB71861" w14:textId="3CF32737" w:rsidR="00E06D78" w:rsidRDefault="00E414E3">
                              <w:pPr>
                                <w:spacing w:line="240" w:lineRule="auto"/>
                                <w:rPr>
                                  <w:rFonts w:asciiTheme="majorHAnsi" w:eastAsiaTheme="majorEastAsia" w:hAnsiTheme="majorHAnsi" w:cstheme="majorBidi"/>
                                  <w:noProof/>
                                  <w:color w:val="4472C4" w:themeColor="accent1"/>
                                  <w:sz w:val="72"/>
                                  <w:szCs w:val="144"/>
                                </w:rPr>
                              </w:pPr>
                              <w:r>
                                <w:rPr>
                                  <w:rFonts w:ascii="Times New Roman" w:hAnsi="Times New Roman" w:cs="Times New Roman"/>
                                  <w:b/>
                                  <w:bCs/>
                                  <w:sz w:val="28"/>
                                  <w:szCs w:val="28"/>
                                </w:rPr>
                                <w:t xml:space="preserve">Report: </w:t>
                              </w:r>
                              <w:r w:rsidR="00E06D78" w:rsidRPr="00E06D78">
                                <w:rPr>
                                  <w:rFonts w:ascii="Times New Roman" w:hAnsi="Times New Roman" w:cs="Times New Roman"/>
                                  <w:b/>
                                  <w:bCs/>
                                  <w:sz w:val="28"/>
                                  <w:szCs w:val="28"/>
                                </w:rPr>
                                <w:t>Collaboration with Aston Martin Lagonda</w:t>
                              </w:r>
                            </w:p>
                          </w:sdtContent>
                        </w:sdt>
                        <w:sdt>
                          <w:sdtPr>
                            <w:rPr>
                              <w:rFonts w:ascii="Times New Roman" w:hAnsi="Times New Roman" w:cs="Times New Roman"/>
                              <w:b/>
                              <w:bCs/>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12F2BB6" w14:textId="083CA343" w:rsidR="00E06D78" w:rsidRDefault="00E414E3" w:rsidP="000F1FA7">
                              <w:pPr>
                                <w:jc w:val="right"/>
                                <w:rPr>
                                  <w:rFonts w:asciiTheme="majorHAnsi" w:eastAsiaTheme="majorEastAsia" w:hAnsiTheme="majorHAnsi" w:cstheme="majorBidi"/>
                                  <w:noProof/>
                                  <w:color w:val="44546A" w:themeColor="text2"/>
                                  <w:sz w:val="32"/>
                                  <w:szCs w:val="40"/>
                                </w:rPr>
                              </w:pPr>
                              <w:r>
                                <w:rPr>
                                  <w:rFonts w:ascii="Times New Roman" w:hAnsi="Times New Roman" w:cs="Times New Roman"/>
                                  <w:b/>
                                  <w:bCs/>
                                  <w:sz w:val="24"/>
                                  <w:szCs w:val="24"/>
                                </w:rPr>
                                <w:t xml:space="preserve">A </w:t>
                              </w:r>
                              <w:r w:rsidR="00E06D78" w:rsidRPr="000F1FA7">
                                <w:rPr>
                                  <w:rFonts w:ascii="Times New Roman" w:hAnsi="Times New Roman" w:cs="Times New Roman"/>
                                  <w:b/>
                                  <w:bCs/>
                                  <w:sz w:val="24"/>
                                  <w:szCs w:val="24"/>
                                </w:rPr>
                                <w:t>Risk Management Assessment</w:t>
                              </w:r>
                            </w:p>
                          </w:sdtContent>
                        </w:sdt>
                      </w:txbxContent>
                    </v:textbox>
                    <w10:wrap type="square" anchorx="page" anchory="page"/>
                  </v:shape>
                </w:pict>
              </mc:Fallback>
            </mc:AlternateContent>
          </w:r>
          <w:r w:rsidR="00E06D78" w:rsidRPr="00E059BC">
            <w:rPr>
              <w:rFonts w:ascii="Times New Roman" w:eastAsiaTheme="majorEastAsia" w:hAnsi="Times New Roman" w:cs="Times New Roman"/>
              <w:color w:val="2F5496" w:themeColor="accent1" w:themeShade="BF"/>
              <w:sz w:val="24"/>
              <w:szCs w:val="24"/>
              <w:lang w:val="en-US"/>
            </w:rPr>
            <w:br w:type="page"/>
          </w:r>
        </w:p>
      </w:sdtContent>
    </w:sdt>
    <w:p w14:paraId="37B56EA6" w14:textId="77777777" w:rsidR="00E06D78" w:rsidRPr="00E059BC" w:rsidRDefault="00E06D78">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929504009"/>
        <w:docPartObj>
          <w:docPartGallery w:val="Table of Contents"/>
          <w:docPartUnique/>
        </w:docPartObj>
      </w:sdtPr>
      <w:sdtEndPr>
        <w:rPr>
          <w:b/>
          <w:bCs/>
          <w:noProof/>
        </w:rPr>
      </w:sdtEndPr>
      <w:sdtContent>
        <w:p w14:paraId="13C7700F" w14:textId="4F0AD4AA" w:rsidR="00E06D78" w:rsidRPr="00E059BC" w:rsidRDefault="00E06D78">
          <w:pPr>
            <w:pStyle w:val="TOCHeading"/>
            <w:rPr>
              <w:rFonts w:ascii="Times New Roman" w:hAnsi="Times New Roman" w:cs="Times New Roman"/>
              <w:sz w:val="24"/>
              <w:szCs w:val="24"/>
            </w:rPr>
          </w:pPr>
          <w:r w:rsidRPr="00E059BC">
            <w:rPr>
              <w:rFonts w:ascii="Times New Roman" w:hAnsi="Times New Roman" w:cs="Times New Roman"/>
              <w:sz w:val="24"/>
              <w:szCs w:val="24"/>
            </w:rPr>
            <w:t>Contents</w:t>
          </w:r>
        </w:p>
        <w:p w14:paraId="24AED546" w14:textId="14824BFF" w:rsidR="00EF101F" w:rsidRDefault="00E06D78">
          <w:pPr>
            <w:pStyle w:val="TOC1"/>
            <w:tabs>
              <w:tab w:val="right" w:leader="dot" w:pos="9016"/>
            </w:tabs>
            <w:rPr>
              <w:rFonts w:eastAsiaTheme="minorEastAsia"/>
              <w:noProof/>
              <w:lang w:eastAsia="en-GB"/>
            </w:rPr>
          </w:pPr>
          <w:r w:rsidRPr="00E059BC">
            <w:rPr>
              <w:rFonts w:ascii="Times New Roman" w:hAnsi="Times New Roman" w:cs="Times New Roman"/>
              <w:sz w:val="24"/>
              <w:szCs w:val="24"/>
            </w:rPr>
            <w:fldChar w:fldCharType="begin"/>
          </w:r>
          <w:r w:rsidRPr="00E059BC">
            <w:rPr>
              <w:rFonts w:ascii="Times New Roman" w:hAnsi="Times New Roman" w:cs="Times New Roman"/>
              <w:sz w:val="24"/>
              <w:szCs w:val="24"/>
            </w:rPr>
            <w:instrText xml:space="preserve"> TOC \o "1-3" \h \z \u </w:instrText>
          </w:r>
          <w:r w:rsidRPr="00E059BC">
            <w:rPr>
              <w:rFonts w:ascii="Times New Roman" w:hAnsi="Times New Roman" w:cs="Times New Roman"/>
              <w:sz w:val="24"/>
              <w:szCs w:val="24"/>
            </w:rPr>
            <w:fldChar w:fldCharType="separate"/>
          </w:r>
          <w:hyperlink w:anchor="_Toc125378677" w:history="1">
            <w:r w:rsidR="00EF101F" w:rsidRPr="001A5FD6">
              <w:rPr>
                <w:rStyle w:val="Hyperlink"/>
                <w:rFonts w:ascii="Times New Roman" w:hAnsi="Times New Roman" w:cs="Times New Roman"/>
                <w:noProof/>
              </w:rPr>
              <w:t>Introduction.</w:t>
            </w:r>
            <w:r w:rsidR="00EF101F">
              <w:rPr>
                <w:noProof/>
                <w:webHidden/>
              </w:rPr>
              <w:tab/>
            </w:r>
            <w:r w:rsidR="00EF101F">
              <w:rPr>
                <w:noProof/>
                <w:webHidden/>
              </w:rPr>
              <w:fldChar w:fldCharType="begin"/>
            </w:r>
            <w:r w:rsidR="00EF101F">
              <w:rPr>
                <w:noProof/>
                <w:webHidden/>
              </w:rPr>
              <w:instrText xml:space="preserve"> PAGEREF _Toc125378677 \h </w:instrText>
            </w:r>
            <w:r w:rsidR="00EF101F">
              <w:rPr>
                <w:noProof/>
                <w:webHidden/>
              </w:rPr>
            </w:r>
            <w:r w:rsidR="00EF101F">
              <w:rPr>
                <w:noProof/>
                <w:webHidden/>
              </w:rPr>
              <w:fldChar w:fldCharType="separate"/>
            </w:r>
            <w:r w:rsidR="00476A67">
              <w:rPr>
                <w:noProof/>
                <w:webHidden/>
              </w:rPr>
              <w:t>2</w:t>
            </w:r>
            <w:r w:rsidR="00EF101F">
              <w:rPr>
                <w:noProof/>
                <w:webHidden/>
              </w:rPr>
              <w:fldChar w:fldCharType="end"/>
            </w:r>
          </w:hyperlink>
        </w:p>
        <w:p w14:paraId="6238B3B2" w14:textId="7FF93F5E" w:rsidR="00EF101F" w:rsidRDefault="00EF101F">
          <w:pPr>
            <w:pStyle w:val="TOC2"/>
            <w:tabs>
              <w:tab w:val="right" w:leader="dot" w:pos="9016"/>
            </w:tabs>
            <w:rPr>
              <w:rFonts w:eastAsiaTheme="minorEastAsia"/>
              <w:noProof/>
              <w:lang w:eastAsia="en-GB"/>
            </w:rPr>
          </w:pPr>
          <w:hyperlink w:anchor="_Toc125378678" w:history="1">
            <w:r w:rsidRPr="001A5FD6">
              <w:rPr>
                <w:rStyle w:val="Hyperlink"/>
                <w:rFonts w:ascii="Times New Roman" w:hAnsi="Times New Roman" w:cs="Times New Roman"/>
                <w:noProof/>
              </w:rPr>
              <w:t>Aston Martin Lagonda background</w:t>
            </w:r>
            <w:r>
              <w:rPr>
                <w:noProof/>
                <w:webHidden/>
              </w:rPr>
              <w:tab/>
            </w:r>
            <w:r>
              <w:rPr>
                <w:noProof/>
                <w:webHidden/>
              </w:rPr>
              <w:fldChar w:fldCharType="begin"/>
            </w:r>
            <w:r>
              <w:rPr>
                <w:noProof/>
                <w:webHidden/>
              </w:rPr>
              <w:instrText xml:space="preserve"> PAGEREF _Toc125378678 \h </w:instrText>
            </w:r>
            <w:r>
              <w:rPr>
                <w:noProof/>
                <w:webHidden/>
              </w:rPr>
            </w:r>
            <w:r>
              <w:rPr>
                <w:noProof/>
                <w:webHidden/>
              </w:rPr>
              <w:fldChar w:fldCharType="separate"/>
            </w:r>
            <w:r w:rsidR="00476A67">
              <w:rPr>
                <w:noProof/>
                <w:webHidden/>
              </w:rPr>
              <w:t>2</w:t>
            </w:r>
            <w:r>
              <w:rPr>
                <w:noProof/>
                <w:webHidden/>
              </w:rPr>
              <w:fldChar w:fldCharType="end"/>
            </w:r>
          </w:hyperlink>
        </w:p>
        <w:p w14:paraId="3452A8A1" w14:textId="79B274B2" w:rsidR="00EF101F" w:rsidRDefault="00EF101F">
          <w:pPr>
            <w:pStyle w:val="TOC2"/>
            <w:tabs>
              <w:tab w:val="right" w:leader="dot" w:pos="9016"/>
            </w:tabs>
            <w:rPr>
              <w:rFonts w:eastAsiaTheme="minorEastAsia"/>
              <w:noProof/>
              <w:lang w:eastAsia="en-GB"/>
            </w:rPr>
          </w:pPr>
          <w:hyperlink w:anchor="_Toc125378679" w:history="1">
            <w:r w:rsidRPr="001A5FD6">
              <w:rPr>
                <w:rStyle w:val="Hyperlink"/>
                <w:rFonts w:ascii="Times New Roman" w:hAnsi="Times New Roman" w:cs="Times New Roman"/>
                <w:noProof/>
              </w:rPr>
              <w:t>Assumptions</w:t>
            </w:r>
            <w:r>
              <w:rPr>
                <w:noProof/>
                <w:webHidden/>
              </w:rPr>
              <w:tab/>
            </w:r>
            <w:r>
              <w:rPr>
                <w:noProof/>
                <w:webHidden/>
              </w:rPr>
              <w:fldChar w:fldCharType="begin"/>
            </w:r>
            <w:r>
              <w:rPr>
                <w:noProof/>
                <w:webHidden/>
              </w:rPr>
              <w:instrText xml:space="preserve"> PAGEREF _Toc125378679 \h </w:instrText>
            </w:r>
            <w:r>
              <w:rPr>
                <w:noProof/>
                <w:webHidden/>
              </w:rPr>
            </w:r>
            <w:r>
              <w:rPr>
                <w:noProof/>
                <w:webHidden/>
              </w:rPr>
              <w:fldChar w:fldCharType="separate"/>
            </w:r>
            <w:r w:rsidR="00476A67">
              <w:rPr>
                <w:noProof/>
                <w:webHidden/>
              </w:rPr>
              <w:t>2</w:t>
            </w:r>
            <w:r>
              <w:rPr>
                <w:noProof/>
                <w:webHidden/>
              </w:rPr>
              <w:fldChar w:fldCharType="end"/>
            </w:r>
          </w:hyperlink>
        </w:p>
        <w:p w14:paraId="621BF0B8" w14:textId="34708B5D" w:rsidR="00EF101F" w:rsidRDefault="00EF101F">
          <w:pPr>
            <w:pStyle w:val="TOC2"/>
            <w:tabs>
              <w:tab w:val="right" w:leader="dot" w:pos="9016"/>
            </w:tabs>
            <w:rPr>
              <w:rFonts w:eastAsiaTheme="minorEastAsia"/>
              <w:noProof/>
              <w:lang w:eastAsia="en-GB"/>
            </w:rPr>
          </w:pPr>
          <w:hyperlink w:anchor="_Toc125378680" w:history="1">
            <w:r w:rsidRPr="001A5FD6">
              <w:rPr>
                <w:rStyle w:val="Hyperlink"/>
                <w:rFonts w:ascii="Times New Roman" w:hAnsi="Times New Roman" w:cs="Times New Roman"/>
                <w:noProof/>
              </w:rPr>
              <w:t>Objective</w:t>
            </w:r>
            <w:r>
              <w:rPr>
                <w:noProof/>
                <w:webHidden/>
              </w:rPr>
              <w:tab/>
            </w:r>
            <w:r>
              <w:rPr>
                <w:noProof/>
                <w:webHidden/>
              </w:rPr>
              <w:fldChar w:fldCharType="begin"/>
            </w:r>
            <w:r>
              <w:rPr>
                <w:noProof/>
                <w:webHidden/>
              </w:rPr>
              <w:instrText xml:space="preserve"> PAGEREF _Toc125378680 \h </w:instrText>
            </w:r>
            <w:r>
              <w:rPr>
                <w:noProof/>
                <w:webHidden/>
              </w:rPr>
            </w:r>
            <w:r>
              <w:rPr>
                <w:noProof/>
                <w:webHidden/>
              </w:rPr>
              <w:fldChar w:fldCharType="separate"/>
            </w:r>
            <w:r w:rsidR="00476A67">
              <w:rPr>
                <w:noProof/>
                <w:webHidden/>
              </w:rPr>
              <w:t>2</w:t>
            </w:r>
            <w:r>
              <w:rPr>
                <w:noProof/>
                <w:webHidden/>
              </w:rPr>
              <w:fldChar w:fldCharType="end"/>
            </w:r>
          </w:hyperlink>
        </w:p>
        <w:p w14:paraId="64EEA094" w14:textId="66B78807" w:rsidR="00EF101F" w:rsidRDefault="00EF101F">
          <w:pPr>
            <w:pStyle w:val="TOC1"/>
            <w:tabs>
              <w:tab w:val="right" w:leader="dot" w:pos="9016"/>
            </w:tabs>
            <w:rPr>
              <w:rFonts w:eastAsiaTheme="minorEastAsia"/>
              <w:noProof/>
              <w:lang w:eastAsia="en-GB"/>
            </w:rPr>
          </w:pPr>
          <w:hyperlink w:anchor="_Toc125378681" w:history="1">
            <w:r w:rsidRPr="001A5FD6">
              <w:rPr>
                <w:rStyle w:val="Hyperlink"/>
                <w:rFonts w:ascii="Times New Roman" w:hAnsi="Times New Roman" w:cs="Times New Roman"/>
                <w:noProof/>
              </w:rPr>
              <w:t>Financial Ratios</w:t>
            </w:r>
            <w:r>
              <w:rPr>
                <w:noProof/>
                <w:webHidden/>
              </w:rPr>
              <w:tab/>
            </w:r>
            <w:r>
              <w:rPr>
                <w:noProof/>
                <w:webHidden/>
              </w:rPr>
              <w:fldChar w:fldCharType="begin"/>
            </w:r>
            <w:r>
              <w:rPr>
                <w:noProof/>
                <w:webHidden/>
              </w:rPr>
              <w:instrText xml:space="preserve"> PAGEREF _Toc125378681 \h </w:instrText>
            </w:r>
            <w:r>
              <w:rPr>
                <w:noProof/>
                <w:webHidden/>
              </w:rPr>
            </w:r>
            <w:r>
              <w:rPr>
                <w:noProof/>
                <w:webHidden/>
              </w:rPr>
              <w:fldChar w:fldCharType="separate"/>
            </w:r>
            <w:r w:rsidR="00476A67">
              <w:rPr>
                <w:noProof/>
                <w:webHidden/>
              </w:rPr>
              <w:t>3</w:t>
            </w:r>
            <w:r>
              <w:rPr>
                <w:noProof/>
                <w:webHidden/>
              </w:rPr>
              <w:fldChar w:fldCharType="end"/>
            </w:r>
          </w:hyperlink>
        </w:p>
        <w:p w14:paraId="31933086" w14:textId="1E07292E" w:rsidR="00EF101F" w:rsidRDefault="00EF101F">
          <w:pPr>
            <w:pStyle w:val="TOC2"/>
            <w:tabs>
              <w:tab w:val="right" w:leader="dot" w:pos="9016"/>
            </w:tabs>
            <w:rPr>
              <w:rFonts w:eastAsiaTheme="minorEastAsia"/>
              <w:noProof/>
              <w:lang w:eastAsia="en-GB"/>
            </w:rPr>
          </w:pPr>
          <w:hyperlink w:anchor="_Toc125378682" w:history="1">
            <w:r w:rsidRPr="001A5FD6">
              <w:rPr>
                <w:rStyle w:val="Hyperlink"/>
                <w:rFonts w:ascii="Times New Roman" w:hAnsi="Times New Roman" w:cs="Times New Roman"/>
                <w:noProof/>
              </w:rPr>
              <w:t>Ratio analysis</w:t>
            </w:r>
            <w:r>
              <w:rPr>
                <w:noProof/>
                <w:webHidden/>
              </w:rPr>
              <w:tab/>
            </w:r>
            <w:r>
              <w:rPr>
                <w:noProof/>
                <w:webHidden/>
              </w:rPr>
              <w:fldChar w:fldCharType="begin"/>
            </w:r>
            <w:r>
              <w:rPr>
                <w:noProof/>
                <w:webHidden/>
              </w:rPr>
              <w:instrText xml:space="preserve"> PAGEREF _Toc125378682 \h </w:instrText>
            </w:r>
            <w:r>
              <w:rPr>
                <w:noProof/>
                <w:webHidden/>
              </w:rPr>
            </w:r>
            <w:r>
              <w:rPr>
                <w:noProof/>
                <w:webHidden/>
              </w:rPr>
              <w:fldChar w:fldCharType="separate"/>
            </w:r>
            <w:r w:rsidR="00476A67">
              <w:rPr>
                <w:noProof/>
                <w:webHidden/>
              </w:rPr>
              <w:t>3</w:t>
            </w:r>
            <w:r>
              <w:rPr>
                <w:noProof/>
                <w:webHidden/>
              </w:rPr>
              <w:fldChar w:fldCharType="end"/>
            </w:r>
          </w:hyperlink>
        </w:p>
        <w:p w14:paraId="76B94796" w14:textId="4F41799D" w:rsidR="00EF101F" w:rsidRDefault="00EF101F">
          <w:pPr>
            <w:pStyle w:val="TOC1"/>
            <w:tabs>
              <w:tab w:val="right" w:leader="dot" w:pos="9016"/>
            </w:tabs>
            <w:rPr>
              <w:rFonts w:eastAsiaTheme="minorEastAsia"/>
              <w:noProof/>
              <w:lang w:eastAsia="en-GB"/>
            </w:rPr>
          </w:pPr>
          <w:hyperlink w:anchor="_Toc125378683" w:history="1">
            <w:r w:rsidRPr="001A5FD6">
              <w:rPr>
                <w:rStyle w:val="Hyperlink"/>
                <w:rFonts w:ascii="Times New Roman" w:hAnsi="Times New Roman" w:cs="Times New Roman"/>
                <w:noProof/>
              </w:rPr>
              <w:t>Financial Ratios</w:t>
            </w:r>
            <w:r>
              <w:rPr>
                <w:noProof/>
                <w:webHidden/>
              </w:rPr>
              <w:tab/>
            </w:r>
            <w:r>
              <w:rPr>
                <w:noProof/>
                <w:webHidden/>
              </w:rPr>
              <w:fldChar w:fldCharType="begin"/>
            </w:r>
            <w:r>
              <w:rPr>
                <w:noProof/>
                <w:webHidden/>
              </w:rPr>
              <w:instrText xml:space="preserve"> PAGEREF _Toc125378683 \h </w:instrText>
            </w:r>
            <w:r>
              <w:rPr>
                <w:noProof/>
                <w:webHidden/>
              </w:rPr>
            </w:r>
            <w:r>
              <w:rPr>
                <w:noProof/>
                <w:webHidden/>
              </w:rPr>
              <w:fldChar w:fldCharType="separate"/>
            </w:r>
            <w:r w:rsidR="00476A67">
              <w:rPr>
                <w:noProof/>
                <w:webHidden/>
              </w:rPr>
              <w:t>3</w:t>
            </w:r>
            <w:r>
              <w:rPr>
                <w:noProof/>
                <w:webHidden/>
              </w:rPr>
              <w:fldChar w:fldCharType="end"/>
            </w:r>
          </w:hyperlink>
        </w:p>
        <w:p w14:paraId="3CFC4D90" w14:textId="38FCFA89" w:rsidR="00EF101F" w:rsidRDefault="00EF101F">
          <w:pPr>
            <w:pStyle w:val="TOC2"/>
            <w:tabs>
              <w:tab w:val="right" w:leader="dot" w:pos="9016"/>
            </w:tabs>
            <w:rPr>
              <w:rFonts w:eastAsiaTheme="minorEastAsia"/>
              <w:noProof/>
              <w:lang w:eastAsia="en-GB"/>
            </w:rPr>
          </w:pPr>
          <w:hyperlink w:anchor="_Toc125378684" w:history="1">
            <w:r w:rsidRPr="001A5FD6">
              <w:rPr>
                <w:rStyle w:val="Hyperlink"/>
                <w:rFonts w:ascii="Times New Roman" w:hAnsi="Times New Roman" w:cs="Times New Roman"/>
                <w:noProof/>
              </w:rPr>
              <w:t>Liquidity</w:t>
            </w:r>
            <w:r>
              <w:rPr>
                <w:noProof/>
                <w:webHidden/>
              </w:rPr>
              <w:tab/>
            </w:r>
            <w:r>
              <w:rPr>
                <w:noProof/>
                <w:webHidden/>
              </w:rPr>
              <w:fldChar w:fldCharType="begin"/>
            </w:r>
            <w:r>
              <w:rPr>
                <w:noProof/>
                <w:webHidden/>
              </w:rPr>
              <w:instrText xml:space="preserve"> PAGEREF _Toc125378684 \h </w:instrText>
            </w:r>
            <w:r>
              <w:rPr>
                <w:noProof/>
                <w:webHidden/>
              </w:rPr>
            </w:r>
            <w:r>
              <w:rPr>
                <w:noProof/>
                <w:webHidden/>
              </w:rPr>
              <w:fldChar w:fldCharType="separate"/>
            </w:r>
            <w:r w:rsidR="00476A67">
              <w:rPr>
                <w:noProof/>
                <w:webHidden/>
              </w:rPr>
              <w:t>3</w:t>
            </w:r>
            <w:r>
              <w:rPr>
                <w:noProof/>
                <w:webHidden/>
              </w:rPr>
              <w:fldChar w:fldCharType="end"/>
            </w:r>
          </w:hyperlink>
        </w:p>
        <w:p w14:paraId="363861C2" w14:textId="71057A0F" w:rsidR="00EF101F" w:rsidRDefault="00EF101F">
          <w:pPr>
            <w:pStyle w:val="TOC2"/>
            <w:tabs>
              <w:tab w:val="right" w:leader="dot" w:pos="9016"/>
            </w:tabs>
            <w:rPr>
              <w:rFonts w:eastAsiaTheme="minorEastAsia"/>
              <w:noProof/>
              <w:lang w:eastAsia="en-GB"/>
            </w:rPr>
          </w:pPr>
          <w:hyperlink w:anchor="_Toc125378685" w:history="1">
            <w:r w:rsidRPr="001A5FD6">
              <w:rPr>
                <w:rStyle w:val="Hyperlink"/>
                <w:rFonts w:ascii="Times New Roman" w:hAnsi="Times New Roman" w:cs="Times New Roman"/>
                <w:noProof/>
              </w:rPr>
              <w:t>Leverage</w:t>
            </w:r>
            <w:r>
              <w:rPr>
                <w:noProof/>
                <w:webHidden/>
              </w:rPr>
              <w:tab/>
            </w:r>
            <w:r>
              <w:rPr>
                <w:noProof/>
                <w:webHidden/>
              </w:rPr>
              <w:fldChar w:fldCharType="begin"/>
            </w:r>
            <w:r>
              <w:rPr>
                <w:noProof/>
                <w:webHidden/>
              </w:rPr>
              <w:instrText xml:space="preserve"> PAGEREF _Toc125378685 \h </w:instrText>
            </w:r>
            <w:r>
              <w:rPr>
                <w:noProof/>
                <w:webHidden/>
              </w:rPr>
            </w:r>
            <w:r>
              <w:rPr>
                <w:noProof/>
                <w:webHidden/>
              </w:rPr>
              <w:fldChar w:fldCharType="separate"/>
            </w:r>
            <w:r w:rsidR="00476A67">
              <w:rPr>
                <w:noProof/>
                <w:webHidden/>
              </w:rPr>
              <w:t>4</w:t>
            </w:r>
            <w:r>
              <w:rPr>
                <w:noProof/>
                <w:webHidden/>
              </w:rPr>
              <w:fldChar w:fldCharType="end"/>
            </w:r>
          </w:hyperlink>
        </w:p>
        <w:p w14:paraId="2C0B1E27" w14:textId="025CDA5A" w:rsidR="00EF101F" w:rsidRDefault="00EF101F">
          <w:pPr>
            <w:pStyle w:val="TOC2"/>
            <w:tabs>
              <w:tab w:val="right" w:leader="dot" w:pos="9016"/>
            </w:tabs>
            <w:rPr>
              <w:rFonts w:eastAsiaTheme="minorEastAsia"/>
              <w:noProof/>
              <w:lang w:eastAsia="en-GB"/>
            </w:rPr>
          </w:pPr>
          <w:hyperlink w:anchor="_Toc125378686" w:history="1">
            <w:r w:rsidRPr="001A5FD6">
              <w:rPr>
                <w:rStyle w:val="Hyperlink"/>
                <w:rFonts w:ascii="Times New Roman" w:hAnsi="Times New Roman" w:cs="Times New Roman"/>
                <w:noProof/>
              </w:rPr>
              <w:t>Activity</w:t>
            </w:r>
            <w:r>
              <w:rPr>
                <w:noProof/>
                <w:webHidden/>
              </w:rPr>
              <w:tab/>
            </w:r>
            <w:r>
              <w:rPr>
                <w:noProof/>
                <w:webHidden/>
              </w:rPr>
              <w:fldChar w:fldCharType="begin"/>
            </w:r>
            <w:r>
              <w:rPr>
                <w:noProof/>
                <w:webHidden/>
              </w:rPr>
              <w:instrText xml:space="preserve"> PAGEREF _Toc125378686 \h </w:instrText>
            </w:r>
            <w:r>
              <w:rPr>
                <w:noProof/>
                <w:webHidden/>
              </w:rPr>
            </w:r>
            <w:r>
              <w:rPr>
                <w:noProof/>
                <w:webHidden/>
              </w:rPr>
              <w:fldChar w:fldCharType="separate"/>
            </w:r>
            <w:r w:rsidR="00476A67">
              <w:rPr>
                <w:noProof/>
                <w:webHidden/>
              </w:rPr>
              <w:t>4</w:t>
            </w:r>
            <w:r>
              <w:rPr>
                <w:noProof/>
                <w:webHidden/>
              </w:rPr>
              <w:fldChar w:fldCharType="end"/>
            </w:r>
          </w:hyperlink>
        </w:p>
        <w:p w14:paraId="41908D5E" w14:textId="63C10CF8" w:rsidR="00EF101F" w:rsidRDefault="00EF101F">
          <w:pPr>
            <w:pStyle w:val="TOC2"/>
            <w:tabs>
              <w:tab w:val="right" w:leader="dot" w:pos="9016"/>
            </w:tabs>
            <w:rPr>
              <w:rFonts w:eastAsiaTheme="minorEastAsia"/>
              <w:noProof/>
              <w:lang w:eastAsia="en-GB"/>
            </w:rPr>
          </w:pPr>
          <w:hyperlink w:anchor="_Toc125378687" w:history="1">
            <w:r w:rsidRPr="001A5FD6">
              <w:rPr>
                <w:rStyle w:val="Hyperlink"/>
                <w:rFonts w:ascii="Times New Roman" w:hAnsi="Times New Roman" w:cs="Times New Roman"/>
                <w:noProof/>
              </w:rPr>
              <w:t>Profitability</w:t>
            </w:r>
            <w:r>
              <w:rPr>
                <w:noProof/>
                <w:webHidden/>
              </w:rPr>
              <w:tab/>
            </w:r>
            <w:r>
              <w:rPr>
                <w:noProof/>
                <w:webHidden/>
              </w:rPr>
              <w:fldChar w:fldCharType="begin"/>
            </w:r>
            <w:r>
              <w:rPr>
                <w:noProof/>
                <w:webHidden/>
              </w:rPr>
              <w:instrText xml:space="preserve"> PAGEREF _Toc125378687 \h </w:instrText>
            </w:r>
            <w:r>
              <w:rPr>
                <w:noProof/>
                <w:webHidden/>
              </w:rPr>
            </w:r>
            <w:r>
              <w:rPr>
                <w:noProof/>
                <w:webHidden/>
              </w:rPr>
              <w:fldChar w:fldCharType="separate"/>
            </w:r>
            <w:r w:rsidR="00476A67">
              <w:rPr>
                <w:noProof/>
                <w:webHidden/>
              </w:rPr>
              <w:t>5</w:t>
            </w:r>
            <w:r>
              <w:rPr>
                <w:noProof/>
                <w:webHidden/>
              </w:rPr>
              <w:fldChar w:fldCharType="end"/>
            </w:r>
          </w:hyperlink>
        </w:p>
        <w:p w14:paraId="618C28C3" w14:textId="37167028" w:rsidR="00EF101F" w:rsidRDefault="00EF101F">
          <w:pPr>
            <w:pStyle w:val="TOC2"/>
            <w:tabs>
              <w:tab w:val="right" w:leader="dot" w:pos="9016"/>
            </w:tabs>
            <w:rPr>
              <w:rFonts w:eastAsiaTheme="minorEastAsia"/>
              <w:noProof/>
              <w:lang w:eastAsia="en-GB"/>
            </w:rPr>
          </w:pPr>
          <w:hyperlink w:anchor="_Toc125378688" w:history="1">
            <w:r w:rsidRPr="001A5FD6">
              <w:rPr>
                <w:rStyle w:val="Hyperlink"/>
                <w:noProof/>
              </w:rPr>
              <w:t>Limitations of financial ratios</w:t>
            </w:r>
            <w:r>
              <w:rPr>
                <w:noProof/>
                <w:webHidden/>
              </w:rPr>
              <w:tab/>
            </w:r>
            <w:r>
              <w:rPr>
                <w:noProof/>
                <w:webHidden/>
              </w:rPr>
              <w:fldChar w:fldCharType="begin"/>
            </w:r>
            <w:r>
              <w:rPr>
                <w:noProof/>
                <w:webHidden/>
              </w:rPr>
              <w:instrText xml:space="preserve"> PAGEREF _Toc125378688 \h </w:instrText>
            </w:r>
            <w:r>
              <w:rPr>
                <w:noProof/>
                <w:webHidden/>
              </w:rPr>
            </w:r>
            <w:r>
              <w:rPr>
                <w:noProof/>
                <w:webHidden/>
              </w:rPr>
              <w:fldChar w:fldCharType="separate"/>
            </w:r>
            <w:r w:rsidR="00476A67">
              <w:rPr>
                <w:noProof/>
                <w:webHidden/>
              </w:rPr>
              <w:t>5</w:t>
            </w:r>
            <w:r>
              <w:rPr>
                <w:noProof/>
                <w:webHidden/>
              </w:rPr>
              <w:fldChar w:fldCharType="end"/>
            </w:r>
          </w:hyperlink>
        </w:p>
        <w:p w14:paraId="5904A3F8" w14:textId="1FD5931D" w:rsidR="00EF101F" w:rsidRDefault="00EF101F">
          <w:pPr>
            <w:pStyle w:val="TOC2"/>
            <w:tabs>
              <w:tab w:val="right" w:leader="dot" w:pos="9016"/>
            </w:tabs>
            <w:rPr>
              <w:rFonts w:eastAsiaTheme="minorEastAsia"/>
              <w:noProof/>
              <w:lang w:eastAsia="en-GB"/>
            </w:rPr>
          </w:pPr>
          <w:hyperlink w:anchor="_Toc125378689" w:history="1">
            <w:r w:rsidRPr="001A5FD6">
              <w:rPr>
                <w:rStyle w:val="Hyperlink"/>
                <w:noProof/>
              </w:rPr>
              <w:t>Aston Martin Lagonda financial ratios for year-end 31</w:t>
            </w:r>
            <w:r w:rsidRPr="001A5FD6">
              <w:rPr>
                <w:rStyle w:val="Hyperlink"/>
                <w:noProof/>
                <w:vertAlign w:val="superscript"/>
              </w:rPr>
              <w:t>st</w:t>
            </w:r>
            <w:r w:rsidRPr="001A5FD6">
              <w:rPr>
                <w:rStyle w:val="Hyperlink"/>
                <w:noProof/>
              </w:rPr>
              <w:t xml:space="preserve"> Dec 2020, 31</w:t>
            </w:r>
            <w:r w:rsidRPr="001A5FD6">
              <w:rPr>
                <w:rStyle w:val="Hyperlink"/>
                <w:noProof/>
                <w:vertAlign w:val="superscript"/>
              </w:rPr>
              <w:t>st</w:t>
            </w:r>
            <w:r w:rsidRPr="001A5FD6">
              <w:rPr>
                <w:rStyle w:val="Hyperlink"/>
                <w:noProof/>
              </w:rPr>
              <w:t xml:space="preserve"> Dec 2021</w:t>
            </w:r>
            <w:r>
              <w:rPr>
                <w:noProof/>
                <w:webHidden/>
              </w:rPr>
              <w:tab/>
            </w:r>
            <w:r>
              <w:rPr>
                <w:noProof/>
                <w:webHidden/>
              </w:rPr>
              <w:fldChar w:fldCharType="begin"/>
            </w:r>
            <w:r>
              <w:rPr>
                <w:noProof/>
                <w:webHidden/>
              </w:rPr>
              <w:instrText xml:space="preserve"> PAGEREF _Toc125378689 \h </w:instrText>
            </w:r>
            <w:r>
              <w:rPr>
                <w:noProof/>
                <w:webHidden/>
              </w:rPr>
            </w:r>
            <w:r>
              <w:rPr>
                <w:noProof/>
                <w:webHidden/>
              </w:rPr>
              <w:fldChar w:fldCharType="separate"/>
            </w:r>
            <w:r w:rsidR="00476A67">
              <w:rPr>
                <w:noProof/>
                <w:webHidden/>
              </w:rPr>
              <w:t>6</w:t>
            </w:r>
            <w:r>
              <w:rPr>
                <w:noProof/>
                <w:webHidden/>
              </w:rPr>
              <w:fldChar w:fldCharType="end"/>
            </w:r>
          </w:hyperlink>
        </w:p>
        <w:p w14:paraId="221346D9" w14:textId="5354B3B5" w:rsidR="00EF101F" w:rsidRDefault="00EF101F">
          <w:pPr>
            <w:pStyle w:val="TOC2"/>
            <w:tabs>
              <w:tab w:val="right" w:leader="dot" w:pos="9016"/>
            </w:tabs>
            <w:rPr>
              <w:rFonts w:eastAsiaTheme="minorEastAsia"/>
              <w:noProof/>
              <w:lang w:eastAsia="en-GB"/>
            </w:rPr>
          </w:pPr>
          <w:hyperlink w:anchor="_Toc125378690" w:history="1">
            <w:r w:rsidRPr="001A5FD6">
              <w:rPr>
                <w:rStyle w:val="Hyperlink"/>
                <w:noProof/>
              </w:rPr>
              <w:t>Ratio trends 2020-21</w:t>
            </w:r>
            <w:r>
              <w:rPr>
                <w:noProof/>
                <w:webHidden/>
              </w:rPr>
              <w:tab/>
            </w:r>
            <w:r>
              <w:rPr>
                <w:noProof/>
                <w:webHidden/>
              </w:rPr>
              <w:fldChar w:fldCharType="begin"/>
            </w:r>
            <w:r>
              <w:rPr>
                <w:noProof/>
                <w:webHidden/>
              </w:rPr>
              <w:instrText xml:space="preserve"> PAGEREF _Toc125378690 \h </w:instrText>
            </w:r>
            <w:r>
              <w:rPr>
                <w:noProof/>
                <w:webHidden/>
              </w:rPr>
            </w:r>
            <w:r>
              <w:rPr>
                <w:noProof/>
                <w:webHidden/>
              </w:rPr>
              <w:fldChar w:fldCharType="separate"/>
            </w:r>
            <w:r w:rsidR="00476A67">
              <w:rPr>
                <w:noProof/>
                <w:webHidden/>
              </w:rPr>
              <w:t>9</w:t>
            </w:r>
            <w:r>
              <w:rPr>
                <w:noProof/>
                <w:webHidden/>
              </w:rPr>
              <w:fldChar w:fldCharType="end"/>
            </w:r>
          </w:hyperlink>
        </w:p>
        <w:p w14:paraId="5891BFEF" w14:textId="6A52185F" w:rsidR="00EF101F" w:rsidRDefault="00EF101F">
          <w:pPr>
            <w:pStyle w:val="TOC1"/>
            <w:tabs>
              <w:tab w:val="right" w:leader="dot" w:pos="9016"/>
            </w:tabs>
            <w:rPr>
              <w:rFonts w:eastAsiaTheme="minorEastAsia"/>
              <w:noProof/>
              <w:lang w:eastAsia="en-GB"/>
            </w:rPr>
          </w:pPr>
          <w:hyperlink w:anchor="_Toc125378691" w:history="1">
            <w:r w:rsidRPr="001A5FD6">
              <w:rPr>
                <w:rStyle w:val="Hyperlink"/>
                <w:rFonts w:ascii="Times New Roman" w:hAnsi="Times New Roman" w:cs="Times New Roman"/>
                <w:noProof/>
              </w:rPr>
              <w:t>Ratio Trend Analysis Summary</w:t>
            </w:r>
            <w:r>
              <w:rPr>
                <w:noProof/>
                <w:webHidden/>
              </w:rPr>
              <w:tab/>
            </w:r>
            <w:r>
              <w:rPr>
                <w:noProof/>
                <w:webHidden/>
              </w:rPr>
              <w:fldChar w:fldCharType="begin"/>
            </w:r>
            <w:r>
              <w:rPr>
                <w:noProof/>
                <w:webHidden/>
              </w:rPr>
              <w:instrText xml:space="preserve"> PAGEREF _Toc125378691 \h </w:instrText>
            </w:r>
            <w:r>
              <w:rPr>
                <w:noProof/>
                <w:webHidden/>
              </w:rPr>
            </w:r>
            <w:r>
              <w:rPr>
                <w:noProof/>
                <w:webHidden/>
              </w:rPr>
              <w:fldChar w:fldCharType="separate"/>
            </w:r>
            <w:r w:rsidR="00476A67">
              <w:rPr>
                <w:noProof/>
                <w:webHidden/>
              </w:rPr>
              <w:t>9</w:t>
            </w:r>
            <w:r>
              <w:rPr>
                <w:noProof/>
                <w:webHidden/>
              </w:rPr>
              <w:fldChar w:fldCharType="end"/>
            </w:r>
          </w:hyperlink>
        </w:p>
        <w:p w14:paraId="6A7D0A24" w14:textId="7A9DFF1E" w:rsidR="00EF101F" w:rsidRDefault="00EF101F">
          <w:pPr>
            <w:pStyle w:val="TOC2"/>
            <w:tabs>
              <w:tab w:val="right" w:leader="dot" w:pos="9016"/>
            </w:tabs>
            <w:rPr>
              <w:rFonts w:eastAsiaTheme="minorEastAsia"/>
              <w:noProof/>
              <w:lang w:eastAsia="en-GB"/>
            </w:rPr>
          </w:pPr>
          <w:hyperlink w:anchor="_Toc125378692" w:history="1">
            <w:r w:rsidRPr="001A5FD6">
              <w:rPr>
                <w:rStyle w:val="Hyperlink"/>
                <w:rFonts w:ascii="Times New Roman" w:hAnsi="Times New Roman" w:cs="Times New Roman"/>
                <w:noProof/>
              </w:rPr>
              <w:t>AML Ratio comparison with the Automotive sector (US based manufacturers).</w:t>
            </w:r>
            <w:r>
              <w:rPr>
                <w:noProof/>
                <w:webHidden/>
              </w:rPr>
              <w:tab/>
            </w:r>
            <w:r>
              <w:rPr>
                <w:noProof/>
                <w:webHidden/>
              </w:rPr>
              <w:fldChar w:fldCharType="begin"/>
            </w:r>
            <w:r>
              <w:rPr>
                <w:noProof/>
                <w:webHidden/>
              </w:rPr>
              <w:instrText xml:space="preserve"> PAGEREF _Toc125378692 \h </w:instrText>
            </w:r>
            <w:r>
              <w:rPr>
                <w:noProof/>
                <w:webHidden/>
              </w:rPr>
            </w:r>
            <w:r>
              <w:rPr>
                <w:noProof/>
                <w:webHidden/>
              </w:rPr>
              <w:fldChar w:fldCharType="separate"/>
            </w:r>
            <w:r w:rsidR="00476A67">
              <w:rPr>
                <w:noProof/>
                <w:webHidden/>
              </w:rPr>
              <w:t>10</w:t>
            </w:r>
            <w:r>
              <w:rPr>
                <w:noProof/>
                <w:webHidden/>
              </w:rPr>
              <w:fldChar w:fldCharType="end"/>
            </w:r>
          </w:hyperlink>
        </w:p>
        <w:p w14:paraId="59FAEA82" w14:textId="35E0CDD5" w:rsidR="00EF101F" w:rsidRDefault="00EF101F">
          <w:pPr>
            <w:pStyle w:val="TOC1"/>
            <w:tabs>
              <w:tab w:val="right" w:leader="dot" w:pos="9016"/>
            </w:tabs>
            <w:rPr>
              <w:rFonts w:eastAsiaTheme="minorEastAsia"/>
              <w:noProof/>
              <w:lang w:eastAsia="en-GB"/>
            </w:rPr>
          </w:pPr>
          <w:hyperlink w:anchor="_Toc125378693" w:history="1">
            <w:r w:rsidRPr="001A5FD6">
              <w:rPr>
                <w:rStyle w:val="Hyperlink"/>
                <w:rFonts w:ascii="Times New Roman" w:hAnsi="Times New Roman" w:cs="Times New Roman"/>
                <w:noProof/>
              </w:rPr>
              <w:t>AML, Structure, Stock price History and significant events</w:t>
            </w:r>
            <w:r>
              <w:rPr>
                <w:noProof/>
                <w:webHidden/>
              </w:rPr>
              <w:tab/>
            </w:r>
            <w:r>
              <w:rPr>
                <w:noProof/>
                <w:webHidden/>
              </w:rPr>
              <w:fldChar w:fldCharType="begin"/>
            </w:r>
            <w:r>
              <w:rPr>
                <w:noProof/>
                <w:webHidden/>
              </w:rPr>
              <w:instrText xml:space="preserve"> PAGEREF _Toc125378693 \h </w:instrText>
            </w:r>
            <w:r>
              <w:rPr>
                <w:noProof/>
                <w:webHidden/>
              </w:rPr>
            </w:r>
            <w:r>
              <w:rPr>
                <w:noProof/>
                <w:webHidden/>
              </w:rPr>
              <w:fldChar w:fldCharType="separate"/>
            </w:r>
            <w:r w:rsidR="00476A67">
              <w:rPr>
                <w:noProof/>
                <w:webHidden/>
              </w:rPr>
              <w:t>12</w:t>
            </w:r>
            <w:r>
              <w:rPr>
                <w:noProof/>
                <w:webHidden/>
              </w:rPr>
              <w:fldChar w:fldCharType="end"/>
            </w:r>
          </w:hyperlink>
        </w:p>
        <w:p w14:paraId="0A03587E" w14:textId="53DBC545" w:rsidR="00EF101F" w:rsidRDefault="00EF101F">
          <w:pPr>
            <w:pStyle w:val="TOC2"/>
            <w:tabs>
              <w:tab w:val="right" w:leader="dot" w:pos="9016"/>
            </w:tabs>
            <w:rPr>
              <w:rFonts w:eastAsiaTheme="minorEastAsia"/>
              <w:noProof/>
              <w:lang w:eastAsia="en-GB"/>
            </w:rPr>
          </w:pPr>
          <w:hyperlink w:anchor="_Toc125378694" w:history="1">
            <w:r w:rsidRPr="001A5FD6">
              <w:rPr>
                <w:rStyle w:val="Hyperlink"/>
                <w:noProof/>
              </w:rPr>
              <w:t>Sector financial ratio comparison AML and PORSCHE AUTOMOBIL HOLDING</w:t>
            </w:r>
            <w:r>
              <w:rPr>
                <w:noProof/>
                <w:webHidden/>
              </w:rPr>
              <w:tab/>
            </w:r>
            <w:r>
              <w:rPr>
                <w:noProof/>
                <w:webHidden/>
              </w:rPr>
              <w:fldChar w:fldCharType="begin"/>
            </w:r>
            <w:r>
              <w:rPr>
                <w:noProof/>
                <w:webHidden/>
              </w:rPr>
              <w:instrText xml:space="preserve"> PAGEREF _Toc125378694 \h </w:instrText>
            </w:r>
            <w:r>
              <w:rPr>
                <w:noProof/>
                <w:webHidden/>
              </w:rPr>
            </w:r>
            <w:r>
              <w:rPr>
                <w:noProof/>
                <w:webHidden/>
              </w:rPr>
              <w:fldChar w:fldCharType="separate"/>
            </w:r>
            <w:r w:rsidR="00476A67">
              <w:rPr>
                <w:noProof/>
                <w:webHidden/>
              </w:rPr>
              <w:t>13</w:t>
            </w:r>
            <w:r>
              <w:rPr>
                <w:noProof/>
                <w:webHidden/>
              </w:rPr>
              <w:fldChar w:fldCharType="end"/>
            </w:r>
          </w:hyperlink>
        </w:p>
        <w:p w14:paraId="3D669664" w14:textId="78334202" w:rsidR="00EF101F" w:rsidRDefault="00EF101F">
          <w:pPr>
            <w:pStyle w:val="TOC2"/>
            <w:tabs>
              <w:tab w:val="right" w:leader="dot" w:pos="9016"/>
            </w:tabs>
            <w:rPr>
              <w:rFonts w:eastAsiaTheme="minorEastAsia"/>
              <w:noProof/>
              <w:lang w:eastAsia="en-GB"/>
            </w:rPr>
          </w:pPr>
          <w:hyperlink w:anchor="_Toc125378695" w:history="1">
            <w:r w:rsidRPr="001A5FD6">
              <w:rPr>
                <w:rStyle w:val="Hyperlink"/>
                <w:rFonts w:ascii="Times New Roman" w:hAnsi="Times New Roman" w:cs="Times New Roman"/>
                <w:noProof/>
              </w:rPr>
              <w:t>Performance and Market View</w:t>
            </w:r>
            <w:r>
              <w:rPr>
                <w:noProof/>
                <w:webHidden/>
              </w:rPr>
              <w:tab/>
            </w:r>
            <w:r>
              <w:rPr>
                <w:noProof/>
                <w:webHidden/>
              </w:rPr>
              <w:fldChar w:fldCharType="begin"/>
            </w:r>
            <w:r>
              <w:rPr>
                <w:noProof/>
                <w:webHidden/>
              </w:rPr>
              <w:instrText xml:space="preserve"> PAGEREF _Toc125378695 \h </w:instrText>
            </w:r>
            <w:r>
              <w:rPr>
                <w:noProof/>
                <w:webHidden/>
              </w:rPr>
            </w:r>
            <w:r>
              <w:rPr>
                <w:noProof/>
                <w:webHidden/>
              </w:rPr>
              <w:fldChar w:fldCharType="separate"/>
            </w:r>
            <w:r w:rsidR="00476A67">
              <w:rPr>
                <w:noProof/>
                <w:webHidden/>
              </w:rPr>
              <w:t>14</w:t>
            </w:r>
            <w:r>
              <w:rPr>
                <w:noProof/>
                <w:webHidden/>
              </w:rPr>
              <w:fldChar w:fldCharType="end"/>
            </w:r>
          </w:hyperlink>
        </w:p>
        <w:p w14:paraId="23A45225" w14:textId="5DCA4FB1" w:rsidR="00EF101F" w:rsidRDefault="00EF101F">
          <w:pPr>
            <w:pStyle w:val="TOC1"/>
            <w:tabs>
              <w:tab w:val="right" w:leader="dot" w:pos="9016"/>
            </w:tabs>
            <w:rPr>
              <w:rFonts w:eastAsiaTheme="minorEastAsia"/>
              <w:noProof/>
              <w:lang w:eastAsia="en-GB"/>
            </w:rPr>
          </w:pPr>
          <w:hyperlink w:anchor="_Toc125378696" w:history="1">
            <w:r w:rsidRPr="001A5FD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_Toc125378696 \h </w:instrText>
            </w:r>
            <w:r>
              <w:rPr>
                <w:noProof/>
                <w:webHidden/>
              </w:rPr>
            </w:r>
            <w:r>
              <w:rPr>
                <w:noProof/>
                <w:webHidden/>
              </w:rPr>
              <w:fldChar w:fldCharType="separate"/>
            </w:r>
            <w:r w:rsidR="00476A67">
              <w:rPr>
                <w:noProof/>
                <w:webHidden/>
              </w:rPr>
              <w:t>16</w:t>
            </w:r>
            <w:r>
              <w:rPr>
                <w:noProof/>
                <w:webHidden/>
              </w:rPr>
              <w:fldChar w:fldCharType="end"/>
            </w:r>
          </w:hyperlink>
        </w:p>
        <w:p w14:paraId="71F02AC8" w14:textId="45491588" w:rsidR="00EF101F" w:rsidRDefault="00EF101F">
          <w:pPr>
            <w:pStyle w:val="TOC2"/>
            <w:tabs>
              <w:tab w:val="right" w:leader="dot" w:pos="9016"/>
            </w:tabs>
            <w:rPr>
              <w:rFonts w:eastAsiaTheme="minorEastAsia"/>
              <w:noProof/>
              <w:lang w:eastAsia="en-GB"/>
            </w:rPr>
          </w:pPr>
          <w:hyperlink w:anchor="_Toc125378697" w:history="1">
            <w:r w:rsidRPr="001A5FD6">
              <w:rPr>
                <w:rStyle w:val="Hyperlink"/>
                <w:rFonts w:ascii="Times New Roman" w:hAnsi="Times New Roman" w:cs="Times New Roman"/>
                <w:noProof/>
              </w:rPr>
              <w:t>Cons.</w:t>
            </w:r>
            <w:r>
              <w:rPr>
                <w:noProof/>
                <w:webHidden/>
              </w:rPr>
              <w:tab/>
            </w:r>
            <w:r>
              <w:rPr>
                <w:noProof/>
                <w:webHidden/>
              </w:rPr>
              <w:fldChar w:fldCharType="begin"/>
            </w:r>
            <w:r>
              <w:rPr>
                <w:noProof/>
                <w:webHidden/>
              </w:rPr>
              <w:instrText xml:space="preserve"> PAGEREF _Toc125378697 \h </w:instrText>
            </w:r>
            <w:r>
              <w:rPr>
                <w:noProof/>
                <w:webHidden/>
              </w:rPr>
            </w:r>
            <w:r>
              <w:rPr>
                <w:noProof/>
                <w:webHidden/>
              </w:rPr>
              <w:fldChar w:fldCharType="separate"/>
            </w:r>
            <w:r w:rsidR="00476A67">
              <w:rPr>
                <w:noProof/>
                <w:webHidden/>
              </w:rPr>
              <w:t>16</w:t>
            </w:r>
            <w:r>
              <w:rPr>
                <w:noProof/>
                <w:webHidden/>
              </w:rPr>
              <w:fldChar w:fldCharType="end"/>
            </w:r>
          </w:hyperlink>
        </w:p>
        <w:p w14:paraId="25A63697" w14:textId="68632A5D" w:rsidR="00EF101F" w:rsidRDefault="00EF101F">
          <w:pPr>
            <w:pStyle w:val="TOC2"/>
            <w:tabs>
              <w:tab w:val="right" w:leader="dot" w:pos="9016"/>
            </w:tabs>
            <w:rPr>
              <w:rFonts w:eastAsiaTheme="minorEastAsia"/>
              <w:noProof/>
              <w:lang w:eastAsia="en-GB"/>
            </w:rPr>
          </w:pPr>
          <w:hyperlink w:anchor="_Toc125378698" w:history="1">
            <w:r w:rsidRPr="001A5FD6">
              <w:rPr>
                <w:rStyle w:val="Hyperlink"/>
                <w:rFonts w:ascii="Times New Roman" w:hAnsi="Times New Roman" w:cs="Times New Roman"/>
                <w:noProof/>
              </w:rPr>
              <w:t>Pros.</w:t>
            </w:r>
            <w:r>
              <w:rPr>
                <w:noProof/>
                <w:webHidden/>
              </w:rPr>
              <w:tab/>
            </w:r>
            <w:r>
              <w:rPr>
                <w:noProof/>
                <w:webHidden/>
              </w:rPr>
              <w:fldChar w:fldCharType="begin"/>
            </w:r>
            <w:r>
              <w:rPr>
                <w:noProof/>
                <w:webHidden/>
              </w:rPr>
              <w:instrText xml:space="preserve"> PAGEREF _Toc125378698 \h </w:instrText>
            </w:r>
            <w:r>
              <w:rPr>
                <w:noProof/>
                <w:webHidden/>
              </w:rPr>
            </w:r>
            <w:r>
              <w:rPr>
                <w:noProof/>
                <w:webHidden/>
              </w:rPr>
              <w:fldChar w:fldCharType="separate"/>
            </w:r>
            <w:r w:rsidR="00476A67">
              <w:rPr>
                <w:noProof/>
                <w:webHidden/>
              </w:rPr>
              <w:t>16</w:t>
            </w:r>
            <w:r>
              <w:rPr>
                <w:noProof/>
                <w:webHidden/>
              </w:rPr>
              <w:fldChar w:fldCharType="end"/>
            </w:r>
          </w:hyperlink>
        </w:p>
        <w:p w14:paraId="7489031D" w14:textId="700F653C" w:rsidR="00EF101F" w:rsidRDefault="00EF101F">
          <w:pPr>
            <w:pStyle w:val="TOC1"/>
            <w:tabs>
              <w:tab w:val="right" w:leader="dot" w:pos="9016"/>
            </w:tabs>
            <w:rPr>
              <w:rFonts w:eastAsiaTheme="minorEastAsia"/>
              <w:noProof/>
              <w:lang w:eastAsia="en-GB"/>
            </w:rPr>
          </w:pPr>
          <w:hyperlink w:anchor="_Toc125378699" w:history="1">
            <w:r w:rsidRPr="001A5FD6">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_Toc125378699 \h </w:instrText>
            </w:r>
            <w:r>
              <w:rPr>
                <w:noProof/>
                <w:webHidden/>
              </w:rPr>
            </w:r>
            <w:r>
              <w:rPr>
                <w:noProof/>
                <w:webHidden/>
              </w:rPr>
              <w:fldChar w:fldCharType="separate"/>
            </w:r>
            <w:r w:rsidR="00476A67">
              <w:rPr>
                <w:noProof/>
                <w:webHidden/>
              </w:rPr>
              <w:t>16</w:t>
            </w:r>
            <w:r>
              <w:rPr>
                <w:noProof/>
                <w:webHidden/>
              </w:rPr>
              <w:fldChar w:fldCharType="end"/>
            </w:r>
          </w:hyperlink>
        </w:p>
        <w:p w14:paraId="47495B95" w14:textId="66C4EE71" w:rsidR="00EF101F" w:rsidRDefault="00EF101F">
          <w:pPr>
            <w:pStyle w:val="TOC1"/>
            <w:tabs>
              <w:tab w:val="right" w:leader="dot" w:pos="9016"/>
            </w:tabs>
            <w:rPr>
              <w:rFonts w:eastAsiaTheme="minorEastAsia"/>
              <w:noProof/>
              <w:lang w:eastAsia="en-GB"/>
            </w:rPr>
          </w:pPr>
          <w:hyperlink w:anchor="_Toc125378700" w:history="1">
            <w:r w:rsidRPr="001A5FD6">
              <w:rPr>
                <w:rStyle w:val="Hyperlink"/>
                <w:noProof/>
                <w:lang w:val="en-US"/>
              </w:rPr>
              <w:t>Bibliography</w:t>
            </w:r>
            <w:r>
              <w:rPr>
                <w:noProof/>
                <w:webHidden/>
              </w:rPr>
              <w:tab/>
            </w:r>
            <w:r>
              <w:rPr>
                <w:noProof/>
                <w:webHidden/>
              </w:rPr>
              <w:fldChar w:fldCharType="begin"/>
            </w:r>
            <w:r>
              <w:rPr>
                <w:noProof/>
                <w:webHidden/>
              </w:rPr>
              <w:instrText xml:space="preserve"> PAGEREF _Toc125378700 \h </w:instrText>
            </w:r>
            <w:r>
              <w:rPr>
                <w:noProof/>
                <w:webHidden/>
              </w:rPr>
            </w:r>
            <w:r>
              <w:rPr>
                <w:noProof/>
                <w:webHidden/>
              </w:rPr>
              <w:fldChar w:fldCharType="separate"/>
            </w:r>
            <w:r w:rsidR="00476A67">
              <w:rPr>
                <w:noProof/>
                <w:webHidden/>
              </w:rPr>
              <w:t>17</w:t>
            </w:r>
            <w:r>
              <w:rPr>
                <w:noProof/>
                <w:webHidden/>
              </w:rPr>
              <w:fldChar w:fldCharType="end"/>
            </w:r>
          </w:hyperlink>
        </w:p>
        <w:p w14:paraId="644B3A45" w14:textId="0AF6751C" w:rsidR="00EF101F" w:rsidRDefault="00EF101F">
          <w:pPr>
            <w:pStyle w:val="TOC1"/>
            <w:tabs>
              <w:tab w:val="right" w:leader="dot" w:pos="9016"/>
            </w:tabs>
            <w:rPr>
              <w:rFonts w:eastAsiaTheme="minorEastAsia"/>
              <w:noProof/>
              <w:lang w:eastAsia="en-GB"/>
            </w:rPr>
          </w:pPr>
          <w:hyperlink w:anchor="_Toc125378701" w:history="1">
            <w:r w:rsidRPr="001A5FD6">
              <w:rPr>
                <w:rStyle w:val="Hyperlink"/>
                <w:noProof/>
                <w:lang w:val="en-US"/>
              </w:rPr>
              <w:t>AML Financial ratio calculations</w:t>
            </w:r>
            <w:r>
              <w:rPr>
                <w:noProof/>
                <w:webHidden/>
              </w:rPr>
              <w:tab/>
            </w:r>
            <w:r>
              <w:rPr>
                <w:noProof/>
                <w:webHidden/>
              </w:rPr>
              <w:fldChar w:fldCharType="begin"/>
            </w:r>
            <w:r>
              <w:rPr>
                <w:noProof/>
                <w:webHidden/>
              </w:rPr>
              <w:instrText xml:space="preserve"> PAGEREF _Toc125378701 \h </w:instrText>
            </w:r>
            <w:r>
              <w:rPr>
                <w:noProof/>
                <w:webHidden/>
              </w:rPr>
            </w:r>
            <w:r>
              <w:rPr>
                <w:noProof/>
                <w:webHidden/>
              </w:rPr>
              <w:fldChar w:fldCharType="separate"/>
            </w:r>
            <w:r w:rsidR="00476A67">
              <w:rPr>
                <w:noProof/>
                <w:webHidden/>
              </w:rPr>
              <w:t>20</w:t>
            </w:r>
            <w:r>
              <w:rPr>
                <w:noProof/>
                <w:webHidden/>
              </w:rPr>
              <w:fldChar w:fldCharType="end"/>
            </w:r>
          </w:hyperlink>
        </w:p>
        <w:p w14:paraId="65229FC7" w14:textId="35074C6C" w:rsidR="00E06D78" w:rsidRPr="00E059BC" w:rsidRDefault="00E06D78">
          <w:pPr>
            <w:rPr>
              <w:rFonts w:ascii="Times New Roman" w:hAnsi="Times New Roman" w:cs="Times New Roman"/>
              <w:sz w:val="24"/>
              <w:szCs w:val="24"/>
            </w:rPr>
          </w:pPr>
          <w:r w:rsidRPr="00E059BC">
            <w:rPr>
              <w:rFonts w:ascii="Times New Roman" w:hAnsi="Times New Roman" w:cs="Times New Roman"/>
              <w:b/>
              <w:bCs/>
              <w:noProof/>
              <w:sz w:val="24"/>
              <w:szCs w:val="24"/>
            </w:rPr>
            <w:fldChar w:fldCharType="end"/>
          </w:r>
        </w:p>
      </w:sdtContent>
    </w:sdt>
    <w:p w14:paraId="086CF1D8" w14:textId="49D939EE" w:rsidR="00E06D78" w:rsidRPr="00E059BC" w:rsidRDefault="00E06D78">
      <w:pPr>
        <w:rPr>
          <w:rFonts w:ascii="Times New Roman" w:hAnsi="Times New Roman" w:cs="Times New Roman"/>
          <w:sz w:val="24"/>
          <w:szCs w:val="24"/>
        </w:rPr>
      </w:pPr>
    </w:p>
    <w:p w14:paraId="34F522C5" w14:textId="77777777" w:rsidR="00E06D78" w:rsidRPr="00E059BC" w:rsidRDefault="00E06D78">
      <w:pPr>
        <w:rPr>
          <w:rFonts w:ascii="Times New Roman" w:hAnsi="Times New Roman" w:cs="Times New Roman"/>
          <w:sz w:val="24"/>
          <w:szCs w:val="24"/>
        </w:rPr>
      </w:pPr>
      <w:r w:rsidRPr="00E059BC">
        <w:rPr>
          <w:rFonts w:ascii="Times New Roman" w:hAnsi="Times New Roman" w:cs="Times New Roman"/>
          <w:sz w:val="24"/>
          <w:szCs w:val="24"/>
        </w:rPr>
        <w:br w:type="page"/>
      </w:r>
    </w:p>
    <w:p w14:paraId="4DC0A785" w14:textId="24A5F0D7" w:rsidR="00347AD3" w:rsidRPr="00E059BC" w:rsidRDefault="00347AD3" w:rsidP="00347AD3">
      <w:pPr>
        <w:pStyle w:val="Heading1"/>
        <w:rPr>
          <w:rFonts w:ascii="Times New Roman" w:hAnsi="Times New Roman" w:cs="Times New Roman"/>
          <w:sz w:val="24"/>
          <w:szCs w:val="24"/>
        </w:rPr>
      </w:pPr>
      <w:bookmarkStart w:id="0" w:name="_Toc125378677"/>
      <w:r w:rsidRPr="00E059BC">
        <w:rPr>
          <w:rFonts w:ascii="Times New Roman" w:hAnsi="Times New Roman" w:cs="Times New Roman"/>
          <w:sz w:val="24"/>
          <w:szCs w:val="24"/>
        </w:rPr>
        <w:lastRenderedPageBreak/>
        <w:t>Introduction.</w:t>
      </w:r>
      <w:bookmarkEnd w:id="0"/>
    </w:p>
    <w:p w14:paraId="59E3760D" w14:textId="2D58797D" w:rsidR="001D7C7E" w:rsidRPr="00E059BC" w:rsidRDefault="001D7C7E" w:rsidP="001D7C7E">
      <w:pPr>
        <w:pStyle w:val="Heading2"/>
        <w:rPr>
          <w:rFonts w:ascii="Times New Roman" w:hAnsi="Times New Roman" w:cs="Times New Roman"/>
          <w:sz w:val="24"/>
          <w:szCs w:val="24"/>
        </w:rPr>
      </w:pPr>
      <w:bookmarkStart w:id="1" w:name="_Toc125378678"/>
      <w:r w:rsidRPr="00E059BC">
        <w:rPr>
          <w:rFonts w:ascii="Times New Roman" w:hAnsi="Times New Roman" w:cs="Times New Roman"/>
          <w:sz w:val="24"/>
          <w:szCs w:val="24"/>
        </w:rPr>
        <w:t>Aston Martin Lagonda background</w:t>
      </w:r>
      <w:bookmarkEnd w:id="1"/>
    </w:p>
    <w:p w14:paraId="44E7ACE1" w14:textId="6D0B9246" w:rsidR="001D7C7E" w:rsidRPr="00E059BC" w:rsidRDefault="001D7C7E" w:rsidP="001D7C7E">
      <w:pPr>
        <w:spacing w:line="240" w:lineRule="auto"/>
        <w:rPr>
          <w:rFonts w:ascii="Times New Roman" w:hAnsi="Times New Roman" w:cs="Times New Roman"/>
          <w:sz w:val="24"/>
          <w:szCs w:val="24"/>
        </w:rPr>
      </w:pPr>
      <w:r w:rsidRPr="00E059BC">
        <w:rPr>
          <w:rFonts w:ascii="Times New Roman" w:hAnsi="Times New Roman" w:cs="Times New Roman"/>
          <w:sz w:val="24"/>
          <w:szCs w:val="24"/>
        </w:rPr>
        <w:t>“Aston Martin Lagonda Global Holdings PLC is an English manufacturer of luxury sports cars and grand tourers. Its predecessor was founded in 1913 by Lionel Martin and Robert Bamford. Steered from 1947 by David Brown, it became associated with expensive grand touring cars in the 1950s and 1960s, and with the fictional character James Bond following his use of a DB5 model in the 1964 film Goldfinger. Their sports cars are regarded as a British cultural icon.[3] Aston Martin has held a Royal Warrant as purveyor of motorcars to the Prince of Wales since 1982,[4] and has over 160 car dealerships in 53 countries, making it a global automobile brand.[5] The company is traded at the London Stock Exchange and is a constituent of the FTSE 250 Index.[6] In 2003 it received the Queen's Award for Enterprise for outstanding contribution to international trade.[7] The company has survived seven bankruptcies throughout its history.[8] “</w:t>
      </w:r>
      <w:r w:rsidR="0049429C" w:rsidRPr="00E059BC">
        <w:rPr>
          <w:rFonts w:ascii="Times New Roman" w:hAnsi="Times New Roman" w:cs="Times New Roman"/>
          <w:sz w:val="24"/>
          <w:szCs w:val="24"/>
        </w:rPr>
        <w:t xml:space="preserve"> </w:t>
      </w:r>
      <w:r w:rsidR="003E07F8" w:rsidRPr="00E059BC">
        <w:rPr>
          <w:rFonts w:ascii="Times New Roman" w:hAnsi="Times New Roman" w:cs="Times New Roman"/>
          <w:sz w:val="24"/>
          <w:szCs w:val="24"/>
        </w:rPr>
        <w:t xml:space="preserve"> (Wikipedia Contributors, 2019)</w:t>
      </w:r>
    </w:p>
    <w:p w14:paraId="01FE91FF" w14:textId="77777777" w:rsidR="0049429C" w:rsidRPr="00E059BC" w:rsidRDefault="0049429C" w:rsidP="0049429C">
      <w:pPr>
        <w:pStyle w:val="Heading2"/>
        <w:rPr>
          <w:rFonts w:ascii="Times New Roman" w:hAnsi="Times New Roman" w:cs="Times New Roman"/>
          <w:sz w:val="24"/>
          <w:szCs w:val="24"/>
        </w:rPr>
      </w:pPr>
      <w:bookmarkStart w:id="2" w:name="_Toc125378679"/>
      <w:r w:rsidRPr="00E059BC">
        <w:rPr>
          <w:rFonts w:ascii="Times New Roman" w:hAnsi="Times New Roman" w:cs="Times New Roman"/>
          <w:sz w:val="24"/>
          <w:szCs w:val="24"/>
        </w:rPr>
        <w:t>Assumptions</w:t>
      </w:r>
      <w:bookmarkEnd w:id="2"/>
      <w:r w:rsidRPr="00E059BC">
        <w:rPr>
          <w:rFonts w:ascii="Times New Roman" w:hAnsi="Times New Roman" w:cs="Times New Roman"/>
          <w:sz w:val="24"/>
          <w:szCs w:val="24"/>
        </w:rPr>
        <w:t xml:space="preserve"> </w:t>
      </w:r>
    </w:p>
    <w:p w14:paraId="4C6CB8E9" w14:textId="63A4462B" w:rsidR="0049429C" w:rsidRPr="00E059BC" w:rsidRDefault="0049429C" w:rsidP="0049429C">
      <w:pPr>
        <w:rPr>
          <w:rFonts w:ascii="Times New Roman" w:hAnsi="Times New Roman" w:cs="Times New Roman"/>
          <w:sz w:val="24"/>
          <w:szCs w:val="24"/>
        </w:rPr>
      </w:pPr>
      <w:r w:rsidRPr="00E059BC">
        <w:rPr>
          <w:rFonts w:ascii="Times New Roman" w:hAnsi="Times New Roman" w:cs="Times New Roman"/>
          <w:sz w:val="24"/>
          <w:szCs w:val="24"/>
        </w:rPr>
        <w:t xml:space="preserve">Company ABC is specialist car </w:t>
      </w:r>
      <w:r w:rsidR="006934DC">
        <w:rPr>
          <w:rFonts w:ascii="Times New Roman" w:hAnsi="Times New Roman" w:cs="Times New Roman"/>
          <w:sz w:val="24"/>
          <w:szCs w:val="24"/>
        </w:rPr>
        <w:t>service provider</w:t>
      </w:r>
      <w:r w:rsidRPr="00E059BC">
        <w:rPr>
          <w:rFonts w:ascii="Times New Roman" w:hAnsi="Times New Roman" w:cs="Times New Roman"/>
          <w:sz w:val="24"/>
          <w:szCs w:val="24"/>
        </w:rPr>
        <w:t xml:space="preserve"> exploring working with Aston Martin Lagonda (</w:t>
      </w:r>
      <w:r w:rsidRPr="00E059BC">
        <w:rPr>
          <w:rFonts w:ascii="Times New Roman" w:hAnsi="Times New Roman" w:cs="Times New Roman"/>
          <w:color w:val="000000"/>
          <w:spacing w:val="8"/>
          <w:sz w:val="24"/>
          <w:szCs w:val="24"/>
          <w:shd w:val="clear" w:color="auto" w:fill="FFFFFF"/>
        </w:rPr>
        <w:t>ASTON MARTIN LAGONDA GLOBAL HOLDINGS PLC)</w:t>
      </w:r>
      <w:r w:rsidR="000A0FA5" w:rsidRPr="00E059BC">
        <w:rPr>
          <w:rFonts w:ascii="Times New Roman" w:hAnsi="Times New Roman" w:cs="Times New Roman"/>
          <w:color w:val="000000"/>
          <w:spacing w:val="8"/>
          <w:sz w:val="24"/>
          <w:szCs w:val="24"/>
          <w:shd w:val="clear" w:color="auto" w:fill="FFFFFF"/>
        </w:rPr>
        <w:t>,</w:t>
      </w:r>
      <w:r w:rsidRPr="00E059BC">
        <w:rPr>
          <w:rFonts w:ascii="Times New Roman" w:hAnsi="Times New Roman" w:cs="Times New Roman"/>
          <w:sz w:val="24"/>
          <w:szCs w:val="24"/>
        </w:rPr>
        <w:t xml:space="preserve"> to enable the collaboration, Company ABC will be required to invest £5m.</w:t>
      </w:r>
    </w:p>
    <w:p w14:paraId="125F3D94" w14:textId="2710D94A" w:rsidR="000D48DB" w:rsidRPr="00E059BC" w:rsidRDefault="000D48DB" w:rsidP="0049429C">
      <w:pPr>
        <w:spacing w:line="240" w:lineRule="auto"/>
        <w:rPr>
          <w:rFonts w:ascii="Times New Roman" w:hAnsi="Times New Roman" w:cs="Times New Roman"/>
          <w:sz w:val="24"/>
          <w:szCs w:val="24"/>
        </w:rPr>
      </w:pPr>
      <w:r w:rsidRPr="00E059BC">
        <w:rPr>
          <w:rFonts w:ascii="Times New Roman" w:hAnsi="Times New Roman" w:cs="Times New Roman"/>
          <w:sz w:val="24"/>
          <w:szCs w:val="24"/>
        </w:rPr>
        <w:t xml:space="preserve">The collaboration could be manufacturing parts, parts </w:t>
      </w:r>
      <w:r w:rsidR="00347AD3" w:rsidRPr="00E059BC">
        <w:rPr>
          <w:rFonts w:ascii="Times New Roman" w:hAnsi="Times New Roman" w:cs="Times New Roman"/>
          <w:sz w:val="24"/>
          <w:szCs w:val="24"/>
        </w:rPr>
        <w:t>supply,</w:t>
      </w:r>
      <w:r w:rsidRPr="00E059BC">
        <w:rPr>
          <w:rFonts w:ascii="Times New Roman" w:hAnsi="Times New Roman" w:cs="Times New Roman"/>
          <w:sz w:val="24"/>
          <w:szCs w:val="24"/>
        </w:rPr>
        <w:t xml:space="preserve"> or automotive retail, any of which activity would require a significant investment from Company ABC. </w:t>
      </w:r>
    </w:p>
    <w:p w14:paraId="01ABAFCF" w14:textId="5D318385" w:rsidR="00347AD3" w:rsidRPr="00E059BC" w:rsidRDefault="00347AD3" w:rsidP="00347AD3">
      <w:pPr>
        <w:pStyle w:val="Heading2"/>
        <w:rPr>
          <w:rFonts w:ascii="Times New Roman" w:hAnsi="Times New Roman" w:cs="Times New Roman"/>
          <w:sz w:val="24"/>
          <w:szCs w:val="24"/>
        </w:rPr>
      </w:pPr>
      <w:bookmarkStart w:id="3" w:name="_Toc125378680"/>
      <w:r w:rsidRPr="00E059BC">
        <w:rPr>
          <w:rFonts w:ascii="Times New Roman" w:hAnsi="Times New Roman" w:cs="Times New Roman"/>
          <w:sz w:val="24"/>
          <w:szCs w:val="24"/>
        </w:rPr>
        <w:t>Objective</w:t>
      </w:r>
      <w:bookmarkEnd w:id="3"/>
    </w:p>
    <w:p w14:paraId="37D0B6C3" w14:textId="3612411D" w:rsidR="00767E8A" w:rsidRPr="00E059BC" w:rsidRDefault="0053639F">
      <w:pPr>
        <w:rPr>
          <w:rFonts w:ascii="Times New Roman" w:hAnsi="Times New Roman" w:cs="Times New Roman"/>
          <w:sz w:val="24"/>
          <w:szCs w:val="24"/>
        </w:rPr>
      </w:pPr>
      <w:r w:rsidRPr="00E059BC">
        <w:rPr>
          <w:rFonts w:ascii="Times New Roman" w:hAnsi="Times New Roman" w:cs="Times New Roman"/>
          <w:sz w:val="24"/>
          <w:szCs w:val="24"/>
        </w:rPr>
        <w:t>The purpose of the financial analysis is to determine the financial health</w:t>
      </w:r>
      <w:r w:rsidR="003955AA" w:rsidRPr="00E059BC">
        <w:rPr>
          <w:rFonts w:ascii="Times New Roman" w:hAnsi="Times New Roman" w:cs="Times New Roman"/>
          <w:sz w:val="24"/>
          <w:szCs w:val="24"/>
        </w:rPr>
        <w:t xml:space="preserve"> and predict future performance</w:t>
      </w:r>
      <w:r w:rsidRPr="00E059BC">
        <w:rPr>
          <w:rFonts w:ascii="Times New Roman" w:hAnsi="Times New Roman" w:cs="Times New Roman"/>
          <w:sz w:val="24"/>
          <w:szCs w:val="24"/>
        </w:rPr>
        <w:t xml:space="preserve"> of Asto</w:t>
      </w:r>
      <w:r w:rsidR="0049429C" w:rsidRPr="00E059BC">
        <w:rPr>
          <w:rFonts w:ascii="Times New Roman" w:hAnsi="Times New Roman" w:cs="Times New Roman"/>
          <w:sz w:val="24"/>
          <w:szCs w:val="24"/>
        </w:rPr>
        <w:t>n</w:t>
      </w:r>
      <w:r w:rsidRPr="00E059BC">
        <w:rPr>
          <w:rFonts w:ascii="Times New Roman" w:hAnsi="Times New Roman" w:cs="Times New Roman"/>
          <w:sz w:val="24"/>
          <w:szCs w:val="24"/>
        </w:rPr>
        <w:t xml:space="preserve"> Martin </w:t>
      </w:r>
      <w:r w:rsidR="0049429C" w:rsidRPr="00E059BC">
        <w:rPr>
          <w:rFonts w:ascii="Times New Roman" w:hAnsi="Times New Roman" w:cs="Times New Roman"/>
          <w:sz w:val="24"/>
          <w:szCs w:val="24"/>
        </w:rPr>
        <w:t>Lagonda Global Holdings PLC (AML)</w:t>
      </w:r>
      <w:r w:rsidRPr="00E059BC">
        <w:rPr>
          <w:rFonts w:ascii="Times New Roman" w:hAnsi="Times New Roman" w:cs="Times New Roman"/>
          <w:sz w:val="24"/>
          <w:szCs w:val="24"/>
        </w:rPr>
        <w:t xml:space="preserve"> based on the publicly available financial </w:t>
      </w:r>
      <w:r w:rsidR="003955AA" w:rsidRPr="00E059BC">
        <w:rPr>
          <w:rFonts w:ascii="Times New Roman" w:hAnsi="Times New Roman" w:cs="Times New Roman"/>
          <w:sz w:val="24"/>
          <w:szCs w:val="24"/>
        </w:rPr>
        <w:t>statements for years ending 3</w:t>
      </w:r>
      <w:r w:rsidR="000D48DB" w:rsidRPr="00E059BC">
        <w:rPr>
          <w:rFonts w:ascii="Times New Roman" w:hAnsi="Times New Roman" w:cs="Times New Roman"/>
          <w:sz w:val="24"/>
          <w:szCs w:val="24"/>
        </w:rPr>
        <w:t>1</w:t>
      </w:r>
      <w:r w:rsidR="000D48DB" w:rsidRPr="00E059BC">
        <w:rPr>
          <w:rFonts w:ascii="Times New Roman" w:hAnsi="Times New Roman" w:cs="Times New Roman"/>
          <w:sz w:val="24"/>
          <w:szCs w:val="24"/>
          <w:vertAlign w:val="superscript"/>
        </w:rPr>
        <w:t>st</w:t>
      </w:r>
      <w:r w:rsidR="000D48DB" w:rsidRPr="00E059BC">
        <w:rPr>
          <w:rFonts w:ascii="Times New Roman" w:hAnsi="Times New Roman" w:cs="Times New Roman"/>
          <w:sz w:val="24"/>
          <w:szCs w:val="24"/>
        </w:rPr>
        <w:t xml:space="preserve"> </w:t>
      </w:r>
      <w:r w:rsidR="003955AA" w:rsidRPr="00E059BC">
        <w:rPr>
          <w:rFonts w:ascii="Times New Roman" w:hAnsi="Times New Roman" w:cs="Times New Roman"/>
          <w:sz w:val="24"/>
          <w:szCs w:val="24"/>
        </w:rPr>
        <w:t xml:space="preserve">December 2021 and </w:t>
      </w:r>
      <w:r w:rsidR="000D48DB" w:rsidRPr="00E059BC">
        <w:rPr>
          <w:rFonts w:ascii="Times New Roman" w:hAnsi="Times New Roman" w:cs="Times New Roman"/>
          <w:sz w:val="24"/>
          <w:szCs w:val="24"/>
        </w:rPr>
        <w:t>3</w:t>
      </w:r>
      <w:r w:rsidR="003955AA" w:rsidRPr="00E059BC">
        <w:rPr>
          <w:rFonts w:ascii="Times New Roman" w:hAnsi="Times New Roman" w:cs="Times New Roman"/>
          <w:sz w:val="24"/>
          <w:szCs w:val="24"/>
        </w:rPr>
        <w:t>1</w:t>
      </w:r>
      <w:r w:rsidR="003955AA" w:rsidRPr="00E059BC">
        <w:rPr>
          <w:rFonts w:ascii="Times New Roman" w:hAnsi="Times New Roman" w:cs="Times New Roman"/>
          <w:sz w:val="24"/>
          <w:szCs w:val="24"/>
          <w:vertAlign w:val="superscript"/>
        </w:rPr>
        <w:t>st</w:t>
      </w:r>
      <w:r w:rsidR="003955AA" w:rsidRPr="00E059BC">
        <w:rPr>
          <w:rFonts w:ascii="Times New Roman" w:hAnsi="Times New Roman" w:cs="Times New Roman"/>
          <w:sz w:val="24"/>
          <w:szCs w:val="24"/>
        </w:rPr>
        <w:t xml:space="preserve"> December 2022</w:t>
      </w:r>
      <w:r w:rsidR="00347AD3" w:rsidRPr="00E059BC">
        <w:rPr>
          <w:rFonts w:ascii="Times New Roman" w:hAnsi="Times New Roman" w:cs="Times New Roman"/>
          <w:sz w:val="24"/>
          <w:szCs w:val="24"/>
        </w:rPr>
        <w:t xml:space="preserve"> and present a risk analysis to the board of ABC in respect of the proposed investment of £5M, the risk is analysed solely on the </w:t>
      </w:r>
      <w:r w:rsidR="001828A3" w:rsidRPr="00E059BC">
        <w:rPr>
          <w:rFonts w:ascii="Times New Roman" w:hAnsi="Times New Roman" w:cs="Times New Roman"/>
          <w:sz w:val="24"/>
          <w:szCs w:val="24"/>
        </w:rPr>
        <w:t xml:space="preserve">merits of the AML’s financial robustness and future viability as measured or projected from the financial statements. The differences, as calculated by a range of standard financial ratios, between the two will be discussed and </w:t>
      </w:r>
      <w:r w:rsidR="00981B97" w:rsidRPr="00E059BC">
        <w:rPr>
          <w:rFonts w:ascii="Times New Roman" w:hAnsi="Times New Roman" w:cs="Times New Roman"/>
          <w:sz w:val="24"/>
          <w:szCs w:val="24"/>
        </w:rPr>
        <w:t xml:space="preserve">relevance to the business health in a number of categories examined, including a limited comparison to </w:t>
      </w:r>
      <w:r w:rsidR="00F87B30" w:rsidRPr="00E059BC">
        <w:rPr>
          <w:rFonts w:ascii="Times New Roman" w:hAnsi="Times New Roman" w:cs="Times New Roman"/>
          <w:sz w:val="24"/>
          <w:szCs w:val="24"/>
        </w:rPr>
        <w:t>those</w:t>
      </w:r>
      <w:r w:rsidR="00981B97" w:rsidRPr="00E059BC">
        <w:rPr>
          <w:rFonts w:ascii="Times New Roman" w:hAnsi="Times New Roman" w:cs="Times New Roman"/>
          <w:sz w:val="24"/>
          <w:szCs w:val="24"/>
        </w:rPr>
        <w:t xml:space="preserve"> financial ratios considered average or indicative of the automotive industry in general</w:t>
      </w:r>
      <w:r w:rsidR="001828A3" w:rsidRPr="00E059BC">
        <w:rPr>
          <w:rFonts w:ascii="Times New Roman" w:hAnsi="Times New Roman" w:cs="Times New Roman"/>
          <w:sz w:val="24"/>
          <w:szCs w:val="24"/>
        </w:rPr>
        <w:t xml:space="preserve">. </w:t>
      </w:r>
    </w:p>
    <w:p w14:paraId="58D29225" w14:textId="77777777" w:rsidR="00767E8A" w:rsidRPr="00E059BC" w:rsidRDefault="00767E8A">
      <w:pPr>
        <w:rPr>
          <w:rFonts w:ascii="Times New Roman" w:hAnsi="Times New Roman" w:cs="Times New Roman"/>
          <w:sz w:val="24"/>
          <w:szCs w:val="24"/>
        </w:rPr>
      </w:pPr>
      <w:r w:rsidRPr="00E059BC">
        <w:rPr>
          <w:rFonts w:ascii="Times New Roman" w:hAnsi="Times New Roman" w:cs="Times New Roman"/>
          <w:sz w:val="24"/>
          <w:szCs w:val="24"/>
        </w:rPr>
        <w:br w:type="page"/>
      </w:r>
    </w:p>
    <w:p w14:paraId="625F83F5" w14:textId="77777777" w:rsidR="00F87B30" w:rsidRPr="00E059BC" w:rsidRDefault="00F87B30">
      <w:pPr>
        <w:rPr>
          <w:rFonts w:ascii="Times New Roman" w:hAnsi="Times New Roman" w:cs="Times New Roman"/>
          <w:sz w:val="24"/>
          <w:szCs w:val="24"/>
        </w:rPr>
      </w:pPr>
    </w:p>
    <w:p w14:paraId="0B2C4E55" w14:textId="213D6CCF" w:rsidR="00767E8A" w:rsidRPr="00E059BC" w:rsidRDefault="00F87B30" w:rsidP="00767E8A">
      <w:pPr>
        <w:pStyle w:val="Heading1"/>
        <w:rPr>
          <w:rFonts w:ascii="Times New Roman" w:hAnsi="Times New Roman" w:cs="Times New Roman"/>
          <w:sz w:val="24"/>
          <w:szCs w:val="24"/>
        </w:rPr>
      </w:pPr>
      <w:bookmarkStart w:id="4" w:name="_Toc125378681"/>
      <w:r w:rsidRPr="00E059BC">
        <w:rPr>
          <w:rFonts w:ascii="Times New Roman" w:hAnsi="Times New Roman" w:cs="Times New Roman"/>
          <w:sz w:val="24"/>
          <w:szCs w:val="24"/>
        </w:rPr>
        <w:t>Financial Ratios</w:t>
      </w:r>
      <w:bookmarkEnd w:id="4"/>
    </w:p>
    <w:p w14:paraId="078D4DE7" w14:textId="4C841318" w:rsidR="00767E8A" w:rsidRPr="00E059BC" w:rsidRDefault="00767E8A" w:rsidP="00767E8A">
      <w:pPr>
        <w:pStyle w:val="Heading2"/>
        <w:rPr>
          <w:rFonts w:ascii="Times New Roman" w:hAnsi="Times New Roman" w:cs="Times New Roman"/>
          <w:sz w:val="24"/>
          <w:szCs w:val="24"/>
        </w:rPr>
      </w:pPr>
      <w:bookmarkStart w:id="5" w:name="_Toc125378682"/>
      <w:r w:rsidRPr="00E059BC">
        <w:rPr>
          <w:rFonts w:ascii="Times New Roman" w:hAnsi="Times New Roman" w:cs="Times New Roman"/>
          <w:sz w:val="24"/>
          <w:szCs w:val="24"/>
        </w:rPr>
        <w:t>Ratio analysis</w:t>
      </w:r>
      <w:bookmarkEnd w:id="5"/>
      <w:r w:rsidRPr="00E059BC">
        <w:rPr>
          <w:rFonts w:ascii="Times New Roman" w:hAnsi="Times New Roman" w:cs="Times New Roman"/>
          <w:sz w:val="24"/>
          <w:szCs w:val="24"/>
        </w:rPr>
        <w:t xml:space="preserve"> </w:t>
      </w:r>
    </w:p>
    <w:p w14:paraId="340B9724" w14:textId="5D5E8447" w:rsidR="00767E8A" w:rsidRPr="00E059BC" w:rsidRDefault="00767E8A" w:rsidP="00767E8A">
      <w:pPr>
        <w:rPr>
          <w:rFonts w:ascii="Times New Roman" w:hAnsi="Times New Roman" w:cs="Times New Roman"/>
          <w:sz w:val="24"/>
          <w:szCs w:val="24"/>
        </w:rPr>
      </w:pPr>
      <w:r w:rsidRPr="00E059BC">
        <w:rPr>
          <w:rFonts w:ascii="Times New Roman" w:hAnsi="Times New Roman" w:cs="Times New Roman"/>
          <w:noProof/>
          <w:sz w:val="24"/>
          <w:szCs w:val="24"/>
        </w:rPr>
        <w:drawing>
          <wp:inline distT="0" distB="0" distL="0" distR="0" wp14:anchorId="1E675B0C" wp14:editId="5545446A">
            <wp:extent cx="5731510" cy="2490470"/>
            <wp:effectExtent l="0" t="0" r="2540" b="508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7"/>
                    <a:stretch>
                      <a:fillRect/>
                    </a:stretch>
                  </pic:blipFill>
                  <pic:spPr>
                    <a:xfrm>
                      <a:off x="0" y="0"/>
                      <a:ext cx="5731510" cy="2490470"/>
                    </a:xfrm>
                    <a:prstGeom prst="rect">
                      <a:avLst/>
                    </a:prstGeom>
                  </pic:spPr>
                </pic:pic>
              </a:graphicData>
            </a:graphic>
          </wp:inline>
        </w:drawing>
      </w:r>
    </w:p>
    <w:p w14:paraId="64250FA0" w14:textId="76C879BF" w:rsidR="00767E8A" w:rsidRPr="00E059BC" w:rsidRDefault="00767E8A" w:rsidP="00767E8A">
      <w:pPr>
        <w:jc w:val="center"/>
        <w:rPr>
          <w:rFonts w:ascii="Times New Roman" w:hAnsi="Times New Roman" w:cs="Times New Roman"/>
          <w:sz w:val="24"/>
          <w:szCs w:val="24"/>
        </w:rPr>
      </w:pPr>
      <w:r w:rsidRPr="00E059BC">
        <w:rPr>
          <w:rFonts w:ascii="Times New Roman" w:hAnsi="Times New Roman" w:cs="Times New Roman"/>
          <w:sz w:val="24"/>
          <w:szCs w:val="24"/>
        </w:rPr>
        <w:t>Fig. 1 From (CFI Team, 2022b)</w:t>
      </w:r>
    </w:p>
    <w:p w14:paraId="1F3B0A72" w14:textId="6BE31961" w:rsidR="00767E8A" w:rsidRPr="00E059BC" w:rsidRDefault="00767E8A" w:rsidP="00767E8A">
      <w:pPr>
        <w:rPr>
          <w:rFonts w:ascii="Times New Roman" w:hAnsi="Times New Roman" w:cs="Times New Roman"/>
          <w:sz w:val="24"/>
          <w:szCs w:val="24"/>
        </w:rPr>
      </w:pPr>
      <w:r w:rsidRPr="00E059BC">
        <w:rPr>
          <w:rFonts w:ascii="Times New Roman" w:hAnsi="Times New Roman" w:cs="Times New Roman"/>
          <w:sz w:val="24"/>
          <w:szCs w:val="24"/>
        </w:rPr>
        <w:t>Ratio analysis assists in rapid compariso</w:t>
      </w:r>
      <w:r w:rsidR="00ED4384" w:rsidRPr="00E059BC">
        <w:rPr>
          <w:rFonts w:ascii="Times New Roman" w:hAnsi="Times New Roman" w:cs="Times New Roman"/>
          <w:sz w:val="24"/>
          <w:szCs w:val="24"/>
        </w:rPr>
        <w:t xml:space="preserve">ns of the chronological trends for a company within each ratio category and further compares the financial health and sector specific performance, or potentially for investors seeking opportunities, where the company is positioned within a broad spectrum of investment opportunities. </w:t>
      </w:r>
    </w:p>
    <w:p w14:paraId="73E8ED6D" w14:textId="28587AF0" w:rsidR="00767E8A" w:rsidRPr="00E059BC" w:rsidRDefault="00E32CCA" w:rsidP="00767E8A">
      <w:pPr>
        <w:rPr>
          <w:rFonts w:ascii="Times New Roman" w:hAnsi="Times New Roman" w:cs="Times New Roman"/>
          <w:sz w:val="24"/>
          <w:szCs w:val="24"/>
        </w:rPr>
      </w:pPr>
      <w:r w:rsidRPr="00E059BC">
        <w:rPr>
          <w:rFonts w:ascii="Times New Roman" w:hAnsi="Times New Roman" w:cs="Times New Roman"/>
          <w:sz w:val="24"/>
          <w:szCs w:val="24"/>
        </w:rPr>
        <w:t xml:space="preserve">Trendline analysis helps predict future performance and may also be examined in context of changing market drivers, </w:t>
      </w:r>
      <w:r w:rsidR="003D7595" w:rsidRPr="00E059BC">
        <w:rPr>
          <w:rFonts w:ascii="Times New Roman" w:hAnsi="Times New Roman" w:cs="Times New Roman"/>
          <w:sz w:val="24"/>
          <w:szCs w:val="24"/>
        </w:rPr>
        <w:t>demand,</w:t>
      </w:r>
      <w:r w:rsidR="00111459" w:rsidRPr="00E059BC">
        <w:rPr>
          <w:rFonts w:ascii="Times New Roman" w:hAnsi="Times New Roman" w:cs="Times New Roman"/>
          <w:sz w:val="24"/>
          <w:szCs w:val="24"/>
        </w:rPr>
        <w:t xml:space="preserve"> or</w:t>
      </w:r>
      <w:r w:rsidRPr="00E059BC">
        <w:rPr>
          <w:rFonts w:ascii="Times New Roman" w:hAnsi="Times New Roman" w:cs="Times New Roman"/>
          <w:sz w:val="24"/>
          <w:szCs w:val="24"/>
        </w:rPr>
        <w:t xml:space="preserve"> geopolitical state changes. </w:t>
      </w:r>
    </w:p>
    <w:p w14:paraId="5847E9E3" w14:textId="77777777" w:rsidR="000161D1" w:rsidRPr="00E059BC" w:rsidRDefault="00F87B30" w:rsidP="000161D1">
      <w:pPr>
        <w:pStyle w:val="Heading1"/>
        <w:rPr>
          <w:rFonts w:ascii="Times New Roman" w:hAnsi="Times New Roman" w:cs="Times New Roman"/>
          <w:sz w:val="24"/>
          <w:szCs w:val="24"/>
        </w:rPr>
      </w:pPr>
      <w:bookmarkStart w:id="6" w:name="_Toc125378683"/>
      <w:r w:rsidRPr="00E059BC">
        <w:rPr>
          <w:rFonts w:ascii="Times New Roman" w:hAnsi="Times New Roman" w:cs="Times New Roman"/>
          <w:sz w:val="24"/>
          <w:szCs w:val="24"/>
        </w:rPr>
        <w:t>Financial Ratios</w:t>
      </w:r>
      <w:bookmarkEnd w:id="6"/>
      <w:r w:rsidRPr="00E059BC">
        <w:rPr>
          <w:rFonts w:ascii="Times New Roman" w:hAnsi="Times New Roman" w:cs="Times New Roman"/>
          <w:sz w:val="24"/>
          <w:szCs w:val="24"/>
        </w:rPr>
        <w:t xml:space="preserve"> </w:t>
      </w:r>
    </w:p>
    <w:p w14:paraId="6342113D" w14:textId="43E2EC77" w:rsidR="00F87B30" w:rsidRPr="00E059BC" w:rsidRDefault="000161D1" w:rsidP="00767E8A">
      <w:pPr>
        <w:rPr>
          <w:rFonts w:ascii="Times New Roman" w:hAnsi="Times New Roman" w:cs="Times New Roman"/>
          <w:sz w:val="24"/>
          <w:szCs w:val="24"/>
        </w:rPr>
      </w:pPr>
      <w:r w:rsidRPr="00E059BC">
        <w:rPr>
          <w:rFonts w:ascii="Times New Roman" w:hAnsi="Times New Roman" w:cs="Times New Roman"/>
          <w:sz w:val="24"/>
          <w:szCs w:val="24"/>
        </w:rPr>
        <w:t xml:space="preserve">Financial Ratios </w:t>
      </w:r>
      <w:r w:rsidR="00F87B30" w:rsidRPr="00E059BC">
        <w:rPr>
          <w:rFonts w:ascii="Times New Roman" w:hAnsi="Times New Roman" w:cs="Times New Roman"/>
          <w:sz w:val="24"/>
          <w:szCs w:val="24"/>
        </w:rPr>
        <w:t>are generally considered in respect to four categories.</w:t>
      </w:r>
    </w:p>
    <w:p w14:paraId="10AAE20E" w14:textId="5F8FCCA6" w:rsidR="00F87B30" w:rsidRPr="00E059BC" w:rsidRDefault="00F87B30" w:rsidP="00F87B30">
      <w:pPr>
        <w:pStyle w:val="Heading2"/>
        <w:rPr>
          <w:rFonts w:ascii="Times New Roman" w:hAnsi="Times New Roman" w:cs="Times New Roman"/>
          <w:sz w:val="24"/>
          <w:szCs w:val="24"/>
        </w:rPr>
      </w:pPr>
      <w:bookmarkStart w:id="7" w:name="_Toc125378684"/>
      <w:r w:rsidRPr="00E059BC">
        <w:rPr>
          <w:rFonts w:ascii="Times New Roman" w:hAnsi="Times New Roman" w:cs="Times New Roman"/>
          <w:sz w:val="24"/>
          <w:szCs w:val="24"/>
        </w:rPr>
        <w:t>Liquidity</w:t>
      </w:r>
      <w:bookmarkEnd w:id="7"/>
    </w:p>
    <w:p w14:paraId="2AAAF816" w14:textId="6A3B04CA" w:rsidR="00F87B30" w:rsidRPr="00E059BC" w:rsidRDefault="00AE6CDA" w:rsidP="00F87B30">
      <w:pPr>
        <w:rPr>
          <w:rFonts w:ascii="Times New Roman" w:hAnsi="Times New Roman" w:cs="Times New Roman"/>
          <w:sz w:val="24"/>
          <w:szCs w:val="24"/>
        </w:rPr>
      </w:pPr>
      <w:r w:rsidRPr="00E059BC">
        <w:rPr>
          <w:rFonts w:ascii="Times New Roman" w:hAnsi="Times New Roman" w:cs="Times New Roman"/>
          <w:sz w:val="24"/>
          <w:szCs w:val="24"/>
        </w:rPr>
        <w:t xml:space="preserve">Liquidity ratios are calculated by placing the current liabilities of the company in denominator and dividing the liquid assets. A ratio of less than 1 would suggest the company was unable to meet its current liabilities. Ratios greater than 1 suggests the company is able to meet its current </w:t>
      </w:r>
      <w:r w:rsidR="00A0672E" w:rsidRPr="00E059BC">
        <w:rPr>
          <w:rFonts w:ascii="Times New Roman" w:hAnsi="Times New Roman" w:cs="Times New Roman"/>
          <w:sz w:val="24"/>
          <w:szCs w:val="24"/>
        </w:rPr>
        <w:t xml:space="preserve">financial bills and the larger the ratio, the greater the ability to satisfy liabilities with ease. </w:t>
      </w:r>
    </w:p>
    <w:p w14:paraId="75339FBB" w14:textId="5F332C75" w:rsidR="00A0672E" w:rsidRPr="00E059BC" w:rsidRDefault="00A0672E" w:rsidP="00F87B30">
      <w:pPr>
        <w:rPr>
          <w:rFonts w:ascii="Times New Roman" w:hAnsi="Times New Roman" w:cs="Times New Roman"/>
          <w:sz w:val="24"/>
          <w:szCs w:val="24"/>
        </w:rPr>
      </w:pPr>
      <w:r w:rsidRPr="00E059BC">
        <w:rPr>
          <w:rFonts w:ascii="Times New Roman" w:hAnsi="Times New Roman" w:cs="Times New Roman"/>
          <w:sz w:val="24"/>
          <w:szCs w:val="24"/>
        </w:rPr>
        <w:t xml:space="preserve">Three main liquidity ratios are normally </w:t>
      </w:r>
      <w:r w:rsidR="008416AC" w:rsidRPr="00E059BC">
        <w:rPr>
          <w:rFonts w:ascii="Times New Roman" w:hAnsi="Times New Roman" w:cs="Times New Roman"/>
          <w:sz w:val="24"/>
          <w:szCs w:val="24"/>
        </w:rPr>
        <w:t>considered;</w:t>
      </w:r>
    </w:p>
    <w:p w14:paraId="2D31730B" w14:textId="2E33314C" w:rsidR="00A0672E" w:rsidRPr="00E059BC" w:rsidRDefault="00A0672E" w:rsidP="00ED4384">
      <w:pPr>
        <w:pStyle w:val="ListParagraph"/>
        <w:numPr>
          <w:ilvl w:val="0"/>
          <w:numId w:val="1"/>
        </w:numPr>
        <w:rPr>
          <w:rFonts w:ascii="Times New Roman" w:hAnsi="Times New Roman" w:cs="Times New Roman"/>
          <w:sz w:val="24"/>
          <w:szCs w:val="24"/>
        </w:rPr>
      </w:pPr>
      <w:r w:rsidRPr="00E059BC">
        <w:rPr>
          <w:rFonts w:ascii="Times New Roman" w:hAnsi="Times New Roman" w:cs="Times New Roman"/>
          <w:sz w:val="24"/>
          <w:szCs w:val="24"/>
        </w:rPr>
        <w:t xml:space="preserve">Current ratio is the quickest and broadest test, readily available from the </w:t>
      </w:r>
      <w:r w:rsidR="00154B83" w:rsidRPr="00E059BC">
        <w:rPr>
          <w:rFonts w:ascii="Times New Roman" w:hAnsi="Times New Roman" w:cs="Times New Roman"/>
          <w:sz w:val="24"/>
          <w:szCs w:val="24"/>
        </w:rPr>
        <w:t>financial</w:t>
      </w:r>
      <w:r w:rsidRPr="00E059BC">
        <w:rPr>
          <w:rFonts w:ascii="Times New Roman" w:hAnsi="Times New Roman" w:cs="Times New Roman"/>
          <w:sz w:val="24"/>
          <w:szCs w:val="24"/>
        </w:rPr>
        <w:t xml:space="preserve"> statements. </w:t>
      </w:r>
    </w:p>
    <w:p w14:paraId="47B3B80A" w14:textId="79D5B5E6" w:rsidR="00A0672E" w:rsidRPr="00E059BC" w:rsidRDefault="00A0672E" w:rsidP="00ED4384">
      <w:pPr>
        <w:pStyle w:val="ListParagraph"/>
        <w:numPr>
          <w:ilvl w:val="0"/>
          <w:numId w:val="1"/>
        </w:numPr>
        <w:rPr>
          <w:rFonts w:ascii="Times New Roman" w:hAnsi="Times New Roman" w:cs="Times New Roman"/>
          <w:sz w:val="24"/>
          <w:szCs w:val="24"/>
        </w:rPr>
      </w:pPr>
      <w:r w:rsidRPr="00E059BC">
        <w:rPr>
          <w:rFonts w:ascii="Times New Roman" w:hAnsi="Times New Roman" w:cs="Times New Roman"/>
          <w:sz w:val="24"/>
          <w:szCs w:val="24"/>
        </w:rPr>
        <w:t>Quick ratio</w:t>
      </w:r>
      <w:r w:rsidR="00154B83" w:rsidRPr="00E059BC">
        <w:rPr>
          <w:rFonts w:ascii="Times New Roman" w:hAnsi="Times New Roman" w:cs="Times New Roman"/>
          <w:sz w:val="24"/>
          <w:szCs w:val="24"/>
        </w:rPr>
        <w:t xml:space="preserve"> is a stricter test, and considers cash, accounts receivable and any marketable securities assets.</w:t>
      </w:r>
    </w:p>
    <w:p w14:paraId="32713A4C" w14:textId="4E3BABEF" w:rsidR="00A0672E" w:rsidRPr="00E059BC" w:rsidRDefault="00A0672E" w:rsidP="00ED4384">
      <w:pPr>
        <w:pStyle w:val="ListParagraph"/>
        <w:numPr>
          <w:ilvl w:val="0"/>
          <w:numId w:val="1"/>
        </w:numPr>
        <w:rPr>
          <w:rFonts w:ascii="Times New Roman" w:hAnsi="Times New Roman" w:cs="Times New Roman"/>
          <w:sz w:val="24"/>
          <w:szCs w:val="24"/>
        </w:rPr>
      </w:pPr>
      <w:r w:rsidRPr="00E059BC">
        <w:rPr>
          <w:rFonts w:ascii="Times New Roman" w:hAnsi="Times New Roman" w:cs="Times New Roman"/>
          <w:sz w:val="24"/>
          <w:szCs w:val="24"/>
        </w:rPr>
        <w:t>Cash ratio</w:t>
      </w:r>
      <w:r w:rsidR="00154B83" w:rsidRPr="00E059BC">
        <w:rPr>
          <w:rFonts w:ascii="Times New Roman" w:hAnsi="Times New Roman" w:cs="Times New Roman"/>
          <w:sz w:val="24"/>
          <w:szCs w:val="24"/>
        </w:rPr>
        <w:t xml:space="preserve"> further ignores the accounts receivable element of </w:t>
      </w:r>
      <w:r w:rsidR="008416AC" w:rsidRPr="00E059BC">
        <w:rPr>
          <w:rFonts w:ascii="Times New Roman" w:hAnsi="Times New Roman" w:cs="Times New Roman"/>
          <w:sz w:val="24"/>
          <w:szCs w:val="24"/>
        </w:rPr>
        <w:t>the quick</w:t>
      </w:r>
      <w:r w:rsidR="00154B83" w:rsidRPr="00E059BC">
        <w:rPr>
          <w:rFonts w:ascii="Times New Roman" w:hAnsi="Times New Roman" w:cs="Times New Roman"/>
          <w:sz w:val="24"/>
          <w:szCs w:val="24"/>
        </w:rPr>
        <w:t xml:space="preserve"> ratio assets (the customer may not pay or be slow to pay and hence the immediacy of the asset is not assured) and represents the strictest liquid test, one of immediate or near immediate ability to meet </w:t>
      </w:r>
      <w:r w:rsidR="008416AC" w:rsidRPr="00E059BC">
        <w:rPr>
          <w:rFonts w:ascii="Times New Roman" w:hAnsi="Times New Roman" w:cs="Times New Roman"/>
          <w:sz w:val="24"/>
          <w:szCs w:val="24"/>
        </w:rPr>
        <w:t xml:space="preserve">demands for settlement of </w:t>
      </w:r>
      <w:r w:rsidR="00F23929" w:rsidRPr="00E059BC">
        <w:rPr>
          <w:rFonts w:ascii="Times New Roman" w:hAnsi="Times New Roman" w:cs="Times New Roman"/>
          <w:sz w:val="24"/>
          <w:szCs w:val="24"/>
        </w:rPr>
        <w:t>short-term</w:t>
      </w:r>
      <w:r w:rsidR="008416AC" w:rsidRPr="00E059BC">
        <w:rPr>
          <w:rFonts w:ascii="Times New Roman" w:hAnsi="Times New Roman" w:cs="Times New Roman"/>
          <w:sz w:val="24"/>
          <w:szCs w:val="24"/>
        </w:rPr>
        <w:t xml:space="preserve"> liabilities. </w:t>
      </w:r>
    </w:p>
    <w:p w14:paraId="60D79B0B" w14:textId="04C92CE6" w:rsidR="008416AC" w:rsidRPr="00E059BC" w:rsidRDefault="008416AC" w:rsidP="00F87B30">
      <w:pPr>
        <w:rPr>
          <w:rFonts w:ascii="Times New Roman" w:hAnsi="Times New Roman" w:cs="Times New Roman"/>
          <w:sz w:val="24"/>
          <w:szCs w:val="24"/>
        </w:rPr>
      </w:pPr>
      <w:r w:rsidRPr="00E059BC">
        <w:rPr>
          <w:rFonts w:ascii="Times New Roman" w:hAnsi="Times New Roman" w:cs="Times New Roman"/>
          <w:sz w:val="24"/>
          <w:szCs w:val="24"/>
        </w:rPr>
        <w:lastRenderedPageBreak/>
        <w:t>From an investors point of view, a liquidity ratio of at 1 is desirable, 2 or three preferable, however a significantly higher liquid</w:t>
      </w:r>
      <w:r w:rsidR="00F23929" w:rsidRPr="00E059BC">
        <w:rPr>
          <w:rFonts w:ascii="Times New Roman" w:hAnsi="Times New Roman" w:cs="Times New Roman"/>
          <w:sz w:val="24"/>
          <w:szCs w:val="24"/>
        </w:rPr>
        <w:t>ity</w:t>
      </w:r>
      <w:r w:rsidRPr="00E059BC">
        <w:rPr>
          <w:rFonts w:ascii="Times New Roman" w:hAnsi="Times New Roman" w:cs="Times New Roman"/>
          <w:sz w:val="24"/>
          <w:szCs w:val="24"/>
        </w:rPr>
        <w:t xml:space="preserve"> ratio may flag </w:t>
      </w:r>
      <w:r w:rsidR="00F23929" w:rsidRPr="00E059BC">
        <w:rPr>
          <w:rFonts w:ascii="Times New Roman" w:hAnsi="Times New Roman" w:cs="Times New Roman"/>
          <w:sz w:val="24"/>
          <w:szCs w:val="24"/>
        </w:rPr>
        <w:t xml:space="preserve">improper levels of cash holdings or other highly liquid assets, surplus cash or assets which could and should be if appropriate, be used to grow value in the company for the benefit of the shareholders.  </w:t>
      </w:r>
    </w:p>
    <w:p w14:paraId="216CCDD6" w14:textId="27371167" w:rsidR="00F87B30" w:rsidRPr="00E059BC" w:rsidRDefault="00F87B30" w:rsidP="00F87B30">
      <w:pPr>
        <w:pStyle w:val="Heading2"/>
        <w:rPr>
          <w:rFonts w:ascii="Times New Roman" w:hAnsi="Times New Roman" w:cs="Times New Roman"/>
          <w:sz w:val="24"/>
          <w:szCs w:val="24"/>
        </w:rPr>
      </w:pPr>
      <w:bookmarkStart w:id="8" w:name="_Toc125378685"/>
      <w:r w:rsidRPr="00E059BC">
        <w:rPr>
          <w:rFonts w:ascii="Times New Roman" w:hAnsi="Times New Roman" w:cs="Times New Roman"/>
          <w:sz w:val="24"/>
          <w:szCs w:val="24"/>
        </w:rPr>
        <w:t>Leverage</w:t>
      </w:r>
      <w:bookmarkEnd w:id="8"/>
    </w:p>
    <w:p w14:paraId="06A352E5" w14:textId="0A979EA6" w:rsidR="00E32CCA" w:rsidRPr="00E059BC" w:rsidRDefault="00E32CCA" w:rsidP="00E32CCA">
      <w:pPr>
        <w:rPr>
          <w:rFonts w:ascii="Times New Roman" w:hAnsi="Times New Roman" w:cs="Times New Roman"/>
          <w:sz w:val="24"/>
          <w:szCs w:val="24"/>
        </w:rPr>
      </w:pPr>
      <w:r w:rsidRPr="00E059BC">
        <w:rPr>
          <w:rFonts w:ascii="Times New Roman" w:hAnsi="Times New Roman" w:cs="Times New Roman"/>
          <w:sz w:val="24"/>
          <w:szCs w:val="24"/>
        </w:rPr>
        <w:t xml:space="preserve">Leverage ratios indicate how the business is financed by </w:t>
      </w:r>
      <w:r w:rsidR="00FA010D" w:rsidRPr="00E059BC">
        <w:rPr>
          <w:rFonts w:ascii="Times New Roman" w:hAnsi="Times New Roman" w:cs="Times New Roman"/>
          <w:sz w:val="24"/>
          <w:szCs w:val="24"/>
        </w:rPr>
        <w:t>examining</w:t>
      </w:r>
      <w:r w:rsidRPr="00E059BC">
        <w:rPr>
          <w:rFonts w:ascii="Times New Roman" w:hAnsi="Times New Roman" w:cs="Times New Roman"/>
          <w:sz w:val="24"/>
          <w:szCs w:val="24"/>
        </w:rPr>
        <w:t xml:space="preserve"> the level of company </w:t>
      </w:r>
      <w:r w:rsidR="00FA010D" w:rsidRPr="00E059BC">
        <w:rPr>
          <w:rFonts w:ascii="Times New Roman" w:hAnsi="Times New Roman" w:cs="Times New Roman"/>
          <w:sz w:val="24"/>
          <w:szCs w:val="24"/>
        </w:rPr>
        <w:t>debt</w:t>
      </w:r>
      <w:r w:rsidRPr="00E059BC">
        <w:rPr>
          <w:rFonts w:ascii="Times New Roman" w:hAnsi="Times New Roman" w:cs="Times New Roman"/>
          <w:sz w:val="24"/>
          <w:szCs w:val="24"/>
        </w:rPr>
        <w:t xml:space="preserve"> against </w:t>
      </w:r>
      <w:r w:rsidR="00FA010D" w:rsidRPr="00E059BC">
        <w:rPr>
          <w:rFonts w:ascii="Times New Roman" w:hAnsi="Times New Roman" w:cs="Times New Roman"/>
          <w:sz w:val="24"/>
          <w:szCs w:val="24"/>
        </w:rPr>
        <w:t>cashflow, balance sheet or income statement accounts</w:t>
      </w:r>
      <w:r w:rsidR="003A1B0D" w:rsidRPr="00E059BC">
        <w:rPr>
          <w:rFonts w:ascii="Times New Roman" w:hAnsi="Times New Roman" w:cs="Times New Roman"/>
          <w:sz w:val="24"/>
          <w:szCs w:val="24"/>
        </w:rPr>
        <w:t xml:space="preserve"> a</w:t>
      </w:r>
      <w:r w:rsidR="009708CE" w:rsidRPr="00E059BC">
        <w:rPr>
          <w:rFonts w:ascii="Times New Roman" w:hAnsi="Times New Roman" w:cs="Times New Roman"/>
          <w:sz w:val="24"/>
          <w:szCs w:val="24"/>
        </w:rPr>
        <w:t xml:space="preserve">nd </w:t>
      </w:r>
      <w:r w:rsidR="003A1B0D" w:rsidRPr="00E059BC">
        <w:rPr>
          <w:rFonts w:ascii="Times New Roman" w:hAnsi="Times New Roman" w:cs="Times New Roman"/>
          <w:sz w:val="24"/>
          <w:szCs w:val="24"/>
        </w:rPr>
        <w:t>specify</w:t>
      </w:r>
      <w:r w:rsidR="009708CE" w:rsidRPr="00E059BC">
        <w:rPr>
          <w:rFonts w:ascii="Times New Roman" w:hAnsi="Times New Roman" w:cs="Times New Roman"/>
          <w:sz w:val="24"/>
          <w:szCs w:val="24"/>
        </w:rPr>
        <w:t xml:space="preserve"> the level of utilisation of debt employed in company operations. </w:t>
      </w:r>
    </w:p>
    <w:p w14:paraId="70989E01" w14:textId="688530B8" w:rsidR="00524DF9" w:rsidRPr="00E059BC" w:rsidRDefault="00524DF9" w:rsidP="00E32CCA">
      <w:pPr>
        <w:rPr>
          <w:rFonts w:ascii="Times New Roman" w:hAnsi="Times New Roman" w:cs="Times New Roman"/>
          <w:sz w:val="24"/>
          <w:szCs w:val="24"/>
        </w:rPr>
      </w:pPr>
      <w:r w:rsidRPr="00E059BC">
        <w:rPr>
          <w:rFonts w:ascii="Times New Roman" w:hAnsi="Times New Roman" w:cs="Times New Roman"/>
          <w:sz w:val="24"/>
          <w:szCs w:val="24"/>
        </w:rPr>
        <w:t xml:space="preserve">Gearing ratio </w:t>
      </w:r>
      <w:r w:rsidR="00180330" w:rsidRPr="00E059BC">
        <w:rPr>
          <w:rFonts w:ascii="Times New Roman" w:hAnsi="Times New Roman" w:cs="Times New Roman"/>
          <w:sz w:val="24"/>
          <w:szCs w:val="24"/>
        </w:rPr>
        <w:t xml:space="preserve">(also known as Debt/Asset ratio) </w:t>
      </w:r>
      <w:r w:rsidRPr="00E059BC">
        <w:rPr>
          <w:rFonts w:ascii="Times New Roman" w:hAnsi="Times New Roman" w:cs="Times New Roman"/>
          <w:sz w:val="24"/>
          <w:szCs w:val="24"/>
        </w:rPr>
        <w:t xml:space="preserve">effectively </w:t>
      </w:r>
      <w:r w:rsidR="003A1B0D" w:rsidRPr="00E059BC">
        <w:rPr>
          <w:rFonts w:ascii="Times New Roman" w:hAnsi="Times New Roman" w:cs="Times New Roman"/>
          <w:sz w:val="24"/>
          <w:szCs w:val="24"/>
        </w:rPr>
        <w:t>define</w:t>
      </w:r>
      <w:r w:rsidR="009708CE" w:rsidRPr="00E059BC">
        <w:rPr>
          <w:rFonts w:ascii="Times New Roman" w:hAnsi="Times New Roman" w:cs="Times New Roman"/>
          <w:sz w:val="24"/>
          <w:szCs w:val="24"/>
        </w:rPr>
        <w:t xml:space="preserve"> the level of </w:t>
      </w:r>
      <w:r w:rsidR="00BB61F5" w:rsidRPr="00E059BC">
        <w:rPr>
          <w:rFonts w:ascii="Times New Roman" w:hAnsi="Times New Roman" w:cs="Times New Roman"/>
          <w:sz w:val="24"/>
          <w:szCs w:val="24"/>
        </w:rPr>
        <w:t>long-term</w:t>
      </w:r>
      <w:r w:rsidR="009708CE" w:rsidRPr="00E059BC">
        <w:rPr>
          <w:rFonts w:ascii="Times New Roman" w:hAnsi="Times New Roman" w:cs="Times New Roman"/>
          <w:sz w:val="24"/>
          <w:szCs w:val="24"/>
        </w:rPr>
        <w:t xml:space="preserve"> debt </w:t>
      </w:r>
      <w:r w:rsidR="003A1B0D" w:rsidRPr="00E059BC">
        <w:rPr>
          <w:rFonts w:ascii="Times New Roman" w:hAnsi="Times New Roman" w:cs="Times New Roman"/>
          <w:sz w:val="24"/>
          <w:szCs w:val="24"/>
        </w:rPr>
        <w:t>in relation to</w:t>
      </w:r>
      <w:r w:rsidR="009708CE" w:rsidRPr="00E059BC">
        <w:rPr>
          <w:rFonts w:ascii="Times New Roman" w:hAnsi="Times New Roman" w:cs="Times New Roman"/>
          <w:sz w:val="24"/>
          <w:szCs w:val="24"/>
        </w:rPr>
        <w:t xml:space="preserve"> the company assets, it is generally accepted that a ratio of less than 50% is within the ‘safe zone</w:t>
      </w:r>
      <w:r w:rsidR="00111459" w:rsidRPr="00E059BC">
        <w:rPr>
          <w:rFonts w:ascii="Times New Roman" w:hAnsi="Times New Roman" w:cs="Times New Roman"/>
          <w:sz w:val="24"/>
          <w:szCs w:val="24"/>
        </w:rPr>
        <w:t>’.</w:t>
      </w:r>
      <w:r w:rsidR="009708CE" w:rsidRPr="00E059BC">
        <w:rPr>
          <w:rFonts w:ascii="Times New Roman" w:hAnsi="Times New Roman" w:cs="Times New Roman"/>
          <w:sz w:val="24"/>
          <w:szCs w:val="24"/>
        </w:rPr>
        <w:t xml:space="preserve"> </w:t>
      </w:r>
    </w:p>
    <w:p w14:paraId="36F5A311" w14:textId="094FCD6C" w:rsidR="00524DF9" w:rsidRPr="00E059BC" w:rsidRDefault="00524DF9" w:rsidP="00E32CCA">
      <w:pPr>
        <w:rPr>
          <w:rFonts w:ascii="Times New Roman" w:hAnsi="Times New Roman" w:cs="Times New Roman"/>
          <w:sz w:val="24"/>
          <w:szCs w:val="24"/>
        </w:rPr>
      </w:pPr>
      <w:r w:rsidRPr="00E059BC">
        <w:rPr>
          <w:rFonts w:ascii="Times New Roman" w:hAnsi="Times New Roman" w:cs="Times New Roman"/>
          <w:sz w:val="24"/>
          <w:szCs w:val="24"/>
        </w:rPr>
        <w:t>Debt/Equity ratio</w:t>
      </w:r>
      <w:r w:rsidR="003A1B0D" w:rsidRPr="00E059BC">
        <w:rPr>
          <w:rFonts w:ascii="Times New Roman" w:hAnsi="Times New Roman" w:cs="Times New Roman"/>
          <w:sz w:val="24"/>
          <w:szCs w:val="24"/>
        </w:rPr>
        <w:t xml:space="preserve"> in contrast to </w:t>
      </w:r>
      <w:r w:rsidR="00180330" w:rsidRPr="00E059BC">
        <w:rPr>
          <w:rFonts w:ascii="Times New Roman" w:hAnsi="Times New Roman" w:cs="Times New Roman"/>
          <w:sz w:val="24"/>
          <w:szCs w:val="24"/>
        </w:rPr>
        <w:t>G</w:t>
      </w:r>
      <w:r w:rsidR="003A1B0D" w:rsidRPr="00E059BC">
        <w:rPr>
          <w:rFonts w:ascii="Times New Roman" w:hAnsi="Times New Roman" w:cs="Times New Roman"/>
          <w:sz w:val="24"/>
          <w:szCs w:val="24"/>
        </w:rPr>
        <w:t>earing ratio considers the</w:t>
      </w:r>
      <w:r w:rsidR="00C63937" w:rsidRPr="00E059BC">
        <w:rPr>
          <w:rFonts w:ascii="Times New Roman" w:hAnsi="Times New Roman" w:cs="Times New Roman"/>
          <w:sz w:val="24"/>
          <w:szCs w:val="24"/>
        </w:rPr>
        <w:t xml:space="preserve"> total</w:t>
      </w:r>
      <w:r w:rsidR="00180330" w:rsidRPr="00E059BC">
        <w:rPr>
          <w:rFonts w:ascii="Times New Roman" w:hAnsi="Times New Roman" w:cs="Times New Roman"/>
          <w:sz w:val="24"/>
          <w:szCs w:val="24"/>
        </w:rPr>
        <w:t xml:space="preserve"> debt </w:t>
      </w:r>
      <w:r w:rsidR="00C63937" w:rsidRPr="00E059BC">
        <w:rPr>
          <w:rFonts w:ascii="Times New Roman" w:hAnsi="Times New Roman" w:cs="Times New Roman"/>
          <w:sz w:val="24"/>
          <w:szCs w:val="24"/>
        </w:rPr>
        <w:t xml:space="preserve">(including short term debt) </w:t>
      </w:r>
      <w:r w:rsidR="00180330" w:rsidRPr="00E059BC">
        <w:rPr>
          <w:rFonts w:ascii="Times New Roman" w:hAnsi="Times New Roman" w:cs="Times New Roman"/>
          <w:sz w:val="24"/>
          <w:szCs w:val="24"/>
        </w:rPr>
        <w:t xml:space="preserve">in respect of the total equity of the company and reflect the degree of reliance of the company on borrowing or equity financing for its operations, in other words reflecting the company’s capital structure. </w:t>
      </w:r>
      <w:r w:rsidR="00C63937" w:rsidRPr="00E059BC">
        <w:rPr>
          <w:rFonts w:ascii="Times New Roman" w:hAnsi="Times New Roman" w:cs="Times New Roman"/>
          <w:sz w:val="24"/>
          <w:szCs w:val="24"/>
        </w:rPr>
        <w:t>High Debt /Equity is desirable</w:t>
      </w:r>
      <w:r w:rsidR="003706B4" w:rsidRPr="00E059BC">
        <w:rPr>
          <w:rFonts w:ascii="Times New Roman" w:hAnsi="Times New Roman" w:cs="Times New Roman"/>
          <w:sz w:val="24"/>
          <w:szCs w:val="24"/>
        </w:rPr>
        <w:t xml:space="preserve"> (up to a certain level)</w:t>
      </w:r>
      <w:r w:rsidR="00C63937" w:rsidRPr="00E059BC">
        <w:rPr>
          <w:rFonts w:ascii="Times New Roman" w:hAnsi="Times New Roman" w:cs="Times New Roman"/>
          <w:sz w:val="24"/>
          <w:szCs w:val="24"/>
        </w:rPr>
        <w:t xml:space="preserve"> as it demonstrates the serviceability of the company debt obligations. </w:t>
      </w:r>
      <w:r w:rsidR="003706B4" w:rsidRPr="00E059BC">
        <w:rPr>
          <w:rFonts w:ascii="Times New Roman" w:hAnsi="Times New Roman" w:cs="Times New Roman"/>
          <w:sz w:val="24"/>
          <w:szCs w:val="24"/>
        </w:rPr>
        <w:t xml:space="preserve">Too high a D/E may result in increased cost of borrowing and lead to difficulty in servicing debt. </w:t>
      </w:r>
    </w:p>
    <w:p w14:paraId="555A78B3" w14:textId="38900A2C" w:rsidR="00524DF9" w:rsidRPr="00E059BC" w:rsidRDefault="00C63937" w:rsidP="00E32CCA">
      <w:pPr>
        <w:rPr>
          <w:rFonts w:ascii="Times New Roman" w:hAnsi="Times New Roman" w:cs="Times New Roman"/>
          <w:sz w:val="24"/>
          <w:szCs w:val="24"/>
        </w:rPr>
      </w:pPr>
      <w:r w:rsidRPr="00E059BC">
        <w:rPr>
          <w:rFonts w:ascii="Times New Roman" w:hAnsi="Times New Roman" w:cs="Times New Roman"/>
          <w:sz w:val="24"/>
          <w:szCs w:val="24"/>
        </w:rPr>
        <w:t xml:space="preserve">Long Term </w:t>
      </w:r>
      <w:r w:rsidR="00524DF9" w:rsidRPr="00E059BC">
        <w:rPr>
          <w:rFonts w:ascii="Times New Roman" w:hAnsi="Times New Roman" w:cs="Times New Roman"/>
          <w:sz w:val="24"/>
          <w:szCs w:val="24"/>
        </w:rPr>
        <w:t>Debt/Equity ratio</w:t>
      </w:r>
      <w:r w:rsidR="003706B4" w:rsidRPr="00E059BC">
        <w:rPr>
          <w:rFonts w:ascii="Times New Roman" w:hAnsi="Times New Roman" w:cs="Times New Roman"/>
          <w:sz w:val="24"/>
          <w:szCs w:val="24"/>
        </w:rPr>
        <w:t xml:space="preserve"> determines how much leverage a company is holding. High LTD/</w:t>
      </w:r>
      <w:r w:rsidR="0017184F" w:rsidRPr="00E059BC">
        <w:rPr>
          <w:rFonts w:ascii="Times New Roman" w:hAnsi="Times New Roman" w:cs="Times New Roman"/>
          <w:sz w:val="24"/>
          <w:szCs w:val="24"/>
        </w:rPr>
        <w:t>E points</w:t>
      </w:r>
      <w:r w:rsidR="003706B4" w:rsidRPr="00E059BC">
        <w:rPr>
          <w:rFonts w:ascii="Times New Roman" w:hAnsi="Times New Roman" w:cs="Times New Roman"/>
          <w:sz w:val="24"/>
          <w:szCs w:val="24"/>
        </w:rPr>
        <w:t xml:space="preserve"> to high debt in the financial structure of the company and indicates</w:t>
      </w:r>
      <w:r w:rsidR="0017184F" w:rsidRPr="00E059BC">
        <w:rPr>
          <w:rFonts w:ascii="Times New Roman" w:hAnsi="Times New Roman" w:cs="Times New Roman"/>
          <w:sz w:val="24"/>
          <w:szCs w:val="24"/>
        </w:rPr>
        <w:t xml:space="preserve"> a financial risk. </w:t>
      </w:r>
    </w:p>
    <w:p w14:paraId="007D49CC" w14:textId="4DC83A27" w:rsidR="00524DF9" w:rsidRPr="00E059BC" w:rsidRDefault="00524DF9" w:rsidP="00E32CCA">
      <w:pPr>
        <w:rPr>
          <w:rFonts w:ascii="Times New Roman" w:hAnsi="Times New Roman" w:cs="Times New Roman"/>
          <w:sz w:val="24"/>
          <w:szCs w:val="24"/>
        </w:rPr>
      </w:pPr>
      <w:r w:rsidRPr="00E059BC">
        <w:rPr>
          <w:rFonts w:ascii="Times New Roman" w:hAnsi="Times New Roman" w:cs="Times New Roman"/>
          <w:sz w:val="24"/>
          <w:szCs w:val="24"/>
        </w:rPr>
        <w:t>Interest coverage</w:t>
      </w:r>
      <w:r w:rsidR="0017184F" w:rsidRPr="00E059BC">
        <w:rPr>
          <w:rFonts w:ascii="Times New Roman" w:hAnsi="Times New Roman" w:cs="Times New Roman"/>
          <w:sz w:val="24"/>
          <w:szCs w:val="24"/>
        </w:rPr>
        <w:t xml:space="preserve"> is simply an indicator of how easily a company can service the interest payments on its debt. The calculation takes the earnings before interest and tax (</w:t>
      </w:r>
      <w:r w:rsidR="0072135B" w:rsidRPr="00E059BC">
        <w:rPr>
          <w:rFonts w:ascii="Times New Roman" w:hAnsi="Times New Roman" w:cs="Times New Roman"/>
          <w:sz w:val="24"/>
          <w:szCs w:val="24"/>
        </w:rPr>
        <w:t>EBIT) and</w:t>
      </w:r>
      <w:r w:rsidR="0017184F" w:rsidRPr="00E059BC">
        <w:rPr>
          <w:rFonts w:ascii="Times New Roman" w:hAnsi="Times New Roman" w:cs="Times New Roman"/>
          <w:sz w:val="24"/>
          <w:szCs w:val="24"/>
        </w:rPr>
        <w:t xml:space="preserve"> divides it by interest expense within accounting period. </w:t>
      </w:r>
    </w:p>
    <w:p w14:paraId="26503B2A" w14:textId="77777777" w:rsidR="008416AC" w:rsidRPr="00E059BC" w:rsidRDefault="008416AC" w:rsidP="008416AC">
      <w:pPr>
        <w:rPr>
          <w:rFonts w:ascii="Times New Roman" w:hAnsi="Times New Roman" w:cs="Times New Roman"/>
          <w:sz w:val="24"/>
          <w:szCs w:val="24"/>
        </w:rPr>
      </w:pPr>
    </w:p>
    <w:p w14:paraId="551803CE" w14:textId="456B685E" w:rsidR="00F87B30" w:rsidRPr="00E059BC" w:rsidRDefault="00F87B30" w:rsidP="00F87B30">
      <w:pPr>
        <w:pStyle w:val="Heading2"/>
        <w:rPr>
          <w:rFonts w:ascii="Times New Roman" w:hAnsi="Times New Roman" w:cs="Times New Roman"/>
          <w:sz w:val="24"/>
          <w:szCs w:val="24"/>
        </w:rPr>
      </w:pPr>
      <w:bookmarkStart w:id="9" w:name="_Toc125378686"/>
      <w:r w:rsidRPr="00E059BC">
        <w:rPr>
          <w:rFonts w:ascii="Times New Roman" w:hAnsi="Times New Roman" w:cs="Times New Roman"/>
          <w:sz w:val="24"/>
          <w:szCs w:val="24"/>
        </w:rPr>
        <w:t>Activity</w:t>
      </w:r>
      <w:bookmarkEnd w:id="9"/>
    </w:p>
    <w:p w14:paraId="448FBAE9" w14:textId="5D1693D2" w:rsidR="0017184F" w:rsidRPr="00E059BC" w:rsidRDefault="0017184F" w:rsidP="0017184F">
      <w:pPr>
        <w:rPr>
          <w:rFonts w:ascii="Times New Roman" w:hAnsi="Times New Roman" w:cs="Times New Roman"/>
          <w:sz w:val="24"/>
          <w:szCs w:val="24"/>
        </w:rPr>
      </w:pPr>
      <w:r w:rsidRPr="00E059BC">
        <w:rPr>
          <w:rFonts w:ascii="Times New Roman" w:hAnsi="Times New Roman" w:cs="Times New Roman"/>
          <w:sz w:val="24"/>
          <w:szCs w:val="24"/>
        </w:rPr>
        <w:t>Days Sales Outstanding (DSO)</w:t>
      </w:r>
      <w:r w:rsidR="0072135B" w:rsidRPr="00E059BC">
        <w:rPr>
          <w:rFonts w:ascii="Times New Roman" w:hAnsi="Times New Roman" w:cs="Times New Roman"/>
          <w:sz w:val="24"/>
          <w:szCs w:val="24"/>
        </w:rPr>
        <w:t xml:space="preserve"> measures how quickly customers pay for the company’s good or services, averaged in days in a particular accounting period. Every business would prefer a low DSO to enable cash flow and reduce working capital borrowing and associated interest. </w:t>
      </w:r>
    </w:p>
    <w:p w14:paraId="2E951724" w14:textId="476BD115" w:rsidR="0017184F" w:rsidRPr="00E059BC" w:rsidRDefault="0017184F" w:rsidP="0017184F">
      <w:pPr>
        <w:rPr>
          <w:rFonts w:ascii="Times New Roman" w:hAnsi="Times New Roman" w:cs="Times New Roman"/>
          <w:sz w:val="24"/>
          <w:szCs w:val="24"/>
        </w:rPr>
      </w:pPr>
      <w:r w:rsidRPr="00E059BC">
        <w:rPr>
          <w:rFonts w:ascii="Times New Roman" w:hAnsi="Times New Roman" w:cs="Times New Roman"/>
          <w:sz w:val="24"/>
          <w:szCs w:val="24"/>
        </w:rPr>
        <w:t>Days Payable Outstanding (DPO)</w:t>
      </w:r>
      <w:r w:rsidR="0072135B" w:rsidRPr="00E059BC">
        <w:rPr>
          <w:rFonts w:ascii="Times New Roman" w:hAnsi="Times New Roman" w:cs="Times New Roman"/>
          <w:sz w:val="24"/>
          <w:szCs w:val="24"/>
        </w:rPr>
        <w:t xml:space="preserve"> in contrast to DSO, measures how quickly the company responds to a supplier invoicing, again measured average days in any accounting period. DPO has benefits and adverse effects for the company and </w:t>
      </w:r>
      <w:r w:rsidR="00232D88" w:rsidRPr="00E059BC">
        <w:rPr>
          <w:rFonts w:ascii="Times New Roman" w:hAnsi="Times New Roman" w:cs="Times New Roman"/>
          <w:sz w:val="24"/>
          <w:szCs w:val="24"/>
        </w:rPr>
        <w:t>supplier,</w:t>
      </w:r>
      <w:r w:rsidR="0072135B" w:rsidRPr="00E059BC">
        <w:rPr>
          <w:rFonts w:ascii="Times New Roman" w:hAnsi="Times New Roman" w:cs="Times New Roman"/>
          <w:sz w:val="24"/>
          <w:szCs w:val="24"/>
        </w:rPr>
        <w:t xml:space="preserve"> respectively. Benefits include retention of capital, thereby reducing demand for </w:t>
      </w:r>
      <w:r w:rsidR="00232D88" w:rsidRPr="00E059BC">
        <w:rPr>
          <w:rFonts w:ascii="Times New Roman" w:hAnsi="Times New Roman" w:cs="Times New Roman"/>
          <w:sz w:val="24"/>
          <w:szCs w:val="24"/>
        </w:rPr>
        <w:t xml:space="preserve">working capital borrowing, the benefits increasing as DSO increases, on the flip side a higher DSO than sector norm spotlights the ‘bad citizen’, in some sectors this is offset by high competition to become suppliers to the company due to the rewards of being so.   The supplier however experiences the negative effects of a high DSO relationship with the company, and the </w:t>
      </w:r>
      <w:r w:rsidR="0063012A" w:rsidRPr="00E059BC">
        <w:rPr>
          <w:rFonts w:ascii="Times New Roman" w:hAnsi="Times New Roman" w:cs="Times New Roman"/>
          <w:sz w:val="24"/>
          <w:szCs w:val="24"/>
        </w:rPr>
        <w:t>cashflow / potential additional financing burden that</w:t>
      </w:r>
      <w:r w:rsidR="00232D88" w:rsidRPr="00E059BC">
        <w:rPr>
          <w:rFonts w:ascii="Times New Roman" w:hAnsi="Times New Roman" w:cs="Times New Roman"/>
          <w:sz w:val="24"/>
          <w:szCs w:val="24"/>
        </w:rPr>
        <w:t xml:space="preserve"> entails</w:t>
      </w:r>
      <w:r w:rsidR="0063012A" w:rsidRPr="00E059BC">
        <w:rPr>
          <w:rFonts w:ascii="Times New Roman" w:hAnsi="Times New Roman" w:cs="Times New Roman"/>
          <w:sz w:val="24"/>
          <w:szCs w:val="24"/>
        </w:rPr>
        <w:t>.</w:t>
      </w:r>
    </w:p>
    <w:p w14:paraId="44E14B2C" w14:textId="4AF90110" w:rsidR="0028156F" w:rsidRDefault="0017184F" w:rsidP="0028156F">
      <w:pPr>
        <w:rPr>
          <w:rFonts w:ascii="Times New Roman" w:hAnsi="Times New Roman" w:cs="Times New Roman"/>
          <w:sz w:val="24"/>
          <w:szCs w:val="24"/>
        </w:rPr>
      </w:pPr>
      <w:r w:rsidRPr="00E059BC">
        <w:rPr>
          <w:rFonts w:ascii="Times New Roman" w:hAnsi="Times New Roman" w:cs="Times New Roman"/>
          <w:sz w:val="24"/>
          <w:szCs w:val="24"/>
        </w:rPr>
        <w:t>Inventory Turnover</w:t>
      </w:r>
      <w:r w:rsidR="0063012A" w:rsidRPr="00E059BC">
        <w:rPr>
          <w:rFonts w:ascii="Times New Roman" w:hAnsi="Times New Roman" w:cs="Times New Roman"/>
          <w:sz w:val="24"/>
          <w:szCs w:val="24"/>
        </w:rPr>
        <w:t xml:space="preserve"> is a measure of cost of product or cost of inventory sold in a given accounting period relative to the average stock held in inventory for that period. </w:t>
      </w:r>
      <w:r w:rsidR="005D2F00" w:rsidRPr="00E059BC">
        <w:rPr>
          <w:rFonts w:ascii="Times New Roman" w:hAnsi="Times New Roman" w:cs="Times New Roman"/>
          <w:sz w:val="24"/>
          <w:szCs w:val="24"/>
        </w:rPr>
        <w:t xml:space="preserve">Sector averages do vary, complexity of product, discount in inventory volume purchase and seasonality in buyer trends may all have an effect on the level of acceptable inventory </w:t>
      </w:r>
      <w:r w:rsidR="0028156F" w:rsidRPr="00E059BC">
        <w:rPr>
          <w:rFonts w:ascii="Times New Roman" w:hAnsi="Times New Roman" w:cs="Times New Roman"/>
          <w:sz w:val="24"/>
          <w:szCs w:val="24"/>
        </w:rPr>
        <w:t xml:space="preserve">turnover ratio for any particular sector. </w:t>
      </w:r>
    </w:p>
    <w:p w14:paraId="5C36058F" w14:textId="77777777" w:rsidR="00570D9B" w:rsidRPr="00E059BC" w:rsidRDefault="00570D9B" w:rsidP="00570D9B">
      <w:pPr>
        <w:pStyle w:val="Heading2"/>
        <w:rPr>
          <w:rFonts w:ascii="Times New Roman" w:hAnsi="Times New Roman" w:cs="Times New Roman"/>
          <w:sz w:val="24"/>
          <w:szCs w:val="24"/>
        </w:rPr>
      </w:pPr>
      <w:bookmarkStart w:id="10" w:name="_Toc125378687"/>
      <w:r w:rsidRPr="00E059BC">
        <w:rPr>
          <w:rFonts w:ascii="Times New Roman" w:hAnsi="Times New Roman" w:cs="Times New Roman"/>
          <w:sz w:val="24"/>
          <w:szCs w:val="24"/>
        </w:rPr>
        <w:lastRenderedPageBreak/>
        <w:t>Profitability</w:t>
      </w:r>
      <w:bookmarkEnd w:id="10"/>
    </w:p>
    <w:p w14:paraId="1F8017BE" w14:textId="1BD30C3C" w:rsidR="00570D9B" w:rsidRPr="00E059BC" w:rsidRDefault="00570D9B" w:rsidP="00570D9B">
      <w:pPr>
        <w:rPr>
          <w:rFonts w:ascii="Times New Roman" w:hAnsi="Times New Roman" w:cs="Times New Roman"/>
          <w:sz w:val="24"/>
          <w:szCs w:val="24"/>
        </w:rPr>
      </w:pPr>
      <w:r w:rsidRPr="00E059BC">
        <w:rPr>
          <w:rFonts w:ascii="Times New Roman" w:hAnsi="Times New Roman" w:cs="Times New Roman"/>
          <w:sz w:val="24"/>
          <w:szCs w:val="24"/>
        </w:rPr>
        <w:t xml:space="preserve">Gross Profit Margin is the percentage of sales revenue after deduction of the cost of sales.  Simply it is how much profit the company makes after meeting the Cost </w:t>
      </w:r>
      <w:r w:rsidR="0037427D" w:rsidRPr="00E059BC">
        <w:rPr>
          <w:rFonts w:ascii="Times New Roman" w:hAnsi="Times New Roman" w:cs="Times New Roman"/>
          <w:sz w:val="24"/>
          <w:szCs w:val="24"/>
        </w:rPr>
        <w:t>of</w:t>
      </w:r>
      <w:r w:rsidRPr="00E059BC">
        <w:rPr>
          <w:rFonts w:ascii="Times New Roman" w:hAnsi="Times New Roman" w:cs="Times New Roman"/>
          <w:sz w:val="24"/>
          <w:szCs w:val="24"/>
        </w:rPr>
        <w:t xml:space="preserve"> Goods Sold (COGS). At a higher-level Gross </w:t>
      </w:r>
    </w:p>
    <w:p w14:paraId="101B90DE" w14:textId="77777777" w:rsidR="00570D9B" w:rsidRPr="00E059BC" w:rsidRDefault="00570D9B" w:rsidP="00570D9B">
      <w:pPr>
        <w:rPr>
          <w:rFonts w:ascii="Times New Roman" w:hAnsi="Times New Roman" w:cs="Times New Roman"/>
          <w:sz w:val="24"/>
          <w:szCs w:val="24"/>
        </w:rPr>
      </w:pPr>
      <w:r w:rsidRPr="00E059BC">
        <w:rPr>
          <w:rFonts w:ascii="Times New Roman" w:hAnsi="Times New Roman" w:cs="Times New Roman"/>
          <w:sz w:val="24"/>
          <w:szCs w:val="24"/>
        </w:rPr>
        <w:t xml:space="preserve">Operating Margin or return on sales is the revenue residual after deducting operational expenses.  Operating Margins further deduct operating costs form the Gross Profit Margin. </w:t>
      </w:r>
    </w:p>
    <w:p w14:paraId="0C915B02" w14:textId="77777777" w:rsidR="00570D9B" w:rsidRPr="00E059BC" w:rsidRDefault="00570D9B" w:rsidP="00570D9B">
      <w:pPr>
        <w:rPr>
          <w:rFonts w:ascii="Times New Roman" w:hAnsi="Times New Roman" w:cs="Times New Roman"/>
          <w:sz w:val="24"/>
          <w:szCs w:val="24"/>
        </w:rPr>
      </w:pPr>
      <w:r w:rsidRPr="00E059BC">
        <w:rPr>
          <w:rFonts w:ascii="Times New Roman" w:hAnsi="Times New Roman" w:cs="Times New Roman"/>
          <w:sz w:val="24"/>
          <w:szCs w:val="24"/>
        </w:rPr>
        <w:t xml:space="preserve">Net Profit Margin is the percentage of profit after deducting all company expenses or costs from total revenue and dividing that (net profit) by the total revenue, expressed as a percentage. </w:t>
      </w:r>
    </w:p>
    <w:p w14:paraId="3F5D24B5" w14:textId="77777777" w:rsidR="00570D9B" w:rsidRPr="00E059BC" w:rsidRDefault="00570D9B" w:rsidP="00570D9B">
      <w:pPr>
        <w:rPr>
          <w:rFonts w:ascii="Times New Roman" w:hAnsi="Times New Roman" w:cs="Times New Roman"/>
          <w:sz w:val="24"/>
          <w:szCs w:val="24"/>
        </w:rPr>
      </w:pPr>
      <w:r w:rsidRPr="00E059BC">
        <w:rPr>
          <w:rFonts w:ascii="Times New Roman" w:hAnsi="Times New Roman" w:cs="Times New Roman"/>
          <w:sz w:val="24"/>
          <w:szCs w:val="24"/>
        </w:rPr>
        <w:t xml:space="preserve">Return on Assets is an indicator of the efficiency of a company operations or management in utilisation of its available assets, to realise profit for each unit of asset. </w:t>
      </w:r>
    </w:p>
    <w:p w14:paraId="086D17C8" w14:textId="77777777" w:rsidR="00570D9B" w:rsidRDefault="00570D9B" w:rsidP="0028156F">
      <w:pPr>
        <w:pStyle w:val="Heading2"/>
      </w:pPr>
    </w:p>
    <w:p w14:paraId="4DAA94B5" w14:textId="18EE48D7" w:rsidR="0028156F" w:rsidRDefault="0028156F" w:rsidP="0028156F">
      <w:pPr>
        <w:pStyle w:val="Heading2"/>
      </w:pPr>
      <w:bookmarkStart w:id="11" w:name="_Toc125378688"/>
      <w:r>
        <w:t>Limitations of financial ratios</w:t>
      </w:r>
      <w:bookmarkEnd w:id="11"/>
    </w:p>
    <w:p w14:paraId="31320EBB" w14:textId="77777777" w:rsidR="00BB61F5" w:rsidRDefault="00BB61F5" w:rsidP="0028156F">
      <w:r>
        <w:t>A number of caveats exist when interpreting financial ratios in respect of company financial stability, performance or potential.</w:t>
      </w:r>
    </w:p>
    <w:p w14:paraId="532BF60B" w14:textId="6BE9B987" w:rsidR="0028156F" w:rsidRDefault="00BB61F5" w:rsidP="00051DFE">
      <w:pPr>
        <w:pStyle w:val="ListParagraph"/>
        <w:numPr>
          <w:ilvl w:val="0"/>
          <w:numId w:val="6"/>
        </w:numPr>
      </w:pPr>
      <w:r>
        <w:t xml:space="preserve">Ratios are based on figures in </w:t>
      </w:r>
      <w:r w:rsidR="00E32CB1">
        <w:t xml:space="preserve">disclosed figures from accounts, therefore can be subject to approximations, </w:t>
      </w:r>
      <w:r w:rsidR="00051DFE">
        <w:t>errors,</w:t>
      </w:r>
      <w:r w:rsidR="00E32CB1">
        <w:t xml:space="preserve"> and deviations in practices in accounts preparations. </w:t>
      </w:r>
      <w:r>
        <w:t xml:space="preserve"> </w:t>
      </w:r>
    </w:p>
    <w:p w14:paraId="799CFF3D" w14:textId="0BD1CEB2" w:rsidR="00E32CB1" w:rsidRDefault="00E32CB1" w:rsidP="00051DFE">
      <w:pPr>
        <w:pStyle w:val="ListParagraph"/>
        <w:numPr>
          <w:ilvl w:val="0"/>
          <w:numId w:val="6"/>
        </w:numPr>
      </w:pPr>
      <w:r>
        <w:t xml:space="preserve">Ratios rely on comparability, preparation methodologies which differ between companies in considering treatment of key final amounts, such as valuation of inventory, asset </w:t>
      </w:r>
      <w:r w:rsidR="0091566B">
        <w:t xml:space="preserve">depreciation and useful life. </w:t>
      </w:r>
    </w:p>
    <w:p w14:paraId="4DA3EE88" w14:textId="43802B74" w:rsidR="00E32CB1" w:rsidRDefault="00E32CB1" w:rsidP="00051DFE">
      <w:pPr>
        <w:pStyle w:val="ListParagraph"/>
        <w:numPr>
          <w:ilvl w:val="0"/>
          <w:numId w:val="6"/>
        </w:numPr>
      </w:pPr>
      <w:r>
        <w:t xml:space="preserve">Inflation may or may not be utilised in the accounting for current asset values, and may rather be based on </w:t>
      </w:r>
      <w:r w:rsidR="0091566B">
        <w:t xml:space="preserve">historical values, such as cost at time of purchase or not reflective of future (expected) product revenue versus current revenue. </w:t>
      </w:r>
    </w:p>
    <w:p w14:paraId="270FC8D9" w14:textId="6DBF2927" w:rsidR="0091566B" w:rsidRDefault="0091566B" w:rsidP="00051DFE">
      <w:pPr>
        <w:pStyle w:val="ListParagraph"/>
        <w:numPr>
          <w:ilvl w:val="0"/>
          <w:numId w:val="6"/>
        </w:numPr>
      </w:pPr>
      <w:r>
        <w:t xml:space="preserve">Differences in size, geolocation, diversity of products and desirability of product are a few examples of how even within a given sector, ratios may not </w:t>
      </w:r>
      <w:r w:rsidR="00051DFE">
        <w:t>reflect</w:t>
      </w:r>
      <w:r>
        <w:t xml:space="preserve"> a true </w:t>
      </w:r>
      <w:r w:rsidR="00051DFE">
        <w:t xml:space="preserve">picture of a company’s financial performance. </w:t>
      </w:r>
    </w:p>
    <w:p w14:paraId="599A9EA6" w14:textId="7CBACFC3" w:rsidR="00051DFE" w:rsidRDefault="00051DFE" w:rsidP="00051DFE">
      <w:pPr>
        <w:pStyle w:val="ListParagraph"/>
        <w:numPr>
          <w:ilvl w:val="0"/>
          <w:numId w:val="6"/>
        </w:numPr>
      </w:pPr>
      <w:r>
        <w:t xml:space="preserve">Published ratios may depend on slightly differing approaches to determining the elements that comprise the numerator and denominator, potentially skewing the ratio for comparative consideration. </w:t>
      </w:r>
    </w:p>
    <w:p w14:paraId="47FFE037" w14:textId="77777777" w:rsidR="00051DFE" w:rsidRDefault="00051DFE" w:rsidP="0028156F"/>
    <w:p w14:paraId="59B75694" w14:textId="31AECBDA" w:rsidR="00FD206B" w:rsidRDefault="00FD206B">
      <w:r>
        <w:br w:type="page"/>
      </w:r>
    </w:p>
    <w:p w14:paraId="19CF4AEE" w14:textId="77777777" w:rsidR="0091566B" w:rsidRDefault="0091566B" w:rsidP="0028156F"/>
    <w:p w14:paraId="59611887" w14:textId="407A530B" w:rsidR="0028156F" w:rsidRPr="00FD206B" w:rsidRDefault="00FD206B" w:rsidP="00FD206B">
      <w:pPr>
        <w:pStyle w:val="Heading2"/>
      </w:pPr>
      <w:bookmarkStart w:id="12" w:name="_Toc125378689"/>
      <w:r w:rsidRPr="00E059BC">
        <w:t>Aston Martin Lagonda financial ratios for year-end 31</w:t>
      </w:r>
      <w:r w:rsidRPr="00E059BC">
        <w:rPr>
          <w:vertAlign w:val="superscript"/>
        </w:rPr>
        <w:t>st</w:t>
      </w:r>
      <w:r w:rsidRPr="00E059BC">
        <w:t xml:space="preserve"> Dec 2020, 31</w:t>
      </w:r>
      <w:r w:rsidRPr="00E059BC">
        <w:rPr>
          <w:vertAlign w:val="superscript"/>
        </w:rPr>
        <w:t>st</w:t>
      </w:r>
      <w:r w:rsidRPr="00E059BC">
        <w:t xml:space="preserve"> Dec 2021</w:t>
      </w:r>
      <w:bookmarkEnd w:id="12"/>
    </w:p>
    <w:tbl>
      <w:tblPr>
        <w:tblW w:w="5000" w:type="pct"/>
        <w:tblLayout w:type="fixed"/>
        <w:tblLook w:val="04A0" w:firstRow="1" w:lastRow="0" w:firstColumn="1" w:lastColumn="0" w:noHBand="0" w:noVBand="1"/>
      </w:tblPr>
      <w:tblGrid>
        <w:gridCol w:w="423"/>
        <w:gridCol w:w="388"/>
        <w:gridCol w:w="1157"/>
        <w:gridCol w:w="318"/>
        <w:gridCol w:w="2816"/>
        <w:gridCol w:w="1419"/>
        <w:gridCol w:w="1135"/>
        <w:gridCol w:w="1370"/>
      </w:tblGrid>
      <w:tr w:rsidR="0028156F" w:rsidRPr="0028156F" w14:paraId="5FC4EF9A" w14:textId="77777777" w:rsidTr="0028156F">
        <w:trPr>
          <w:trHeight w:val="900"/>
        </w:trPr>
        <w:tc>
          <w:tcPr>
            <w:tcW w:w="234" w:type="pct"/>
            <w:tcBorders>
              <w:top w:val="nil"/>
              <w:left w:val="nil"/>
              <w:bottom w:val="nil"/>
              <w:right w:val="nil"/>
            </w:tcBorders>
            <w:shd w:val="clear" w:color="auto" w:fill="auto"/>
            <w:vAlign w:val="bottom"/>
            <w:hideMark/>
          </w:tcPr>
          <w:p w14:paraId="7CF6CF47" w14:textId="77777777" w:rsidR="0028156F" w:rsidRPr="0028156F" w:rsidRDefault="0028156F" w:rsidP="0028156F">
            <w:pPr>
              <w:spacing w:after="0" w:line="240" w:lineRule="auto"/>
              <w:rPr>
                <w:rFonts w:ascii="Times New Roman" w:eastAsia="Times New Roman" w:hAnsi="Times New Roman" w:cs="Times New Roman"/>
                <w:sz w:val="24"/>
                <w:szCs w:val="24"/>
                <w:lang w:eastAsia="en-GB"/>
              </w:rPr>
            </w:pPr>
          </w:p>
        </w:tc>
        <w:tc>
          <w:tcPr>
            <w:tcW w:w="215" w:type="pct"/>
            <w:tcBorders>
              <w:top w:val="nil"/>
              <w:left w:val="nil"/>
              <w:bottom w:val="nil"/>
              <w:right w:val="nil"/>
            </w:tcBorders>
            <w:shd w:val="clear" w:color="auto" w:fill="auto"/>
            <w:vAlign w:val="bottom"/>
            <w:hideMark/>
          </w:tcPr>
          <w:p w14:paraId="237AC7A3"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000000" w:fill="EDEDED"/>
            <w:vAlign w:val="bottom"/>
            <w:hideMark/>
          </w:tcPr>
          <w:p w14:paraId="384980F9"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76" w:type="pct"/>
            <w:tcBorders>
              <w:top w:val="nil"/>
              <w:left w:val="nil"/>
              <w:bottom w:val="nil"/>
              <w:right w:val="nil"/>
            </w:tcBorders>
            <w:shd w:val="clear" w:color="000000" w:fill="EDEDED"/>
            <w:vAlign w:val="bottom"/>
            <w:hideMark/>
          </w:tcPr>
          <w:p w14:paraId="76E5923E"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560" w:type="pct"/>
            <w:tcBorders>
              <w:top w:val="nil"/>
              <w:left w:val="nil"/>
              <w:bottom w:val="nil"/>
              <w:right w:val="nil"/>
            </w:tcBorders>
            <w:shd w:val="clear" w:color="000000" w:fill="EDEDED"/>
            <w:vAlign w:val="bottom"/>
            <w:hideMark/>
          </w:tcPr>
          <w:p w14:paraId="602840CB"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86" w:type="pct"/>
            <w:tcBorders>
              <w:top w:val="nil"/>
              <w:left w:val="nil"/>
              <w:bottom w:val="nil"/>
              <w:right w:val="nil"/>
            </w:tcBorders>
            <w:shd w:val="clear" w:color="000000" w:fill="EDEDED"/>
            <w:vAlign w:val="bottom"/>
            <w:hideMark/>
          </w:tcPr>
          <w:p w14:paraId="034A97B9"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629" w:type="pct"/>
            <w:tcBorders>
              <w:top w:val="nil"/>
              <w:left w:val="nil"/>
              <w:bottom w:val="nil"/>
              <w:right w:val="nil"/>
            </w:tcBorders>
            <w:shd w:val="clear" w:color="000000" w:fill="EDEDED"/>
            <w:vAlign w:val="bottom"/>
            <w:hideMark/>
          </w:tcPr>
          <w:p w14:paraId="5FAB3DDE"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at 31 December 2021 £m</w:t>
            </w:r>
          </w:p>
        </w:tc>
        <w:tc>
          <w:tcPr>
            <w:tcW w:w="759" w:type="pct"/>
            <w:tcBorders>
              <w:top w:val="nil"/>
              <w:left w:val="nil"/>
              <w:bottom w:val="nil"/>
              <w:right w:val="nil"/>
            </w:tcBorders>
            <w:shd w:val="clear" w:color="000000" w:fill="EDEDED"/>
            <w:vAlign w:val="bottom"/>
            <w:hideMark/>
          </w:tcPr>
          <w:p w14:paraId="47714731"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at 31 December 2020 £m</w:t>
            </w:r>
          </w:p>
        </w:tc>
      </w:tr>
      <w:tr w:rsidR="0028156F" w:rsidRPr="0028156F" w14:paraId="61F61608" w14:textId="77777777" w:rsidTr="0028156F">
        <w:trPr>
          <w:trHeight w:val="300"/>
        </w:trPr>
        <w:tc>
          <w:tcPr>
            <w:tcW w:w="234" w:type="pct"/>
            <w:tcBorders>
              <w:top w:val="nil"/>
              <w:left w:val="nil"/>
              <w:bottom w:val="nil"/>
              <w:right w:val="nil"/>
            </w:tcBorders>
            <w:shd w:val="clear" w:color="auto" w:fill="auto"/>
            <w:noWrap/>
            <w:vAlign w:val="bottom"/>
            <w:hideMark/>
          </w:tcPr>
          <w:p w14:paraId="2128C7C1" w14:textId="77777777" w:rsidR="0028156F" w:rsidRPr="0028156F" w:rsidRDefault="0028156F" w:rsidP="0028156F">
            <w:pPr>
              <w:spacing w:after="0" w:line="240" w:lineRule="auto"/>
              <w:rPr>
                <w:rFonts w:ascii="Calibri" w:eastAsia="Times New Roman" w:hAnsi="Calibri" w:cs="Calibri"/>
                <w:color w:val="000000"/>
                <w:lang w:eastAsia="en-GB"/>
              </w:rPr>
            </w:pPr>
          </w:p>
        </w:tc>
        <w:tc>
          <w:tcPr>
            <w:tcW w:w="215" w:type="pct"/>
            <w:tcBorders>
              <w:top w:val="nil"/>
              <w:left w:val="nil"/>
              <w:bottom w:val="nil"/>
              <w:right w:val="nil"/>
            </w:tcBorders>
            <w:shd w:val="clear" w:color="auto" w:fill="auto"/>
            <w:noWrap/>
            <w:vAlign w:val="bottom"/>
            <w:hideMark/>
          </w:tcPr>
          <w:p w14:paraId="348404AA"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000000" w:fill="EDEDED"/>
            <w:noWrap/>
            <w:vAlign w:val="bottom"/>
            <w:hideMark/>
          </w:tcPr>
          <w:p w14:paraId="47B3C786"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76" w:type="pct"/>
            <w:tcBorders>
              <w:top w:val="nil"/>
              <w:left w:val="nil"/>
              <w:bottom w:val="nil"/>
              <w:right w:val="nil"/>
            </w:tcBorders>
            <w:shd w:val="clear" w:color="000000" w:fill="EDEDED"/>
            <w:noWrap/>
            <w:vAlign w:val="bottom"/>
            <w:hideMark/>
          </w:tcPr>
          <w:p w14:paraId="56FA2A62"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560" w:type="pct"/>
            <w:tcBorders>
              <w:top w:val="nil"/>
              <w:left w:val="nil"/>
              <w:bottom w:val="nil"/>
              <w:right w:val="nil"/>
            </w:tcBorders>
            <w:shd w:val="clear" w:color="000000" w:fill="EDEDED"/>
            <w:noWrap/>
            <w:vAlign w:val="bottom"/>
            <w:hideMark/>
          </w:tcPr>
          <w:p w14:paraId="5638CF1C"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86" w:type="pct"/>
            <w:tcBorders>
              <w:top w:val="nil"/>
              <w:left w:val="nil"/>
              <w:bottom w:val="nil"/>
              <w:right w:val="nil"/>
            </w:tcBorders>
            <w:shd w:val="clear" w:color="000000" w:fill="EDEDED"/>
            <w:noWrap/>
            <w:vAlign w:val="bottom"/>
            <w:hideMark/>
          </w:tcPr>
          <w:p w14:paraId="5C6E5962"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629" w:type="pct"/>
            <w:tcBorders>
              <w:top w:val="nil"/>
              <w:left w:val="nil"/>
              <w:bottom w:val="nil"/>
              <w:right w:val="nil"/>
            </w:tcBorders>
            <w:shd w:val="clear" w:color="000000" w:fill="EDEDED"/>
            <w:noWrap/>
            <w:vAlign w:val="bottom"/>
            <w:hideMark/>
          </w:tcPr>
          <w:p w14:paraId="1067FA3E"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7FF7D6BD"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5BC4E563" w14:textId="77777777" w:rsidTr="0028156F">
        <w:trPr>
          <w:trHeight w:val="330"/>
        </w:trPr>
        <w:tc>
          <w:tcPr>
            <w:tcW w:w="234" w:type="pct"/>
            <w:vMerge w:val="restart"/>
            <w:tcBorders>
              <w:top w:val="nil"/>
              <w:left w:val="nil"/>
              <w:bottom w:val="nil"/>
              <w:right w:val="nil"/>
            </w:tcBorders>
            <w:shd w:val="clear" w:color="000000" w:fill="1F4E78"/>
            <w:textDirection w:val="tbLrV"/>
            <w:vAlign w:val="center"/>
            <w:hideMark/>
          </w:tcPr>
          <w:p w14:paraId="38B81709"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LIQUIDITY RATIOS</w:t>
            </w:r>
          </w:p>
        </w:tc>
        <w:tc>
          <w:tcPr>
            <w:tcW w:w="215" w:type="pct"/>
            <w:vMerge w:val="restart"/>
            <w:tcBorders>
              <w:top w:val="nil"/>
              <w:left w:val="nil"/>
              <w:bottom w:val="nil"/>
              <w:right w:val="nil"/>
            </w:tcBorders>
            <w:shd w:val="clear" w:color="000000" w:fill="1F4E78"/>
            <w:noWrap/>
            <w:vAlign w:val="center"/>
            <w:hideMark/>
          </w:tcPr>
          <w:p w14:paraId="09587DDA"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w:t>
            </w:r>
          </w:p>
        </w:tc>
        <w:tc>
          <w:tcPr>
            <w:tcW w:w="641" w:type="pct"/>
            <w:vMerge w:val="restart"/>
            <w:tcBorders>
              <w:top w:val="nil"/>
              <w:left w:val="nil"/>
              <w:bottom w:val="nil"/>
              <w:right w:val="nil"/>
            </w:tcBorders>
            <w:shd w:val="clear" w:color="000000" w:fill="EDEDED"/>
            <w:noWrap/>
            <w:vAlign w:val="center"/>
            <w:hideMark/>
          </w:tcPr>
          <w:p w14:paraId="22E0D5E9"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Current Ratio</w:t>
            </w:r>
          </w:p>
        </w:tc>
        <w:tc>
          <w:tcPr>
            <w:tcW w:w="176" w:type="pct"/>
            <w:vMerge w:val="restart"/>
            <w:tcBorders>
              <w:top w:val="nil"/>
              <w:left w:val="nil"/>
              <w:bottom w:val="nil"/>
              <w:right w:val="nil"/>
            </w:tcBorders>
            <w:shd w:val="clear" w:color="000000" w:fill="EDEDED"/>
            <w:noWrap/>
            <w:vAlign w:val="center"/>
            <w:hideMark/>
          </w:tcPr>
          <w:p w14:paraId="267B0A96"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noWrap/>
            <w:vAlign w:val="center"/>
            <w:hideMark/>
          </w:tcPr>
          <w:p w14:paraId="5951E62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Assets</w:t>
            </w:r>
          </w:p>
        </w:tc>
        <w:tc>
          <w:tcPr>
            <w:tcW w:w="786" w:type="pct"/>
            <w:tcBorders>
              <w:top w:val="nil"/>
              <w:left w:val="nil"/>
              <w:bottom w:val="nil"/>
              <w:right w:val="nil"/>
            </w:tcBorders>
            <w:shd w:val="clear" w:color="000000" w:fill="EDEDED"/>
            <w:noWrap/>
            <w:vAlign w:val="center"/>
            <w:hideMark/>
          </w:tcPr>
          <w:p w14:paraId="35F7087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bottom"/>
            <w:hideMark/>
          </w:tcPr>
          <w:p w14:paraId="610D5E3A"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0.96</w:t>
            </w:r>
          </w:p>
        </w:tc>
        <w:tc>
          <w:tcPr>
            <w:tcW w:w="759" w:type="pct"/>
            <w:tcBorders>
              <w:top w:val="nil"/>
              <w:left w:val="nil"/>
              <w:bottom w:val="nil"/>
              <w:right w:val="nil"/>
            </w:tcBorders>
            <w:shd w:val="clear" w:color="000000" w:fill="EDEDED"/>
            <w:noWrap/>
            <w:vAlign w:val="bottom"/>
            <w:hideMark/>
          </w:tcPr>
          <w:p w14:paraId="58E4C776"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1.10</w:t>
            </w:r>
          </w:p>
        </w:tc>
      </w:tr>
      <w:tr w:rsidR="0028156F" w:rsidRPr="0028156F" w14:paraId="7A425766" w14:textId="77777777" w:rsidTr="0028156F">
        <w:trPr>
          <w:trHeight w:val="330"/>
        </w:trPr>
        <w:tc>
          <w:tcPr>
            <w:tcW w:w="234" w:type="pct"/>
            <w:vMerge/>
            <w:tcBorders>
              <w:top w:val="nil"/>
              <w:left w:val="nil"/>
              <w:bottom w:val="nil"/>
              <w:right w:val="nil"/>
            </w:tcBorders>
            <w:vAlign w:val="center"/>
            <w:hideMark/>
          </w:tcPr>
          <w:p w14:paraId="2BA0F9E8"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59A0052F"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6AF3B5FC"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2299838D"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76588D9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Liabilities</w:t>
            </w:r>
          </w:p>
        </w:tc>
        <w:tc>
          <w:tcPr>
            <w:tcW w:w="786" w:type="pct"/>
            <w:tcBorders>
              <w:top w:val="nil"/>
              <w:left w:val="nil"/>
              <w:bottom w:val="nil"/>
              <w:right w:val="nil"/>
            </w:tcBorders>
            <w:shd w:val="clear" w:color="000000" w:fill="EDEDED"/>
            <w:noWrap/>
            <w:vAlign w:val="center"/>
            <w:hideMark/>
          </w:tcPr>
          <w:p w14:paraId="3E3BC93F"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16A43A26"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3557897D"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4ADAE33B" w14:textId="77777777" w:rsidTr="0028156F">
        <w:trPr>
          <w:trHeight w:val="330"/>
        </w:trPr>
        <w:tc>
          <w:tcPr>
            <w:tcW w:w="234" w:type="pct"/>
            <w:vMerge/>
            <w:tcBorders>
              <w:top w:val="nil"/>
              <w:left w:val="nil"/>
              <w:bottom w:val="nil"/>
              <w:right w:val="nil"/>
            </w:tcBorders>
            <w:vAlign w:val="center"/>
            <w:hideMark/>
          </w:tcPr>
          <w:p w14:paraId="5E1FDFD6"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1F4E78"/>
            <w:noWrap/>
            <w:vAlign w:val="center"/>
            <w:hideMark/>
          </w:tcPr>
          <w:p w14:paraId="07DAF14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7567172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0EEFC4E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1F6293E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3D03280"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052E1379"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53ADBA8F"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7FACFFF3" w14:textId="77777777" w:rsidTr="0028156F">
        <w:trPr>
          <w:trHeight w:val="330"/>
        </w:trPr>
        <w:tc>
          <w:tcPr>
            <w:tcW w:w="234" w:type="pct"/>
            <w:vMerge/>
            <w:tcBorders>
              <w:top w:val="nil"/>
              <w:left w:val="nil"/>
              <w:bottom w:val="nil"/>
              <w:right w:val="nil"/>
            </w:tcBorders>
            <w:vAlign w:val="center"/>
            <w:hideMark/>
          </w:tcPr>
          <w:p w14:paraId="4A4C1BC2"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1F4E78"/>
            <w:noWrap/>
            <w:vAlign w:val="center"/>
            <w:hideMark/>
          </w:tcPr>
          <w:p w14:paraId="64D1CCB2"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w:t>
            </w:r>
          </w:p>
        </w:tc>
        <w:tc>
          <w:tcPr>
            <w:tcW w:w="641" w:type="pct"/>
            <w:vMerge w:val="restart"/>
            <w:tcBorders>
              <w:top w:val="nil"/>
              <w:left w:val="nil"/>
              <w:bottom w:val="nil"/>
              <w:right w:val="nil"/>
            </w:tcBorders>
            <w:shd w:val="clear" w:color="000000" w:fill="EDEDED"/>
            <w:noWrap/>
            <w:vAlign w:val="center"/>
            <w:hideMark/>
          </w:tcPr>
          <w:p w14:paraId="5FA6C618"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Cash Ratio</w:t>
            </w:r>
          </w:p>
        </w:tc>
        <w:tc>
          <w:tcPr>
            <w:tcW w:w="176" w:type="pct"/>
            <w:vMerge w:val="restart"/>
            <w:tcBorders>
              <w:top w:val="nil"/>
              <w:left w:val="nil"/>
              <w:bottom w:val="nil"/>
              <w:right w:val="nil"/>
            </w:tcBorders>
            <w:shd w:val="clear" w:color="000000" w:fill="EDEDED"/>
            <w:noWrap/>
            <w:vAlign w:val="center"/>
            <w:hideMark/>
          </w:tcPr>
          <w:p w14:paraId="1C0A631C"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noWrap/>
            <w:vAlign w:val="center"/>
            <w:hideMark/>
          </w:tcPr>
          <w:p w14:paraId="5588DB3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Assets (Cash &amp; Obligation)</w:t>
            </w:r>
          </w:p>
        </w:tc>
        <w:tc>
          <w:tcPr>
            <w:tcW w:w="786" w:type="pct"/>
            <w:tcBorders>
              <w:top w:val="nil"/>
              <w:left w:val="nil"/>
              <w:bottom w:val="nil"/>
              <w:right w:val="nil"/>
            </w:tcBorders>
            <w:shd w:val="clear" w:color="000000" w:fill="EDEDED"/>
            <w:noWrap/>
            <w:vAlign w:val="center"/>
            <w:hideMark/>
          </w:tcPr>
          <w:p w14:paraId="7E4F006E"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bottom"/>
            <w:hideMark/>
          </w:tcPr>
          <w:p w14:paraId="37D07D4A"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0.46</w:t>
            </w:r>
          </w:p>
        </w:tc>
        <w:tc>
          <w:tcPr>
            <w:tcW w:w="759" w:type="pct"/>
            <w:tcBorders>
              <w:top w:val="nil"/>
              <w:left w:val="nil"/>
              <w:bottom w:val="nil"/>
              <w:right w:val="nil"/>
            </w:tcBorders>
            <w:shd w:val="clear" w:color="000000" w:fill="EDEDED"/>
            <w:noWrap/>
            <w:vAlign w:val="bottom"/>
            <w:hideMark/>
          </w:tcPr>
          <w:p w14:paraId="54634724"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0.61</w:t>
            </w:r>
          </w:p>
        </w:tc>
      </w:tr>
      <w:tr w:rsidR="0028156F" w:rsidRPr="0028156F" w14:paraId="00E4D145" w14:textId="77777777" w:rsidTr="0028156F">
        <w:trPr>
          <w:trHeight w:val="330"/>
        </w:trPr>
        <w:tc>
          <w:tcPr>
            <w:tcW w:w="234" w:type="pct"/>
            <w:vMerge/>
            <w:tcBorders>
              <w:top w:val="nil"/>
              <w:left w:val="nil"/>
              <w:bottom w:val="nil"/>
              <w:right w:val="nil"/>
            </w:tcBorders>
            <w:vAlign w:val="center"/>
            <w:hideMark/>
          </w:tcPr>
          <w:p w14:paraId="2AE3FF3F"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07C3D202"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7E5C3A17"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332D7A5E"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72BC454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Liabilities</w:t>
            </w:r>
          </w:p>
        </w:tc>
        <w:tc>
          <w:tcPr>
            <w:tcW w:w="786" w:type="pct"/>
            <w:tcBorders>
              <w:top w:val="nil"/>
              <w:left w:val="nil"/>
              <w:bottom w:val="nil"/>
              <w:right w:val="nil"/>
            </w:tcBorders>
            <w:shd w:val="clear" w:color="000000" w:fill="EDEDED"/>
            <w:noWrap/>
            <w:vAlign w:val="center"/>
            <w:hideMark/>
          </w:tcPr>
          <w:p w14:paraId="3BBAD2E4"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093958DC"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7812B634"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530E23A5" w14:textId="77777777" w:rsidTr="0028156F">
        <w:trPr>
          <w:trHeight w:val="330"/>
        </w:trPr>
        <w:tc>
          <w:tcPr>
            <w:tcW w:w="234" w:type="pct"/>
            <w:vMerge/>
            <w:tcBorders>
              <w:top w:val="nil"/>
              <w:left w:val="nil"/>
              <w:bottom w:val="nil"/>
              <w:right w:val="nil"/>
            </w:tcBorders>
            <w:vAlign w:val="center"/>
            <w:hideMark/>
          </w:tcPr>
          <w:p w14:paraId="653CF897"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1F4E78"/>
            <w:noWrap/>
            <w:vAlign w:val="center"/>
            <w:hideMark/>
          </w:tcPr>
          <w:p w14:paraId="6F199F5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45035DF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2D37D85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274649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5644CC67"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28625E71"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60CDD26A"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5EABAF43" w14:textId="77777777" w:rsidTr="0028156F">
        <w:trPr>
          <w:trHeight w:val="330"/>
        </w:trPr>
        <w:tc>
          <w:tcPr>
            <w:tcW w:w="234" w:type="pct"/>
            <w:vMerge/>
            <w:tcBorders>
              <w:top w:val="nil"/>
              <w:left w:val="nil"/>
              <w:bottom w:val="nil"/>
              <w:right w:val="nil"/>
            </w:tcBorders>
            <w:vAlign w:val="center"/>
            <w:hideMark/>
          </w:tcPr>
          <w:p w14:paraId="607A4370"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1F4E78"/>
            <w:noWrap/>
            <w:vAlign w:val="center"/>
            <w:hideMark/>
          </w:tcPr>
          <w:p w14:paraId="4D79F900"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3</w:t>
            </w:r>
          </w:p>
        </w:tc>
        <w:tc>
          <w:tcPr>
            <w:tcW w:w="641" w:type="pct"/>
            <w:vMerge w:val="restart"/>
            <w:tcBorders>
              <w:top w:val="nil"/>
              <w:left w:val="nil"/>
              <w:bottom w:val="nil"/>
              <w:right w:val="nil"/>
            </w:tcBorders>
            <w:shd w:val="clear" w:color="000000" w:fill="EDEDED"/>
            <w:noWrap/>
            <w:vAlign w:val="center"/>
            <w:hideMark/>
          </w:tcPr>
          <w:p w14:paraId="5B52629E"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Quick Ratio</w:t>
            </w:r>
          </w:p>
        </w:tc>
        <w:tc>
          <w:tcPr>
            <w:tcW w:w="176" w:type="pct"/>
            <w:vMerge w:val="restart"/>
            <w:tcBorders>
              <w:top w:val="nil"/>
              <w:left w:val="nil"/>
              <w:bottom w:val="nil"/>
              <w:right w:val="nil"/>
            </w:tcBorders>
            <w:shd w:val="clear" w:color="000000" w:fill="EDEDED"/>
            <w:noWrap/>
            <w:vAlign w:val="center"/>
            <w:hideMark/>
          </w:tcPr>
          <w:p w14:paraId="029E3DA4"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noWrap/>
            <w:vAlign w:val="center"/>
            <w:hideMark/>
          </w:tcPr>
          <w:p w14:paraId="0BAF61D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Assets (Cash, Obligation and Account Receivables)</w:t>
            </w:r>
          </w:p>
        </w:tc>
        <w:tc>
          <w:tcPr>
            <w:tcW w:w="786" w:type="pct"/>
            <w:tcBorders>
              <w:top w:val="nil"/>
              <w:left w:val="nil"/>
              <w:bottom w:val="nil"/>
              <w:right w:val="nil"/>
            </w:tcBorders>
            <w:shd w:val="clear" w:color="000000" w:fill="EDEDED"/>
            <w:noWrap/>
            <w:vAlign w:val="center"/>
            <w:hideMark/>
          </w:tcPr>
          <w:p w14:paraId="62487355"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bottom"/>
            <w:hideMark/>
          </w:tcPr>
          <w:p w14:paraId="107D5DA3"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0.74</w:t>
            </w:r>
          </w:p>
        </w:tc>
        <w:tc>
          <w:tcPr>
            <w:tcW w:w="759" w:type="pct"/>
            <w:tcBorders>
              <w:top w:val="nil"/>
              <w:left w:val="nil"/>
              <w:bottom w:val="nil"/>
              <w:right w:val="nil"/>
            </w:tcBorders>
            <w:shd w:val="clear" w:color="000000" w:fill="EDEDED"/>
            <w:noWrap/>
            <w:vAlign w:val="bottom"/>
            <w:hideMark/>
          </w:tcPr>
          <w:p w14:paraId="347DF1A2"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0.84</w:t>
            </w:r>
          </w:p>
        </w:tc>
      </w:tr>
      <w:tr w:rsidR="0028156F" w:rsidRPr="0028156F" w14:paraId="0DF402D7" w14:textId="77777777" w:rsidTr="0028156F">
        <w:trPr>
          <w:trHeight w:val="330"/>
        </w:trPr>
        <w:tc>
          <w:tcPr>
            <w:tcW w:w="234" w:type="pct"/>
            <w:vMerge/>
            <w:tcBorders>
              <w:top w:val="nil"/>
              <w:left w:val="nil"/>
              <w:bottom w:val="nil"/>
              <w:right w:val="nil"/>
            </w:tcBorders>
            <w:vAlign w:val="center"/>
            <w:hideMark/>
          </w:tcPr>
          <w:p w14:paraId="7B6F8E41"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01B1498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095F7C78"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2F36BDB2"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621825A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Liabilities</w:t>
            </w:r>
          </w:p>
        </w:tc>
        <w:tc>
          <w:tcPr>
            <w:tcW w:w="786" w:type="pct"/>
            <w:tcBorders>
              <w:top w:val="nil"/>
              <w:left w:val="nil"/>
              <w:bottom w:val="nil"/>
              <w:right w:val="nil"/>
            </w:tcBorders>
            <w:shd w:val="clear" w:color="000000" w:fill="EDEDED"/>
            <w:noWrap/>
            <w:vAlign w:val="center"/>
            <w:hideMark/>
          </w:tcPr>
          <w:p w14:paraId="536A4E80"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30527532"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6666B9D5"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58F59CB1" w14:textId="77777777" w:rsidTr="0028156F">
        <w:trPr>
          <w:trHeight w:val="330"/>
        </w:trPr>
        <w:tc>
          <w:tcPr>
            <w:tcW w:w="234" w:type="pct"/>
            <w:vMerge/>
            <w:tcBorders>
              <w:top w:val="nil"/>
              <w:left w:val="nil"/>
              <w:bottom w:val="nil"/>
              <w:right w:val="nil"/>
            </w:tcBorders>
            <w:vAlign w:val="center"/>
            <w:hideMark/>
          </w:tcPr>
          <w:p w14:paraId="651D9924"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1F4E78"/>
            <w:noWrap/>
            <w:vAlign w:val="center"/>
            <w:hideMark/>
          </w:tcPr>
          <w:p w14:paraId="3B88EC4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0EDCE60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4B70DDD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43FBC91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D5E497A"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1535AA29"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46CD9C65"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4457EBB5" w14:textId="77777777" w:rsidTr="0028156F">
        <w:trPr>
          <w:trHeight w:val="990"/>
        </w:trPr>
        <w:tc>
          <w:tcPr>
            <w:tcW w:w="234" w:type="pct"/>
            <w:vMerge/>
            <w:tcBorders>
              <w:top w:val="nil"/>
              <w:left w:val="nil"/>
              <w:bottom w:val="nil"/>
              <w:right w:val="nil"/>
            </w:tcBorders>
            <w:vAlign w:val="center"/>
            <w:hideMark/>
          </w:tcPr>
          <w:p w14:paraId="61890F83"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1F4E78"/>
            <w:noWrap/>
            <w:vAlign w:val="center"/>
            <w:hideMark/>
          </w:tcPr>
          <w:p w14:paraId="6224ECE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4</w:t>
            </w:r>
          </w:p>
        </w:tc>
        <w:tc>
          <w:tcPr>
            <w:tcW w:w="641" w:type="pct"/>
            <w:vMerge w:val="restart"/>
            <w:tcBorders>
              <w:top w:val="nil"/>
              <w:left w:val="nil"/>
              <w:bottom w:val="nil"/>
              <w:right w:val="nil"/>
            </w:tcBorders>
            <w:shd w:val="clear" w:color="000000" w:fill="EDEDED"/>
            <w:vAlign w:val="center"/>
            <w:hideMark/>
          </w:tcPr>
          <w:p w14:paraId="3DA24638"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Net Working Capital Ratio</w:t>
            </w:r>
          </w:p>
        </w:tc>
        <w:tc>
          <w:tcPr>
            <w:tcW w:w="176" w:type="pct"/>
            <w:vMerge w:val="restart"/>
            <w:tcBorders>
              <w:top w:val="nil"/>
              <w:left w:val="nil"/>
              <w:bottom w:val="nil"/>
              <w:right w:val="nil"/>
            </w:tcBorders>
            <w:shd w:val="clear" w:color="000000" w:fill="EDEDED"/>
            <w:noWrap/>
            <w:vAlign w:val="center"/>
            <w:hideMark/>
          </w:tcPr>
          <w:p w14:paraId="156CB16E"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05DF8FB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Assets - Current Liabilities (Net Working Capital)</w:t>
            </w:r>
          </w:p>
        </w:tc>
        <w:tc>
          <w:tcPr>
            <w:tcW w:w="786" w:type="pct"/>
            <w:tcBorders>
              <w:top w:val="nil"/>
              <w:left w:val="nil"/>
              <w:bottom w:val="nil"/>
              <w:right w:val="nil"/>
            </w:tcBorders>
            <w:shd w:val="clear" w:color="000000" w:fill="EDEDED"/>
            <w:noWrap/>
            <w:vAlign w:val="center"/>
            <w:hideMark/>
          </w:tcPr>
          <w:p w14:paraId="6C98651F"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bottom"/>
            <w:hideMark/>
          </w:tcPr>
          <w:p w14:paraId="2D6C3EB7"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-0.01</w:t>
            </w:r>
          </w:p>
        </w:tc>
        <w:tc>
          <w:tcPr>
            <w:tcW w:w="759" w:type="pct"/>
            <w:tcBorders>
              <w:top w:val="nil"/>
              <w:left w:val="nil"/>
              <w:bottom w:val="nil"/>
              <w:right w:val="nil"/>
            </w:tcBorders>
            <w:shd w:val="clear" w:color="000000" w:fill="EDEDED"/>
            <w:noWrap/>
            <w:vAlign w:val="bottom"/>
            <w:hideMark/>
          </w:tcPr>
          <w:p w14:paraId="2CAEAE0D" w14:textId="77777777" w:rsidR="0028156F" w:rsidRPr="0028156F" w:rsidRDefault="0028156F" w:rsidP="0028156F">
            <w:pPr>
              <w:spacing w:after="0" w:line="240" w:lineRule="auto"/>
              <w:jc w:val="right"/>
              <w:rPr>
                <w:rFonts w:ascii="Calibri" w:eastAsia="Times New Roman" w:hAnsi="Calibri" w:cs="Calibri"/>
                <w:color w:val="000000"/>
                <w:lang w:eastAsia="en-GB"/>
              </w:rPr>
            </w:pPr>
            <w:r w:rsidRPr="0028156F">
              <w:rPr>
                <w:rFonts w:ascii="Calibri" w:eastAsia="Times New Roman" w:hAnsi="Calibri" w:cs="Calibri"/>
                <w:color w:val="000000"/>
                <w:lang w:eastAsia="en-GB"/>
              </w:rPr>
              <w:t>0.03</w:t>
            </w:r>
          </w:p>
        </w:tc>
      </w:tr>
      <w:tr w:rsidR="0028156F" w:rsidRPr="0028156F" w14:paraId="2DEE77FD" w14:textId="77777777" w:rsidTr="0028156F">
        <w:trPr>
          <w:trHeight w:val="330"/>
        </w:trPr>
        <w:tc>
          <w:tcPr>
            <w:tcW w:w="234" w:type="pct"/>
            <w:vMerge/>
            <w:tcBorders>
              <w:top w:val="nil"/>
              <w:left w:val="nil"/>
              <w:bottom w:val="nil"/>
              <w:right w:val="nil"/>
            </w:tcBorders>
            <w:vAlign w:val="center"/>
            <w:hideMark/>
          </w:tcPr>
          <w:p w14:paraId="7BFA676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505EB74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5CAA3A91"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0995BEB8"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50C25DD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Assets</w:t>
            </w:r>
          </w:p>
        </w:tc>
        <w:tc>
          <w:tcPr>
            <w:tcW w:w="786" w:type="pct"/>
            <w:tcBorders>
              <w:top w:val="nil"/>
              <w:left w:val="nil"/>
              <w:bottom w:val="nil"/>
              <w:right w:val="nil"/>
            </w:tcBorders>
            <w:shd w:val="clear" w:color="000000" w:fill="EDEDED"/>
            <w:noWrap/>
            <w:vAlign w:val="center"/>
            <w:hideMark/>
          </w:tcPr>
          <w:p w14:paraId="4B975933"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bottom"/>
            <w:hideMark/>
          </w:tcPr>
          <w:p w14:paraId="0845CDAD"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78F018A5"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3D647E87" w14:textId="77777777" w:rsidTr="0028156F">
        <w:trPr>
          <w:trHeight w:val="300"/>
        </w:trPr>
        <w:tc>
          <w:tcPr>
            <w:tcW w:w="234" w:type="pct"/>
            <w:tcBorders>
              <w:top w:val="nil"/>
              <w:left w:val="nil"/>
              <w:bottom w:val="nil"/>
              <w:right w:val="nil"/>
            </w:tcBorders>
            <w:shd w:val="clear" w:color="auto" w:fill="auto"/>
            <w:noWrap/>
            <w:vAlign w:val="bottom"/>
            <w:hideMark/>
          </w:tcPr>
          <w:p w14:paraId="307DFD1A" w14:textId="77777777" w:rsidR="0028156F" w:rsidRPr="0028156F" w:rsidRDefault="0028156F" w:rsidP="0028156F">
            <w:pPr>
              <w:spacing w:after="0" w:line="240" w:lineRule="auto"/>
              <w:rPr>
                <w:rFonts w:ascii="Calibri" w:eastAsia="Times New Roman" w:hAnsi="Calibri" w:cs="Calibri"/>
                <w:color w:val="000000"/>
                <w:lang w:eastAsia="en-GB"/>
              </w:rPr>
            </w:pPr>
          </w:p>
        </w:tc>
        <w:tc>
          <w:tcPr>
            <w:tcW w:w="215" w:type="pct"/>
            <w:tcBorders>
              <w:top w:val="nil"/>
              <w:left w:val="nil"/>
              <w:bottom w:val="nil"/>
              <w:right w:val="nil"/>
            </w:tcBorders>
            <w:shd w:val="clear" w:color="auto" w:fill="auto"/>
            <w:noWrap/>
            <w:vAlign w:val="bottom"/>
            <w:hideMark/>
          </w:tcPr>
          <w:p w14:paraId="6C63A044"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000000" w:fill="EDEDED"/>
            <w:noWrap/>
            <w:vAlign w:val="bottom"/>
            <w:hideMark/>
          </w:tcPr>
          <w:p w14:paraId="45083807"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76" w:type="pct"/>
            <w:tcBorders>
              <w:top w:val="nil"/>
              <w:left w:val="nil"/>
              <w:bottom w:val="nil"/>
              <w:right w:val="nil"/>
            </w:tcBorders>
            <w:shd w:val="clear" w:color="000000" w:fill="EDEDED"/>
            <w:noWrap/>
            <w:vAlign w:val="bottom"/>
            <w:hideMark/>
          </w:tcPr>
          <w:p w14:paraId="675A50F6"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560" w:type="pct"/>
            <w:tcBorders>
              <w:top w:val="nil"/>
              <w:left w:val="nil"/>
              <w:bottom w:val="nil"/>
              <w:right w:val="nil"/>
            </w:tcBorders>
            <w:shd w:val="clear" w:color="000000" w:fill="EDEDED"/>
            <w:noWrap/>
            <w:vAlign w:val="bottom"/>
            <w:hideMark/>
          </w:tcPr>
          <w:p w14:paraId="0EE0E734"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86" w:type="pct"/>
            <w:tcBorders>
              <w:top w:val="nil"/>
              <w:left w:val="nil"/>
              <w:bottom w:val="nil"/>
              <w:right w:val="nil"/>
            </w:tcBorders>
            <w:shd w:val="clear" w:color="000000" w:fill="EDEDED"/>
            <w:noWrap/>
            <w:vAlign w:val="bottom"/>
            <w:hideMark/>
          </w:tcPr>
          <w:p w14:paraId="651276B4"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629" w:type="pct"/>
            <w:tcBorders>
              <w:top w:val="nil"/>
              <w:left w:val="nil"/>
              <w:bottom w:val="nil"/>
              <w:right w:val="nil"/>
            </w:tcBorders>
            <w:shd w:val="clear" w:color="000000" w:fill="EDEDED"/>
            <w:noWrap/>
            <w:vAlign w:val="bottom"/>
            <w:hideMark/>
          </w:tcPr>
          <w:p w14:paraId="1060B5CE"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692B4E37"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5D59C23B" w14:textId="77777777" w:rsidTr="0028156F">
        <w:trPr>
          <w:trHeight w:val="300"/>
        </w:trPr>
        <w:tc>
          <w:tcPr>
            <w:tcW w:w="234" w:type="pct"/>
            <w:tcBorders>
              <w:top w:val="nil"/>
              <w:left w:val="nil"/>
              <w:bottom w:val="nil"/>
              <w:right w:val="nil"/>
            </w:tcBorders>
            <w:shd w:val="clear" w:color="auto" w:fill="auto"/>
            <w:noWrap/>
            <w:vAlign w:val="bottom"/>
            <w:hideMark/>
          </w:tcPr>
          <w:p w14:paraId="5356E61F" w14:textId="77777777" w:rsidR="0028156F" w:rsidRPr="0028156F" w:rsidRDefault="0028156F" w:rsidP="0028156F">
            <w:pPr>
              <w:spacing w:after="0" w:line="240" w:lineRule="auto"/>
              <w:rPr>
                <w:rFonts w:ascii="Calibri" w:eastAsia="Times New Roman" w:hAnsi="Calibri" w:cs="Calibri"/>
                <w:color w:val="000000"/>
                <w:lang w:eastAsia="en-GB"/>
              </w:rPr>
            </w:pPr>
          </w:p>
        </w:tc>
        <w:tc>
          <w:tcPr>
            <w:tcW w:w="215" w:type="pct"/>
            <w:tcBorders>
              <w:top w:val="nil"/>
              <w:left w:val="nil"/>
              <w:bottom w:val="nil"/>
              <w:right w:val="nil"/>
            </w:tcBorders>
            <w:shd w:val="clear" w:color="auto" w:fill="auto"/>
            <w:noWrap/>
            <w:vAlign w:val="bottom"/>
            <w:hideMark/>
          </w:tcPr>
          <w:p w14:paraId="47C70E60"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000000" w:fill="EDEDED"/>
            <w:noWrap/>
            <w:vAlign w:val="bottom"/>
            <w:hideMark/>
          </w:tcPr>
          <w:p w14:paraId="3A7F4DEB"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76" w:type="pct"/>
            <w:tcBorders>
              <w:top w:val="nil"/>
              <w:left w:val="nil"/>
              <w:bottom w:val="nil"/>
              <w:right w:val="nil"/>
            </w:tcBorders>
            <w:shd w:val="clear" w:color="000000" w:fill="EDEDED"/>
            <w:noWrap/>
            <w:vAlign w:val="bottom"/>
            <w:hideMark/>
          </w:tcPr>
          <w:p w14:paraId="40DD106E"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560" w:type="pct"/>
            <w:tcBorders>
              <w:top w:val="nil"/>
              <w:left w:val="nil"/>
              <w:bottom w:val="nil"/>
              <w:right w:val="nil"/>
            </w:tcBorders>
            <w:shd w:val="clear" w:color="000000" w:fill="EDEDED"/>
            <w:noWrap/>
            <w:vAlign w:val="bottom"/>
            <w:hideMark/>
          </w:tcPr>
          <w:p w14:paraId="7BCC208D"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86" w:type="pct"/>
            <w:tcBorders>
              <w:top w:val="nil"/>
              <w:left w:val="nil"/>
              <w:bottom w:val="nil"/>
              <w:right w:val="nil"/>
            </w:tcBorders>
            <w:shd w:val="clear" w:color="000000" w:fill="EDEDED"/>
            <w:noWrap/>
            <w:vAlign w:val="bottom"/>
            <w:hideMark/>
          </w:tcPr>
          <w:p w14:paraId="6109C432"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629" w:type="pct"/>
            <w:tcBorders>
              <w:top w:val="nil"/>
              <w:left w:val="nil"/>
              <w:bottom w:val="nil"/>
              <w:right w:val="nil"/>
            </w:tcBorders>
            <w:shd w:val="clear" w:color="000000" w:fill="EDEDED"/>
            <w:noWrap/>
            <w:vAlign w:val="bottom"/>
            <w:hideMark/>
          </w:tcPr>
          <w:p w14:paraId="4EB89F7C"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1BCB326A"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2A512ECD" w14:textId="77777777" w:rsidTr="0028156F">
        <w:trPr>
          <w:trHeight w:val="330"/>
        </w:trPr>
        <w:tc>
          <w:tcPr>
            <w:tcW w:w="234" w:type="pct"/>
            <w:vMerge w:val="restart"/>
            <w:tcBorders>
              <w:top w:val="nil"/>
              <w:left w:val="nil"/>
              <w:bottom w:val="nil"/>
              <w:right w:val="nil"/>
            </w:tcBorders>
            <w:shd w:val="clear" w:color="000000" w:fill="00B050"/>
            <w:textDirection w:val="tbLrV"/>
            <w:vAlign w:val="center"/>
            <w:hideMark/>
          </w:tcPr>
          <w:p w14:paraId="577D3456"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LEVERAGE RATIOS</w:t>
            </w:r>
          </w:p>
        </w:tc>
        <w:tc>
          <w:tcPr>
            <w:tcW w:w="215" w:type="pct"/>
            <w:vMerge w:val="restart"/>
            <w:tcBorders>
              <w:top w:val="nil"/>
              <w:left w:val="nil"/>
              <w:bottom w:val="nil"/>
              <w:right w:val="nil"/>
            </w:tcBorders>
            <w:shd w:val="clear" w:color="000000" w:fill="00B050"/>
            <w:noWrap/>
            <w:vAlign w:val="center"/>
            <w:hideMark/>
          </w:tcPr>
          <w:p w14:paraId="794DBE73"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5</w:t>
            </w:r>
          </w:p>
        </w:tc>
        <w:tc>
          <w:tcPr>
            <w:tcW w:w="641" w:type="pct"/>
            <w:vMerge w:val="restart"/>
            <w:tcBorders>
              <w:top w:val="nil"/>
              <w:left w:val="nil"/>
              <w:bottom w:val="nil"/>
              <w:right w:val="nil"/>
            </w:tcBorders>
            <w:shd w:val="clear" w:color="000000" w:fill="EDEDED"/>
            <w:vAlign w:val="center"/>
            <w:hideMark/>
          </w:tcPr>
          <w:p w14:paraId="3690419B"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Debt Ratio</w:t>
            </w:r>
          </w:p>
        </w:tc>
        <w:tc>
          <w:tcPr>
            <w:tcW w:w="176" w:type="pct"/>
            <w:vMerge w:val="restart"/>
            <w:tcBorders>
              <w:top w:val="nil"/>
              <w:left w:val="nil"/>
              <w:bottom w:val="nil"/>
              <w:right w:val="nil"/>
            </w:tcBorders>
            <w:shd w:val="clear" w:color="000000" w:fill="EDEDED"/>
            <w:noWrap/>
            <w:vAlign w:val="center"/>
            <w:hideMark/>
          </w:tcPr>
          <w:p w14:paraId="5731ACA7"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27B9583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Liabilities</w:t>
            </w:r>
          </w:p>
        </w:tc>
        <w:tc>
          <w:tcPr>
            <w:tcW w:w="786" w:type="pct"/>
            <w:tcBorders>
              <w:top w:val="nil"/>
              <w:left w:val="nil"/>
              <w:bottom w:val="nil"/>
              <w:right w:val="nil"/>
            </w:tcBorders>
            <w:shd w:val="clear" w:color="000000" w:fill="EDEDED"/>
            <w:noWrap/>
            <w:vAlign w:val="center"/>
            <w:hideMark/>
          </w:tcPr>
          <w:p w14:paraId="0C7AE046"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60FA952D"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330.42%</w:t>
            </w:r>
          </w:p>
        </w:tc>
        <w:tc>
          <w:tcPr>
            <w:tcW w:w="759" w:type="pct"/>
            <w:tcBorders>
              <w:top w:val="nil"/>
              <w:left w:val="nil"/>
              <w:bottom w:val="nil"/>
              <w:right w:val="nil"/>
            </w:tcBorders>
            <w:shd w:val="clear" w:color="000000" w:fill="EDEDED"/>
            <w:noWrap/>
            <w:vAlign w:val="center"/>
            <w:hideMark/>
          </w:tcPr>
          <w:p w14:paraId="0839BE96"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247.57%</w:t>
            </w:r>
          </w:p>
        </w:tc>
      </w:tr>
      <w:tr w:rsidR="0028156F" w:rsidRPr="0028156F" w14:paraId="5209D7F7" w14:textId="77777777" w:rsidTr="0028156F">
        <w:trPr>
          <w:trHeight w:val="330"/>
        </w:trPr>
        <w:tc>
          <w:tcPr>
            <w:tcW w:w="234" w:type="pct"/>
            <w:vMerge/>
            <w:tcBorders>
              <w:top w:val="nil"/>
              <w:left w:val="nil"/>
              <w:bottom w:val="nil"/>
              <w:right w:val="nil"/>
            </w:tcBorders>
            <w:vAlign w:val="center"/>
            <w:hideMark/>
          </w:tcPr>
          <w:p w14:paraId="077D2BB1"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6801E822"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2C336174"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4A2E77B5"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single" w:sz="4" w:space="0" w:color="auto"/>
              <w:right w:val="nil"/>
            </w:tcBorders>
            <w:shd w:val="clear" w:color="000000" w:fill="EDEDED"/>
            <w:vAlign w:val="center"/>
            <w:hideMark/>
          </w:tcPr>
          <w:p w14:paraId="73B3290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Equity</w:t>
            </w:r>
          </w:p>
        </w:tc>
        <w:tc>
          <w:tcPr>
            <w:tcW w:w="786" w:type="pct"/>
            <w:tcBorders>
              <w:top w:val="nil"/>
              <w:left w:val="nil"/>
              <w:bottom w:val="nil"/>
              <w:right w:val="nil"/>
            </w:tcBorders>
            <w:shd w:val="clear" w:color="000000" w:fill="EDEDED"/>
            <w:noWrap/>
            <w:vAlign w:val="center"/>
            <w:hideMark/>
          </w:tcPr>
          <w:p w14:paraId="3B3AD0CF"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5A695D0E"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723C358"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05A5E7E0" w14:textId="77777777" w:rsidTr="0028156F">
        <w:trPr>
          <w:trHeight w:val="330"/>
        </w:trPr>
        <w:tc>
          <w:tcPr>
            <w:tcW w:w="234" w:type="pct"/>
            <w:vMerge/>
            <w:tcBorders>
              <w:top w:val="nil"/>
              <w:left w:val="nil"/>
              <w:bottom w:val="nil"/>
              <w:right w:val="nil"/>
            </w:tcBorders>
            <w:vAlign w:val="center"/>
            <w:hideMark/>
          </w:tcPr>
          <w:p w14:paraId="5EAF0621"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00B050"/>
            <w:noWrap/>
            <w:vAlign w:val="center"/>
            <w:hideMark/>
          </w:tcPr>
          <w:p w14:paraId="7B8B134D" w14:textId="77777777" w:rsidR="0028156F" w:rsidRPr="0028156F" w:rsidRDefault="0028156F" w:rsidP="0028156F">
            <w:pPr>
              <w:spacing w:after="0" w:line="240" w:lineRule="auto"/>
              <w:rPr>
                <w:rFonts w:ascii="Segoe UI" w:eastAsia="Times New Roman" w:hAnsi="Segoe UI" w:cs="Segoe UI"/>
                <w:color w:val="FFFFFF"/>
                <w:lang w:eastAsia="en-GB"/>
              </w:rPr>
            </w:pPr>
            <w:r w:rsidRPr="0028156F">
              <w:rPr>
                <w:rFonts w:ascii="Segoe UI" w:eastAsia="Times New Roman" w:hAnsi="Segoe UI" w:cs="Segoe UI"/>
                <w:color w:val="FFFFFF"/>
                <w:lang w:eastAsia="en-GB"/>
              </w:rPr>
              <w:t> </w:t>
            </w:r>
          </w:p>
        </w:tc>
        <w:tc>
          <w:tcPr>
            <w:tcW w:w="641" w:type="pct"/>
            <w:tcBorders>
              <w:top w:val="nil"/>
              <w:left w:val="nil"/>
              <w:bottom w:val="nil"/>
              <w:right w:val="nil"/>
            </w:tcBorders>
            <w:shd w:val="clear" w:color="000000" w:fill="EDEDED"/>
            <w:noWrap/>
            <w:vAlign w:val="center"/>
            <w:hideMark/>
          </w:tcPr>
          <w:p w14:paraId="21705FB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6F14DB4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E2E016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5F96E2B"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1D042A9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3E364F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1EE89A4" w14:textId="77777777" w:rsidTr="0028156F">
        <w:trPr>
          <w:trHeight w:val="660"/>
        </w:trPr>
        <w:tc>
          <w:tcPr>
            <w:tcW w:w="234" w:type="pct"/>
            <w:vMerge/>
            <w:tcBorders>
              <w:top w:val="nil"/>
              <w:left w:val="nil"/>
              <w:bottom w:val="nil"/>
              <w:right w:val="nil"/>
            </w:tcBorders>
            <w:vAlign w:val="center"/>
            <w:hideMark/>
          </w:tcPr>
          <w:p w14:paraId="48BD2510"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00B050"/>
            <w:noWrap/>
            <w:vAlign w:val="center"/>
            <w:hideMark/>
          </w:tcPr>
          <w:p w14:paraId="1B43A27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6</w:t>
            </w:r>
          </w:p>
        </w:tc>
        <w:tc>
          <w:tcPr>
            <w:tcW w:w="641" w:type="pct"/>
            <w:vMerge w:val="restart"/>
            <w:tcBorders>
              <w:top w:val="nil"/>
              <w:left w:val="nil"/>
              <w:bottom w:val="nil"/>
              <w:right w:val="nil"/>
            </w:tcBorders>
            <w:shd w:val="clear" w:color="000000" w:fill="EDEDED"/>
            <w:vAlign w:val="center"/>
            <w:hideMark/>
          </w:tcPr>
          <w:p w14:paraId="0CBD80C9"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Long Term Debt to Equity Ratio</w:t>
            </w:r>
          </w:p>
        </w:tc>
        <w:tc>
          <w:tcPr>
            <w:tcW w:w="176" w:type="pct"/>
            <w:vMerge w:val="restart"/>
            <w:tcBorders>
              <w:top w:val="nil"/>
              <w:left w:val="nil"/>
              <w:bottom w:val="nil"/>
              <w:right w:val="nil"/>
            </w:tcBorders>
            <w:shd w:val="clear" w:color="000000" w:fill="EDEDED"/>
            <w:noWrap/>
            <w:vAlign w:val="center"/>
            <w:hideMark/>
          </w:tcPr>
          <w:p w14:paraId="5D025DA8"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3ECFF08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Debts (Long Term Liabilities)</w:t>
            </w:r>
          </w:p>
        </w:tc>
        <w:tc>
          <w:tcPr>
            <w:tcW w:w="786" w:type="pct"/>
            <w:tcBorders>
              <w:top w:val="nil"/>
              <w:left w:val="nil"/>
              <w:bottom w:val="nil"/>
              <w:right w:val="nil"/>
            </w:tcBorders>
            <w:shd w:val="clear" w:color="000000" w:fill="EDEDED"/>
            <w:noWrap/>
            <w:vAlign w:val="center"/>
            <w:hideMark/>
          </w:tcPr>
          <w:p w14:paraId="4A4BB74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55C3BE4B"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193.35%</w:t>
            </w:r>
          </w:p>
        </w:tc>
        <w:tc>
          <w:tcPr>
            <w:tcW w:w="759" w:type="pct"/>
            <w:tcBorders>
              <w:top w:val="nil"/>
              <w:left w:val="nil"/>
              <w:bottom w:val="nil"/>
              <w:right w:val="nil"/>
            </w:tcBorders>
            <w:shd w:val="clear" w:color="000000" w:fill="EDEDED"/>
            <w:noWrap/>
            <w:vAlign w:val="center"/>
            <w:hideMark/>
          </w:tcPr>
          <w:p w14:paraId="51681B5C"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147.05%</w:t>
            </w:r>
          </w:p>
        </w:tc>
      </w:tr>
      <w:tr w:rsidR="0028156F" w:rsidRPr="0028156F" w14:paraId="0D661BB9" w14:textId="77777777" w:rsidTr="0028156F">
        <w:trPr>
          <w:trHeight w:val="330"/>
        </w:trPr>
        <w:tc>
          <w:tcPr>
            <w:tcW w:w="234" w:type="pct"/>
            <w:vMerge/>
            <w:tcBorders>
              <w:top w:val="nil"/>
              <w:left w:val="nil"/>
              <w:bottom w:val="nil"/>
              <w:right w:val="nil"/>
            </w:tcBorders>
            <w:vAlign w:val="center"/>
            <w:hideMark/>
          </w:tcPr>
          <w:p w14:paraId="57231DA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7935C85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1F548E2D"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09DF0787"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4C307BD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Equity</w:t>
            </w:r>
          </w:p>
        </w:tc>
        <w:tc>
          <w:tcPr>
            <w:tcW w:w="786" w:type="pct"/>
            <w:tcBorders>
              <w:top w:val="nil"/>
              <w:left w:val="nil"/>
              <w:bottom w:val="nil"/>
              <w:right w:val="nil"/>
            </w:tcBorders>
            <w:shd w:val="clear" w:color="000000" w:fill="EDEDED"/>
            <w:noWrap/>
            <w:vAlign w:val="center"/>
            <w:hideMark/>
          </w:tcPr>
          <w:p w14:paraId="7B0BD0FA"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F5CF9E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7CEC397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A715E4B" w14:textId="77777777" w:rsidTr="0028156F">
        <w:trPr>
          <w:trHeight w:val="330"/>
        </w:trPr>
        <w:tc>
          <w:tcPr>
            <w:tcW w:w="234" w:type="pct"/>
            <w:vMerge/>
            <w:tcBorders>
              <w:top w:val="nil"/>
              <w:left w:val="nil"/>
              <w:bottom w:val="nil"/>
              <w:right w:val="nil"/>
            </w:tcBorders>
            <w:vAlign w:val="center"/>
            <w:hideMark/>
          </w:tcPr>
          <w:p w14:paraId="21423B63"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00B050"/>
            <w:noWrap/>
            <w:vAlign w:val="center"/>
            <w:hideMark/>
          </w:tcPr>
          <w:p w14:paraId="04ECFAC4" w14:textId="77777777" w:rsidR="0028156F" w:rsidRPr="0028156F" w:rsidRDefault="0028156F" w:rsidP="0028156F">
            <w:pPr>
              <w:spacing w:after="0" w:line="240" w:lineRule="auto"/>
              <w:rPr>
                <w:rFonts w:ascii="Segoe UI" w:eastAsia="Times New Roman" w:hAnsi="Segoe UI" w:cs="Segoe UI"/>
                <w:color w:val="FFFFFF"/>
                <w:lang w:eastAsia="en-GB"/>
              </w:rPr>
            </w:pPr>
            <w:r w:rsidRPr="0028156F">
              <w:rPr>
                <w:rFonts w:ascii="Segoe UI" w:eastAsia="Times New Roman" w:hAnsi="Segoe UI" w:cs="Segoe UI"/>
                <w:color w:val="FFFFFF"/>
                <w:lang w:eastAsia="en-GB"/>
              </w:rPr>
              <w:t> </w:t>
            </w:r>
          </w:p>
        </w:tc>
        <w:tc>
          <w:tcPr>
            <w:tcW w:w="641" w:type="pct"/>
            <w:tcBorders>
              <w:top w:val="nil"/>
              <w:left w:val="nil"/>
              <w:bottom w:val="nil"/>
              <w:right w:val="nil"/>
            </w:tcBorders>
            <w:shd w:val="clear" w:color="000000" w:fill="EDEDED"/>
            <w:noWrap/>
            <w:vAlign w:val="center"/>
            <w:hideMark/>
          </w:tcPr>
          <w:p w14:paraId="125CF4B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1324DD3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847141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9DAAE64"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45610BB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70B601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57EB6EA" w14:textId="77777777" w:rsidTr="0028156F">
        <w:trPr>
          <w:trHeight w:val="330"/>
        </w:trPr>
        <w:tc>
          <w:tcPr>
            <w:tcW w:w="234" w:type="pct"/>
            <w:vMerge/>
            <w:tcBorders>
              <w:top w:val="nil"/>
              <w:left w:val="nil"/>
              <w:bottom w:val="nil"/>
              <w:right w:val="nil"/>
            </w:tcBorders>
            <w:vAlign w:val="center"/>
            <w:hideMark/>
          </w:tcPr>
          <w:p w14:paraId="7A3B2F38"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00B050"/>
            <w:noWrap/>
            <w:vAlign w:val="center"/>
            <w:hideMark/>
          </w:tcPr>
          <w:p w14:paraId="4B8F7E97"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7</w:t>
            </w:r>
          </w:p>
        </w:tc>
        <w:tc>
          <w:tcPr>
            <w:tcW w:w="641" w:type="pct"/>
            <w:vMerge w:val="restart"/>
            <w:tcBorders>
              <w:top w:val="nil"/>
              <w:left w:val="nil"/>
              <w:bottom w:val="nil"/>
              <w:right w:val="nil"/>
            </w:tcBorders>
            <w:shd w:val="clear" w:color="000000" w:fill="EDEDED"/>
            <w:vAlign w:val="center"/>
            <w:hideMark/>
          </w:tcPr>
          <w:p w14:paraId="5AF83B73"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Equity Ratio</w:t>
            </w:r>
          </w:p>
        </w:tc>
        <w:tc>
          <w:tcPr>
            <w:tcW w:w="176" w:type="pct"/>
            <w:vMerge w:val="restart"/>
            <w:tcBorders>
              <w:top w:val="nil"/>
              <w:left w:val="nil"/>
              <w:bottom w:val="nil"/>
              <w:right w:val="nil"/>
            </w:tcBorders>
            <w:shd w:val="clear" w:color="000000" w:fill="EDEDED"/>
            <w:noWrap/>
            <w:vAlign w:val="center"/>
            <w:hideMark/>
          </w:tcPr>
          <w:p w14:paraId="000D8765"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220FCE4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Equity</w:t>
            </w:r>
          </w:p>
        </w:tc>
        <w:tc>
          <w:tcPr>
            <w:tcW w:w="786" w:type="pct"/>
            <w:tcBorders>
              <w:top w:val="nil"/>
              <w:left w:val="nil"/>
              <w:bottom w:val="nil"/>
              <w:right w:val="nil"/>
            </w:tcBorders>
            <w:shd w:val="clear" w:color="000000" w:fill="EDEDED"/>
            <w:noWrap/>
            <w:vAlign w:val="center"/>
            <w:hideMark/>
          </w:tcPr>
          <w:p w14:paraId="5369A0E2"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164DE7D4"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23.23%</w:t>
            </w:r>
          </w:p>
        </w:tc>
        <w:tc>
          <w:tcPr>
            <w:tcW w:w="759" w:type="pct"/>
            <w:tcBorders>
              <w:top w:val="nil"/>
              <w:left w:val="nil"/>
              <w:bottom w:val="nil"/>
              <w:right w:val="nil"/>
            </w:tcBorders>
            <w:shd w:val="clear" w:color="000000" w:fill="EDEDED"/>
            <w:noWrap/>
            <w:vAlign w:val="center"/>
            <w:hideMark/>
          </w:tcPr>
          <w:p w14:paraId="45C36ECE"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28.77%</w:t>
            </w:r>
          </w:p>
        </w:tc>
      </w:tr>
      <w:tr w:rsidR="0028156F" w:rsidRPr="0028156F" w14:paraId="23979D56" w14:textId="77777777" w:rsidTr="0028156F">
        <w:trPr>
          <w:trHeight w:val="330"/>
        </w:trPr>
        <w:tc>
          <w:tcPr>
            <w:tcW w:w="234" w:type="pct"/>
            <w:vMerge/>
            <w:tcBorders>
              <w:top w:val="nil"/>
              <w:left w:val="nil"/>
              <w:bottom w:val="nil"/>
              <w:right w:val="nil"/>
            </w:tcBorders>
            <w:vAlign w:val="center"/>
            <w:hideMark/>
          </w:tcPr>
          <w:p w14:paraId="193C264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3395EBA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197F4349"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42450F87"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6E7176D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Assets</w:t>
            </w:r>
          </w:p>
        </w:tc>
        <w:tc>
          <w:tcPr>
            <w:tcW w:w="786" w:type="pct"/>
            <w:tcBorders>
              <w:top w:val="nil"/>
              <w:left w:val="nil"/>
              <w:bottom w:val="nil"/>
              <w:right w:val="nil"/>
            </w:tcBorders>
            <w:shd w:val="clear" w:color="000000" w:fill="EDEDED"/>
            <w:noWrap/>
            <w:vAlign w:val="center"/>
            <w:hideMark/>
          </w:tcPr>
          <w:p w14:paraId="11EA3822"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178323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5B2B34D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05DE39A7" w14:textId="77777777" w:rsidTr="0028156F">
        <w:trPr>
          <w:trHeight w:val="330"/>
        </w:trPr>
        <w:tc>
          <w:tcPr>
            <w:tcW w:w="234" w:type="pct"/>
            <w:vMerge/>
            <w:tcBorders>
              <w:top w:val="nil"/>
              <w:left w:val="nil"/>
              <w:bottom w:val="nil"/>
              <w:right w:val="nil"/>
            </w:tcBorders>
            <w:vAlign w:val="center"/>
            <w:hideMark/>
          </w:tcPr>
          <w:p w14:paraId="0A7BB5A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00B050"/>
            <w:noWrap/>
            <w:vAlign w:val="center"/>
            <w:hideMark/>
          </w:tcPr>
          <w:p w14:paraId="46F5619F" w14:textId="77777777" w:rsidR="0028156F" w:rsidRPr="0028156F" w:rsidRDefault="0028156F" w:rsidP="0028156F">
            <w:pPr>
              <w:spacing w:after="0" w:line="240" w:lineRule="auto"/>
              <w:rPr>
                <w:rFonts w:ascii="Segoe UI" w:eastAsia="Times New Roman" w:hAnsi="Segoe UI" w:cs="Segoe UI"/>
                <w:color w:val="FFFFFF"/>
                <w:lang w:eastAsia="en-GB"/>
              </w:rPr>
            </w:pPr>
            <w:r w:rsidRPr="0028156F">
              <w:rPr>
                <w:rFonts w:ascii="Segoe UI" w:eastAsia="Times New Roman" w:hAnsi="Segoe UI" w:cs="Segoe UI"/>
                <w:color w:val="FFFFFF"/>
                <w:lang w:eastAsia="en-GB"/>
              </w:rPr>
              <w:t> </w:t>
            </w:r>
          </w:p>
        </w:tc>
        <w:tc>
          <w:tcPr>
            <w:tcW w:w="641" w:type="pct"/>
            <w:tcBorders>
              <w:top w:val="nil"/>
              <w:left w:val="nil"/>
              <w:bottom w:val="nil"/>
              <w:right w:val="nil"/>
            </w:tcBorders>
            <w:shd w:val="clear" w:color="000000" w:fill="EDEDED"/>
            <w:noWrap/>
            <w:vAlign w:val="center"/>
            <w:hideMark/>
          </w:tcPr>
          <w:p w14:paraId="4EAEFE4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2A5EE59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159B3B0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7F3485EF"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1D030E7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94EFA1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DB45D91" w14:textId="77777777" w:rsidTr="0028156F">
        <w:trPr>
          <w:trHeight w:val="660"/>
        </w:trPr>
        <w:tc>
          <w:tcPr>
            <w:tcW w:w="234" w:type="pct"/>
            <w:vMerge/>
            <w:tcBorders>
              <w:top w:val="nil"/>
              <w:left w:val="nil"/>
              <w:bottom w:val="nil"/>
              <w:right w:val="nil"/>
            </w:tcBorders>
            <w:vAlign w:val="center"/>
            <w:hideMark/>
          </w:tcPr>
          <w:p w14:paraId="39566C9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00B050"/>
            <w:noWrap/>
            <w:vAlign w:val="center"/>
            <w:hideMark/>
          </w:tcPr>
          <w:p w14:paraId="4390F483"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8</w:t>
            </w:r>
          </w:p>
        </w:tc>
        <w:tc>
          <w:tcPr>
            <w:tcW w:w="641" w:type="pct"/>
            <w:vMerge w:val="restart"/>
            <w:tcBorders>
              <w:top w:val="nil"/>
              <w:left w:val="nil"/>
              <w:bottom w:val="nil"/>
              <w:right w:val="nil"/>
            </w:tcBorders>
            <w:shd w:val="clear" w:color="000000" w:fill="EDEDED"/>
            <w:vAlign w:val="center"/>
            <w:hideMark/>
          </w:tcPr>
          <w:p w14:paraId="2B0111A5"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Interest Coverage Ratio</w:t>
            </w:r>
          </w:p>
        </w:tc>
        <w:tc>
          <w:tcPr>
            <w:tcW w:w="176" w:type="pct"/>
            <w:vMerge w:val="restart"/>
            <w:tcBorders>
              <w:top w:val="nil"/>
              <w:left w:val="nil"/>
              <w:bottom w:val="nil"/>
              <w:right w:val="nil"/>
            </w:tcBorders>
            <w:shd w:val="clear" w:color="000000" w:fill="EDEDED"/>
            <w:noWrap/>
            <w:vAlign w:val="center"/>
            <w:hideMark/>
          </w:tcPr>
          <w:p w14:paraId="630EA86D"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4460545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Earning Before Interest and Taxes</w:t>
            </w:r>
          </w:p>
        </w:tc>
        <w:tc>
          <w:tcPr>
            <w:tcW w:w="786" w:type="pct"/>
            <w:tcBorders>
              <w:top w:val="nil"/>
              <w:left w:val="nil"/>
              <w:bottom w:val="nil"/>
              <w:right w:val="nil"/>
            </w:tcBorders>
            <w:shd w:val="clear" w:color="000000" w:fill="EDEDED"/>
            <w:noWrap/>
            <w:vAlign w:val="center"/>
            <w:hideMark/>
          </w:tcPr>
          <w:p w14:paraId="3E912371"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61096D9B"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181.19%</w:t>
            </w:r>
          </w:p>
        </w:tc>
        <w:tc>
          <w:tcPr>
            <w:tcW w:w="759" w:type="pct"/>
            <w:tcBorders>
              <w:top w:val="nil"/>
              <w:left w:val="nil"/>
              <w:bottom w:val="nil"/>
              <w:right w:val="nil"/>
            </w:tcBorders>
            <w:shd w:val="clear" w:color="000000" w:fill="EDEDED"/>
            <w:noWrap/>
            <w:vAlign w:val="center"/>
            <w:hideMark/>
          </w:tcPr>
          <w:p w14:paraId="41BEBF0E"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566.22%</w:t>
            </w:r>
          </w:p>
        </w:tc>
      </w:tr>
      <w:tr w:rsidR="0028156F" w:rsidRPr="0028156F" w14:paraId="6A545142" w14:textId="77777777" w:rsidTr="0028156F">
        <w:trPr>
          <w:trHeight w:val="330"/>
        </w:trPr>
        <w:tc>
          <w:tcPr>
            <w:tcW w:w="234" w:type="pct"/>
            <w:vMerge/>
            <w:tcBorders>
              <w:top w:val="nil"/>
              <w:left w:val="nil"/>
              <w:bottom w:val="nil"/>
              <w:right w:val="nil"/>
            </w:tcBorders>
            <w:vAlign w:val="center"/>
            <w:hideMark/>
          </w:tcPr>
          <w:p w14:paraId="1B766995"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28BD2DC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7C9305E8"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2F569FD3"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293E35F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Interest Payments</w:t>
            </w:r>
          </w:p>
        </w:tc>
        <w:tc>
          <w:tcPr>
            <w:tcW w:w="786" w:type="pct"/>
            <w:tcBorders>
              <w:top w:val="nil"/>
              <w:left w:val="nil"/>
              <w:bottom w:val="nil"/>
              <w:right w:val="nil"/>
            </w:tcBorders>
            <w:shd w:val="clear" w:color="000000" w:fill="EDEDED"/>
            <w:noWrap/>
            <w:vAlign w:val="center"/>
            <w:hideMark/>
          </w:tcPr>
          <w:p w14:paraId="52A86C04"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2244ACE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FA9A60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AB665EC" w14:textId="77777777" w:rsidTr="0028156F">
        <w:trPr>
          <w:trHeight w:val="330"/>
        </w:trPr>
        <w:tc>
          <w:tcPr>
            <w:tcW w:w="234" w:type="pct"/>
            <w:tcBorders>
              <w:top w:val="nil"/>
              <w:left w:val="nil"/>
              <w:bottom w:val="nil"/>
              <w:right w:val="nil"/>
            </w:tcBorders>
            <w:shd w:val="clear" w:color="000000" w:fill="00B050"/>
            <w:textDirection w:val="tbLrV"/>
            <w:vAlign w:val="center"/>
            <w:hideMark/>
          </w:tcPr>
          <w:p w14:paraId="3FBE3994"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00B050"/>
            <w:noWrap/>
            <w:vAlign w:val="center"/>
            <w:hideMark/>
          </w:tcPr>
          <w:p w14:paraId="7FB3AC1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tcBorders>
              <w:top w:val="nil"/>
              <w:left w:val="nil"/>
              <w:bottom w:val="nil"/>
              <w:right w:val="nil"/>
            </w:tcBorders>
            <w:shd w:val="clear" w:color="000000" w:fill="EDEDED"/>
            <w:vAlign w:val="center"/>
            <w:hideMark/>
          </w:tcPr>
          <w:p w14:paraId="2ADEF46F"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465411C7"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223AD5C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462764D8"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054857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7591F02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6CBBF18" w14:textId="77777777" w:rsidTr="0028156F">
        <w:trPr>
          <w:trHeight w:val="330"/>
        </w:trPr>
        <w:tc>
          <w:tcPr>
            <w:tcW w:w="234" w:type="pct"/>
            <w:tcBorders>
              <w:top w:val="nil"/>
              <w:left w:val="nil"/>
              <w:bottom w:val="nil"/>
              <w:right w:val="nil"/>
            </w:tcBorders>
            <w:shd w:val="clear" w:color="000000" w:fill="00B050"/>
            <w:textDirection w:val="tbLrV"/>
            <w:vAlign w:val="center"/>
            <w:hideMark/>
          </w:tcPr>
          <w:p w14:paraId="42710EA3"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00B050"/>
            <w:noWrap/>
            <w:vAlign w:val="center"/>
            <w:hideMark/>
          </w:tcPr>
          <w:p w14:paraId="064B5F75"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9</w:t>
            </w:r>
          </w:p>
        </w:tc>
        <w:tc>
          <w:tcPr>
            <w:tcW w:w="641" w:type="pct"/>
            <w:tcBorders>
              <w:top w:val="nil"/>
              <w:left w:val="nil"/>
              <w:bottom w:val="nil"/>
              <w:right w:val="nil"/>
            </w:tcBorders>
            <w:shd w:val="clear" w:color="000000" w:fill="EDEDED"/>
            <w:vAlign w:val="center"/>
            <w:hideMark/>
          </w:tcPr>
          <w:p w14:paraId="1499AF9F"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Gearing Ratio</w:t>
            </w:r>
          </w:p>
        </w:tc>
        <w:tc>
          <w:tcPr>
            <w:tcW w:w="176" w:type="pct"/>
            <w:tcBorders>
              <w:top w:val="nil"/>
              <w:left w:val="nil"/>
              <w:bottom w:val="nil"/>
              <w:right w:val="nil"/>
            </w:tcBorders>
            <w:shd w:val="clear" w:color="000000" w:fill="EDEDED"/>
            <w:noWrap/>
            <w:vAlign w:val="center"/>
            <w:hideMark/>
          </w:tcPr>
          <w:p w14:paraId="66F32F5D"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1A6D035D" w14:textId="46DB9752" w:rsidR="0028156F" w:rsidRPr="0028156F" w:rsidRDefault="00570D9B" w:rsidP="0028156F">
            <w:pPr>
              <w:spacing w:after="0" w:line="240" w:lineRule="auto"/>
              <w:rPr>
                <w:rFonts w:ascii="Segoe UI" w:eastAsia="Times New Roman" w:hAnsi="Segoe UI" w:cs="Segoe UI"/>
                <w:color w:val="000000"/>
                <w:u w:val="single"/>
                <w:lang w:eastAsia="en-GB"/>
              </w:rPr>
            </w:pPr>
            <w:r w:rsidRPr="0028156F">
              <w:rPr>
                <w:rFonts w:ascii="Segoe UI" w:eastAsia="Times New Roman" w:hAnsi="Segoe UI" w:cs="Segoe UI"/>
                <w:color w:val="000000"/>
                <w:u w:val="single"/>
                <w:lang w:eastAsia="en-GB"/>
              </w:rPr>
              <w:t>Noncurrent</w:t>
            </w:r>
            <w:r w:rsidR="0028156F" w:rsidRPr="0028156F">
              <w:rPr>
                <w:rFonts w:ascii="Segoe UI" w:eastAsia="Times New Roman" w:hAnsi="Segoe UI" w:cs="Segoe UI"/>
                <w:color w:val="000000"/>
                <w:u w:val="single"/>
                <w:lang w:eastAsia="en-GB"/>
              </w:rPr>
              <w:t xml:space="preserve"> liabilities</w:t>
            </w:r>
          </w:p>
        </w:tc>
        <w:tc>
          <w:tcPr>
            <w:tcW w:w="786" w:type="pct"/>
            <w:tcBorders>
              <w:top w:val="nil"/>
              <w:left w:val="nil"/>
              <w:bottom w:val="nil"/>
              <w:right w:val="nil"/>
            </w:tcBorders>
            <w:shd w:val="clear" w:color="000000" w:fill="EDEDED"/>
            <w:noWrap/>
            <w:vAlign w:val="center"/>
            <w:hideMark/>
          </w:tcPr>
          <w:p w14:paraId="6326D4EF"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63C3BFF8"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65.91%</w:t>
            </w:r>
          </w:p>
        </w:tc>
        <w:tc>
          <w:tcPr>
            <w:tcW w:w="759" w:type="pct"/>
            <w:tcBorders>
              <w:top w:val="nil"/>
              <w:left w:val="nil"/>
              <w:bottom w:val="nil"/>
              <w:right w:val="nil"/>
            </w:tcBorders>
            <w:shd w:val="clear" w:color="000000" w:fill="EDEDED"/>
            <w:noWrap/>
            <w:vAlign w:val="center"/>
            <w:hideMark/>
          </w:tcPr>
          <w:p w14:paraId="67A8838E"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59.52%</w:t>
            </w:r>
          </w:p>
        </w:tc>
      </w:tr>
      <w:tr w:rsidR="0028156F" w:rsidRPr="0028156F" w14:paraId="20F69CFC" w14:textId="77777777" w:rsidTr="0028156F">
        <w:trPr>
          <w:trHeight w:val="330"/>
        </w:trPr>
        <w:tc>
          <w:tcPr>
            <w:tcW w:w="234" w:type="pct"/>
            <w:tcBorders>
              <w:top w:val="nil"/>
              <w:left w:val="nil"/>
              <w:bottom w:val="nil"/>
              <w:right w:val="nil"/>
            </w:tcBorders>
            <w:shd w:val="clear" w:color="000000" w:fill="00B050"/>
            <w:textDirection w:val="tbLrV"/>
            <w:vAlign w:val="center"/>
            <w:hideMark/>
          </w:tcPr>
          <w:p w14:paraId="116ED3C3"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00B050"/>
            <w:noWrap/>
            <w:vAlign w:val="center"/>
            <w:hideMark/>
          </w:tcPr>
          <w:p w14:paraId="63BEA3B9"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tcBorders>
              <w:top w:val="nil"/>
              <w:left w:val="nil"/>
              <w:bottom w:val="nil"/>
              <w:right w:val="nil"/>
            </w:tcBorders>
            <w:shd w:val="clear" w:color="000000" w:fill="EDEDED"/>
            <w:vAlign w:val="center"/>
            <w:hideMark/>
          </w:tcPr>
          <w:p w14:paraId="239BDFC7"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2DE49A87"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2346" w:type="pct"/>
            <w:gridSpan w:val="2"/>
            <w:tcBorders>
              <w:top w:val="nil"/>
              <w:left w:val="nil"/>
              <w:bottom w:val="nil"/>
              <w:right w:val="nil"/>
            </w:tcBorders>
            <w:shd w:val="clear" w:color="000000" w:fill="EDEDED"/>
            <w:noWrap/>
            <w:vAlign w:val="center"/>
            <w:hideMark/>
          </w:tcPr>
          <w:p w14:paraId="36090097" w14:textId="1B3D170E"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xml:space="preserve">equity + </w:t>
            </w:r>
            <w:r w:rsidR="00570D9B" w:rsidRPr="0028156F">
              <w:rPr>
                <w:rFonts w:ascii="Segoe UI" w:eastAsia="Times New Roman" w:hAnsi="Segoe UI" w:cs="Segoe UI"/>
                <w:color w:val="000000"/>
                <w:lang w:eastAsia="en-GB"/>
              </w:rPr>
              <w:t>noncurrent</w:t>
            </w:r>
            <w:r w:rsidRPr="0028156F">
              <w:rPr>
                <w:rFonts w:ascii="Segoe UI" w:eastAsia="Times New Roman" w:hAnsi="Segoe UI" w:cs="Segoe UI"/>
                <w:color w:val="000000"/>
                <w:lang w:eastAsia="en-GB"/>
              </w:rPr>
              <w:t xml:space="preserve"> liabilities</w:t>
            </w:r>
          </w:p>
        </w:tc>
        <w:tc>
          <w:tcPr>
            <w:tcW w:w="629" w:type="pct"/>
            <w:tcBorders>
              <w:top w:val="nil"/>
              <w:left w:val="nil"/>
              <w:bottom w:val="nil"/>
              <w:right w:val="nil"/>
            </w:tcBorders>
            <w:shd w:val="clear" w:color="000000" w:fill="EDEDED"/>
            <w:noWrap/>
            <w:vAlign w:val="center"/>
            <w:hideMark/>
          </w:tcPr>
          <w:p w14:paraId="126868A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A830F8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3135B77D" w14:textId="77777777" w:rsidTr="0028156F">
        <w:trPr>
          <w:trHeight w:val="300"/>
        </w:trPr>
        <w:tc>
          <w:tcPr>
            <w:tcW w:w="234" w:type="pct"/>
            <w:tcBorders>
              <w:top w:val="nil"/>
              <w:left w:val="nil"/>
              <w:bottom w:val="nil"/>
              <w:right w:val="nil"/>
            </w:tcBorders>
            <w:shd w:val="clear" w:color="auto" w:fill="auto"/>
            <w:noWrap/>
            <w:vAlign w:val="bottom"/>
            <w:hideMark/>
          </w:tcPr>
          <w:p w14:paraId="2FF13036"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215" w:type="pct"/>
            <w:tcBorders>
              <w:top w:val="nil"/>
              <w:left w:val="nil"/>
              <w:bottom w:val="nil"/>
              <w:right w:val="nil"/>
            </w:tcBorders>
            <w:shd w:val="clear" w:color="auto" w:fill="auto"/>
            <w:noWrap/>
            <w:vAlign w:val="bottom"/>
            <w:hideMark/>
          </w:tcPr>
          <w:p w14:paraId="52D35817"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000000" w:fill="EDEDED"/>
            <w:noWrap/>
            <w:vAlign w:val="bottom"/>
            <w:hideMark/>
          </w:tcPr>
          <w:p w14:paraId="10E74758"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76" w:type="pct"/>
            <w:tcBorders>
              <w:top w:val="nil"/>
              <w:left w:val="nil"/>
              <w:bottom w:val="nil"/>
              <w:right w:val="nil"/>
            </w:tcBorders>
            <w:shd w:val="clear" w:color="000000" w:fill="EDEDED"/>
            <w:noWrap/>
            <w:vAlign w:val="bottom"/>
            <w:hideMark/>
          </w:tcPr>
          <w:p w14:paraId="13A8BE68"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560" w:type="pct"/>
            <w:tcBorders>
              <w:top w:val="nil"/>
              <w:left w:val="nil"/>
              <w:bottom w:val="nil"/>
              <w:right w:val="nil"/>
            </w:tcBorders>
            <w:shd w:val="clear" w:color="000000" w:fill="EDEDED"/>
            <w:noWrap/>
            <w:vAlign w:val="bottom"/>
            <w:hideMark/>
          </w:tcPr>
          <w:p w14:paraId="4B9D618A"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86" w:type="pct"/>
            <w:tcBorders>
              <w:top w:val="nil"/>
              <w:left w:val="nil"/>
              <w:bottom w:val="nil"/>
              <w:right w:val="nil"/>
            </w:tcBorders>
            <w:shd w:val="clear" w:color="000000" w:fill="EDEDED"/>
            <w:noWrap/>
            <w:vAlign w:val="bottom"/>
            <w:hideMark/>
          </w:tcPr>
          <w:p w14:paraId="6FB3C917"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629" w:type="pct"/>
            <w:tcBorders>
              <w:top w:val="nil"/>
              <w:left w:val="nil"/>
              <w:bottom w:val="nil"/>
              <w:right w:val="nil"/>
            </w:tcBorders>
            <w:shd w:val="clear" w:color="000000" w:fill="EDEDED"/>
            <w:noWrap/>
            <w:vAlign w:val="bottom"/>
            <w:hideMark/>
          </w:tcPr>
          <w:p w14:paraId="5F366F04"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464DC970"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0C472E13" w14:textId="77777777" w:rsidTr="0028156F">
        <w:trPr>
          <w:trHeight w:val="300"/>
        </w:trPr>
        <w:tc>
          <w:tcPr>
            <w:tcW w:w="234" w:type="pct"/>
            <w:tcBorders>
              <w:top w:val="nil"/>
              <w:left w:val="nil"/>
              <w:bottom w:val="nil"/>
              <w:right w:val="nil"/>
            </w:tcBorders>
            <w:shd w:val="clear" w:color="auto" w:fill="auto"/>
            <w:noWrap/>
            <w:vAlign w:val="bottom"/>
            <w:hideMark/>
          </w:tcPr>
          <w:p w14:paraId="74CCFC2A" w14:textId="77777777" w:rsidR="0028156F" w:rsidRPr="0028156F" w:rsidRDefault="0028156F" w:rsidP="0028156F">
            <w:pPr>
              <w:spacing w:after="0" w:line="240" w:lineRule="auto"/>
              <w:rPr>
                <w:rFonts w:ascii="Calibri" w:eastAsia="Times New Roman" w:hAnsi="Calibri" w:cs="Calibri"/>
                <w:color w:val="000000"/>
                <w:lang w:eastAsia="en-GB"/>
              </w:rPr>
            </w:pPr>
          </w:p>
        </w:tc>
        <w:tc>
          <w:tcPr>
            <w:tcW w:w="215" w:type="pct"/>
            <w:tcBorders>
              <w:top w:val="nil"/>
              <w:left w:val="nil"/>
              <w:bottom w:val="nil"/>
              <w:right w:val="nil"/>
            </w:tcBorders>
            <w:shd w:val="clear" w:color="auto" w:fill="auto"/>
            <w:noWrap/>
            <w:vAlign w:val="bottom"/>
            <w:hideMark/>
          </w:tcPr>
          <w:p w14:paraId="76F2DB94"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000000" w:fill="EDEDED"/>
            <w:noWrap/>
            <w:vAlign w:val="bottom"/>
            <w:hideMark/>
          </w:tcPr>
          <w:p w14:paraId="5DDEB493"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76" w:type="pct"/>
            <w:tcBorders>
              <w:top w:val="nil"/>
              <w:left w:val="nil"/>
              <w:bottom w:val="nil"/>
              <w:right w:val="nil"/>
            </w:tcBorders>
            <w:shd w:val="clear" w:color="000000" w:fill="EDEDED"/>
            <w:noWrap/>
            <w:vAlign w:val="bottom"/>
            <w:hideMark/>
          </w:tcPr>
          <w:p w14:paraId="43C25653"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1560" w:type="pct"/>
            <w:tcBorders>
              <w:top w:val="nil"/>
              <w:left w:val="nil"/>
              <w:bottom w:val="nil"/>
              <w:right w:val="nil"/>
            </w:tcBorders>
            <w:shd w:val="clear" w:color="000000" w:fill="EDEDED"/>
            <w:noWrap/>
            <w:vAlign w:val="bottom"/>
            <w:hideMark/>
          </w:tcPr>
          <w:p w14:paraId="11768FB6"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86" w:type="pct"/>
            <w:tcBorders>
              <w:top w:val="nil"/>
              <w:left w:val="nil"/>
              <w:bottom w:val="nil"/>
              <w:right w:val="nil"/>
            </w:tcBorders>
            <w:shd w:val="clear" w:color="000000" w:fill="EDEDED"/>
            <w:noWrap/>
            <w:vAlign w:val="bottom"/>
            <w:hideMark/>
          </w:tcPr>
          <w:p w14:paraId="0C73FFA1"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629" w:type="pct"/>
            <w:tcBorders>
              <w:top w:val="nil"/>
              <w:left w:val="nil"/>
              <w:bottom w:val="nil"/>
              <w:right w:val="nil"/>
            </w:tcBorders>
            <w:shd w:val="clear" w:color="000000" w:fill="EDEDED"/>
            <w:noWrap/>
            <w:vAlign w:val="bottom"/>
            <w:hideMark/>
          </w:tcPr>
          <w:p w14:paraId="5922740A"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c>
          <w:tcPr>
            <w:tcW w:w="759" w:type="pct"/>
            <w:tcBorders>
              <w:top w:val="nil"/>
              <w:left w:val="nil"/>
              <w:bottom w:val="nil"/>
              <w:right w:val="nil"/>
            </w:tcBorders>
            <w:shd w:val="clear" w:color="000000" w:fill="EDEDED"/>
            <w:noWrap/>
            <w:vAlign w:val="bottom"/>
            <w:hideMark/>
          </w:tcPr>
          <w:p w14:paraId="19CA9873"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 </w:t>
            </w:r>
          </w:p>
        </w:tc>
      </w:tr>
      <w:tr w:rsidR="0028156F" w:rsidRPr="0028156F" w14:paraId="44D7C6AD" w14:textId="77777777" w:rsidTr="0028156F">
        <w:trPr>
          <w:trHeight w:val="330"/>
        </w:trPr>
        <w:tc>
          <w:tcPr>
            <w:tcW w:w="234" w:type="pct"/>
            <w:vMerge w:val="restart"/>
            <w:tcBorders>
              <w:top w:val="nil"/>
              <w:left w:val="nil"/>
              <w:bottom w:val="nil"/>
              <w:right w:val="nil"/>
            </w:tcBorders>
            <w:shd w:val="clear" w:color="000000" w:fill="548235"/>
            <w:textDirection w:val="tbLrV"/>
            <w:vAlign w:val="center"/>
            <w:hideMark/>
          </w:tcPr>
          <w:p w14:paraId="21BF4E85"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ACTIVITY RATIOS</w:t>
            </w:r>
          </w:p>
        </w:tc>
        <w:tc>
          <w:tcPr>
            <w:tcW w:w="215" w:type="pct"/>
            <w:vMerge w:val="restart"/>
            <w:tcBorders>
              <w:top w:val="nil"/>
              <w:left w:val="nil"/>
              <w:bottom w:val="nil"/>
              <w:right w:val="nil"/>
            </w:tcBorders>
            <w:shd w:val="clear" w:color="000000" w:fill="548235"/>
            <w:noWrap/>
            <w:vAlign w:val="center"/>
            <w:hideMark/>
          </w:tcPr>
          <w:p w14:paraId="4333FFF6"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10</w:t>
            </w:r>
          </w:p>
        </w:tc>
        <w:tc>
          <w:tcPr>
            <w:tcW w:w="641" w:type="pct"/>
            <w:vMerge w:val="restart"/>
            <w:tcBorders>
              <w:top w:val="nil"/>
              <w:left w:val="nil"/>
              <w:bottom w:val="nil"/>
              <w:right w:val="nil"/>
            </w:tcBorders>
            <w:shd w:val="clear" w:color="000000" w:fill="EDEDED"/>
            <w:vAlign w:val="center"/>
            <w:hideMark/>
          </w:tcPr>
          <w:p w14:paraId="3CEF4A52"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Working Capital Turnover</w:t>
            </w:r>
          </w:p>
        </w:tc>
        <w:tc>
          <w:tcPr>
            <w:tcW w:w="176" w:type="pct"/>
            <w:vMerge w:val="restart"/>
            <w:tcBorders>
              <w:top w:val="nil"/>
              <w:left w:val="nil"/>
              <w:bottom w:val="nil"/>
              <w:right w:val="nil"/>
            </w:tcBorders>
            <w:shd w:val="clear" w:color="000000" w:fill="EDEDED"/>
            <w:noWrap/>
            <w:vAlign w:val="center"/>
            <w:hideMark/>
          </w:tcPr>
          <w:p w14:paraId="43031058"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6796D0A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Sales Revenue</w:t>
            </w:r>
          </w:p>
        </w:tc>
        <w:tc>
          <w:tcPr>
            <w:tcW w:w="786" w:type="pct"/>
            <w:tcBorders>
              <w:top w:val="nil"/>
              <w:left w:val="nil"/>
              <w:bottom w:val="nil"/>
              <w:right w:val="nil"/>
            </w:tcBorders>
            <w:shd w:val="clear" w:color="000000" w:fill="EDEDED"/>
            <w:noWrap/>
            <w:vAlign w:val="center"/>
            <w:hideMark/>
          </w:tcPr>
          <w:p w14:paraId="1FCFFBA7"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08F5ECBE"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-29.36</w:t>
            </w:r>
          </w:p>
        </w:tc>
        <w:tc>
          <w:tcPr>
            <w:tcW w:w="759" w:type="pct"/>
            <w:tcBorders>
              <w:top w:val="nil"/>
              <w:left w:val="nil"/>
              <w:bottom w:val="nil"/>
              <w:right w:val="nil"/>
            </w:tcBorders>
            <w:shd w:val="clear" w:color="000000" w:fill="EDEDED"/>
            <w:noWrap/>
            <w:vAlign w:val="center"/>
            <w:hideMark/>
          </w:tcPr>
          <w:p w14:paraId="5D87FBE7"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7.53</w:t>
            </w:r>
          </w:p>
        </w:tc>
      </w:tr>
      <w:tr w:rsidR="0028156F" w:rsidRPr="0028156F" w14:paraId="3066BA4F" w14:textId="77777777" w:rsidTr="0028156F">
        <w:trPr>
          <w:trHeight w:val="330"/>
        </w:trPr>
        <w:tc>
          <w:tcPr>
            <w:tcW w:w="234" w:type="pct"/>
            <w:vMerge/>
            <w:tcBorders>
              <w:top w:val="nil"/>
              <w:left w:val="nil"/>
              <w:bottom w:val="nil"/>
              <w:right w:val="nil"/>
            </w:tcBorders>
            <w:vAlign w:val="center"/>
            <w:hideMark/>
          </w:tcPr>
          <w:p w14:paraId="24EDBB0F"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4F2DEA9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2F8E83C5"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0961E447"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2346" w:type="pct"/>
            <w:gridSpan w:val="2"/>
            <w:tcBorders>
              <w:top w:val="nil"/>
              <w:left w:val="nil"/>
              <w:bottom w:val="nil"/>
              <w:right w:val="nil"/>
            </w:tcBorders>
            <w:shd w:val="clear" w:color="000000" w:fill="EDEDED"/>
            <w:noWrap/>
            <w:vAlign w:val="center"/>
            <w:hideMark/>
          </w:tcPr>
          <w:p w14:paraId="0B7F24C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Current Assets - Current Liabilities</w:t>
            </w:r>
          </w:p>
        </w:tc>
        <w:tc>
          <w:tcPr>
            <w:tcW w:w="629" w:type="pct"/>
            <w:tcBorders>
              <w:top w:val="nil"/>
              <w:left w:val="nil"/>
              <w:bottom w:val="nil"/>
              <w:right w:val="nil"/>
            </w:tcBorders>
            <w:shd w:val="clear" w:color="000000" w:fill="EDEDED"/>
            <w:noWrap/>
            <w:vAlign w:val="center"/>
            <w:hideMark/>
          </w:tcPr>
          <w:p w14:paraId="27B1B2FE"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672C7A8F"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1DD3B16" w14:textId="77777777" w:rsidTr="0028156F">
        <w:trPr>
          <w:trHeight w:val="330"/>
        </w:trPr>
        <w:tc>
          <w:tcPr>
            <w:tcW w:w="234" w:type="pct"/>
            <w:vMerge/>
            <w:tcBorders>
              <w:top w:val="nil"/>
              <w:left w:val="nil"/>
              <w:bottom w:val="nil"/>
              <w:right w:val="nil"/>
            </w:tcBorders>
            <w:vAlign w:val="center"/>
            <w:hideMark/>
          </w:tcPr>
          <w:p w14:paraId="700633E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548235"/>
            <w:noWrap/>
            <w:vAlign w:val="center"/>
            <w:hideMark/>
          </w:tcPr>
          <w:p w14:paraId="3902F30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4132049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36E820A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238844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4D384035"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20420F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7371DAA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7035A01" w14:textId="77777777" w:rsidTr="0028156F">
        <w:trPr>
          <w:trHeight w:val="330"/>
        </w:trPr>
        <w:tc>
          <w:tcPr>
            <w:tcW w:w="234" w:type="pct"/>
            <w:vMerge/>
            <w:tcBorders>
              <w:top w:val="nil"/>
              <w:left w:val="nil"/>
              <w:bottom w:val="nil"/>
              <w:right w:val="nil"/>
            </w:tcBorders>
            <w:vAlign w:val="center"/>
            <w:hideMark/>
          </w:tcPr>
          <w:p w14:paraId="4F30C1CA"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548235"/>
            <w:noWrap/>
            <w:vAlign w:val="center"/>
            <w:hideMark/>
          </w:tcPr>
          <w:p w14:paraId="1C873388"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11</w:t>
            </w:r>
          </w:p>
        </w:tc>
        <w:tc>
          <w:tcPr>
            <w:tcW w:w="641" w:type="pct"/>
            <w:vMerge w:val="restart"/>
            <w:tcBorders>
              <w:top w:val="nil"/>
              <w:left w:val="nil"/>
              <w:bottom w:val="nil"/>
              <w:right w:val="nil"/>
            </w:tcBorders>
            <w:shd w:val="clear" w:color="000000" w:fill="EDEDED"/>
            <w:vAlign w:val="center"/>
            <w:hideMark/>
          </w:tcPr>
          <w:p w14:paraId="09D0B762"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Inventory Turnover</w:t>
            </w:r>
          </w:p>
        </w:tc>
        <w:tc>
          <w:tcPr>
            <w:tcW w:w="176" w:type="pct"/>
            <w:vMerge w:val="restart"/>
            <w:tcBorders>
              <w:top w:val="nil"/>
              <w:left w:val="nil"/>
              <w:bottom w:val="nil"/>
              <w:right w:val="nil"/>
            </w:tcBorders>
            <w:shd w:val="clear" w:color="000000" w:fill="EDEDED"/>
            <w:noWrap/>
            <w:vAlign w:val="center"/>
            <w:hideMark/>
          </w:tcPr>
          <w:p w14:paraId="2717EF50"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5C44993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CoGS</w:t>
            </w:r>
          </w:p>
        </w:tc>
        <w:tc>
          <w:tcPr>
            <w:tcW w:w="786" w:type="pct"/>
            <w:tcBorders>
              <w:top w:val="nil"/>
              <w:left w:val="nil"/>
              <w:bottom w:val="nil"/>
              <w:right w:val="nil"/>
            </w:tcBorders>
            <w:shd w:val="clear" w:color="000000" w:fill="EDEDED"/>
            <w:noWrap/>
            <w:vAlign w:val="center"/>
            <w:hideMark/>
          </w:tcPr>
          <w:p w14:paraId="4EB5D16E"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303040A1"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3.72</w:t>
            </w:r>
          </w:p>
        </w:tc>
        <w:tc>
          <w:tcPr>
            <w:tcW w:w="759" w:type="pct"/>
            <w:tcBorders>
              <w:top w:val="nil"/>
              <w:left w:val="nil"/>
              <w:bottom w:val="nil"/>
              <w:right w:val="nil"/>
            </w:tcBorders>
            <w:shd w:val="clear" w:color="000000" w:fill="EDEDED"/>
            <w:noWrap/>
            <w:vAlign w:val="center"/>
            <w:hideMark/>
          </w:tcPr>
          <w:p w14:paraId="462C27E5"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2.45</w:t>
            </w:r>
          </w:p>
        </w:tc>
      </w:tr>
      <w:tr w:rsidR="0028156F" w:rsidRPr="0028156F" w14:paraId="7F3A3FB5" w14:textId="77777777" w:rsidTr="0028156F">
        <w:trPr>
          <w:trHeight w:val="330"/>
        </w:trPr>
        <w:tc>
          <w:tcPr>
            <w:tcW w:w="234" w:type="pct"/>
            <w:vMerge/>
            <w:tcBorders>
              <w:top w:val="nil"/>
              <w:left w:val="nil"/>
              <w:bottom w:val="nil"/>
              <w:right w:val="nil"/>
            </w:tcBorders>
            <w:vAlign w:val="center"/>
            <w:hideMark/>
          </w:tcPr>
          <w:p w14:paraId="46A09BB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1A82ED5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2BD8C481"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vMerge/>
            <w:tcBorders>
              <w:top w:val="nil"/>
              <w:left w:val="nil"/>
              <w:bottom w:val="nil"/>
              <w:right w:val="nil"/>
            </w:tcBorders>
            <w:vAlign w:val="center"/>
            <w:hideMark/>
          </w:tcPr>
          <w:p w14:paraId="35F759C9"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1560" w:type="pct"/>
            <w:tcBorders>
              <w:top w:val="nil"/>
              <w:left w:val="nil"/>
              <w:bottom w:val="nil"/>
              <w:right w:val="nil"/>
            </w:tcBorders>
            <w:shd w:val="clear" w:color="000000" w:fill="EDEDED"/>
            <w:noWrap/>
            <w:vAlign w:val="center"/>
            <w:hideMark/>
          </w:tcPr>
          <w:p w14:paraId="6D3C547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2 period Inventory avearge</w:t>
            </w:r>
          </w:p>
        </w:tc>
        <w:tc>
          <w:tcPr>
            <w:tcW w:w="786" w:type="pct"/>
            <w:tcBorders>
              <w:top w:val="nil"/>
              <w:left w:val="nil"/>
              <w:bottom w:val="nil"/>
              <w:right w:val="nil"/>
            </w:tcBorders>
            <w:shd w:val="clear" w:color="000000" w:fill="EDEDED"/>
            <w:noWrap/>
            <w:vAlign w:val="center"/>
            <w:hideMark/>
          </w:tcPr>
          <w:p w14:paraId="3E80B737"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B01812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3C3F27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8EFA69B" w14:textId="77777777" w:rsidTr="0028156F">
        <w:trPr>
          <w:trHeight w:val="330"/>
        </w:trPr>
        <w:tc>
          <w:tcPr>
            <w:tcW w:w="234" w:type="pct"/>
            <w:vMerge/>
            <w:tcBorders>
              <w:top w:val="nil"/>
              <w:left w:val="nil"/>
              <w:bottom w:val="nil"/>
              <w:right w:val="nil"/>
            </w:tcBorders>
            <w:vAlign w:val="center"/>
            <w:hideMark/>
          </w:tcPr>
          <w:p w14:paraId="78AAF996"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548235"/>
            <w:noWrap/>
            <w:vAlign w:val="center"/>
            <w:hideMark/>
          </w:tcPr>
          <w:p w14:paraId="5235F2F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7AB7CBB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780F3CB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7B982D0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804B147"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7119FC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A2B447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1A46BB2E" w14:textId="77777777" w:rsidTr="0028156F">
        <w:trPr>
          <w:trHeight w:val="330"/>
        </w:trPr>
        <w:tc>
          <w:tcPr>
            <w:tcW w:w="234" w:type="pct"/>
            <w:vMerge/>
            <w:tcBorders>
              <w:top w:val="nil"/>
              <w:left w:val="nil"/>
              <w:bottom w:val="nil"/>
              <w:right w:val="nil"/>
            </w:tcBorders>
            <w:vAlign w:val="center"/>
            <w:hideMark/>
          </w:tcPr>
          <w:p w14:paraId="1CD78CC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548235"/>
            <w:noWrap/>
            <w:vAlign w:val="center"/>
            <w:hideMark/>
          </w:tcPr>
          <w:p w14:paraId="1440B3E5"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12</w:t>
            </w:r>
          </w:p>
        </w:tc>
        <w:tc>
          <w:tcPr>
            <w:tcW w:w="641" w:type="pct"/>
            <w:vMerge w:val="restart"/>
            <w:tcBorders>
              <w:top w:val="nil"/>
              <w:left w:val="nil"/>
              <w:bottom w:val="nil"/>
              <w:right w:val="nil"/>
            </w:tcBorders>
            <w:shd w:val="clear" w:color="000000" w:fill="EDEDED"/>
            <w:vAlign w:val="center"/>
            <w:hideMark/>
          </w:tcPr>
          <w:p w14:paraId="11420680"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Assets Turnover</w:t>
            </w:r>
          </w:p>
        </w:tc>
        <w:tc>
          <w:tcPr>
            <w:tcW w:w="176" w:type="pct"/>
            <w:tcBorders>
              <w:top w:val="nil"/>
              <w:left w:val="nil"/>
              <w:bottom w:val="nil"/>
              <w:right w:val="nil"/>
            </w:tcBorders>
            <w:shd w:val="clear" w:color="000000" w:fill="EDEDED"/>
            <w:noWrap/>
            <w:vAlign w:val="center"/>
            <w:hideMark/>
          </w:tcPr>
          <w:p w14:paraId="2D0019B8"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77E76AA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Sales Revenue</w:t>
            </w:r>
          </w:p>
        </w:tc>
        <w:tc>
          <w:tcPr>
            <w:tcW w:w="786" w:type="pct"/>
            <w:tcBorders>
              <w:top w:val="nil"/>
              <w:left w:val="nil"/>
              <w:bottom w:val="nil"/>
              <w:right w:val="nil"/>
            </w:tcBorders>
            <w:shd w:val="clear" w:color="000000" w:fill="EDEDED"/>
            <w:noWrap/>
            <w:vAlign w:val="center"/>
            <w:hideMark/>
          </w:tcPr>
          <w:p w14:paraId="03F46FF4"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537795EB"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0.39</w:t>
            </w:r>
          </w:p>
        </w:tc>
        <w:tc>
          <w:tcPr>
            <w:tcW w:w="759" w:type="pct"/>
            <w:tcBorders>
              <w:top w:val="nil"/>
              <w:left w:val="nil"/>
              <w:bottom w:val="nil"/>
              <w:right w:val="nil"/>
            </w:tcBorders>
            <w:shd w:val="clear" w:color="000000" w:fill="EDEDED"/>
            <w:noWrap/>
            <w:vAlign w:val="center"/>
            <w:hideMark/>
          </w:tcPr>
          <w:p w14:paraId="2DBF2DA4"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0.22</w:t>
            </w:r>
          </w:p>
        </w:tc>
      </w:tr>
      <w:tr w:rsidR="0028156F" w:rsidRPr="0028156F" w14:paraId="2F91AF5A" w14:textId="77777777" w:rsidTr="0028156F">
        <w:trPr>
          <w:trHeight w:val="330"/>
        </w:trPr>
        <w:tc>
          <w:tcPr>
            <w:tcW w:w="234" w:type="pct"/>
            <w:vMerge/>
            <w:tcBorders>
              <w:top w:val="nil"/>
              <w:left w:val="nil"/>
              <w:bottom w:val="nil"/>
              <w:right w:val="nil"/>
            </w:tcBorders>
            <w:vAlign w:val="center"/>
            <w:hideMark/>
          </w:tcPr>
          <w:p w14:paraId="26879BF2"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3B764A4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440CB546"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369327B4"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4667061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Assets</w:t>
            </w:r>
          </w:p>
        </w:tc>
        <w:tc>
          <w:tcPr>
            <w:tcW w:w="786" w:type="pct"/>
            <w:tcBorders>
              <w:top w:val="nil"/>
              <w:left w:val="nil"/>
              <w:bottom w:val="nil"/>
              <w:right w:val="nil"/>
            </w:tcBorders>
            <w:shd w:val="clear" w:color="000000" w:fill="EDEDED"/>
            <w:noWrap/>
            <w:vAlign w:val="center"/>
            <w:hideMark/>
          </w:tcPr>
          <w:p w14:paraId="7961C186"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364A26B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55BC303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06010909" w14:textId="77777777" w:rsidTr="0028156F">
        <w:trPr>
          <w:trHeight w:val="330"/>
        </w:trPr>
        <w:tc>
          <w:tcPr>
            <w:tcW w:w="234" w:type="pct"/>
            <w:vMerge/>
            <w:tcBorders>
              <w:top w:val="nil"/>
              <w:left w:val="nil"/>
              <w:bottom w:val="nil"/>
              <w:right w:val="nil"/>
            </w:tcBorders>
            <w:vAlign w:val="center"/>
            <w:hideMark/>
          </w:tcPr>
          <w:p w14:paraId="0300EA96"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548235"/>
            <w:noWrap/>
            <w:vAlign w:val="center"/>
            <w:hideMark/>
          </w:tcPr>
          <w:p w14:paraId="55343CA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5006D8E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31BC4D1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1FE7560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08DB69F7"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47CD70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245257D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5669B6E" w14:textId="77777777" w:rsidTr="0028156F">
        <w:trPr>
          <w:trHeight w:val="330"/>
        </w:trPr>
        <w:tc>
          <w:tcPr>
            <w:tcW w:w="234" w:type="pct"/>
            <w:vMerge/>
            <w:tcBorders>
              <w:top w:val="nil"/>
              <w:left w:val="nil"/>
              <w:bottom w:val="nil"/>
              <w:right w:val="nil"/>
            </w:tcBorders>
            <w:vAlign w:val="center"/>
            <w:hideMark/>
          </w:tcPr>
          <w:p w14:paraId="70C452A4"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548235"/>
            <w:noWrap/>
            <w:vAlign w:val="center"/>
            <w:hideMark/>
          </w:tcPr>
          <w:p w14:paraId="36A35C82"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13</w:t>
            </w:r>
          </w:p>
        </w:tc>
        <w:tc>
          <w:tcPr>
            <w:tcW w:w="641" w:type="pct"/>
            <w:vMerge w:val="restart"/>
            <w:tcBorders>
              <w:top w:val="nil"/>
              <w:left w:val="nil"/>
              <w:bottom w:val="nil"/>
              <w:right w:val="nil"/>
            </w:tcBorders>
            <w:shd w:val="clear" w:color="000000" w:fill="EDEDED"/>
            <w:vAlign w:val="center"/>
            <w:hideMark/>
          </w:tcPr>
          <w:p w14:paraId="3420B5AD"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Receivable Turnover</w:t>
            </w:r>
          </w:p>
        </w:tc>
        <w:tc>
          <w:tcPr>
            <w:tcW w:w="176" w:type="pct"/>
            <w:tcBorders>
              <w:top w:val="nil"/>
              <w:left w:val="nil"/>
              <w:bottom w:val="nil"/>
              <w:right w:val="nil"/>
            </w:tcBorders>
            <w:shd w:val="clear" w:color="000000" w:fill="EDEDED"/>
            <w:noWrap/>
            <w:vAlign w:val="center"/>
            <w:hideMark/>
          </w:tcPr>
          <w:p w14:paraId="65E68E81"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58F5D0D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Sales Revenue</w:t>
            </w:r>
          </w:p>
        </w:tc>
        <w:tc>
          <w:tcPr>
            <w:tcW w:w="786" w:type="pct"/>
            <w:tcBorders>
              <w:top w:val="nil"/>
              <w:left w:val="nil"/>
              <w:bottom w:val="nil"/>
              <w:right w:val="nil"/>
            </w:tcBorders>
            <w:shd w:val="clear" w:color="000000" w:fill="EDEDED"/>
            <w:noWrap/>
            <w:vAlign w:val="center"/>
            <w:hideMark/>
          </w:tcPr>
          <w:p w14:paraId="6959AA1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2FDFE47E"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5.57</w:t>
            </w:r>
          </w:p>
        </w:tc>
        <w:tc>
          <w:tcPr>
            <w:tcW w:w="759" w:type="pct"/>
            <w:tcBorders>
              <w:top w:val="nil"/>
              <w:left w:val="nil"/>
              <w:bottom w:val="nil"/>
              <w:right w:val="nil"/>
            </w:tcBorders>
            <w:shd w:val="clear" w:color="000000" w:fill="EDEDED"/>
            <w:noWrap/>
            <w:vAlign w:val="center"/>
            <w:hideMark/>
          </w:tcPr>
          <w:p w14:paraId="3B4D73F7"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2.95</w:t>
            </w:r>
          </w:p>
        </w:tc>
      </w:tr>
      <w:tr w:rsidR="0028156F" w:rsidRPr="0028156F" w14:paraId="49118DFD" w14:textId="77777777" w:rsidTr="0028156F">
        <w:trPr>
          <w:trHeight w:val="330"/>
        </w:trPr>
        <w:tc>
          <w:tcPr>
            <w:tcW w:w="234" w:type="pct"/>
            <w:vMerge/>
            <w:tcBorders>
              <w:top w:val="nil"/>
              <w:left w:val="nil"/>
              <w:bottom w:val="nil"/>
              <w:right w:val="nil"/>
            </w:tcBorders>
            <w:vAlign w:val="center"/>
            <w:hideMark/>
          </w:tcPr>
          <w:p w14:paraId="6C65967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104B16D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2BB849CA"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57F3A4BF"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39040F7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Inventory</w:t>
            </w:r>
          </w:p>
        </w:tc>
        <w:tc>
          <w:tcPr>
            <w:tcW w:w="786" w:type="pct"/>
            <w:tcBorders>
              <w:top w:val="nil"/>
              <w:left w:val="nil"/>
              <w:bottom w:val="nil"/>
              <w:right w:val="nil"/>
            </w:tcBorders>
            <w:shd w:val="clear" w:color="000000" w:fill="EDEDED"/>
            <w:noWrap/>
            <w:vAlign w:val="center"/>
            <w:hideMark/>
          </w:tcPr>
          <w:p w14:paraId="6BD277D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44D2A2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F5633E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47AD9A2" w14:textId="77777777" w:rsidTr="0028156F">
        <w:trPr>
          <w:trHeight w:val="330"/>
        </w:trPr>
        <w:tc>
          <w:tcPr>
            <w:tcW w:w="234" w:type="pct"/>
            <w:vMerge/>
            <w:tcBorders>
              <w:top w:val="nil"/>
              <w:left w:val="nil"/>
              <w:bottom w:val="nil"/>
              <w:right w:val="nil"/>
            </w:tcBorders>
            <w:vAlign w:val="center"/>
            <w:hideMark/>
          </w:tcPr>
          <w:p w14:paraId="41810CC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548235"/>
            <w:noWrap/>
            <w:vAlign w:val="center"/>
            <w:hideMark/>
          </w:tcPr>
          <w:p w14:paraId="0ED447C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00D1443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773336B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2C7F06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4B5EEC59"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139DE40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2B40EAC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6A4D1ABF" w14:textId="77777777" w:rsidTr="0028156F">
        <w:trPr>
          <w:trHeight w:val="330"/>
        </w:trPr>
        <w:tc>
          <w:tcPr>
            <w:tcW w:w="234" w:type="pct"/>
            <w:vMerge/>
            <w:tcBorders>
              <w:top w:val="nil"/>
              <w:left w:val="nil"/>
              <w:bottom w:val="nil"/>
              <w:right w:val="nil"/>
            </w:tcBorders>
            <w:vAlign w:val="center"/>
            <w:hideMark/>
          </w:tcPr>
          <w:p w14:paraId="27FC0ECB"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548235"/>
            <w:noWrap/>
            <w:vAlign w:val="center"/>
            <w:hideMark/>
          </w:tcPr>
          <w:p w14:paraId="0BD04DCD"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vMerge w:val="restart"/>
            <w:tcBorders>
              <w:top w:val="nil"/>
              <w:left w:val="nil"/>
              <w:bottom w:val="nil"/>
              <w:right w:val="nil"/>
            </w:tcBorders>
            <w:shd w:val="clear" w:color="000000" w:fill="EDEDED"/>
            <w:vAlign w:val="center"/>
            <w:hideMark/>
          </w:tcPr>
          <w:p w14:paraId="514572F6"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705817C3"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single" w:sz="4" w:space="0" w:color="auto"/>
              <w:right w:val="nil"/>
            </w:tcBorders>
            <w:shd w:val="clear" w:color="000000" w:fill="EDEDED"/>
            <w:vAlign w:val="center"/>
            <w:hideMark/>
          </w:tcPr>
          <w:p w14:paraId="7E94903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46DA244"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1CF6D02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39C9D5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3DF9BF5" w14:textId="77777777" w:rsidTr="0028156F">
        <w:trPr>
          <w:trHeight w:val="330"/>
        </w:trPr>
        <w:tc>
          <w:tcPr>
            <w:tcW w:w="234" w:type="pct"/>
            <w:vMerge/>
            <w:tcBorders>
              <w:top w:val="nil"/>
              <w:left w:val="nil"/>
              <w:bottom w:val="nil"/>
              <w:right w:val="nil"/>
            </w:tcBorders>
            <w:vAlign w:val="center"/>
            <w:hideMark/>
          </w:tcPr>
          <w:p w14:paraId="2B08132A"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6FD3FCCF"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32968723"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53CB1FF5"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3295D67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3951729D"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4A6D3A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0F1215E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60FA2FD8" w14:textId="77777777" w:rsidTr="0028156F">
        <w:trPr>
          <w:trHeight w:val="330"/>
        </w:trPr>
        <w:tc>
          <w:tcPr>
            <w:tcW w:w="234" w:type="pct"/>
            <w:tcBorders>
              <w:top w:val="nil"/>
              <w:left w:val="nil"/>
              <w:bottom w:val="nil"/>
              <w:right w:val="nil"/>
            </w:tcBorders>
            <w:shd w:val="clear" w:color="000000" w:fill="548235"/>
            <w:textDirection w:val="tbLrV"/>
            <w:vAlign w:val="center"/>
            <w:hideMark/>
          </w:tcPr>
          <w:p w14:paraId="746ED9B2"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548235"/>
            <w:noWrap/>
            <w:vAlign w:val="center"/>
            <w:hideMark/>
          </w:tcPr>
          <w:p w14:paraId="5BA27DB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tcBorders>
              <w:top w:val="nil"/>
              <w:left w:val="nil"/>
              <w:bottom w:val="nil"/>
              <w:right w:val="nil"/>
            </w:tcBorders>
            <w:shd w:val="clear" w:color="000000" w:fill="EDEDED"/>
            <w:vAlign w:val="center"/>
            <w:hideMark/>
          </w:tcPr>
          <w:p w14:paraId="03BEDA70"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4BCEAA31"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263F9C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607261A5"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1F18D7A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716CE6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0194A1CF" w14:textId="77777777" w:rsidTr="0028156F">
        <w:trPr>
          <w:trHeight w:val="330"/>
        </w:trPr>
        <w:tc>
          <w:tcPr>
            <w:tcW w:w="234" w:type="pct"/>
            <w:tcBorders>
              <w:top w:val="nil"/>
              <w:left w:val="nil"/>
              <w:bottom w:val="nil"/>
              <w:right w:val="nil"/>
            </w:tcBorders>
            <w:shd w:val="clear" w:color="000000" w:fill="548235"/>
            <w:textDirection w:val="tbLrV"/>
            <w:vAlign w:val="center"/>
            <w:hideMark/>
          </w:tcPr>
          <w:p w14:paraId="790A6228"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548235"/>
            <w:noWrap/>
            <w:vAlign w:val="center"/>
            <w:hideMark/>
          </w:tcPr>
          <w:p w14:paraId="1E649FE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14</w:t>
            </w:r>
          </w:p>
        </w:tc>
        <w:tc>
          <w:tcPr>
            <w:tcW w:w="641" w:type="pct"/>
            <w:tcBorders>
              <w:top w:val="nil"/>
              <w:left w:val="nil"/>
              <w:bottom w:val="nil"/>
              <w:right w:val="nil"/>
            </w:tcBorders>
            <w:shd w:val="clear" w:color="000000" w:fill="EDEDED"/>
            <w:vAlign w:val="center"/>
            <w:hideMark/>
          </w:tcPr>
          <w:p w14:paraId="155829A2"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DSO</w:t>
            </w:r>
          </w:p>
        </w:tc>
        <w:tc>
          <w:tcPr>
            <w:tcW w:w="176" w:type="pct"/>
            <w:tcBorders>
              <w:top w:val="nil"/>
              <w:left w:val="nil"/>
              <w:bottom w:val="nil"/>
              <w:right w:val="nil"/>
            </w:tcBorders>
            <w:shd w:val="clear" w:color="000000" w:fill="EDEDED"/>
            <w:noWrap/>
            <w:vAlign w:val="center"/>
            <w:hideMark/>
          </w:tcPr>
          <w:p w14:paraId="7241D9DB"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nil"/>
              <w:right w:val="nil"/>
            </w:tcBorders>
            <w:shd w:val="clear" w:color="000000" w:fill="EDEDED"/>
            <w:noWrap/>
            <w:vAlign w:val="center"/>
            <w:hideMark/>
          </w:tcPr>
          <w:p w14:paraId="634F94A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Trade and other receivables</w:t>
            </w:r>
          </w:p>
        </w:tc>
        <w:tc>
          <w:tcPr>
            <w:tcW w:w="786" w:type="pct"/>
            <w:tcBorders>
              <w:top w:val="nil"/>
              <w:left w:val="nil"/>
              <w:bottom w:val="nil"/>
              <w:right w:val="nil"/>
            </w:tcBorders>
            <w:shd w:val="clear" w:color="000000" w:fill="EDEDED"/>
            <w:noWrap/>
            <w:vAlign w:val="center"/>
            <w:hideMark/>
          </w:tcPr>
          <w:p w14:paraId="7F05B7E1"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196C3950"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81.11</w:t>
            </w:r>
          </w:p>
        </w:tc>
        <w:tc>
          <w:tcPr>
            <w:tcW w:w="759" w:type="pct"/>
            <w:tcBorders>
              <w:top w:val="nil"/>
              <w:left w:val="nil"/>
              <w:bottom w:val="nil"/>
              <w:right w:val="nil"/>
            </w:tcBorders>
            <w:shd w:val="clear" w:color="000000" w:fill="EDEDED"/>
            <w:noWrap/>
            <w:vAlign w:val="center"/>
            <w:hideMark/>
          </w:tcPr>
          <w:p w14:paraId="67DF6E3A"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106.14</w:t>
            </w:r>
          </w:p>
        </w:tc>
      </w:tr>
      <w:tr w:rsidR="0028156F" w:rsidRPr="0028156F" w14:paraId="4DD9BB30" w14:textId="77777777" w:rsidTr="0028156F">
        <w:trPr>
          <w:trHeight w:val="330"/>
        </w:trPr>
        <w:tc>
          <w:tcPr>
            <w:tcW w:w="234" w:type="pct"/>
            <w:tcBorders>
              <w:top w:val="nil"/>
              <w:left w:val="nil"/>
              <w:bottom w:val="nil"/>
              <w:right w:val="nil"/>
            </w:tcBorders>
            <w:shd w:val="clear" w:color="000000" w:fill="548235"/>
            <w:textDirection w:val="tbLrV"/>
            <w:vAlign w:val="center"/>
            <w:hideMark/>
          </w:tcPr>
          <w:p w14:paraId="3E10238B"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548235"/>
            <w:noWrap/>
            <w:vAlign w:val="center"/>
            <w:hideMark/>
          </w:tcPr>
          <w:p w14:paraId="0C305ED2"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tcBorders>
              <w:top w:val="nil"/>
              <w:left w:val="nil"/>
              <w:bottom w:val="nil"/>
              <w:right w:val="nil"/>
            </w:tcBorders>
            <w:shd w:val="clear" w:color="000000" w:fill="EDEDED"/>
            <w:vAlign w:val="center"/>
            <w:hideMark/>
          </w:tcPr>
          <w:p w14:paraId="36B25CA1"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73986B1F"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39526DE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Av Revenue per Day</w:t>
            </w:r>
          </w:p>
        </w:tc>
        <w:tc>
          <w:tcPr>
            <w:tcW w:w="786" w:type="pct"/>
            <w:tcBorders>
              <w:top w:val="nil"/>
              <w:left w:val="nil"/>
              <w:bottom w:val="nil"/>
              <w:right w:val="nil"/>
            </w:tcBorders>
            <w:shd w:val="clear" w:color="000000" w:fill="EDEDED"/>
            <w:noWrap/>
            <w:vAlign w:val="center"/>
            <w:hideMark/>
          </w:tcPr>
          <w:p w14:paraId="2A4F61FB"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426EA7F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2A2E50A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CDB8292" w14:textId="77777777" w:rsidTr="0028156F">
        <w:trPr>
          <w:trHeight w:val="330"/>
        </w:trPr>
        <w:tc>
          <w:tcPr>
            <w:tcW w:w="234" w:type="pct"/>
            <w:tcBorders>
              <w:top w:val="nil"/>
              <w:left w:val="nil"/>
              <w:bottom w:val="nil"/>
              <w:right w:val="nil"/>
            </w:tcBorders>
            <w:shd w:val="clear" w:color="000000" w:fill="548235"/>
            <w:textDirection w:val="tbLrV"/>
            <w:vAlign w:val="center"/>
            <w:hideMark/>
          </w:tcPr>
          <w:p w14:paraId="34EEFF13"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548235"/>
            <w:noWrap/>
            <w:vAlign w:val="center"/>
            <w:hideMark/>
          </w:tcPr>
          <w:p w14:paraId="4FBC3F30"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tcBorders>
              <w:top w:val="nil"/>
              <w:left w:val="nil"/>
              <w:bottom w:val="nil"/>
              <w:right w:val="nil"/>
            </w:tcBorders>
            <w:shd w:val="clear" w:color="000000" w:fill="EDEDED"/>
            <w:vAlign w:val="center"/>
            <w:hideMark/>
          </w:tcPr>
          <w:p w14:paraId="03D0F2A0"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01F8A3F8"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3AB70B4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B3886C1"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2964A1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AA4519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15B97178" w14:textId="77777777" w:rsidTr="0028156F">
        <w:trPr>
          <w:trHeight w:val="330"/>
        </w:trPr>
        <w:tc>
          <w:tcPr>
            <w:tcW w:w="234" w:type="pct"/>
            <w:tcBorders>
              <w:top w:val="nil"/>
              <w:left w:val="nil"/>
              <w:bottom w:val="nil"/>
              <w:right w:val="nil"/>
            </w:tcBorders>
            <w:shd w:val="clear" w:color="000000" w:fill="548235"/>
            <w:textDirection w:val="tbLrV"/>
            <w:vAlign w:val="center"/>
            <w:hideMark/>
          </w:tcPr>
          <w:p w14:paraId="1C2CFE06"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548235"/>
            <w:noWrap/>
            <w:vAlign w:val="center"/>
            <w:hideMark/>
          </w:tcPr>
          <w:p w14:paraId="0519DDA3"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15</w:t>
            </w:r>
          </w:p>
        </w:tc>
        <w:tc>
          <w:tcPr>
            <w:tcW w:w="641" w:type="pct"/>
            <w:tcBorders>
              <w:top w:val="nil"/>
              <w:left w:val="nil"/>
              <w:bottom w:val="nil"/>
              <w:right w:val="nil"/>
            </w:tcBorders>
            <w:shd w:val="clear" w:color="000000" w:fill="EDEDED"/>
            <w:vAlign w:val="center"/>
            <w:hideMark/>
          </w:tcPr>
          <w:p w14:paraId="4C586532"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DPO</w:t>
            </w:r>
          </w:p>
        </w:tc>
        <w:tc>
          <w:tcPr>
            <w:tcW w:w="176" w:type="pct"/>
            <w:tcBorders>
              <w:top w:val="nil"/>
              <w:left w:val="nil"/>
              <w:bottom w:val="nil"/>
              <w:right w:val="nil"/>
            </w:tcBorders>
            <w:shd w:val="clear" w:color="000000" w:fill="EDEDED"/>
            <w:noWrap/>
            <w:vAlign w:val="center"/>
            <w:hideMark/>
          </w:tcPr>
          <w:p w14:paraId="762F04BB"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4D5646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Trade and other payables</w:t>
            </w:r>
          </w:p>
        </w:tc>
        <w:tc>
          <w:tcPr>
            <w:tcW w:w="786" w:type="pct"/>
            <w:tcBorders>
              <w:top w:val="nil"/>
              <w:left w:val="nil"/>
              <w:bottom w:val="nil"/>
              <w:right w:val="nil"/>
            </w:tcBorders>
            <w:shd w:val="clear" w:color="000000" w:fill="EDEDED"/>
            <w:noWrap/>
            <w:vAlign w:val="center"/>
            <w:hideMark/>
          </w:tcPr>
          <w:p w14:paraId="0979C7F8"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1FF934EF"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350.14</w:t>
            </w:r>
          </w:p>
        </w:tc>
        <w:tc>
          <w:tcPr>
            <w:tcW w:w="759" w:type="pct"/>
            <w:tcBorders>
              <w:top w:val="nil"/>
              <w:left w:val="nil"/>
              <w:bottom w:val="nil"/>
              <w:right w:val="nil"/>
            </w:tcBorders>
            <w:shd w:val="clear" w:color="000000" w:fill="EDEDED"/>
            <w:noWrap/>
            <w:vAlign w:val="center"/>
            <w:hideMark/>
          </w:tcPr>
          <w:p w14:paraId="3670855F"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422.01</w:t>
            </w:r>
          </w:p>
        </w:tc>
      </w:tr>
      <w:tr w:rsidR="0028156F" w:rsidRPr="0028156F" w14:paraId="49966001" w14:textId="77777777" w:rsidTr="0028156F">
        <w:trPr>
          <w:trHeight w:val="330"/>
        </w:trPr>
        <w:tc>
          <w:tcPr>
            <w:tcW w:w="234" w:type="pct"/>
            <w:tcBorders>
              <w:top w:val="nil"/>
              <w:left w:val="nil"/>
              <w:bottom w:val="nil"/>
              <w:right w:val="nil"/>
            </w:tcBorders>
            <w:shd w:val="clear" w:color="000000" w:fill="FFFFFF"/>
            <w:textDirection w:val="tbLrV"/>
            <w:vAlign w:val="center"/>
            <w:hideMark/>
          </w:tcPr>
          <w:p w14:paraId="0642C7E9"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215" w:type="pct"/>
            <w:tcBorders>
              <w:top w:val="nil"/>
              <w:left w:val="nil"/>
              <w:bottom w:val="nil"/>
              <w:right w:val="nil"/>
            </w:tcBorders>
            <w:shd w:val="clear" w:color="000000" w:fill="FFFFFF"/>
            <w:noWrap/>
            <w:vAlign w:val="center"/>
            <w:hideMark/>
          </w:tcPr>
          <w:p w14:paraId="4AFBFBC7"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tcBorders>
              <w:top w:val="nil"/>
              <w:left w:val="nil"/>
              <w:bottom w:val="nil"/>
              <w:right w:val="nil"/>
            </w:tcBorders>
            <w:shd w:val="clear" w:color="000000" w:fill="EDEDED"/>
            <w:vAlign w:val="center"/>
            <w:hideMark/>
          </w:tcPr>
          <w:p w14:paraId="3FF6DBBB"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7C5877FC"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690003B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Av. COGs per Day</w:t>
            </w:r>
          </w:p>
        </w:tc>
        <w:tc>
          <w:tcPr>
            <w:tcW w:w="786" w:type="pct"/>
            <w:tcBorders>
              <w:top w:val="nil"/>
              <w:left w:val="nil"/>
              <w:bottom w:val="nil"/>
              <w:right w:val="nil"/>
            </w:tcBorders>
            <w:shd w:val="clear" w:color="000000" w:fill="EDEDED"/>
            <w:noWrap/>
            <w:vAlign w:val="center"/>
            <w:hideMark/>
          </w:tcPr>
          <w:p w14:paraId="409A94F6"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5517E4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22664CA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6E4B35C1" w14:textId="77777777" w:rsidTr="0028156F">
        <w:trPr>
          <w:trHeight w:val="330"/>
        </w:trPr>
        <w:tc>
          <w:tcPr>
            <w:tcW w:w="234" w:type="pct"/>
            <w:tcBorders>
              <w:top w:val="nil"/>
              <w:left w:val="nil"/>
              <w:bottom w:val="nil"/>
              <w:right w:val="nil"/>
            </w:tcBorders>
            <w:shd w:val="clear" w:color="000000" w:fill="FFFFFF"/>
            <w:noWrap/>
            <w:vAlign w:val="center"/>
            <w:hideMark/>
          </w:tcPr>
          <w:p w14:paraId="28EDE3F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215" w:type="pct"/>
            <w:tcBorders>
              <w:top w:val="nil"/>
              <w:left w:val="nil"/>
              <w:bottom w:val="nil"/>
              <w:right w:val="nil"/>
            </w:tcBorders>
            <w:shd w:val="clear" w:color="000000" w:fill="FFFFFF"/>
            <w:noWrap/>
            <w:vAlign w:val="center"/>
            <w:hideMark/>
          </w:tcPr>
          <w:p w14:paraId="494EB61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6BACA83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59BEE6C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BA755C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D918636"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42D688D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B4C043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35EB8277" w14:textId="77777777" w:rsidTr="0028156F">
        <w:trPr>
          <w:trHeight w:val="330"/>
        </w:trPr>
        <w:tc>
          <w:tcPr>
            <w:tcW w:w="234" w:type="pct"/>
            <w:vMerge w:val="restart"/>
            <w:tcBorders>
              <w:top w:val="nil"/>
              <w:left w:val="nil"/>
              <w:bottom w:val="nil"/>
              <w:right w:val="nil"/>
            </w:tcBorders>
            <w:shd w:val="clear" w:color="000000" w:fill="7030A0"/>
            <w:textDirection w:val="tbLrV"/>
            <w:vAlign w:val="center"/>
            <w:hideMark/>
          </w:tcPr>
          <w:p w14:paraId="565A23A6"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PROFITABILITY RATIOS</w:t>
            </w:r>
          </w:p>
        </w:tc>
        <w:tc>
          <w:tcPr>
            <w:tcW w:w="215" w:type="pct"/>
            <w:vMerge w:val="restart"/>
            <w:tcBorders>
              <w:top w:val="nil"/>
              <w:left w:val="nil"/>
              <w:bottom w:val="nil"/>
              <w:right w:val="nil"/>
            </w:tcBorders>
            <w:shd w:val="clear" w:color="000000" w:fill="7030A0"/>
            <w:noWrap/>
            <w:vAlign w:val="center"/>
            <w:hideMark/>
          </w:tcPr>
          <w:p w14:paraId="5B167EE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16</w:t>
            </w:r>
          </w:p>
        </w:tc>
        <w:tc>
          <w:tcPr>
            <w:tcW w:w="641" w:type="pct"/>
            <w:vMerge w:val="restart"/>
            <w:tcBorders>
              <w:top w:val="nil"/>
              <w:left w:val="nil"/>
              <w:bottom w:val="nil"/>
              <w:right w:val="nil"/>
            </w:tcBorders>
            <w:shd w:val="clear" w:color="000000" w:fill="EDEDED"/>
            <w:vAlign w:val="center"/>
            <w:hideMark/>
          </w:tcPr>
          <w:p w14:paraId="09105252"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Net Profit Margin</w:t>
            </w:r>
          </w:p>
        </w:tc>
        <w:tc>
          <w:tcPr>
            <w:tcW w:w="176" w:type="pct"/>
            <w:tcBorders>
              <w:top w:val="nil"/>
              <w:left w:val="nil"/>
              <w:bottom w:val="nil"/>
              <w:right w:val="nil"/>
            </w:tcBorders>
            <w:shd w:val="clear" w:color="000000" w:fill="EDEDED"/>
            <w:noWrap/>
            <w:vAlign w:val="center"/>
            <w:hideMark/>
          </w:tcPr>
          <w:p w14:paraId="5232CFCE"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025AFEA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Net Profit</w:t>
            </w:r>
          </w:p>
        </w:tc>
        <w:tc>
          <w:tcPr>
            <w:tcW w:w="786" w:type="pct"/>
            <w:tcBorders>
              <w:top w:val="nil"/>
              <w:left w:val="nil"/>
              <w:bottom w:val="nil"/>
              <w:right w:val="nil"/>
            </w:tcBorders>
            <w:shd w:val="clear" w:color="000000" w:fill="EDEDED"/>
            <w:noWrap/>
            <w:vAlign w:val="center"/>
            <w:hideMark/>
          </w:tcPr>
          <w:p w14:paraId="77E75CC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01DFF70D"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-17.28%</w:t>
            </w:r>
          </w:p>
        </w:tc>
        <w:tc>
          <w:tcPr>
            <w:tcW w:w="759" w:type="pct"/>
            <w:tcBorders>
              <w:top w:val="nil"/>
              <w:left w:val="nil"/>
              <w:bottom w:val="nil"/>
              <w:right w:val="nil"/>
            </w:tcBorders>
            <w:shd w:val="clear" w:color="000000" w:fill="EDEDED"/>
            <w:noWrap/>
            <w:vAlign w:val="center"/>
            <w:hideMark/>
          </w:tcPr>
          <w:p w14:paraId="0815585C"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-67.10%</w:t>
            </w:r>
          </w:p>
        </w:tc>
      </w:tr>
      <w:tr w:rsidR="0028156F" w:rsidRPr="0028156F" w14:paraId="411F78C3" w14:textId="77777777" w:rsidTr="0028156F">
        <w:trPr>
          <w:trHeight w:val="330"/>
        </w:trPr>
        <w:tc>
          <w:tcPr>
            <w:tcW w:w="234" w:type="pct"/>
            <w:vMerge/>
            <w:tcBorders>
              <w:top w:val="nil"/>
              <w:left w:val="nil"/>
              <w:bottom w:val="nil"/>
              <w:right w:val="nil"/>
            </w:tcBorders>
            <w:vAlign w:val="center"/>
            <w:hideMark/>
          </w:tcPr>
          <w:p w14:paraId="26F8CCD0"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31D61DF5"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7E480409"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2BCFCAC7"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DA2F15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Sales Revenue</w:t>
            </w:r>
          </w:p>
        </w:tc>
        <w:tc>
          <w:tcPr>
            <w:tcW w:w="786" w:type="pct"/>
            <w:tcBorders>
              <w:top w:val="nil"/>
              <w:left w:val="nil"/>
              <w:bottom w:val="nil"/>
              <w:right w:val="nil"/>
            </w:tcBorders>
            <w:shd w:val="clear" w:color="000000" w:fill="EDEDED"/>
            <w:noWrap/>
            <w:vAlign w:val="center"/>
            <w:hideMark/>
          </w:tcPr>
          <w:p w14:paraId="4F1231AF"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808E98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58F4C46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5C76167" w14:textId="77777777" w:rsidTr="0028156F">
        <w:trPr>
          <w:trHeight w:val="330"/>
        </w:trPr>
        <w:tc>
          <w:tcPr>
            <w:tcW w:w="234" w:type="pct"/>
            <w:vMerge/>
            <w:tcBorders>
              <w:top w:val="nil"/>
              <w:left w:val="nil"/>
              <w:bottom w:val="nil"/>
              <w:right w:val="nil"/>
            </w:tcBorders>
            <w:vAlign w:val="center"/>
            <w:hideMark/>
          </w:tcPr>
          <w:p w14:paraId="6F68A668"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7030A0"/>
            <w:noWrap/>
            <w:vAlign w:val="center"/>
            <w:hideMark/>
          </w:tcPr>
          <w:p w14:paraId="1CC4CE4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452971C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61FF854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22AA1E9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73652AA0"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B2121C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11AA20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19183478" w14:textId="77777777" w:rsidTr="0028156F">
        <w:trPr>
          <w:trHeight w:val="330"/>
        </w:trPr>
        <w:tc>
          <w:tcPr>
            <w:tcW w:w="234" w:type="pct"/>
            <w:vMerge/>
            <w:tcBorders>
              <w:top w:val="nil"/>
              <w:left w:val="nil"/>
              <w:bottom w:val="nil"/>
              <w:right w:val="nil"/>
            </w:tcBorders>
            <w:vAlign w:val="center"/>
            <w:hideMark/>
          </w:tcPr>
          <w:p w14:paraId="0CF08B5B"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7030A0"/>
            <w:noWrap/>
            <w:vAlign w:val="center"/>
            <w:hideMark/>
          </w:tcPr>
          <w:p w14:paraId="031EDADC"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17</w:t>
            </w:r>
          </w:p>
        </w:tc>
        <w:tc>
          <w:tcPr>
            <w:tcW w:w="641" w:type="pct"/>
            <w:vMerge w:val="restart"/>
            <w:tcBorders>
              <w:top w:val="nil"/>
              <w:left w:val="nil"/>
              <w:bottom w:val="nil"/>
              <w:right w:val="nil"/>
            </w:tcBorders>
            <w:shd w:val="clear" w:color="000000" w:fill="EDEDED"/>
            <w:vAlign w:val="center"/>
            <w:hideMark/>
          </w:tcPr>
          <w:p w14:paraId="51BED142"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Gross Profit Margin</w:t>
            </w:r>
          </w:p>
        </w:tc>
        <w:tc>
          <w:tcPr>
            <w:tcW w:w="176" w:type="pct"/>
            <w:tcBorders>
              <w:top w:val="nil"/>
              <w:left w:val="nil"/>
              <w:bottom w:val="nil"/>
              <w:right w:val="nil"/>
            </w:tcBorders>
            <w:shd w:val="clear" w:color="000000" w:fill="EDEDED"/>
            <w:noWrap/>
            <w:vAlign w:val="center"/>
            <w:hideMark/>
          </w:tcPr>
          <w:p w14:paraId="206EB8AF"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52AFC4A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Gross Profit</w:t>
            </w:r>
          </w:p>
        </w:tc>
        <w:tc>
          <w:tcPr>
            <w:tcW w:w="786" w:type="pct"/>
            <w:tcBorders>
              <w:top w:val="nil"/>
              <w:left w:val="nil"/>
              <w:bottom w:val="nil"/>
              <w:right w:val="nil"/>
            </w:tcBorders>
            <w:shd w:val="clear" w:color="000000" w:fill="EDEDED"/>
            <w:noWrap/>
            <w:vAlign w:val="center"/>
            <w:hideMark/>
          </w:tcPr>
          <w:p w14:paraId="3C18F60B"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24A3CBA1"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31.38%</w:t>
            </w:r>
          </w:p>
        </w:tc>
        <w:tc>
          <w:tcPr>
            <w:tcW w:w="759" w:type="pct"/>
            <w:tcBorders>
              <w:top w:val="nil"/>
              <w:left w:val="nil"/>
              <w:bottom w:val="nil"/>
              <w:right w:val="nil"/>
            </w:tcBorders>
            <w:shd w:val="clear" w:color="000000" w:fill="EDEDED"/>
            <w:noWrap/>
            <w:vAlign w:val="center"/>
            <w:hideMark/>
          </w:tcPr>
          <w:p w14:paraId="3AC7ABD7"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18.16%</w:t>
            </w:r>
          </w:p>
        </w:tc>
      </w:tr>
      <w:tr w:rsidR="0028156F" w:rsidRPr="0028156F" w14:paraId="133E7530" w14:textId="77777777" w:rsidTr="0028156F">
        <w:trPr>
          <w:trHeight w:val="330"/>
        </w:trPr>
        <w:tc>
          <w:tcPr>
            <w:tcW w:w="234" w:type="pct"/>
            <w:vMerge/>
            <w:tcBorders>
              <w:top w:val="nil"/>
              <w:left w:val="nil"/>
              <w:bottom w:val="nil"/>
              <w:right w:val="nil"/>
            </w:tcBorders>
            <w:vAlign w:val="center"/>
            <w:hideMark/>
          </w:tcPr>
          <w:p w14:paraId="50A19F82"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637115B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045BF9DC"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578D2C9C"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DF545A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Sales Revenue</w:t>
            </w:r>
          </w:p>
        </w:tc>
        <w:tc>
          <w:tcPr>
            <w:tcW w:w="786" w:type="pct"/>
            <w:tcBorders>
              <w:top w:val="nil"/>
              <w:left w:val="nil"/>
              <w:bottom w:val="nil"/>
              <w:right w:val="nil"/>
            </w:tcBorders>
            <w:shd w:val="clear" w:color="000000" w:fill="EDEDED"/>
            <w:noWrap/>
            <w:vAlign w:val="center"/>
            <w:hideMark/>
          </w:tcPr>
          <w:p w14:paraId="257DB724"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2E79EA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6ABDED1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5E81D3D4" w14:textId="77777777" w:rsidTr="0028156F">
        <w:trPr>
          <w:trHeight w:val="330"/>
        </w:trPr>
        <w:tc>
          <w:tcPr>
            <w:tcW w:w="234" w:type="pct"/>
            <w:vMerge/>
            <w:tcBorders>
              <w:top w:val="nil"/>
              <w:left w:val="nil"/>
              <w:bottom w:val="nil"/>
              <w:right w:val="nil"/>
            </w:tcBorders>
            <w:vAlign w:val="center"/>
            <w:hideMark/>
          </w:tcPr>
          <w:p w14:paraId="5E226B62"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7030A0"/>
            <w:noWrap/>
            <w:vAlign w:val="center"/>
            <w:hideMark/>
          </w:tcPr>
          <w:p w14:paraId="697E6A3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31BE859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7518E7F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78812A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A413ACF"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5379E75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06AE0EF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73B8DDE" w14:textId="77777777" w:rsidTr="0028156F">
        <w:trPr>
          <w:trHeight w:val="330"/>
        </w:trPr>
        <w:tc>
          <w:tcPr>
            <w:tcW w:w="234" w:type="pct"/>
            <w:vMerge/>
            <w:tcBorders>
              <w:top w:val="nil"/>
              <w:left w:val="nil"/>
              <w:bottom w:val="nil"/>
              <w:right w:val="nil"/>
            </w:tcBorders>
            <w:vAlign w:val="center"/>
            <w:hideMark/>
          </w:tcPr>
          <w:p w14:paraId="35A856A4"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7030A0"/>
            <w:noWrap/>
            <w:vAlign w:val="center"/>
            <w:hideMark/>
          </w:tcPr>
          <w:p w14:paraId="16109744"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18</w:t>
            </w:r>
          </w:p>
        </w:tc>
        <w:tc>
          <w:tcPr>
            <w:tcW w:w="641" w:type="pct"/>
            <w:vMerge w:val="restart"/>
            <w:tcBorders>
              <w:top w:val="nil"/>
              <w:left w:val="nil"/>
              <w:bottom w:val="nil"/>
              <w:right w:val="nil"/>
            </w:tcBorders>
            <w:shd w:val="clear" w:color="000000" w:fill="EDEDED"/>
            <w:vAlign w:val="center"/>
            <w:hideMark/>
          </w:tcPr>
          <w:p w14:paraId="1587BC56"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Operating Margin</w:t>
            </w:r>
          </w:p>
        </w:tc>
        <w:tc>
          <w:tcPr>
            <w:tcW w:w="176" w:type="pct"/>
            <w:tcBorders>
              <w:top w:val="nil"/>
              <w:left w:val="nil"/>
              <w:bottom w:val="nil"/>
              <w:right w:val="nil"/>
            </w:tcBorders>
            <w:shd w:val="clear" w:color="000000" w:fill="EDEDED"/>
            <w:noWrap/>
            <w:vAlign w:val="center"/>
            <w:hideMark/>
          </w:tcPr>
          <w:p w14:paraId="1350DE4D"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206CE62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Gross Profit after Expenses</w:t>
            </w:r>
          </w:p>
        </w:tc>
        <w:tc>
          <w:tcPr>
            <w:tcW w:w="786" w:type="pct"/>
            <w:tcBorders>
              <w:top w:val="nil"/>
              <w:left w:val="nil"/>
              <w:bottom w:val="nil"/>
              <w:right w:val="nil"/>
            </w:tcBorders>
            <w:shd w:val="clear" w:color="000000" w:fill="EDEDED"/>
            <w:noWrap/>
            <w:vAlign w:val="center"/>
            <w:hideMark/>
          </w:tcPr>
          <w:p w14:paraId="0CC5FFC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22F2ED3C"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-6.98%</w:t>
            </w:r>
          </w:p>
        </w:tc>
        <w:tc>
          <w:tcPr>
            <w:tcW w:w="759" w:type="pct"/>
            <w:tcBorders>
              <w:top w:val="nil"/>
              <w:left w:val="nil"/>
              <w:bottom w:val="nil"/>
              <w:right w:val="nil"/>
            </w:tcBorders>
            <w:shd w:val="clear" w:color="000000" w:fill="EDEDED"/>
            <w:noWrap/>
            <w:vAlign w:val="center"/>
            <w:hideMark/>
          </w:tcPr>
          <w:p w14:paraId="5C83CC25"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-52.76%</w:t>
            </w:r>
          </w:p>
        </w:tc>
      </w:tr>
      <w:tr w:rsidR="0028156F" w:rsidRPr="0028156F" w14:paraId="5F4564C6" w14:textId="77777777" w:rsidTr="0028156F">
        <w:trPr>
          <w:trHeight w:val="330"/>
        </w:trPr>
        <w:tc>
          <w:tcPr>
            <w:tcW w:w="234" w:type="pct"/>
            <w:vMerge/>
            <w:tcBorders>
              <w:top w:val="nil"/>
              <w:left w:val="nil"/>
              <w:bottom w:val="nil"/>
              <w:right w:val="nil"/>
            </w:tcBorders>
            <w:vAlign w:val="center"/>
            <w:hideMark/>
          </w:tcPr>
          <w:p w14:paraId="52BE631A"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6CECB40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4FC3A412"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1F7A2879"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2C6F6CF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Sales Revenue</w:t>
            </w:r>
          </w:p>
        </w:tc>
        <w:tc>
          <w:tcPr>
            <w:tcW w:w="786" w:type="pct"/>
            <w:tcBorders>
              <w:top w:val="nil"/>
              <w:left w:val="nil"/>
              <w:bottom w:val="nil"/>
              <w:right w:val="nil"/>
            </w:tcBorders>
            <w:shd w:val="clear" w:color="000000" w:fill="EDEDED"/>
            <w:noWrap/>
            <w:vAlign w:val="center"/>
            <w:hideMark/>
          </w:tcPr>
          <w:p w14:paraId="49B3423A"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D007B6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68AA0B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6AA8199D" w14:textId="77777777" w:rsidTr="0028156F">
        <w:trPr>
          <w:trHeight w:val="330"/>
        </w:trPr>
        <w:tc>
          <w:tcPr>
            <w:tcW w:w="234" w:type="pct"/>
            <w:vMerge/>
            <w:tcBorders>
              <w:top w:val="nil"/>
              <w:left w:val="nil"/>
              <w:bottom w:val="nil"/>
              <w:right w:val="nil"/>
            </w:tcBorders>
            <w:vAlign w:val="center"/>
            <w:hideMark/>
          </w:tcPr>
          <w:p w14:paraId="0437F246"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7030A0"/>
            <w:noWrap/>
            <w:vAlign w:val="center"/>
            <w:hideMark/>
          </w:tcPr>
          <w:p w14:paraId="715621F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10613BC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7D3FD6C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151E753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4C82B2F0"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4D178EB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BCB8B3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6CEFACE" w14:textId="77777777" w:rsidTr="0028156F">
        <w:trPr>
          <w:trHeight w:val="330"/>
        </w:trPr>
        <w:tc>
          <w:tcPr>
            <w:tcW w:w="234" w:type="pct"/>
            <w:vMerge/>
            <w:tcBorders>
              <w:top w:val="nil"/>
              <w:left w:val="nil"/>
              <w:bottom w:val="nil"/>
              <w:right w:val="nil"/>
            </w:tcBorders>
            <w:vAlign w:val="center"/>
            <w:hideMark/>
          </w:tcPr>
          <w:p w14:paraId="4DEB8010"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7030A0"/>
            <w:noWrap/>
            <w:vAlign w:val="center"/>
            <w:hideMark/>
          </w:tcPr>
          <w:p w14:paraId="5E9CD275"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19</w:t>
            </w:r>
          </w:p>
        </w:tc>
        <w:tc>
          <w:tcPr>
            <w:tcW w:w="641" w:type="pct"/>
            <w:vMerge w:val="restart"/>
            <w:tcBorders>
              <w:top w:val="nil"/>
              <w:left w:val="nil"/>
              <w:bottom w:val="nil"/>
              <w:right w:val="nil"/>
            </w:tcBorders>
            <w:shd w:val="clear" w:color="000000" w:fill="EDEDED"/>
            <w:vAlign w:val="center"/>
            <w:hideMark/>
          </w:tcPr>
          <w:p w14:paraId="4142BAE1"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Return on Assets (ROA)</w:t>
            </w:r>
          </w:p>
        </w:tc>
        <w:tc>
          <w:tcPr>
            <w:tcW w:w="176" w:type="pct"/>
            <w:tcBorders>
              <w:top w:val="nil"/>
              <w:left w:val="nil"/>
              <w:bottom w:val="nil"/>
              <w:right w:val="nil"/>
            </w:tcBorders>
            <w:shd w:val="clear" w:color="000000" w:fill="EDEDED"/>
            <w:noWrap/>
            <w:vAlign w:val="center"/>
            <w:hideMark/>
          </w:tcPr>
          <w:p w14:paraId="3808248D"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2B6F14C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Net Profit</w:t>
            </w:r>
          </w:p>
        </w:tc>
        <w:tc>
          <w:tcPr>
            <w:tcW w:w="786" w:type="pct"/>
            <w:tcBorders>
              <w:top w:val="nil"/>
              <w:left w:val="nil"/>
              <w:bottom w:val="nil"/>
              <w:right w:val="nil"/>
            </w:tcBorders>
            <w:shd w:val="clear" w:color="000000" w:fill="EDEDED"/>
            <w:noWrap/>
            <w:vAlign w:val="center"/>
            <w:hideMark/>
          </w:tcPr>
          <w:p w14:paraId="5F7C20A7"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37FDA021"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-6.66%</w:t>
            </w:r>
          </w:p>
        </w:tc>
        <w:tc>
          <w:tcPr>
            <w:tcW w:w="759" w:type="pct"/>
            <w:tcBorders>
              <w:top w:val="nil"/>
              <w:left w:val="nil"/>
              <w:bottom w:val="nil"/>
              <w:right w:val="nil"/>
            </w:tcBorders>
            <w:shd w:val="clear" w:color="000000" w:fill="EDEDED"/>
            <w:noWrap/>
            <w:vAlign w:val="center"/>
            <w:hideMark/>
          </w:tcPr>
          <w:p w14:paraId="17F4D653"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-14.69%</w:t>
            </w:r>
          </w:p>
        </w:tc>
      </w:tr>
      <w:tr w:rsidR="0028156F" w:rsidRPr="0028156F" w14:paraId="4656382E" w14:textId="77777777" w:rsidTr="0028156F">
        <w:trPr>
          <w:trHeight w:val="330"/>
        </w:trPr>
        <w:tc>
          <w:tcPr>
            <w:tcW w:w="234" w:type="pct"/>
            <w:vMerge/>
            <w:tcBorders>
              <w:top w:val="nil"/>
              <w:left w:val="nil"/>
              <w:bottom w:val="nil"/>
              <w:right w:val="nil"/>
            </w:tcBorders>
            <w:vAlign w:val="center"/>
            <w:hideMark/>
          </w:tcPr>
          <w:p w14:paraId="6D7883B4"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43618C8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1059AFF4"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5BBFD5FE"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auto" w:fill="auto"/>
            <w:noWrap/>
            <w:vAlign w:val="bottom"/>
            <w:hideMark/>
          </w:tcPr>
          <w:p w14:paraId="69814D82" w14:textId="77777777" w:rsidR="0028156F" w:rsidRPr="0028156F" w:rsidRDefault="0028156F" w:rsidP="0028156F">
            <w:pPr>
              <w:spacing w:after="0" w:line="240" w:lineRule="auto"/>
              <w:rPr>
                <w:rFonts w:ascii="Calibri" w:eastAsia="Times New Roman" w:hAnsi="Calibri" w:cs="Calibri"/>
                <w:color w:val="000000"/>
                <w:lang w:eastAsia="en-GB"/>
              </w:rPr>
            </w:pPr>
            <w:r w:rsidRPr="0028156F">
              <w:rPr>
                <w:rFonts w:ascii="Calibri" w:eastAsia="Times New Roman" w:hAnsi="Calibri" w:cs="Calibri"/>
                <w:color w:val="000000"/>
                <w:lang w:eastAsia="en-GB"/>
              </w:rPr>
              <w:t>Total Assets</w:t>
            </w:r>
          </w:p>
        </w:tc>
        <w:tc>
          <w:tcPr>
            <w:tcW w:w="786" w:type="pct"/>
            <w:tcBorders>
              <w:top w:val="nil"/>
              <w:left w:val="nil"/>
              <w:bottom w:val="nil"/>
              <w:right w:val="nil"/>
            </w:tcBorders>
            <w:shd w:val="clear" w:color="000000" w:fill="EDEDED"/>
            <w:noWrap/>
            <w:vAlign w:val="center"/>
            <w:hideMark/>
          </w:tcPr>
          <w:p w14:paraId="20876512"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53D2C2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6D361A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5883068D" w14:textId="77777777" w:rsidTr="0028156F">
        <w:trPr>
          <w:trHeight w:val="330"/>
        </w:trPr>
        <w:tc>
          <w:tcPr>
            <w:tcW w:w="234" w:type="pct"/>
            <w:vMerge/>
            <w:tcBorders>
              <w:top w:val="nil"/>
              <w:left w:val="nil"/>
              <w:bottom w:val="nil"/>
              <w:right w:val="nil"/>
            </w:tcBorders>
            <w:vAlign w:val="center"/>
            <w:hideMark/>
          </w:tcPr>
          <w:p w14:paraId="74B627DB"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7030A0"/>
            <w:noWrap/>
            <w:vAlign w:val="center"/>
            <w:hideMark/>
          </w:tcPr>
          <w:p w14:paraId="0B23F30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7D2EE76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0B70131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659832F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AE71122"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2D89071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7CE0D61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0FAC02A" w14:textId="77777777" w:rsidTr="0028156F">
        <w:trPr>
          <w:trHeight w:val="330"/>
        </w:trPr>
        <w:tc>
          <w:tcPr>
            <w:tcW w:w="234" w:type="pct"/>
            <w:vMerge/>
            <w:tcBorders>
              <w:top w:val="nil"/>
              <w:left w:val="nil"/>
              <w:bottom w:val="nil"/>
              <w:right w:val="nil"/>
            </w:tcBorders>
            <w:vAlign w:val="center"/>
            <w:hideMark/>
          </w:tcPr>
          <w:p w14:paraId="359F3E58"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7030A0"/>
            <w:noWrap/>
            <w:vAlign w:val="center"/>
            <w:hideMark/>
          </w:tcPr>
          <w:p w14:paraId="392777C2"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20</w:t>
            </w:r>
          </w:p>
        </w:tc>
        <w:tc>
          <w:tcPr>
            <w:tcW w:w="641" w:type="pct"/>
            <w:vMerge w:val="restart"/>
            <w:tcBorders>
              <w:top w:val="nil"/>
              <w:left w:val="nil"/>
              <w:bottom w:val="nil"/>
              <w:right w:val="nil"/>
            </w:tcBorders>
            <w:shd w:val="clear" w:color="000000" w:fill="EDEDED"/>
            <w:vAlign w:val="center"/>
            <w:hideMark/>
          </w:tcPr>
          <w:p w14:paraId="3A2A1363"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Return on Equity (ROE)</w:t>
            </w:r>
          </w:p>
        </w:tc>
        <w:tc>
          <w:tcPr>
            <w:tcW w:w="176" w:type="pct"/>
            <w:tcBorders>
              <w:top w:val="nil"/>
              <w:left w:val="nil"/>
              <w:bottom w:val="nil"/>
              <w:right w:val="nil"/>
            </w:tcBorders>
            <w:shd w:val="clear" w:color="000000" w:fill="EDEDED"/>
            <w:noWrap/>
            <w:vAlign w:val="center"/>
            <w:hideMark/>
          </w:tcPr>
          <w:p w14:paraId="7B36827F"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7539318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Net Profit</w:t>
            </w:r>
          </w:p>
        </w:tc>
        <w:tc>
          <w:tcPr>
            <w:tcW w:w="786" w:type="pct"/>
            <w:tcBorders>
              <w:top w:val="nil"/>
              <w:left w:val="nil"/>
              <w:bottom w:val="nil"/>
              <w:right w:val="nil"/>
            </w:tcBorders>
            <w:shd w:val="clear" w:color="000000" w:fill="EDEDED"/>
            <w:noWrap/>
            <w:vAlign w:val="center"/>
            <w:hideMark/>
          </w:tcPr>
          <w:p w14:paraId="2E2EF253"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5A13169E"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-28.66%</w:t>
            </w:r>
          </w:p>
        </w:tc>
        <w:tc>
          <w:tcPr>
            <w:tcW w:w="759" w:type="pct"/>
            <w:tcBorders>
              <w:top w:val="nil"/>
              <w:left w:val="nil"/>
              <w:bottom w:val="nil"/>
              <w:right w:val="nil"/>
            </w:tcBorders>
            <w:shd w:val="clear" w:color="000000" w:fill="EDEDED"/>
            <w:noWrap/>
            <w:vAlign w:val="center"/>
            <w:hideMark/>
          </w:tcPr>
          <w:p w14:paraId="29579BA5"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-51.05%</w:t>
            </w:r>
          </w:p>
        </w:tc>
      </w:tr>
      <w:tr w:rsidR="0028156F" w:rsidRPr="0028156F" w14:paraId="6532CCC4" w14:textId="77777777" w:rsidTr="0028156F">
        <w:trPr>
          <w:trHeight w:val="330"/>
        </w:trPr>
        <w:tc>
          <w:tcPr>
            <w:tcW w:w="234" w:type="pct"/>
            <w:vMerge/>
            <w:tcBorders>
              <w:top w:val="nil"/>
              <w:left w:val="nil"/>
              <w:bottom w:val="nil"/>
              <w:right w:val="nil"/>
            </w:tcBorders>
            <w:vAlign w:val="center"/>
            <w:hideMark/>
          </w:tcPr>
          <w:p w14:paraId="4EAAE013"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0C632A6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535F2BD4"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05213F82"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678E096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Equity</w:t>
            </w:r>
          </w:p>
        </w:tc>
        <w:tc>
          <w:tcPr>
            <w:tcW w:w="786" w:type="pct"/>
            <w:tcBorders>
              <w:top w:val="nil"/>
              <w:left w:val="nil"/>
              <w:bottom w:val="nil"/>
              <w:right w:val="nil"/>
            </w:tcBorders>
            <w:shd w:val="clear" w:color="000000" w:fill="EDEDED"/>
            <w:noWrap/>
            <w:vAlign w:val="center"/>
            <w:hideMark/>
          </w:tcPr>
          <w:p w14:paraId="4F0AE66B"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0366D5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730D6D9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67D66A7" w14:textId="77777777" w:rsidTr="0028156F">
        <w:trPr>
          <w:trHeight w:val="330"/>
        </w:trPr>
        <w:tc>
          <w:tcPr>
            <w:tcW w:w="234" w:type="pct"/>
            <w:vMerge/>
            <w:tcBorders>
              <w:top w:val="nil"/>
              <w:left w:val="nil"/>
              <w:bottom w:val="nil"/>
              <w:right w:val="nil"/>
            </w:tcBorders>
            <w:vAlign w:val="center"/>
            <w:hideMark/>
          </w:tcPr>
          <w:p w14:paraId="68E665F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7030A0"/>
            <w:noWrap/>
            <w:vAlign w:val="center"/>
            <w:hideMark/>
          </w:tcPr>
          <w:p w14:paraId="69E2FB7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43D4ECC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5A8D4AA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79754B1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3CDD50C"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2A72E93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156A34E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453FEDA1" w14:textId="77777777" w:rsidTr="0028156F">
        <w:trPr>
          <w:trHeight w:val="330"/>
        </w:trPr>
        <w:tc>
          <w:tcPr>
            <w:tcW w:w="234" w:type="pct"/>
            <w:vMerge/>
            <w:tcBorders>
              <w:top w:val="nil"/>
              <w:left w:val="nil"/>
              <w:bottom w:val="nil"/>
              <w:right w:val="nil"/>
            </w:tcBorders>
            <w:vAlign w:val="center"/>
            <w:hideMark/>
          </w:tcPr>
          <w:p w14:paraId="33D7E67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7030A0"/>
            <w:noWrap/>
            <w:vAlign w:val="center"/>
            <w:hideMark/>
          </w:tcPr>
          <w:p w14:paraId="7CB230BC"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21</w:t>
            </w:r>
          </w:p>
        </w:tc>
        <w:tc>
          <w:tcPr>
            <w:tcW w:w="641" w:type="pct"/>
            <w:vMerge w:val="restart"/>
            <w:tcBorders>
              <w:top w:val="nil"/>
              <w:left w:val="nil"/>
              <w:bottom w:val="nil"/>
              <w:right w:val="nil"/>
            </w:tcBorders>
            <w:shd w:val="clear" w:color="000000" w:fill="EDEDED"/>
            <w:vAlign w:val="center"/>
            <w:hideMark/>
          </w:tcPr>
          <w:p w14:paraId="5B0488A4"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Basic Earning Power Ratio</w:t>
            </w:r>
          </w:p>
        </w:tc>
        <w:tc>
          <w:tcPr>
            <w:tcW w:w="176" w:type="pct"/>
            <w:tcBorders>
              <w:top w:val="nil"/>
              <w:left w:val="nil"/>
              <w:bottom w:val="nil"/>
              <w:right w:val="nil"/>
            </w:tcBorders>
            <w:shd w:val="clear" w:color="000000" w:fill="EDEDED"/>
            <w:noWrap/>
            <w:vAlign w:val="center"/>
            <w:hideMark/>
          </w:tcPr>
          <w:p w14:paraId="57FAEE98"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50A01017"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Gross Profit after Expenses</w:t>
            </w:r>
          </w:p>
        </w:tc>
        <w:tc>
          <w:tcPr>
            <w:tcW w:w="786" w:type="pct"/>
            <w:tcBorders>
              <w:top w:val="nil"/>
              <w:left w:val="nil"/>
              <w:bottom w:val="nil"/>
              <w:right w:val="nil"/>
            </w:tcBorders>
            <w:shd w:val="clear" w:color="000000" w:fill="EDEDED"/>
            <w:noWrap/>
            <w:vAlign w:val="center"/>
            <w:hideMark/>
          </w:tcPr>
          <w:p w14:paraId="27961826"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442942D2"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-2.69%</w:t>
            </w:r>
          </w:p>
        </w:tc>
        <w:tc>
          <w:tcPr>
            <w:tcW w:w="759" w:type="pct"/>
            <w:tcBorders>
              <w:top w:val="nil"/>
              <w:left w:val="nil"/>
              <w:bottom w:val="nil"/>
              <w:right w:val="nil"/>
            </w:tcBorders>
            <w:shd w:val="clear" w:color="000000" w:fill="EDEDED"/>
            <w:noWrap/>
            <w:vAlign w:val="center"/>
            <w:hideMark/>
          </w:tcPr>
          <w:p w14:paraId="7DF54408"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-11.55%</w:t>
            </w:r>
          </w:p>
        </w:tc>
      </w:tr>
      <w:tr w:rsidR="0028156F" w:rsidRPr="0028156F" w14:paraId="4F2B164E" w14:textId="77777777" w:rsidTr="0028156F">
        <w:trPr>
          <w:trHeight w:val="330"/>
        </w:trPr>
        <w:tc>
          <w:tcPr>
            <w:tcW w:w="234" w:type="pct"/>
            <w:vMerge/>
            <w:tcBorders>
              <w:top w:val="nil"/>
              <w:left w:val="nil"/>
              <w:bottom w:val="nil"/>
              <w:right w:val="nil"/>
            </w:tcBorders>
            <w:vAlign w:val="center"/>
            <w:hideMark/>
          </w:tcPr>
          <w:p w14:paraId="408C03B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56786A16"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648AB491"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383E1211"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4047E58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Assets</w:t>
            </w:r>
          </w:p>
        </w:tc>
        <w:tc>
          <w:tcPr>
            <w:tcW w:w="786" w:type="pct"/>
            <w:tcBorders>
              <w:top w:val="nil"/>
              <w:left w:val="nil"/>
              <w:bottom w:val="nil"/>
              <w:right w:val="nil"/>
            </w:tcBorders>
            <w:shd w:val="clear" w:color="000000" w:fill="EDEDED"/>
            <w:noWrap/>
            <w:vAlign w:val="center"/>
            <w:hideMark/>
          </w:tcPr>
          <w:p w14:paraId="213D2D3C"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42FD0B52"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00A82F4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6D5B876B" w14:textId="77777777" w:rsidTr="0028156F">
        <w:trPr>
          <w:trHeight w:val="300"/>
        </w:trPr>
        <w:tc>
          <w:tcPr>
            <w:tcW w:w="234" w:type="pct"/>
            <w:tcBorders>
              <w:top w:val="nil"/>
              <w:left w:val="nil"/>
              <w:bottom w:val="nil"/>
              <w:right w:val="nil"/>
            </w:tcBorders>
            <w:shd w:val="clear" w:color="auto" w:fill="auto"/>
            <w:noWrap/>
            <w:vAlign w:val="bottom"/>
            <w:hideMark/>
          </w:tcPr>
          <w:p w14:paraId="430381CF" w14:textId="77777777" w:rsidR="0028156F" w:rsidRPr="0028156F" w:rsidRDefault="0028156F" w:rsidP="0028156F">
            <w:pPr>
              <w:spacing w:after="0" w:line="240" w:lineRule="auto"/>
              <w:rPr>
                <w:rFonts w:ascii="Segoe UI" w:eastAsia="Times New Roman" w:hAnsi="Segoe UI" w:cs="Segoe UI"/>
                <w:color w:val="000000"/>
                <w:lang w:eastAsia="en-GB"/>
              </w:rPr>
            </w:pPr>
          </w:p>
        </w:tc>
        <w:tc>
          <w:tcPr>
            <w:tcW w:w="215" w:type="pct"/>
            <w:tcBorders>
              <w:top w:val="nil"/>
              <w:left w:val="nil"/>
              <w:bottom w:val="nil"/>
              <w:right w:val="nil"/>
            </w:tcBorders>
            <w:shd w:val="clear" w:color="auto" w:fill="auto"/>
            <w:noWrap/>
            <w:vAlign w:val="bottom"/>
            <w:hideMark/>
          </w:tcPr>
          <w:p w14:paraId="7897AE79"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41" w:type="pct"/>
            <w:tcBorders>
              <w:top w:val="nil"/>
              <w:left w:val="nil"/>
              <w:bottom w:val="nil"/>
              <w:right w:val="nil"/>
            </w:tcBorders>
            <w:shd w:val="clear" w:color="auto" w:fill="auto"/>
            <w:noWrap/>
            <w:vAlign w:val="bottom"/>
            <w:hideMark/>
          </w:tcPr>
          <w:p w14:paraId="6E0D54B6"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176" w:type="pct"/>
            <w:tcBorders>
              <w:top w:val="nil"/>
              <w:left w:val="nil"/>
              <w:bottom w:val="nil"/>
              <w:right w:val="nil"/>
            </w:tcBorders>
            <w:shd w:val="clear" w:color="auto" w:fill="auto"/>
            <w:noWrap/>
            <w:vAlign w:val="bottom"/>
            <w:hideMark/>
          </w:tcPr>
          <w:p w14:paraId="1077B498"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1560" w:type="pct"/>
            <w:tcBorders>
              <w:top w:val="nil"/>
              <w:left w:val="nil"/>
              <w:bottom w:val="nil"/>
              <w:right w:val="nil"/>
            </w:tcBorders>
            <w:shd w:val="clear" w:color="auto" w:fill="auto"/>
            <w:noWrap/>
            <w:vAlign w:val="bottom"/>
            <w:hideMark/>
          </w:tcPr>
          <w:p w14:paraId="5B57E30A"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786" w:type="pct"/>
            <w:tcBorders>
              <w:top w:val="nil"/>
              <w:left w:val="nil"/>
              <w:bottom w:val="nil"/>
              <w:right w:val="nil"/>
            </w:tcBorders>
            <w:shd w:val="clear" w:color="auto" w:fill="auto"/>
            <w:noWrap/>
            <w:vAlign w:val="bottom"/>
            <w:hideMark/>
          </w:tcPr>
          <w:p w14:paraId="55ADDCD6"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629" w:type="pct"/>
            <w:tcBorders>
              <w:top w:val="nil"/>
              <w:left w:val="nil"/>
              <w:bottom w:val="nil"/>
              <w:right w:val="nil"/>
            </w:tcBorders>
            <w:shd w:val="clear" w:color="auto" w:fill="auto"/>
            <w:noWrap/>
            <w:vAlign w:val="bottom"/>
            <w:hideMark/>
          </w:tcPr>
          <w:p w14:paraId="09FDCE4B"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c>
          <w:tcPr>
            <w:tcW w:w="759" w:type="pct"/>
            <w:tcBorders>
              <w:top w:val="nil"/>
              <w:left w:val="nil"/>
              <w:bottom w:val="nil"/>
              <w:right w:val="nil"/>
            </w:tcBorders>
            <w:shd w:val="clear" w:color="auto" w:fill="auto"/>
            <w:noWrap/>
            <w:vAlign w:val="bottom"/>
            <w:hideMark/>
          </w:tcPr>
          <w:p w14:paraId="68DFD0D6" w14:textId="77777777" w:rsidR="0028156F" w:rsidRPr="0028156F" w:rsidRDefault="0028156F" w:rsidP="0028156F">
            <w:pPr>
              <w:spacing w:after="0" w:line="240" w:lineRule="auto"/>
              <w:rPr>
                <w:rFonts w:ascii="Times New Roman" w:eastAsia="Times New Roman" w:hAnsi="Times New Roman" w:cs="Times New Roman"/>
                <w:sz w:val="20"/>
                <w:szCs w:val="20"/>
                <w:lang w:eastAsia="en-GB"/>
              </w:rPr>
            </w:pPr>
          </w:p>
        </w:tc>
      </w:tr>
      <w:tr w:rsidR="0028156F" w:rsidRPr="0028156F" w14:paraId="6C7F1421" w14:textId="77777777" w:rsidTr="0028156F">
        <w:trPr>
          <w:trHeight w:val="330"/>
        </w:trPr>
        <w:tc>
          <w:tcPr>
            <w:tcW w:w="234" w:type="pct"/>
            <w:vMerge w:val="restart"/>
            <w:tcBorders>
              <w:top w:val="nil"/>
              <w:left w:val="nil"/>
              <w:bottom w:val="nil"/>
              <w:right w:val="nil"/>
            </w:tcBorders>
            <w:shd w:val="clear" w:color="000000" w:fill="B4C6E7"/>
            <w:textDirection w:val="tbLrV"/>
            <w:vAlign w:val="center"/>
            <w:hideMark/>
          </w:tcPr>
          <w:p w14:paraId="6B67005D"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INVESTOR RATIOS</w:t>
            </w:r>
          </w:p>
        </w:tc>
        <w:tc>
          <w:tcPr>
            <w:tcW w:w="215" w:type="pct"/>
            <w:vMerge w:val="restart"/>
            <w:tcBorders>
              <w:top w:val="nil"/>
              <w:left w:val="nil"/>
              <w:bottom w:val="nil"/>
              <w:right w:val="nil"/>
            </w:tcBorders>
            <w:shd w:val="clear" w:color="000000" w:fill="B4C6E7"/>
            <w:noWrap/>
            <w:vAlign w:val="center"/>
            <w:hideMark/>
          </w:tcPr>
          <w:p w14:paraId="6985F096"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22</w:t>
            </w:r>
          </w:p>
        </w:tc>
        <w:tc>
          <w:tcPr>
            <w:tcW w:w="641" w:type="pct"/>
            <w:vMerge w:val="restart"/>
            <w:tcBorders>
              <w:top w:val="nil"/>
              <w:left w:val="nil"/>
              <w:bottom w:val="nil"/>
              <w:right w:val="nil"/>
            </w:tcBorders>
            <w:shd w:val="clear" w:color="000000" w:fill="EDEDED"/>
            <w:vAlign w:val="center"/>
            <w:hideMark/>
          </w:tcPr>
          <w:p w14:paraId="526B8D9F"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EPS</w:t>
            </w:r>
            <w:r w:rsidRPr="0028156F">
              <w:rPr>
                <w:rFonts w:ascii="Segoe UI" w:eastAsia="Times New Roman" w:hAnsi="Segoe UI" w:cs="Segoe UI"/>
                <w:color w:val="000000"/>
                <w:sz w:val="16"/>
                <w:szCs w:val="16"/>
                <w:lang w:eastAsia="en-GB"/>
              </w:rPr>
              <w:t xml:space="preserve"> (in GDP pence)</w:t>
            </w:r>
          </w:p>
        </w:tc>
        <w:tc>
          <w:tcPr>
            <w:tcW w:w="176" w:type="pct"/>
            <w:tcBorders>
              <w:top w:val="nil"/>
              <w:left w:val="nil"/>
              <w:bottom w:val="nil"/>
              <w:right w:val="nil"/>
            </w:tcBorders>
            <w:shd w:val="clear" w:color="000000" w:fill="EDEDED"/>
            <w:noWrap/>
            <w:vAlign w:val="center"/>
            <w:hideMark/>
          </w:tcPr>
          <w:p w14:paraId="0324F285"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3B787F0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Net Profit</w:t>
            </w:r>
          </w:p>
        </w:tc>
        <w:tc>
          <w:tcPr>
            <w:tcW w:w="786" w:type="pct"/>
            <w:tcBorders>
              <w:top w:val="nil"/>
              <w:left w:val="nil"/>
              <w:bottom w:val="nil"/>
              <w:right w:val="nil"/>
            </w:tcBorders>
            <w:shd w:val="clear" w:color="000000" w:fill="EDEDED"/>
            <w:noWrap/>
            <w:vAlign w:val="center"/>
            <w:hideMark/>
          </w:tcPr>
          <w:p w14:paraId="18AF1269"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0F61F3DB"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-543</w:t>
            </w:r>
          </w:p>
        </w:tc>
        <w:tc>
          <w:tcPr>
            <w:tcW w:w="759" w:type="pct"/>
            <w:tcBorders>
              <w:top w:val="nil"/>
              <w:left w:val="nil"/>
              <w:bottom w:val="nil"/>
              <w:right w:val="nil"/>
            </w:tcBorders>
            <w:shd w:val="clear" w:color="000000" w:fill="EDEDED"/>
            <w:noWrap/>
            <w:vAlign w:val="center"/>
            <w:hideMark/>
          </w:tcPr>
          <w:p w14:paraId="3BD4C464"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-165.9</w:t>
            </w:r>
          </w:p>
        </w:tc>
      </w:tr>
      <w:tr w:rsidR="0028156F" w:rsidRPr="0028156F" w14:paraId="348A619D" w14:textId="77777777" w:rsidTr="0028156F">
        <w:trPr>
          <w:trHeight w:val="330"/>
        </w:trPr>
        <w:tc>
          <w:tcPr>
            <w:tcW w:w="234" w:type="pct"/>
            <w:vMerge/>
            <w:tcBorders>
              <w:top w:val="nil"/>
              <w:left w:val="nil"/>
              <w:bottom w:val="nil"/>
              <w:right w:val="nil"/>
            </w:tcBorders>
            <w:vAlign w:val="center"/>
            <w:hideMark/>
          </w:tcPr>
          <w:p w14:paraId="62343417"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07BF4B2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50B39147"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13D936C6"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2346" w:type="pct"/>
            <w:gridSpan w:val="2"/>
            <w:tcBorders>
              <w:top w:val="nil"/>
              <w:left w:val="nil"/>
              <w:bottom w:val="nil"/>
              <w:right w:val="nil"/>
            </w:tcBorders>
            <w:shd w:val="clear" w:color="000000" w:fill="EDEDED"/>
            <w:noWrap/>
            <w:vAlign w:val="center"/>
            <w:hideMark/>
          </w:tcPr>
          <w:p w14:paraId="0F17059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Total common shares outstanding</w:t>
            </w:r>
          </w:p>
        </w:tc>
        <w:tc>
          <w:tcPr>
            <w:tcW w:w="1388" w:type="pct"/>
            <w:gridSpan w:val="2"/>
            <w:tcBorders>
              <w:top w:val="nil"/>
              <w:left w:val="nil"/>
              <w:bottom w:val="nil"/>
              <w:right w:val="nil"/>
            </w:tcBorders>
            <w:shd w:val="clear" w:color="000000" w:fill="EDEDED"/>
            <w:noWrap/>
            <w:vAlign w:val="center"/>
            <w:hideMark/>
          </w:tcPr>
          <w:p w14:paraId="013DA25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(from Financial Statements)</w:t>
            </w:r>
          </w:p>
        </w:tc>
      </w:tr>
      <w:tr w:rsidR="0028156F" w:rsidRPr="0028156F" w14:paraId="23C85AA9" w14:textId="77777777" w:rsidTr="0028156F">
        <w:trPr>
          <w:trHeight w:val="330"/>
        </w:trPr>
        <w:tc>
          <w:tcPr>
            <w:tcW w:w="234" w:type="pct"/>
            <w:vMerge/>
            <w:tcBorders>
              <w:top w:val="nil"/>
              <w:left w:val="nil"/>
              <w:bottom w:val="nil"/>
              <w:right w:val="nil"/>
            </w:tcBorders>
            <w:vAlign w:val="center"/>
            <w:hideMark/>
          </w:tcPr>
          <w:p w14:paraId="3BCF94B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B4C6E7"/>
            <w:noWrap/>
            <w:vAlign w:val="center"/>
            <w:hideMark/>
          </w:tcPr>
          <w:p w14:paraId="2589C75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31B0A73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610B268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3D191B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9D0B5D6"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6DC92B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06F5EE6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0C88E3CC" w14:textId="77777777" w:rsidTr="0028156F">
        <w:trPr>
          <w:trHeight w:val="330"/>
        </w:trPr>
        <w:tc>
          <w:tcPr>
            <w:tcW w:w="234" w:type="pct"/>
            <w:vMerge/>
            <w:tcBorders>
              <w:top w:val="nil"/>
              <w:left w:val="nil"/>
              <w:bottom w:val="nil"/>
              <w:right w:val="nil"/>
            </w:tcBorders>
            <w:vAlign w:val="center"/>
            <w:hideMark/>
          </w:tcPr>
          <w:p w14:paraId="584ACC6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B4C6E7"/>
            <w:noWrap/>
            <w:vAlign w:val="center"/>
            <w:hideMark/>
          </w:tcPr>
          <w:p w14:paraId="489152EE"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23</w:t>
            </w:r>
          </w:p>
        </w:tc>
        <w:tc>
          <w:tcPr>
            <w:tcW w:w="641" w:type="pct"/>
            <w:vMerge w:val="restart"/>
            <w:tcBorders>
              <w:top w:val="nil"/>
              <w:left w:val="nil"/>
              <w:bottom w:val="nil"/>
              <w:right w:val="nil"/>
            </w:tcBorders>
            <w:shd w:val="clear" w:color="000000" w:fill="EDEDED"/>
            <w:vAlign w:val="center"/>
            <w:hideMark/>
          </w:tcPr>
          <w:p w14:paraId="0A274C6E"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Dividend Cover</w:t>
            </w:r>
          </w:p>
        </w:tc>
        <w:tc>
          <w:tcPr>
            <w:tcW w:w="176" w:type="pct"/>
            <w:tcBorders>
              <w:top w:val="nil"/>
              <w:left w:val="nil"/>
              <w:bottom w:val="nil"/>
              <w:right w:val="nil"/>
            </w:tcBorders>
            <w:shd w:val="clear" w:color="000000" w:fill="EDEDED"/>
            <w:noWrap/>
            <w:vAlign w:val="center"/>
            <w:hideMark/>
          </w:tcPr>
          <w:p w14:paraId="20ABD4E1"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7B12891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Net Profit</w:t>
            </w:r>
          </w:p>
        </w:tc>
        <w:tc>
          <w:tcPr>
            <w:tcW w:w="786" w:type="pct"/>
            <w:tcBorders>
              <w:top w:val="nil"/>
              <w:left w:val="nil"/>
              <w:bottom w:val="nil"/>
              <w:right w:val="nil"/>
            </w:tcBorders>
            <w:shd w:val="clear" w:color="000000" w:fill="EDEDED"/>
            <w:noWrap/>
            <w:vAlign w:val="center"/>
            <w:hideMark/>
          </w:tcPr>
          <w:p w14:paraId="1121160A"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3D572E69"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0.00</w:t>
            </w:r>
          </w:p>
        </w:tc>
        <w:tc>
          <w:tcPr>
            <w:tcW w:w="759" w:type="pct"/>
            <w:tcBorders>
              <w:top w:val="nil"/>
              <w:left w:val="nil"/>
              <w:bottom w:val="nil"/>
              <w:right w:val="nil"/>
            </w:tcBorders>
            <w:shd w:val="clear" w:color="000000" w:fill="EDEDED"/>
            <w:noWrap/>
            <w:vAlign w:val="center"/>
            <w:hideMark/>
          </w:tcPr>
          <w:p w14:paraId="549C5580"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0.00</w:t>
            </w:r>
          </w:p>
        </w:tc>
      </w:tr>
      <w:tr w:rsidR="0028156F" w:rsidRPr="0028156F" w14:paraId="294E3FDF" w14:textId="77777777" w:rsidTr="0028156F">
        <w:trPr>
          <w:trHeight w:val="330"/>
        </w:trPr>
        <w:tc>
          <w:tcPr>
            <w:tcW w:w="234" w:type="pct"/>
            <w:vMerge/>
            <w:tcBorders>
              <w:top w:val="nil"/>
              <w:left w:val="nil"/>
              <w:bottom w:val="nil"/>
              <w:right w:val="nil"/>
            </w:tcBorders>
            <w:vAlign w:val="center"/>
            <w:hideMark/>
          </w:tcPr>
          <w:p w14:paraId="7A97C9D8"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2C276146"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7DCB935E"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05E16E4B"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3450F18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Dividend proposed and paid</w:t>
            </w:r>
          </w:p>
        </w:tc>
        <w:tc>
          <w:tcPr>
            <w:tcW w:w="786" w:type="pct"/>
            <w:tcBorders>
              <w:top w:val="nil"/>
              <w:left w:val="nil"/>
              <w:bottom w:val="nil"/>
              <w:right w:val="nil"/>
            </w:tcBorders>
            <w:shd w:val="clear" w:color="000000" w:fill="EDEDED"/>
            <w:noWrap/>
            <w:vAlign w:val="center"/>
            <w:hideMark/>
          </w:tcPr>
          <w:p w14:paraId="204E0642"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C52D96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16A626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0A2B783" w14:textId="77777777" w:rsidTr="0028156F">
        <w:trPr>
          <w:trHeight w:val="330"/>
        </w:trPr>
        <w:tc>
          <w:tcPr>
            <w:tcW w:w="234" w:type="pct"/>
            <w:vMerge/>
            <w:tcBorders>
              <w:top w:val="nil"/>
              <w:left w:val="nil"/>
              <w:bottom w:val="nil"/>
              <w:right w:val="nil"/>
            </w:tcBorders>
            <w:vAlign w:val="center"/>
            <w:hideMark/>
          </w:tcPr>
          <w:p w14:paraId="39F50CC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B4C6E7"/>
            <w:noWrap/>
            <w:vAlign w:val="center"/>
            <w:hideMark/>
          </w:tcPr>
          <w:p w14:paraId="08F8F68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5217768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692A39A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13F2D97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668D9899"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12414C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03DDF0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B97B0B3" w14:textId="77777777" w:rsidTr="0028156F">
        <w:trPr>
          <w:trHeight w:val="660"/>
        </w:trPr>
        <w:tc>
          <w:tcPr>
            <w:tcW w:w="234" w:type="pct"/>
            <w:vMerge/>
            <w:tcBorders>
              <w:top w:val="nil"/>
              <w:left w:val="nil"/>
              <w:bottom w:val="nil"/>
              <w:right w:val="nil"/>
            </w:tcBorders>
            <w:vAlign w:val="center"/>
            <w:hideMark/>
          </w:tcPr>
          <w:p w14:paraId="1D66E280"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B4C6E7"/>
            <w:noWrap/>
            <w:vAlign w:val="center"/>
            <w:hideMark/>
          </w:tcPr>
          <w:p w14:paraId="0F0C0E09"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24</w:t>
            </w:r>
          </w:p>
        </w:tc>
        <w:tc>
          <w:tcPr>
            <w:tcW w:w="641" w:type="pct"/>
            <w:vMerge w:val="restart"/>
            <w:tcBorders>
              <w:top w:val="nil"/>
              <w:left w:val="nil"/>
              <w:bottom w:val="nil"/>
              <w:right w:val="nil"/>
            </w:tcBorders>
            <w:shd w:val="clear" w:color="000000" w:fill="EDEDED"/>
            <w:vAlign w:val="center"/>
            <w:hideMark/>
          </w:tcPr>
          <w:p w14:paraId="5C833853"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Price per earnings</w:t>
            </w:r>
          </w:p>
        </w:tc>
        <w:tc>
          <w:tcPr>
            <w:tcW w:w="176" w:type="pct"/>
            <w:tcBorders>
              <w:top w:val="nil"/>
              <w:left w:val="nil"/>
              <w:bottom w:val="nil"/>
              <w:right w:val="nil"/>
            </w:tcBorders>
            <w:shd w:val="clear" w:color="000000" w:fill="EDEDED"/>
            <w:noWrap/>
            <w:vAlign w:val="center"/>
            <w:hideMark/>
          </w:tcPr>
          <w:p w14:paraId="3114A5D0"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0029F85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Market Value per share</w:t>
            </w:r>
          </w:p>
        </w:tc>
        <w:tc>
          <w:tcPr>
            <w:tcW w:w="786" w:type="pct"/>
            <w:tcBorders>
              <w:top w:val="nil"/>
              <w:left w:val="nil"/>
              <w:bottom w:val="nil"/>
              <w:right w:val="nil"/>
            </w:tcBorders>
            <w:shd w:val="clear" w:color="000000" w:fill="EDEDED"/>
            <w:noWrap/>
            <w:vAlign w:val="center"/>
            <w:hideMark/>
          </w:tcPr>
          <w:p w14:paraId="65295BBA"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7EB0CFE6"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0.00</w:t>
            </w:r>
          </w:p>
        </w:tc>
        <w:tc>
          <w:tcPr>
            <w:tcW w:w="759" w:type="pct"/>
            <w:tcBorders>
              <w:top w:val="nil"/>
              <w:left w:val="nil"/>
              <w:bottom w:val="nil"/>
              <w:right w:val="nil"/>
            </w:tcBorders>
            <w:shd w:val="clear" w:color="000000" w:fill="EDEDED"/>
            <w:noWrap/>
            <w:vAlign w:val="center"/>
            <w:hideMark/>
          </w:tcPr>
          <w:p w14:paraId="6024B745"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0.00</w:t>
            </w:r>
          </w:p>
        </w:tc>
      </w:tr>
      <w:tr w:rsidR="0028156F" w:rsidRPr="0028156F" w14:paraId="1B4F3CF9" w14:textId="77777777" w:rsidTr="0028156F">
        <w:trPr>
          <w:trHeight w:val="330"/>
        </w:trPr>
        <w:tc>
          <w:tcPr>
            <w:tcW w:w="234" w:type="pct"/>
            <w:vMerge/>
            <w:tcBorders>
              <w:top w:val="nil"/>
              <w:left w:val="nil"/>
              <w:bottom w:val="nil"/>
              <w:right w:val="nil"/>
            </w:tcBorders>
            <w:vAlign w:val="center"/>
            <w:hideMark/>
          </w:tcPr>
          <w:p w14:paraId="0562ACA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3587472F"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21C2A3DA"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4314AA80"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0ADDD535"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EPS</w:t>
            </w:r>
          </w:p>
        </w:tc>
        <w:tc>
          <w:tcPr>
            <w:tcW w:w="786" w:type="pct"/>
            <w:tcBorders>
              <w:top w:val="nil"/>
              <w:left w:val="nil"/>
              <w:bottom w:val="nil"/>
              <w:right w:val="nil"/>
            </w:tcBorders>
            <w:shd w:val="clear" w:color="000000" w:fill="EDEDED"/>
            <w:noWrap/>
            <w:vAlign w:val="center"/>
            <w:hideMark/>
          </w:tcPr>
          <w:p w14:paraId="7B490A86"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3C25A05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0A8494D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751C9D66" w14:textId="77777777" w:rsidTr="0028156F">
        <w:trPr>
          <w:trHeight w:val="330"/>
        </w:trPr>
        <w:tc>
          <w:tcPr>
            <w:tcW w:w="234" w:type="pct"/>
            <w:vMerge/>
            <w:tcBorders>
              <w:top w:val="nil"/>
              <w:left w:val="nil"/>
              <w:bottom w:val="nil"/>
              <w:right w:val="nil"/>
            </w:tcBorders>
            <w:vAlign w:val="center"/>
            <w:hideMark/>
          </w:tcPr>
          <w:p w14:paraId="49E2E4C3"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B4C6E7"/>
            <w:noWrap/>
            <w:vAlign w:val="center"/>
            <w:hideMark/>
          </w:tcPr>
          <w:p w14:paraId="206EF18C"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5B35402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24EA1BA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44331A6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7788A141"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4F9F318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293BC5B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58C695B" w14:textId="77777777" w:rsidTr="0028156F">
        <w:trPr>
          <w:trHeight w:val="330"/>
        </w:trPr>
        <w:tc>
          <w:tcPr>
            <w:tcW w:w="234" w:type="pct"/>
            <w:vMerge/>
            <w:tcBorders>
              <w:top w:val="nil"/>
              <w:left w:val="nil"/>
              <w:bottom w:val="nil"/>
              <w:right w:val="nil"/>
            </w:tcBorders>
            <w:vAlign w:val="center"/>
            <w:hideMark/>
          </w:tcPr>
          <w:p w14:paraId="65CF3A6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B4C6E7"/>
            <w:noWrap/>
            <w:vAlign w:val="center"/>
            <w:hideMark/>
          </w:tcPr>
          <w:p w14:paraId="5A0168D9"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25</w:t>
            </w:r>
          </w:p>
        </w:tc>
        <w:tc>
          <w:tcPr>
            <w:tcW w:w="641" w:type="pct"/>
            <w:vMerge w:val="restart"/>
            <w:tcBorders>
              <w:top w:val="nil"/>
              <w:left w:val="nil"/>
              <w:bottom w:val="nil"/>
              <w:right w:val="nil"/>
            </w:tcBorders>
            <w:shd w:val="clear" w:color="000000" w:fill="EDEDED"/>
            <w:vAlign w:val="center"/>
            <w:hideMark/>
          </w:tcPr>
          <w:p w14:paraId="03203357"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Dividend Yield Ratio</w:t>
            </w:r>
          </w:p>
        </w:tc>
        <w:tc>
          <w:tcPr>
            <w:tcW w:w="176" w:type="pct"/>
            <w:tcBorders>
              <w:top w:val="nil"/>
              <w:left w:val="nil"/>
              <w:bottom w:val="nil"/>
              <w:right w:val="nil"/>
            </w:tcBorders>
            <w:shd w:val="clear" w:color="000000" w:fill="EDEDED"/>
            <w:noWrap/>
            <w:vAlign w:val="center"/>
            <w:hideMark/>
          </w:tcPr>
          <w:p w14:paraId="055E304E"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w:t>
            </w:r>
          </w:p>
        </w:tc>
        <w:tc>
          <w:tcPr>
            <w:tcW w:w="1560" w:type="pct"/>
            <w:tcBorders>
              <w:top w:val="nil"/>
              <w:left w:val="nil"/>
              <w:bottom w:val="single" w:sz="4" w:space="0" w:color="auto"/>
              <w:right w:val="nil"/>
            </w:tcBorders>
            <w:shd w:val="clear" w:color="000000" w:fill="EDEDED"/>
            <w:vAlign w:val="center"/>
            <w:hideMark/>
          </w:tcPr>
          <w:p w14:paraId="096FCD7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Dividend per share</w:t>
            </w:r>
          </w:p>
        </w:tc>
        <w:tc>
          <w:tcPr>
            <w:tcW w:w="786" w:type="pct"/>
            <w:tcBorders>
              <w:top w:val="nil"/>
              <w:left w:val="nil"/>
              <w:bottom w:val="nil"/>
              <w:right w:val="nil"/>
            </w:tcBorders>
            <w:shd w:val="clear" w:color="000000" w:fill="EDEDED"/>
            <w:noWrap/>
            <w:vAlign w:val="center"/>
            <w:hideMark/>
          </w:tcPr>
          <w:p w14:paraId="21296639"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Wingdings 3" w:cs="Calibri"/>
                <w:color w:val="000000"/>
                <w:lang w:eastAsia="en-GB"/>
              </w:rPr>
              <w:t>u</w:t>
            </w:r>
          </w:p>
        </w:tc>
        <w:tc>
          <w:tcPr>
            <w:tcW w:w="629" w:type="pct"/>
            <w:tcBorders>
              <w:top w:val="nil"/>
              <w:left w:val="nil"/>
              <w:bottom w:val="nil"/>
              <w:right w:val="nil"/>
            </w:tcBorders>
            <w:shd w:val="clear" w:color="000000" w:fill="EDEDED"/>
            <w:noWrap/>
            <w:vAlign w:val="center"/>
            <w:hideMark/>
          </w:tcPr>
          <w:p w14:paraId="4C435ECB"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0.00</w:t>
            </w:r>
          </w:p>
        </w:tc>
        <w:tc>
          <w:tcPr>
            <w:tcW w:w="759" w:type="pct"/>
            <w:tcBorders>
              <w:top w:val="nil"/>
              <w:left w:val="nil"/>
              <w:bottom w:val="nil"/>
              <w:right w:val="nil"/>
            </w:tcBorders>
            <w:shd w:val="clear" w:color="000000" w:fill="EDEDED"/>
            <w:noWrap/>
            <w:vAlign w:val="center"/>
            <w:hideMark/>
          </w:tcPr>
          <w:p w14:paraId="4F986CA2" w14:textId="77777777" w:rsidR="0028156F" w:rsidRPr="0028156F" w:rsidRDefault="0028156F" w:rsidP="0028156F">
            <w:pPr>
              <w:spacing w:after="0" w:line="240" w:lineRule="auto"/>
              <w:jc w:val="right"/>
              <w:rPr>
                <w:rFonts w:ascii="Segoe UI" w:eastAsia="Times New Roman" w:hAnsi="Segoe UI" w:cs="Segoe UI"/>
                <w:color w:val="000000"/>
                <w:lang w:eastAsia="en-GB"/>
              </w:rPr>
            </w:pPr>
            <w:r w:rsidRPr="0028156F">
              <w:rPr>
                <w:rFonts w:ascii="Segoe UI" w:eastAsia="Times New Roman" w:hAnsi="Segoe UI" w:cs="Segoe UI"/>
                <w:color w:val="000000"/>
                <w:lang w:eastAsia="en-GB"/>
              </w:rPr>
              <w:t>0.00</w:t>
            </w:r>
          </w:p>
        </w:tc>
      </w:tr>
      <w:tr w:rsidR="0028156F" w:rsidRPr="0028156F" w14:paraId="4CB27F60" w14:textId="77777777" w:rsidTr="0028156F">
        <w:trPr>
          <w:trHeight w:val="330"/>
        </w:trPr>
        <w:tc>
          <w:tcPr>
            <w:tcW w:w="234" w:type="pct"/>
            <w:vMerge/>
            <w:tcBorders>
              <w:top w:val="nil"/>
              <w:left w:val="nil"/>
              <w:bottom w:val="nil"/>
              <w:right w:val="nil"/>
            </w:tcBorders>
            <w:vAlign w:val="center"/>
            <w:hideMark/>
          </w:tcPr>
          <w:p w14:paraId="16B28E1F"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5B02E85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19994554"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28055F90"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single" w:sz="4" w:space="0" w:color="auto"/>
              <w:right w:val="nil"/>
            </w:tcBorders>
            <w:shd w:val="clear" w:color="000000" w:fill="EDEDED"/>
            <w:vAlign w:val="center"/>
            <w:hideMark/>
          </w:tcPr>
          <w:p w14:paraId="712FEC0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Market Value per share</w:t>
            </w:r>
          </w:p>
        </w:tc>
        <w:tc>
          <w:tcPr>
            <w:tcW w:w="786" w:type="pct"/>
            <w:tcBorders>
              <w:top w:val="nil"/>
              <w:left w:val="nil"/>
              <w:bottom w:val="nil"/>
              <w:right w:val="nil"/>
            </w:tcBorders>
            <w:shd w:val="clear" w:color="000000" w:fill="EDEDED"/>
            <w:noWrap/>
            <w:vAlign w:val="center"/>
            <w:hideMark/>
          </w:tcPr>
          <w:p w14:paraId="567FBFA2"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DE78F1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768DB51"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65E89043" w14:textId="77777777" w:rsidTr="0028156F">
        <w:trPr>
          <w:trHeight w:val="330"/>
        </w:trPr>
        <w:tc>
          <w:tcPr>
            <w:tcW w:w="234" w:type="pct"/>
            <w:vMerge/>
            <w:tcBorders>
              <w:top w:val="nil"/>
              <w:left w:val="nil"/>
              <w:bottom w:val="nil"/>
              <w:right w:val="nil"/>
            </w:tcBorders>
            <w:vAlign w:val="center"/>
            <w:hideMark/>
          </w:tcPr>
          <w:p w14:paraId="76CD749E"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B4C6E7"/>
            <w:noWrap/>
            <w:vAlign w:val="center"/>
            <w:hideMark/>
          </w:tcPr>
          <w:p w14:paraId="42FFBD12"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6805362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2AFA5A9E"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617335F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1BE93086"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5BF7539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A4E38DF"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5EBA9524" w14:textId="77777777" w:rsidTr="0028156F">
        <w:trPr>
          <w:trHeight w:val="660"/>
        </w:trPr>
        <w:tc>
          <w:tcPr>
            <w:tcW w:w="234" w:type="pct"/>
            <w:vMerge/>
            <w:tcBorders>
              <w:top w:val="nil"/>
              <w:left w:val="nil"/>
              <w:bottom w:val="nil"/>
              <w:right w:val="nil"/>
            </w:tcBorders>
            <w:vAlign w:val="center"/>
            <w:hideMark/>
          </w:tcPr>
          <w:p w14:paraId="25F33E99"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B4C6E7"/>
            <w:noWrap/>
            <w:vAlign w:val="center"/>
            <w:hideMark/>
          </w:tcPr>
          <w:p w14:paraId="7FB52867"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vMerge w:val="restart"/>
            <w:tcBorders>
              <w:top w:val="nil"/>
              <w:left w:val="nil"/>
              <w:bottom w:val="nil"/>
              <w:right w:val="nil"/>
            </w:tcBorders>
            <w:shd w:val="clear" w:color="000000" w:fill="EDEDED"/>
            <w:vAlign w:val="center"/>
            <w:hideMark/>
          </w:tcPr>
          <w:p w14:paraId="63DBF9CB"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090ABCB0"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single" w:sz="4" w:space="0" w:color="auto"/>
              <w:right w:val="nil"/>
            </w:tcBorders>
            <w:shd w:val="clear" w:color="000000" w:fill="EDEDED"/>
            <w:vAlign w:val="center"/>
            <w:hideMark/>
          </w:tcPr>
          <w:p w14:paraId="7BF55A8A"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AML has not paid dividends since floating 2018</w:t>
            </w:r>
          </w:p>
        </w:tc>
        <w:tc>
          <w:tcPr>
            <w:tcW w:w="786" w:type="pct"/>
            <w:tcBorders>
              <w:top w:val="nil"/>
              <w:left w:val="nil"/>
              <w:bottom w:val="nil"/>
              <w:right w:val="nil"/>
            </w:tcBorders>
            <w:shd w:val="clear" w:color="000000" w:fill="EDEDED"/>
            <w:noWrap/>
            <w:vAlign w:val="center"/>
            <w:hideMark/>
          </w:tcPr>
          <w:p w14:paraId="0E9F5F97"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1322D649"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3A836B5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2F05FF45" w14:textId="77777777" w:rsidTr="0028156F">
        <w:trPr>
          <w:trHeight w:val="330"/>
        </w:trPr>
        <w:tc>
          <w:tcPr>
            <w:tcW w:w="234" w:type="pct"/>
            <w:vMerge/>
            <w:tcBorders>
              <w:top w:val="nil"/>
              <w:left w:val="nil"/>
              <w:bottom w:val="nil"/>
              <w:right w:val="nil"/>
            </w:tcBorders>
            <w:vAlign w:val="center"/>
            <w:hideMark/>
          </w:tcPr>
          <w:p w14:paraId="36F8756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74BD86EC"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25EE1202"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39359D62"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8E39D7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2F1C57B7"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6D5DC28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0FC6D9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517079C3" w14:textId="77777777" w:rsidTr="0028156F">
        <w:trPr>
          <w:trHeight w:val="330"/>
        </w:trPr>
        <w:tc>
          <w:tcPr>
            <w:tcW w:w="234" w:type="pct"/>
            <w:vMerge/>
            <w:tcBorders>
              <w:top w:val="nil"/>
              <w:left w:val="nil"/>
              <w:bottom w:val="nil"/>
              <w:right w:val="nil"/>
            </w:tcBorders>
            <w:vAlign w:val="center"/>
            <w:hideMark/>
          </w:tcPr>
          <w:p w14:paraId="141ECEBD"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tcBorders>
              <w:top w:val="nil"/>
              <w:left w:val="nil"/>
              <w:bottom w:val="nil"/>
              <w:right w:val="nil"/>
            </w:tcBorders>
            <w:shd w:val="clear" w:color="000000" w:fill="B4C6E7"/>
            <w:noWrap/>
            <w:vAlign w:val="center"/>
            <w:hideMark/>
          </w:tcPr>
          <w:p w14:paraId="7CEDE5E0"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641" w:type="pct"/>
            <w:tcBorders>
              <w:top w:val="nil"/>
              <w:left w:val="nil"/>
              <w:bottom w:val="nil"/>
              <w:right w:val="nil"/>
            </w:tcBorders>
            <w:shd w:val="clear" w:color="000000" w:fill="EDEDED"/>
            <w:noWrap/>
            <w:vAlign w:val="center"/>
            <w:hideMark/>
          </w:tcPr>
          <w:p w14:paraId="4D98AB9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76" w:type="pct"/>
            <w:tcBorders>
              <w:top w:val="nil"/>
              <w:left w:val="nil"/>
              <w:bottom w:val="nil"/>
              <w:right w:val="nil"/>
            </w:tcBorders>
            <w:shd w:val="clear" w:color="000000" w:fill="EDEDED"/>
            <w:noWrap/>
            <w:vAlign w:val="center"/>
            <w:hideMark/>
          </w:tcPr>
          <w:p w14:paraId="74FB0123"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5C679AA4"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0DA47A65" w14:textId="77777777" w:rsidR="0028156F" w:rsidRPr="0028156F" w:rsidRDefault="0028156F" w:rsidP="0028156F">
            <w:pPr>
              <w:spacing w:after="0" w:line="240" w:lineRule="auto"/>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9F82EFB"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412F5F8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56C2F418" w14:textId="77777777" w:rsidTr="0028156F">
        <w:trPr>
          <w:trHeight w:val="330"/>
        </w:trPr>
        <w:tc>
          <w:tcPr>
            <w:tcW w:w="234" w:type="pct"/>
            <w:vMerge/>
            <w:tcBorders>
              <w:top w:val="nil"/>
              <w:left w:val="nil"/>
              <w:bottom w:val="nil"/>
              <w:right w:val="nil"/>
            </w:tcBorders>
            <w:vAlign w:val="center"/>
            <w:hideMark/>
          </w:tcPr>
          <w:p w14:paraId="62FBFEC3"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val="restart"/>
            <w:tcBorders>
              <w:top w:val="nil"/>
              <w:left w:val="nil"/>
              <w:bottom w:val="nil"/>
              <w:right w:val="nil"/>
            </w:tcBorders>
            <w:shd w:val="clear" w:color="000000" w:fill="B4C6E7"/>
            <w:noWrap/>
            <w:vAlign w:val="center"/>
            <w:hideMark/>
          </w:tcPr>
          <w:p w14:paraId="78695F45" w14:textId="77777777" w:rsidR="0028156F" w:rsidRPr="0028156F" w:rsidRDefault="0028156F" w:rsidP="0028156F">
            <w:pPr>
              <w:spacing w:after="0" w:line="240" w:lineRule="auto"/>
              <w:jc w:val="center"/>
              <w:rPr>
                <w:rFonts w:ascii="Segoe UI" w:eastAsia="Times New Roman" w:hAnsi="Segoe UI" w:cs="Segoe UI"/>
                <w:b/>
                <w:bCs/>
                <w:color w:val="FFFFFF"/>
                <w:lang w:eastAsia="en-GB"/>
              </w:rPr>
            </w:pPr>
            <w:r w:rsidRPr="0028156F">
              <w:rPr>
                <w:rFonts w:ascii="Segoe UI" w:eastAsia="Times New Roman" w:hAnsi="Segoe UI" w:cs="Segoe UI"/>
                <w:b/>
                <w:bCs/>
                <w:color w:val="FFFFFF"/>
                <w:lang w:eastAsia="en-GB"/>
              </w:rPr>
              <w:t> </w:t>
            </w:r>
          </w:p>
        </w:tc>
        <w:tc>
          <w:tcPr>
            <w:tcW w:w="641" w:type="pct"/>
            <w:vMerge w:val="restart"/>
            <w:tcBorders>
              <w:top w:val="nil"/>
              <w:left w:val="nil"/>
              <w:bottom w:val="nil"/>
              <w:right w:val="nil"/>
            </w:tcBorders>
            <w:shd w:val="clear" w:color="000000" w:fill="EDEDED"/>
            <w:vAlign w:val="center"/>
            <w:hideMark/>
          </w:tcPr>
          <w:p w14:paraId="7D78D180" w14:textId="77777777" w:rsidR="0028156F" w:rsidRPr="0028156F" w:rsidRDefault="0028156F" w:rsidP="0028156F">
            <w:pPr>
              <w:spacing w:after="0" w:line="240" w:lineRule="auto"/>
              <w:jc w:val="center"/>
              <w:rPr>
                <w:rFonts w:ascii="Segoe UI" w:eastAsia="Times New Roman" w:hAnsi="Segoe UI" w:cs="Segoe UI"/>
                <w:b/>
                <w:bCs/>
                <w:color w:val="000000"/>
                <w:lang w:eastAsia="en-GB"/>
              </w:rPr>
            </w:pPr>
            <w:r w:rsidRPr="0028156F">
              <w:rPr>
                <w:rFonts w:ascii="Segoe UI" w:eastAsia="Times New Roman" w:hAnsi="Segoe UI" w:cs="Segoe UI"/>
                <w:b/>
                <w:bCs/>
                <w:color w:val="000000"/>
                <w:lang w:eastAsia="en-GB"/>
              </w:rPr>
              <w:t> </w:t>
            </w:r>
          </w:p>
        </w:tc>
        <w:tc>
          <w:tcPr>
            <w:tcW w:w="176" w:type="pct"/>
            <w:tcBorders>
              <w:top w:val="nil"/>
              <w:left w:val="nil"/>
              <w:bottom w:val="nil"/>
              <w:right w:val="nil"/>
            </w:tcBorders>
            <w:shd w:val="clear" w:color="000000" w:fill="EDEDED"/>
            <w:noWrap/>
            <w:vAlign w:val="center"/>
            <w:hideMark/>
          </w:tcPr>
          <w:p w14:paraId="1F0A0A06"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single" w:sz="4" w:space="0" w:color="auto"/>
              <w:right w:val="nil"/>
            </w:tcBorders>
            <w:shd w:val="clear" w:color="000000" w:fill="EDEDED"/>
            <w:vAlign w:val="center"/>
            <w:hideMark/>
          </w:tcPr>
          <w:p w14:paraId="5F2F38A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319D72E1"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004CE028"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20401DC6"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r w:rsidR="0028156F" w:rsidRPr="0028156F" w14:paraId="5E003A1E" w14:textId="77777777" w:rsidTr="0028156F">
        <w:trPr>
          <w:trHeight w:val="330"/>
        </w:trPr>
        <w:tc>
          <w:tcPr>
            <w:tcW w:w="234" w:type="pct"/>
            <w:vMerge/>
            <w:tcBorders>
              <w:top w:val="nil"/>
              <w:left w:val="nil"/>
              <w:bottom w:val="nil"/>
              <w:right w:val="nil"/>
            </w:tcBorders>
            <w:vAlign w:val="center"/>
            <w:hideMark/>
          </w:tcPr>
          <w:p w14:paraId="101B29AB"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215" w:type="pct"/>
            <w:vMerge/>
            <w:tcBorders>
              <w:top w:val="nil"/>
              <w:left w:val="nil"/>
              <w:bottom w:val="nil"/>
              <w:right w:val="nil"/>
            </w:tcBorders>
            <w:vAlign w:val="center"/>
            <w:hideMark/>
          </w:tcPr>
          <w:p w14:paraId="7D1A3CA4" w14:textId="77777777" w:rsidR="0028156F" w:rsidRPr="0028156F" w:rsidRDefault="0028156F" w:rsidP="0028156F">
            <w:pPr>
              <w:spacing w:after="0" w:line="240" w:lineRule="auto"/>
              <w:rPr>
                <w:rFonts w:ascii="Segoe UI" w:eastAsia="Times New Roman" w:hAnsi="Segoe UI" w:cs="Segoe UI"/>
                <w:b/>
                <w:bCs/>
                <w:color w:val="FFFFFF"/>
                <w:lang w:eastAsia="en-GB"/>
              </w:rPr>
            </w:pPr>
          </w:p>
        </w:tc>
        <w:tc>
          <w:tcPr>
            <w:tcW w:w="641" w:type="pct"/>
            <w:vMerge/>
            <w:tcBorders>
              <w:top w:val="nil"/>
              <w:left w:val="nil"/>
              <w:bottom w:val="nil"/>
              <w:right w:val="nil"/>
            </w:tcBorders>
            <w:vAlign w:val="center"/>
            <w:hideMark/>
          </w:tcPr>
          <w:p w14:paraId="72955044" w14:textId="77777777" w:rsidR="0028156F" w:rsidRPr="0028156F" w:rsidRDefault="0028156F" w:rsidP="0028156F">
            <w:pPr>
              <w:spacing w:after="0" w:line="240" w:lineRule="auto"/>
              <w:rPr>
                <w:rFonts w:ascii="Segoe UI" w:eastAsia="Times New Roman" w:hAnsi="Segoe UI" w:cs="Segoe UI"/>
                <w:b/>
                <w:bCs/>
                <w:color w:val="000000"/>
                <w:lang w:eastAsia="en-GB"/>
              </w:rPr>
            </w:pPr>
          </w:p>
        </w:tc>
        <w:tc>
          <w:tcPr>
            <w:tcW w:w="176" w:type="pct"/>
            <w:tcBorders>
              <w:top w:val="nil"/>
              <w:left w:val="nil"/>
              <w:bottom w:val="nil"/>
              <w:right w:val="nil"/>
            </w:tcBorders>
            <w:shd w:val="clear" w:color="000000" w:fill="EDEDED"/>
            <w:noWrap/>
            <w:vAlign w:val="center"/>
            <w:hideMark/>
          </w:tcPr>
          <w:p w14:paraId="65354819"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1560" w:type="pct"/>
            <w:tcBorders>
              <w:top w:val="nil"/>
              <w:left w:val="nil"/>
              <w:bottom w:val="nil"/>
              <w:right w:val="nil"/>
            </w:tcBorders>
            <w:shd w:val="clear" w:color="000000" w:fill="EDEDED"/>
            <w:noWrap/>
            <w:vAlign w:val="center"/>
            <w:hideMark/>
          </w:tcPr>
          <w:p w14:paraId="481BC99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86" w:type="pct"/>
            <w:tcBorders>
              <w:top w:val="nil"/>
              <w:left w:val="nil"/>
              <w:bottom w:val="nil"/>
              <w:right w:val="nil"/>
            </w:tcBorders>
            <w:shd w:val="clear" w:color="000000" w:fill="EDEDED"/>
            <w:noWrap/>
            <w:vAlign w:val="center"/>
            <w:hideMark/>
          </w:tcPr>
          <w:p w14:paraId="6D126067" w14:textId="77777777" w:rsidR="0028156F" w:rsidRPr="0028156F" w:rsidRDefault="0028156F" w:rsidP="0028156F">
            <w:pPr>
              <w:spacing w:after="0" w:line="240" w:lineRule="auto"/>
              <w:jc w:val="center"/>
              <w:rPr>
                <w:rFonts w:ascii="Wingdings 3" w:eastAsia="Times New Roman" w:hAnsi="Wingdings 3" w:cs="Calibri"/>
                <w:color w:val="000000"/>
                <w:lang w:eastAsia="en-GB"/>
              </w:rPr>
            </w:pPr>
            <w:r w:rsidRPr="0028156F">
              <w:rPr>
                <w:rFonts w:ascii="Wingdings 3" w:eastAsia="Times New Roman" w:hAnsi="Times New Roman" w:cs="Calibri"/>
                <w:color w:val="000000"/>
                <w:lang w:eastAsia="en-GB"/>
              </w:rPr>
              <w:t> </w:t>
            </w:r>
          </w:p>
        </w:tc>
        <w:tc>
          <w:tcPr>
            <w:tcW w:w="629" w:type="pct"/>
            <w:tcBorders>
              <w:top w:val="nil"/>
              <w:left w:val="nil"/>
              <w:bottom w:val="nil"/>
              <w:right w:val="nil"/>
            </w:tcBorders>
            <w:shd w:val="clear" w:color="000000" w:fill="EDEDED"/>
            <w:noWrap/>
            <w:vAlign w:val="center"/>
            <w:hideMark/>
          </w:tcPr>
          <w:p w14:paraId="75093D7C" w14:textId="77777777" w:rsidR="0028156F" w:rsidRPr="0028156F" w:rsidRDefault="0028156F" w:rsidP="0028156F">
            <w:pPr>
              <w:spacing w:after="0" w:line="240" w:lineRule="auto"/>
              <w:jc w:val="center"/>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c>
          <w:tcPr>
            <w:tcW w:w="759" w:type="pct"/>
            <w:tcBorders>
              <w:top w:val="nil"/>
              <w:left w:val="nil"/>
              <w:bottom w:val="nil"/>
              <w:right w:val="nil"/>
            </w:tcBorders>
            <w:shd w:val="clear" w:color="000000" w:fill="EDEDED"/>
            <w:noWrap/>
            <w:vAlign w:val="center"/>
            <w:hideMark/>
          </w:tcPr>
          <w:p w14:paraId="7E88B7CD" w14:textId="77777777" w:rsidR="0028156F" w:rsidRPr="0028156F" w:rsidRDefault="0028156F" w:rsidP="0028156F">
            <w:pPr>
              <w:spacing w:after="0" w:line="240" w:lineRule="auto"/>
              <w:rPr>
                <w:rFonts w:ascii="Segoe UI" w:eastAsia="Times New Roman" w:hAnsi="Segoe UI" w:cs="Segoe UI"/>
                <w:color w:val="000000"/>
                <w:lang w:eastAsia="en-GB"/>
              </w:rPr>
            </w:pPr>
            <w:r w:rsidRPr="0028156F">
              <w:rPr>
                <w:rFonts w:ascii="Segoe UI" w:eastAsia="Times New Roman" w:hAnsi="Segoe UI" w:cs="Segoe UI"/>
                <w:color w:val="000000"/>
                <w:lang w:eastAsia="en-GB"/>
              </w:rPr>
              <w:t> </w:t>
            </w:r>
          </w:p>
        </w:tc>
      </w:tr>
    </w:tbl>
    <w:p w14:paraId="69018E20" w14:textId="77777777" w:rsidR="005D2F00" w:rsidRPr="00E059BC" w:rsidRDefault="005D2F00" w:rsidP="0017184F">
      <w:pPr>
        <w:rPr>
          <w:rFonts w:ascii="Times New Roman" w:hAnsi="Times New Roman" w:cs="Times New Roman"/>
          <w:sz w:val="24"/>
          <w:szCs w:val="24"/>
        </w:rPr>
      </w:pPr>
    </w:p>
    <w:p w14:paraId="48FEED41" w14:textId="3679382E" w:rsidR="00570D9B" w:rsidRDefault="00570D9B">
      <w:pPr>
        <w:rPr>
          <w:rFonts w:ascii="Times New Roman" w:hAnsi="Times New Roman" w:cs="Times New Roman"/>
          <w:sz w:val="24"/>
          <w:szCs w:val="24"/>
        </w:rPr>
      </w:pPr>
      <w:r>
        <w:rPr>
          <w:rFonts w:ascii="Times New Roman" w:hAnsi="Times New Roman" w:cs="Times New Roman"/>
          <w:sz w:val="24"/>
          <w:szCs w:val="24"/>
        </w:rPr>
        <w:br w:type="page"/>
      </w:r>
    </w:p>
    <w:p w14:paraId="636CFCFF" w14:textId="77777777" w:rsidR="0017184F" w:rsidRPr="00E059BC" w:rsidRDefault="0017184F" w:rsidP="0017184F">
      <w:pPr>
        <w:rPr>
          <w:rFonts w:ascii="Times New Roman" w:hAnsi="Times New Roman" w:cs="Times New Roman"/>
          <w:sz w:val="24"/>
          <w:szCs w:val="24"/>
        </w:rPr>
      </w:pPr>
    </w:p>
    <w:p w14:paraId="25143070" w14:textId="4913CB35" w:rsidR="00E56AF5" w:rsidRDefault="00E56AF5" w:rsidP="005D2F00">
      <w:pPr>
        <w:rPr>
          <w:rFonts w:ascii="Times New Roman" w:hAnsi="Times New Roman" w:cs="Times New Roman"/>
          <w:sz w:val="24"/>
          <w:szCs w:val="24"/>
        </w:rPr>
      </w:pPr>
    </w:p>
    <w:p w14:paraId="4B419657" w14:textId="76F3D20A" w:rsidR="001828A3" w:rsidRPr="00E059BC" w:rsidRDefault="00B2403A" w:rsidP="00570D9B">
      <w:pPr>
        <w:pStyle w:val="Heading2"/>
      </w:pPr>
      <w:bookmarkStart w:id="13" w:name="_Toc125378690"/>
      <w:r w:rsidRPr="00E059BC">
        <w:t xml:space="preserve">Ratio </w:t>
      </w:r>
      <w:r w:rsidR="003D7595" w:rsidRPr="00E059BC">
        <w:t>trends 2020-21</w:t>
      </w:r>
      <w:bookmarkEnd w:id="13"/>
    </w:p>
    <w:p w14:paraId="32A6AF9F" w14:textId="6EEAE8B4" w:rsidR="00347AD3" w:rsidRPr="00E059BC" w:rsidRDefault="00166EF9">
      <w:pPr>
        <w:rPr>
          <w:rFonts w:ascii="Times New Roman" w:hAnsi="Times New Roman" w:cs="Times New Roman"/>
          <w:sz w:val="24"/>
          <w:szCs w:val="24"/>
        </w:rPr>
      </w:pPr>
      <w:r w:rsidRPr="00E059BC">
        <w:rPr>
          <w:rFonts w:ascii="Times New Roman" w:hAnsi="Times New Roman" w:cs="Times New Roman"/>
          <w:b/>
          <w:bCs/>
          <w:sz w:val="24"/>
          <w:szCs w:val="24"/>
        </w:rPr>
        <w:t>Liquidity ratios</w:t>
      </w:r>
      <w:r w:rsidRPr="00E059BC">
        <w:rPr>
          <w:rFonts w:ascii="Times New Roman" w:hAnsi="Times New Roman" w:cs="Times New Roman"/>
          <w:sz w:val="24"/>
          <w:szCs w:val="24"/>
        </w:rPr>
        <w:t xml:space="preserve"> show at a base level AML has significantly less liquidity in 2021 than in 2020, all of the ratios reduce by at least 10%, the </w:t>
      </w:r>
      <w:r w:rsidR="00567801" w:rsidRPr="00E059BC">
        <w:rPr>
          <w:rFonts w:ascii="Times New Roman" w:hAnsi="Times New Roman" w:cs="Times New Roman"/>
          <w:b/>
          <w:bCs/>
          <w:sz w:val="24"/>
          <w:szCs w:val="24"/>
        </w:rPr>
        <w:t>C</w:t>
      </w:r>
      <w:r w:rsidRPr="00E059BC">
        <w:rPr>
          <w:rFonts w:ascii="Times New Roman" w:hAnsi="Times New Roman" w:cs="Times New Roman"/>
          <w:b/>
          <w:bCs/>
          <w:sz w:val="24"/>
          <w:szCs w:val="24"/>
        </w:rPr>
        <w:t xml:space="preserve">urrent </w:t>
      </w:r>
      <w:r w:rsidR="00567801" w:rsidRPr="00E059BC">
        <w:rPr>
          <w:rFonts w:ascii="Times New Roman" w:hAnsi="Times New Roman" w:cs="Times New Roman"/>
          <w:b/>
          <w:bCs/>
          <w:sz w:val="24"/>
          <w:szCs w:val="24"/>
        </w:rPr>
        <w:t>R</w:t>
      </w:r>
      <w:r w:rsidRPr="00E059BC">
        <w:rPr>
          <w:rFonts w:ascii="Times New Roman" w:hAnsi="Times New Roman" w:cs="Times New Roman"/>
          <w:b/>
          <w:bCs/>
          <w:sz w:val="24"/>
          <w:szCs w:val="24"/>
        </w:rPr>
        <w:t>atio</w:t>
      </w:r>
      <w:r w:rsidRPr="00E059BC">
        <w:rPr>
          <w:rFonts w:ascii="Times New Roman" w:hAnsi="Times New Roman" w:cs="Times New Roman"/>
          <w:sz w:val="24"/>
          <w:szCs w:val="24"/>
        </w:rPr>
        <w:t xml:space="preserve"> </w:t>
      </w:r>
      <w:r w:rsidR="00567801" w:rsidRPr="00E059BC">
        <w:rPr>
          <w:rFonts w:ascii="Times New Roman" w:hAnsi="Times New Roman" w:cs="Times New Roman"/>
          <w:sz w:val="24"/>
          <w:szCs w:val="24"/>
        </w:rPr>
        <w:t xml:space="preserve">and </w:t>
      </w:r>
      <w:r w:rsidR="00567801" w:rsidRPr="00E059BC">
        <w:rPr>
          <w:rFonts w:ascii="Times New Roman" w:hAnsi="Times New Roman" w:cs="Times New Roman"/>
          <w:b/>
          <w:bCs/>
          <w:sz w:val="24"/>
          <w:szCs w:val="24"/>
        </w:rPr>
        <w:t>Quick Ratio</w:t>
      </w:r>
      <w:r w:rsidR="00567801" w:rsidRPr="00E059BC">
        <w:rPr>
          <w:rFonts w:ascii="Times New Roman" w:hAnsi="Times New Roman" w:cs="Times New Roman"/>
          <w:sz w:val="24"/>
          <w:szCs w:val="24"/>
        </w:rPr>
        <w:t xml:space="preserve"> </w:t>
      </w:r>
      <w:r w:rsidRPr="00E059BC">
        <w:rPr>
          <w:rFonts w:ascii="Times New Roman" w:hAnsi="Times New Roman" w:cs="Times New Roman"/>
          <w:sz w:val="24"/>
          <w:szCs w:val="24"/>
        </w:rPr>
        <w:t>falling below the accepted safe zone of &gt;</w:t>
      </w:r>
      <w:r w:rsidR="00911750" w:rsidRPr="00E059BC">
        <w:rPr>
          <w:rFonts w:ascii="Times New Roman" w:hAnsi="Times New Roman" w:cs="Times New Roman"/>
          <w:sz w:val="24"/>
          <w:szCs w:val="24"/>
        </w:rPr>
        <w:t>1.</w:t>
      </w:r>
      <w:r w:rsidRPr="00E059BC">
        <w:rPr>
          <w:rFonts w:ascii="Times New Roman" w:hAnsi="Times New Roman" w:cs="Times New Roman"/>
          <w:sz w:val="24"/>
          <w:szCs w:val="24"/>
        </w:rPr>
        <w:t xml:space="preserve"> </w:t>
      </w:r>
    </w:p>
    <w:p w14:paraId="62DBDADC" w14:textId="1BC069F2" w:rsidR="00DA11A6" w:rsidRPr="00E059BC" w:rsidRDefault="00DA11A6">
      <w:pPr>
        <w:rPr>
          <w:rFonts w:ascii="Times New Roman" w:hAnsi="Times New Roman" w:cs="Times New Roman"/>
          <w:sz w:val="24"/>
          <w:szCs w:val="24"/>
        </w:rPr>
      </w:pPr>
      <w:r w:rsidRPr="00E059BC">
        <w:rPr>
          <w:rFonts w:ascii="Times New Roman" w:hAnsi="Times New Roman" w:cs="Times New Roman"/>
          <w:b/>
          <w:bCs/>
          <w:sz w:val="24"/>
          <w:szCs w:val="24"/>
        </w:rPr>
        <w:t>Leverage Ratios</w:t>
      </w:r>
      <w:r w:rsidRPr="00E059BC">
        <w:rPr>
          <w:rFonts w:ascii="Times New Roman" w:hAnsi="Times New Roman" w:cs="Times New Roman"/>
          <w:sz w:val="24"/>
          <w:szCs w:val="24"/>
        </w:rPr>
        <w:t xml:space="preserve"> indicate substantial jumps in indebtedness in 2021 against 2020. </w:t>
      </w:r>
      <w:r w:rsidR="003D7595" w:rsidRPr="00E059BC">
        <w:rPr>
          <w:rFonts w:ascii="Times New Roman" w:hAnsi="Times New Roman" w:cs="Times New Roman"/>
          <w:sz w:val="24"/>
          <w:szCs w:val="24"/>
        </w:rPr>
        <w:t>Immediate and long-term debt exposure</w:t>
      </w:r>
      <w:r w:rsidR="00DA1791" w:rsidRPr="00E059BC">
        <w:rPr>
          <w:rFonts w:ascii="Times New Roman" w:hAnsi="Times New Roman" w:cs="Times New Roman"/>
          <w:sz w:val="24"/>
          <w:szCs w:val="24"/>
        </w:rPr>
        <w:t xml:space="preserve"> both</w:t>
      </w:r>
      <w:r w:rsidR="003D7595" w:rsidRPr="00E059BC">
        <w:rPr>
          <w:rFonts w:ascii="Times New Roman" w:hAnsi="Times New Roman" w:cs="Times New Roman"/>
          <w:sz w:val="24"/>
          <w:szCs w:val="24"/>
        </w:rPr>
        <w:t xml:space="preserve"> rose by about approx. 30% over 2021 levels. </w:t>
      </w:r>
      <w:r w:rsidRPr="00E059BC">
        <w:rPr>
          <w:rFonts w:ascii="Times New Roman" w:hAnsi="Times New Roman" w:cs="Times New Roman"/>
          <w:b/>
          <w:bCs/>
          <w:sz w:val="24"/>
          <w:szCs w:val="24"/>
        </w:rPr>
        <w:t xml:space="preserve">Equity </w:t>
      </w:r>
      <w:r w:rsidR="00807F40" w:rsidRPr="00E059BC">
        <w:rPr>
          <w:rFonts w:ascii="Times New Roman" w:hAnsi="Times New Roman" w:cs="Times New Roman"/>
          <w:b/>
          <w:bCs/>
          <w:sz w:val="24"/>
          <w:szCs w:val="24"/>
        </w:rPr>
        <w:t>R</w:t>
      </w:r>
      <w:r w:rsidRPr="00E059BC">
        <w:rPr>
          <w:rFonts w:ascii="Times New Roman" w:hAnsi="Times New Roman" w:cs="Times New Roman"/>
          <w:b/>
          <w:bCs/>
          <w:sz w:val="24"/>
          <w:szCs w:val="24"/>
        </w:rPr>
        <w:t>atio</w:t>
      </w:r>
      <w:r w:rsidRPr="00E059BC">
        <w:rPr>
          <w:rFonts w:ascii="Times New Roman" w:hAnsi="Times New Roman" w:cs="Times New Roman"/>
          <w:sz w:val="24"/>
          <w:szCs w:val="24"/>
        </w:rPr>
        <w:t xml:space="preserve"> decreased</w:t>
      </w:r>
      <w:r w:rsidR="00807F40" w:rsidRPr="00E059BC">
        <w:rPr>
          <w:rFonts w:ascii="Times New Roman" w:hAnsi="Times New Roman" w:cs="Times New Roman"/>
          <w:sz w:val="24"/>
          <w:szCs w:val="24"/>
        </w:rPr>
        <w:t xml:space="preserve"> by over 5 percentage points showing a decrease in shareholder value. </w:t>
      </w:r>
      <w:r w:rsidR="00807F40" w:rsidRPr="00E059BC">
        <w:rPr>
          <w:rFonts w:ascii="Times New Roman" w:hAnsi="Times New Roman" w:cs="Times New Roman"/>
          <w:b/>
          <w:bCs/>
          <w:sz w:val="24"/>
          <w:szCs w:val="24"/>
        </w:rPr>
        <w:t>Interest Coverage Ratio</w:t>
      </w:r>
      <w:r w:rsidR="00807F40" w:rsidRPr="00E059BC">
        <w:rPr>
          <w:rFonts w:ascii="Times New Roman" w:hAnsi="Times New Roman" w:cs="Times New Roman"/>
          <w:sz w:val="24"/>
          <w:szCs w:val="24"/>
        </w:rPr>
        <w:t xml:space="preserve"> plummeted by just short of 400% points flagging a drop in headroom to service borrowing, albeit still above the absolute minimum 100% ratio safe level. </w:t>
      </w:r>
      <w:r w:rsidR="00DA1791" w:rsidRPr="00E059BC">
        <w:rPr>
          <w:rFonts w:ascii="Times New Roman" w:hAnsi="Times New Roman" w:cs="Times New Roman"/>
          <w:b/>
          <w:bCs/>
          <w:sz w:val="24"/>
          <w:szCs w:val="24"/>
        </w:rPr>
        <w:t>Gearing Ratio</w:t>
      </w:r>
      <w:r w:rsidR="00DA1791" w:rsidRPr="00E059BC">
        <w:rPr>
          <w:rFonts w:ascii="Times New Roman" w:hAnsi="Times New Roman" w:cs="Times New Roman"/>
          <w:sz w:val="24"/>
          <w:szCs w:val="24"/>
        </w:rPr>
        <w:t xml:space="preserve"> increased by approx. 10%. </w:t>
      </w:r>
    </w:p>
    <w:p w14:paraId="735A09A1" w14:textId="69857671" w:rsidR="00DA1791" w:rsidRPr="00E059BC" w:rsidRDefault="00DA11A6">
      <w:pPr>
        <w:rPr>
          <w:rFonts w:ascii="Times New Roman" w:hAnsi="Times New Roman" w:cs="Times New Roman"/>
          <w:sz w:val="24"/>
          <w:szCs w:val="24"/>
        </w:rPr>
      </w:pPr>
      <w:r w:rsidRPr="00E059BC">
        <w:rPr>
          <w:rFonts w:ascii="Times New Roman" w:hAnsi="Times New Roman" w:cs="Times New Roman"/>
          <w:b/>
          <w:bCs/>
          <w:sz w:val="24"/>
          <w:szCs w:val="24"/>
        </w:rPr>
        <w:t>Activity Ratios</w:t>
      </w:r>
      <w:r w:rsidR="00B23FDE" w:rsidRPr="00E059BC">
        <w:rPr>
          <w:rFonts w:ascii="Times New Roman" w:hAnsi="Times New Roman" w:cs="Times New Roman"/>
          <w:sz w:val="24"/>
          <w:szCs w:val="24"/>
        </w:rPr>
        <w:t>, b</w:t>
      </w:r>
      <w:r w:rsidR="00DA1791" w:rsidRPr="00E059BC">
        <w:rPr>
          <w:rFonts w:ascii="Times New Roman" w:hAnsi="Times New Roman" w:cs="Times New Roman"/>
          <w:sz w:val="24"/>
          <w:szCs w:val="24"/>
        </w:rPr>
        <w:t xml:space="preserve">oth </w:t>
      </w:r>
      <w:r w:rsidR="00DA1791" w:rsidRPr="00E059BC">
        <w:rPr>
          <w:rFonts w:ascii="Times New Roman" w:hAnsi="Times New Roman" w:cs="Times New Roman"/>
          <w:b/>
          <w:bCs/>
          <w:sz w:val="24"/>
          <w:szCs w:val="24"/>
        </w:rPr>
        <w:t>DSO</w:t>
      </w:r>
      <w:r w:rsidR="00DA1791" w:rsidRPr="00E059BC">
        <w:rPr>
          <w:rFonts w:ascii="Times New Roman" w:hAnsi="Times New Roman" w:cs="Times New Roman"/>
          <w:sz w:val="24"/>
          <w:szCs w:val="24"/>
        </w:rPr>
        <w:t xml:space="preserve"> and </w:t>
      </w:r>
      <w:r w:rsidR="00DA1791" w:rsidRPr="00E059BC">
        <w:rPr>
          <w:rFonts w:ascii="Times New Roman" w:hAnsi="Times New Roman" w:cs="Times New Roman"/>
          <w:b/>
          <w:bCs/>
          <w:sz w:val="24"/>
          <w:szCs w:val="24"/>
        </w:rPr>
        <w:t>DPO</w:t>
      </w:r>
      <w:r w:rsidR="00DA1791" w:rsidRPr="00E059BC">
        <w:rPr>
          <w:rFonts w:ascii="Times New Roman" w:hAnsi="Times New Roman" w:cs="Times New Roman"/>
          <w:sz w:val="24"/>
          <w:szCs w:val="24"/>
        </w:rPr>
        <w:t xml:space="preserve"> reduced indicating AML had improved both paying suppliers and recovering payments</w:t>
      </w:r>
      <w:r w:rsidR="00095A31" w:rsidRPr="00E059BC">
        <w:rPr>
          <w:rFonts w:ascii="Times New Roman" w:hAnsi="Times New Roman" w:cs="Times New Roman"/>
          <w:sz w:val="24"/>
          <w:szCs w:val="24"/>
        </w:rPr>
        <w:t xml:space="preserve"> however the DPO appears extreme.  Inventory Turnover increased by approx. 90% </w:t>
      </w:r>
      <w:r w:rsidR="00911750" w:rsidRPr="00E059BC">
        <w:rPr>
          <w:rFonts w:ascii="Times New Roman" w:hAnsi="Times New Roman" w:cs="Times New Roman"/>
          <w:sz w:val="24"/>
          <w:szCs w:val="24"/>
        </w:rPr>
        <w:t>indicating more efficient turnover of goods</w:t>
      </w:r>
      <w:r w:rsidR="00095A31" w:rsidRPr="00E059BC">
        <w:rPr>
          <w:rFonts w:ascii="Times New Roman" w:hAnsi="Times New Roman" w:cs="Times New Roman"/>
          <w:sz w:val="24"/>
          <w:szCs w:val="24"/>
        </w:rPr>
        <w:t xml:space="preserve"> </w:t>
      </w:r>
      <w:r w:rsidR="00B93B6B" w:rsidRPr="00E059BC">
        <w:rPr>
          <w:rFonts w:ascii="Times New Roman" w:hAnsi="Times New Roman" w:cs="Times New Roman"/>
          <w:sz w:val="24"/>
          <w:szCs w:val="24"/>
        </w:rPr>
        <w:t xml:space="preserve">in 2021 against 2020. </w:t>
      </w:r>
      <w:r w:rsidR="00095A31" w:rsidRPr="00E059BC">
        <w:rPr>
          <w:rFonts w:ascii="Times New Roman" w:hAnsi="Times New Roman" w:cs="Times New Roman"/>
          <w:sz w:val="24"/>
          <w:szCs w:val="24"/>
        </w:rPr>
        <w:t xml:space="preserve"> </w:t>
      </w:r>
      <w:r w:rsidR="00B93B6B" w:rsidRPr="00E059BC">
        <w:rPr>
          <w:rFonts w:ascii="Times New Roman" w:hAnsi="Times New Roman" w:cs="Times New Roman"/>
          <w:sz w:val="24"/>
          <w:szCs w:val="24"/>
        </w:rPr>
        <w:t xml:space="preserve"> Both </w:t>
      </w:r>
      <w:r w:rsidR="00B93B6B" w:rsidRPr="00E059BC">
        <w:rPr>
          <w:rFonts w:ascii="Times New Roman" w:hAnsi="Times New Roman" w:cs="Times New Roman"/>
          <w:b/>
          <w:bCs/>
          <w:sz w:val="24"/>
          <w:szCs w:val="24"/>
        </w:rPr>
        <w:t>Asset Turnover</w:t>
      </w:r>
      <w:r w:rsidR="00B93B6B" w:rsidRPr="00E059BC">
        <w:rPr>
          <w:rFonts w:ascii="Times New Roman" w:hAnsi="Times New Roman" w:cs="Times New Roman"/>
          <w:sz w:val="24"/>
          <w:szCs w:val="24"/>
        </w:rPr>
        <w:t xml:space="preserve"> and </w:t>
      </w:r>
      <w:r w:rsidR="00B93B6B" w:rsidRPr="00E059BC">
        <w:rPr>
          <w:rFonts w:ascii="Times New Roman" w:hAnsi="Times New Roman" w:cs="Times New Roman"/>
          <w:b/>
          <w:bCs/>
          <w:sz w:val="24"/>
          <w:szCs w:val="24"/>
        </w:rPr>
        <w:t>Receivable Turnover</w:t>
      </w:r>
      <w:r w:rsidR="00B93B6B" w:rsidRPr="00E059BC">
        <w:rPr>
          <w:rFonts w:ascii="Times New Roman" w:hAnsi="Times New Roman" w:cs="Times New Roman"/>
          <w:sz w:val="24"/>
          <w:szCs w:val="24"/>
        </w:rPr>
        <w:t xml:space="preserve"> did increase in 2021</w:t>
      </w:r>
      <w:r w:rsidR="00B23FDE" w:rsidRPr="00E059BC">
        <w:rPr>
          <w:rFonts w:ascii="Times New Roman" w:hAnsi="Times New Roman" w:cs="Times New Roman"/>
          <w:sz w:val="24"/>
          <w:szCs w:val="24"/>
        </w:rPr>
        <w:t xml:space="preserve"> showing the return on the invested capital generated significantly more than the previous year. </w:t>
      </w:r>
    </w:p>
    <w:p w14:paraId="7A031CA3" w14:textId="1EC57612" w:rsidR="001A6C1D" w:rsidRPr="00E059BC" w:rsidRDefault="00DA11A6">
      <w:pPr>
        <w:rPr>
          <w:rFonts w:ascii="Times New Roman" w:hAnsi="Times New Roman" w:cs="Times New Roman"/>
          <w:sz w:val="24"/>
          <w:szCs w:val="24"/>
        </w:rPr>
      </w:pPr>
      <w:r w:rsidRPr="00E059BC">
        <w:rPr>
          <w:rFonts w:ascii="Times New Roman" w:hAnsi="Times New Roman" w:cs="Times New Roman"/>
          <w:b/>
          <w:bCs/>
          <w:sz w:val="24"/>
          <w:szCs w:val="24"/>
        </w:rPr>
        <w:t>Profitability Ratios</w:t>
      </w:r>
      <w:r w:rsidR="00B23FDE" w:rsidRPr="00E059BC">
        <w:rPr>
          <w:rFonts w:ascii="Times New Roman" w:hAnsi="Times New Roman" w:cs="Times New Roman"/>
          <w:b/>
          <w:bCs/>
          <w:sz w:val="24"/>
          <w:szCs w:val="24"/>
        </w:rPr>
        <w:t>,</w:t>
      </w:r>
      <w:r w:rsidR="0021346F" w:rsidRPr="00E059BC">
        <w:rPr>
          <w:rFonts w:ascii="Times New Roman" w:hAnsi="Times New Roman" w:cs="Times New Roman"/>
          <w:b/>
          <w:bCs/>
          <w:sz w:val="24"/>
          <w:szCs w:val="24"/>
        </w:rPr>
        <w:t xml:space="preserve"> </w:t>
      </w:r>
      <w:r w:rsidR="0021346F" w:rsidRPr="00E059BC">
        <w:rPr>
          <w:rFonts w:ascii="Times New Roman" w:hAnsi="Times New Roman" w:cs="Times New Roman"/>
          <w:sz w:val="24"/>
          <w:szCs w:val="24"/>
        </w:rPr>
        <w:t xml:space="preserve">an improvement was seen </w:t>
      </w:r>
      <w:r w:rsidR="00911750" w:rsidRPr="00E059BC">
        <w:rPr>
          <w:rFonts w:ascii="Times New Roman" w:hAnsi="Times New Roman" w:cs="Times New Roman"/>
          <w:sz w:val="24"/>
          <w:szCs w:val="24"/>
        </w:rPr>
        <w:t>in</w:t>
      </w:r>
      <w:r w:rsidR="00911750" w:rsidRPr="00E059BC">
        <w:rPr>
          <w:rFonts w:ascii="Times New Roman" w:hAnsi="Times New Roman" w:cs="Times New Roman"/>
          <w:b/>
          <w:bCs/>
          <w:sz w:val="24"/>
          <w:szCs w:val="24"/>
        </w:rPr>
        <w:t xml:space="preserve"> Net</w:t>
      </w:r>
      <w:r w:rsidR="0021346F" w:rsidRPr="00E059BC">
        <w:rPr>
          <w:rFonts w:ascii="Times New Roman" w:hAnsi="Times New Roman" w:cs="Times New Roman"/>
          <w:b/>
          <w:bCs/>
          <w:sz w:val="24"/>
          <w:szCs w:val="24"/>
        </w:rPr>
        <w:t xml:space="preserve"> Profit, Gross Profit and Operating Margins</w:t>
      </w:r>
      <w:r w:rsidR="0021346F" w:rsidRPr="00E059BC">
        <w:rPr>
          <w:rFonts w:ascii="Times New Roman" w:hAnsi="Times New Roman" w:cs="Times New Roman"/>
          <w:sz w:val="24"/>
          <w:szCs w:val="24"/>
        </w:rPr>
        <w:t xml:space="preserve"> although the company remains unprofitable in both 2020 and </w:t>
      </w:r>
      <w:r w:rsidR="001A6C1D" w:rsidRPr="00E059BC">
        <w:rPr>
          <w:rFonts w:ascii="Times New Roman" w:hAnsi="Times New Roman" w:cs="Times New Roman"/>
          <w:sz w:val="24"/>
          <w:szCs w:val="24"/>
        </w:rPr>
        <w:t>less in 2021, as interpreted through the calculation of the Profitability Ratios.</w:t>
      </w:r>
    </w:p>
    <w:p w14:paraId="038D1DC6" w14:textId="64F9E590" w:rsidR="001A6C1D" w:rsidRPr="00E059BC" w:rsidRDefault="001A6C1D" w:rsidP="00E06D78">
      <w:pPr>
        <w:pStyle w:val="Heading1"/>
        <w:rPr>
          <w:rFonts w:ascii="Times New Roman" w:hAnsi="Times New Roman" w:cs="Times New Roman"/>
          <w:sz w:val="24"/>
          <w:szCs w:val="24"/>
        </w:rPr>
      </w:pPr>
      <w:bookmarkStart w:id="14" w:name="_Toc125378691"/>
      <w:r w:rsidRPr="00E059BC">
        <w:rPr>
          <w:rFonts w:ascii="Times New Roman" w:hAnsi="Times New Roman" w:cs="Times New Roman"/>
          <w:sz w:val="24"/>
          <w:szCs w:val="24"/>
        </w:rPr>
        <w:t>Ratio Trend Analysis Summary</w:t>
      </w:r>
      <w:bookmarkEnd w:id="14"/>
    </w:p>
    <w:p w14:paraId="2EA12C83" w14:textId="051E8AAB" w:rsidR="001A6C1D" w:rsidRPr="00E059BC" w:rsidRDefault="007A0EF9" w:rsidP="00A44BAF">
      <w:pPr>
        <w:pStyle w:val="ListParagraph"/>
        <w:numPr>
          <w:ilvl w:val="0"/>
          <w:numId w:val="2"/>
        </w:numPr>
        <w:rPr>
          <w:rFonts w:ascii="Times New Roman" w:hAnsi="Times New Roman" w:cs="Times New Roman"/>
          <w:sz w:val="24"/>
          <w:szCs w:val="24"/>
        </w:rPr>
      </w:pPr>
      <w:r w:rsidRPr="00E059BC">
        <w:rPr>
          <w:rFonts w:ascii="Times New Roman" w:hAnsi="Times New Roman" w:cs="Times New Roman"/>
          <w:sz w:val="24"/>
          <w:szCs w:val="24"/>
        </w:rPr>
        <w:t>L</w:t>
      </w:r>
      <w:r w:rsidR="001A6C1D" w:rsidRPr="00E059BC">
        <w:rPr>
          <w:rFonts w:ascii="Times New Roman" w:hAnsi="Times New Roman" w:cs="Times New Roman"/>
          <w:sz w:val="24"/>
          <w:szCs w:val="24"/>
        </w:rPr>
        <w:t>iquidity deteriorated from 2020 to end of 2021</w:t>
      </w:r>
      <w:r w:rsidRPr="00E059BC">
        <w:rPr>
          <w:rFonts w:ascii="Times New Roman" w:hAnsi="Times New Roman" w:cs="Times New Roman"/>
          <w:sz w:val="24"/>
          <w:szCs w:val="24"/>
        </w:rPr>
        <w:t>.</w:t>
      </w:r>
    </w:p>
    <w:p w14:paraId="7FBA7C43" w14:textId="04262E35" w:rsidR="007A0EF9" w:rsidRPr="00E059BC" w:rsidRDefault="007A0EF9" w:rsidP="00A44BAF">
      <w:pPr>
        <w:pStyle w:val="ListParagraph"/>
        <w:numPr>
          <w:ilvl w:val="0"/>
          <w:numId w:val="2"/>
        </w:numPr>
        <w:rPr>
          <w:rFonts w:ascii="Times New Roman" w:hAnsi="Times New Roman" w:cs="Times New Roman"/>
          <w:sz w:val="24"/>
          <w:szCs w:val="24"/>
        </w:rPr>
      </w:pPr>
      <w:r w:rsidRPr="00E059BC">
        <w:rPr>
          <w:rFonts w:ascii="Times New Roman" w:hAnsi="Times New Roman" w:cs="Times New Roman"/>
          <w:sz w:val="24"/>
          <w:szCs w:val="24"/>
        </w:rPr>
        <w:t>Leverage ratios worsened, demonstrated an increase in exposure to debt risk</w:t>
      </w:r>
    </w:p>
    <w:p w14:paraId="47C754BC" w14:textId="2E45CBD0" w:rsidR="007A0EF9" w:rsidRPr="00E059BC" w:rsidRDefault="007A0EF9" w:rsidP="00A44BAF">
      <w:pPr>
        <w:pStyle w:val="ListParagraph"/>
        <w:numPr>
          <w:ilvl w:val="0"/>
          <w:numId w:val="2"/>
        </w:numPr>
        <w:rPr>
          <w:rFonts w:ascii="Times New Roman" w:hAnsi="Times New Roman" w:cs="Times New Roman"/>
          <w:sz w:val="24"/>
          <w:szCs w:val="24"/>
        </w:rPr>
      </w:pPr>
      <w:r w:rsidRPr="00E059BC">
        <w:rPr>
          <w:rFonts w:ascii="Times New Roman" w:hAnsi="Times New Roman" w:cs="Times New Roman"/>
          <w:sz w:val="24"/>
          <w:szCs w:val="24"/>
        </w:rPr>
        <w:t>Activity ratios show increased inventory turnover</w:t>
      </w:r>
      <w:r w:rsidR="00911750" w:rsidRPr="00E059BC">
        <w:rPr>
          <w:rFonts w:ascii="Times New Roman" w:hAnsi="Times New Roman" w:cs="Times New Roman"/>
          <w:sz w:val="24"/>
          <w:szCs w:val="24"/>
        </w:rPr>
        <w:t xml:space="preserve"> so increase in production savings or stock management. Positive trends in DSO and DPO show better payment strategies for both suppliers and customers</w:t>
      </w:r>
      <w:r w:rsidR="00BE0B98">
        <w:rPr>
          <w:rFonts w:ascii="Times New Roman" w:hAnsi="Times New Roman" w:cs="Times New Roman"/>
          <w:sz w:val="24"/>
          <w:szCs w:val="24"/>
        </w:rPr>
        <w:t xml:space="preserve"> although the metrics remain arguably poor</w:t>
      </w:r>
      <w:r w:rsidR="00911750" w:rsidRPr="00E059BC">
        <w:rPr>
          <w:rFonts w:ascii="Times New Roman" w:hAnsi="Times New Roman" w:cs="Times New Roman"/>
          <w:sz w:val="24"/>
          <w:szCs w:val="24"/>
        </w:rPr>
        <w:t xml:space="preserve">. </w:t>
      </w:r>
    </w:p>
    <w:p w14:paraId="329218D2" w14:textId="2E65986D" w:rsidR="003C465F" w:rsidRPr="00570D9B" w:rsidRDefault="00C1693A" w:rsidP="00570D9B">
      <w:pPr>
        <w:pStyle w:val="ListParagraph"/>
        <w:numPr>
          <w:ilvl w:val="0"/>
          <w:numId w:val="2"/>
        </w:numPr>
        <w:rPr>
          <w:rFonts w:ascii="Times New Roman" w:hAnsi="Times New Roman" w:cs="Times New Roman"/>
          <w:sz w:val="24"/>
          <w:szCs w:val="24"/>
        </w:rPr>
      </w:pPr>
      <w:r w:rsidRPr="00E059BC">
        <w:rPr>
          <w:rFonts w:ascii="Times New Roman" w:hAnsi="Times New Roman" w:cs="Times New Roman"/>
          <w:sz w:val="24"/>
          <w:szCs w:val="24"/>
        </w:rPr>
        <w:t>Profitability ratios collectively improved although it is noted the company is not in profit by 2021</w:t>
      </w:r>
      <w:r w:rsidR="00BE0B98">
        <w:rPr>
          <w:rFonts w:ascii="Times New Roman" w:hAnsi="Times New Roman" w:cs="Times New Roman"/>
          <w:sz w:val="24"/>
          <w:szCs w:val="24"/>
        </w:rPr>
        <w:t xml:space="preserve"> and has not been in profit in recent trading history (at least since 2018 market floatation)</w:t>
      </w:r>
      <w:r w:rsidRPr="00E059BC">
        <w:rPr>
          <w:rFonts w:ascii="Times New Roman" w:hAnsi="Times New Roman" w:cs="Times New Roman"/>
          <w:sz w:val="24"/>
          <w:szCs w:val="24"/>
        </w:rPr>
        <w:t xml:space="preserve">, the trend is in an upwards direction. </w:t>
      </w:r>
      <w:r w:rsidR="003C465F" w:rsidRPr="00570D9B">
        <w:rPr>
          <w:rFonts w:ascii="Times New Roman" w:hAnsi="Times New Roman" w:cs="Times New Roman"/>
          <w:sz w:val="24"/>
          <w:szCs w:val="24"/>
        </w:rPr>
        <w:br w:type="page"/>
      </w:r>
    </w:p>
    <w:p w14:paraId="2F04102D" w14:textId="77777777" w:rsidR="001A6C1D" w:rsidRPr="00E059BC" w:rsidRDefault="001A6C1D" w:rsidP="00A44BAF">
      <w:pPr>
        <w:pStyle w:val="ListParagraph"/>
        <w:numPr>
          <w:ilvl w:val="0"/>
          <w:numId w:val="2"/>
        </w:numPr>
        <w:rPr>
          <w:rFonts w:ascii="Times New Roman" w:hAnsi="Times New Roman" w:cs="Times New Roman"/>
          <w:sz w:val="24"/>
          <w:szCs w:val="24"/>
        </w:rPr>
      </w:pPr>
    </w:p>
    <w:p w14:paraId="69E9D662" w14:textId="6602EE52" w:rsidR="001A6C1D" w:rsidRPr="00E059BC" w:rsidRDefault="001A6C1D" w:rsidP="001A6C1D">
      <w:pPr>
        <w:pStyle w:val="Heading2"/>
        <w:rPr>
          <w:rFonts w:ascii="Times New Roman" w:hAnsi="Times New Roman" w:cs="Times New Roman"/>
          <w:sz w:val="24"/>
          <w:szCs w:val="24"/>
        </w:rPr>
      </w:pPr>
      <w:bookmarkStart w:id="15" w:name="_Toc125378692"/>
      <w:r w:rsidRPr="00E059BC">
        <w:rPr>
          <w:rFonts w:ascii="Times New Roman" w:hAnsi="Times New Roman" w:cs="Times New Roman"/>
          <w:sz w:val="24"/>
          <w:szCs w:val="24"/>
        </w:rPr>
        <w:t>AML</w:t>
      </w:r>
      <w:r w:rsidR="00A8013E" w:rsidRPr="00E059BC">
        <w:rPr>
          <w:rFonts w:ascii="Times New Roman" w:hAnsi="Times New Roman" w:cs="Times New Roman"/>
          <w:sz w:val="24"/>
          <w:szCs w:val="24"/>
        </w:rPr>
        <w:t xml:space="preserve"> Ratio </w:t>
      </w:r>
      <w:r w:rsidRPr="00E059BC">
        <w:rPr>
          <w:rFonts w:ascii="Times New Roman" w:hAnsi="Times New Roman" w:cs="Times New Roman"/>
          <w:sz w:val="24"/>
          <w:szCs w:val="24"/>
        </w:rPr>
        <w:t>comparison with the Automotive sector</w:t>
      </w:r>
      <w:r w:rsidR="00A8013E" w:rsidRPr="00E059BC">
        <w:rPr>
          <w:rFonts w:ascii="Times New Roman" w:hAnsi="Times New Roman" w:cs="Times New Roman"/>
          <w:sz w:val="24"/>
          <w:szCs w:val="24"/>
        </w:rPr>
        <w:t xml:space="preserve"> (US based manufacturers)</w:t>
      </w:r>
      <w:r w:rsidRPr="00E059BC">
        <w:rPr>
          <w:rFonts w:ascii="Times New Roman" w:hAnsi="Times New Roman" w:cs="Times New Roman"/>
          <w:sz w:val="24"/>
          <w:szCs w:val="24"/>
        </w:rPr>
        <w:t>.</w:t>
      </w:r>
      <w:bookmarkEnd w:id="15"/>
      <w:r w:rsidRPr="00E059BC">
        <w:rPr>
          <w:rFonts w:ascii="Times New Roman" w:hAnsi="Times New Roman" w:cs="Times New Roman"/>
          <w:sz w:val="24"/>
          <w:szCs w:val="24"/>
        </w:rPr>
        <w:t xml:space="preserve"> </w:t>
      </w:r>
    </w:p>
    <w:p w14:paraId="0DED9D28" w14:textId="6FB2B250" w:rsidR="00DA11A6" w:rsidRPr="00E059BC" w:rsidRDefault="00DA11A6">
      <w:pPr>
        <w:rPr>
          <w:rFonts w:ascii="Times New Roman" w:hAnsi="Times New Roman" w:cs="Times New Roman"/>
          <w:sz w:val="24"/>
          <w:szCs w:val="24"/>
        </w:rPr>
      </w:pPr>
    </w:p>
    <w:p w14:paraId="356F9C67" w14:textId="076C7F07" w:rsidR="00DA11A6" w:rsidRPr="00E059BC" w:rsidRDefault="00A8013E">
      <w:pPr>
        <w:rPr>
          <w:rFonts w:ascii="Times New Roman" w:hAnsi="Times New Roman" w:cs="Times New Roman"/>
          <w:sz w:val="24"/>
          <w:szCs w:val="24"/>
        </w:rPr>
      </w:pPr>
      <w:r w:rsidRPr="00E059BC">
        <w:rPr>
          <w:rFonts w:ascii="Times New Roman" w:hAnsi="Times New Roman" w:cs="Times New Roman"/>
          <w:noProof/>
          <w:sz w:val="24"/>
          <w:szCs w:val="24"/>
        </w:rPr>
        <w:drawing>
          <wp:inline distT="0" distB="0" distL="0" distR="0" wp14:anchorId="1EBD7971" wp14:editId="69866591">
            <wp:extent cx="5665304" cy="4870052"/>
            <wp:effectExtent l="0" t="0" r="0" b="698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8"/>
                    <a:stretch>
                      <a:fillRect/>
                    </a:stretch>
                  </pic:blipFill>
                  <pic:spPr>
                    <a:xfrm>
                      <a:off x="0" y="0"/>
                      <a:ext cx="5677235" cy="4880308"/>
                    </a:xfrm>
                    <a:prstGeom prst="rect">
                      <a:avLst/>
                    </a:prstGeom>
                  </pic:spPr>
                </pic:pic>
              </a:graphicData>
            </a:graphic>
          </wp:inline>
        </w:drawing>
      </w:r>
    </w:p>
    <w:p w14:paraId="6851E8B6" w14:textId="197DAC4A" w:rsidR="00A8013E" w:rsidRPr="00E059BC" w:rsidRDefault="00A8013E" w:rsidP="00A8013E">
      <w:pPr>
        <w:jc w:val="center"/>
        <w:rPr>
          <w:rFonts w:ascii="Times New Roman" w:hAnsi="Times New Roman" w:cs="Times New Roman"/>
          <w:sz w:val="24"/>
          <w:szCs w:val="24"/>
        </w:rPr>
      </w:pPr>
      <w:r w:rsidRPr="00E059BC">
        <w:rPr>
          <w:rFonts w:ascii="Times New Roman" w:hAnsi="Times New Roman" w:cs="Times New Roman"/>
          <w:sz w:val="24"/>
          <w:szCs w:val="24"/>
        </w:rPr>
        <w:t>Fig. 2 from (Ready Ratios, 2022)</w:t>
      </w:r>
    </w:p>
    <w:p w14:paraId="77441490" w14:textId="77777777" w:rsidR="00E059BC" w:rsidRPr="00E059BC" w:rsidRDefault="00E059BC">
      <w:pPr>
        <w:rPr>
          <w:rFonts w:ascii="Times New Roman" w:hAnsi="Times New Roman" w:cs="Times New Roman"/>
          <w:sz w:val="24"/>
          <w:szCs w:val="24"/>
        </w:rPr>
      </w:pPr>
      <w:r w:rsidRPr="00E059BC">
        <w:rPr>
          <w:rFonts w:ascii="Times New Roman" w:hAnsi="Times New Roman" w:cs="Times New Roman"/>
          <w:sz w:val="24"/>
          <w:szCs w:val="24"/>
        </w:rPr>
        <w:br w:type="page"/>
      </w:r>
    </w:p>
    <w:p w14:paraId="1DB8D926" w14:textId="5F95FA01" w:rsidR="00567801" w:rsidRPr="00E059BC" w:rsidRDefault="00021CAB" w:rsidP="00A8013E">
      <w:pPr>
        <w:rPr>
          <w:rFonts w:ascii="Times New Roman" w:hAnsi="Times New Roman" w:cs="Times New Roman"/>
          <w:sz w:val="24"/>
          <w:szCs w:val="24"/>
        </w:rPr>
      </w:pPr>
      <w:r w:rsidRPr="00E059BC">
        <w:rPr>
          <w:rFonts w:ascii="Times New Roman" w:hAnsi="Times New Roman" w:cs="Times New Roman"/>
          <w:sz w:val="24"/>
          <w:szCs w:val="24"/>
        </w:rPr>
        <w:lastRenderedPageBreak/>
        <w:t>While Fig. 2 ratios</w:t>
      </w:r>
      <w:r w:rsidR="001D71FE">
        <w:rPr>
          <w:rFonts w:ascii="Times New Roman" w:hAnsi="Times New Roman" w:cs="Times New Roman"/>
          <w:sz w:val="24"/>
          <w:szCs w:val="24"/>
        </w:rPr>
        <w:t xml:space="preserve"> (for general automotive manufacturing) sector</w:t>
      </w:r>
      <w:r w:rsidRPr="00E059BC">
        <w:rPr>
          <w:rFonts w:ascii="Times New Roman" w:hAnsi="Times New Roman" w:cs="Times New Roman"/>
          <w:sz w:val="24"/>
          <w:szCs w:val="24"/>
        </w:rPr>
        <w:t xml:space="preserve"> were not accessible for 2021, a clear comparison between US based Automotive manufacturing companies and </w:t>
      </w:r>
      <w:r w:rsidR="00626C54" w:rsidRPr="00E059BC">
        <w:rPr>
          <w:rFonts w:ascii="Times New Roman" w:hAnsi="Times New Roman" w:cs="Times New Roman"/>
          <w:sz w:val="24"/>
          <w:szCs w:val="24"/>
        </w:rPr>
        <w:t>AML can</w:t>
      </w:r>
      <w:r w:rsidRPr="00E059BC">
        <w:rPr>
          <w:rFonts w:ascii="Times New Roman" w:hAnsi="Times New Roman" w:cs="Times New Roman"/>
          <w:sz w:val="24"/>
          <w:szCs w:val="24"/>
        </w:rPr>
        <w:t xml:space="preserve"> be drawn. </w:t>
      </w:r>
    </w:p>
    <w:p w14:paraId="1D7C3B00" w14:textId="09D5CEA1" w:rsidR="00021CAB" w:rsidRPr="00E059BC" w:rsidRDefault="00567801" w:rsidP="00A8013E">
      <w:pPr>
        <w:rPr>
          <w:rFonts w:ascii="Times New Roman" w:hAnsi="Times New Roman" w:cs="Times New Roman"/>
          <w:sz w:val="24"/>
          <w:szCs w:val="24"/>
        </w:rPr>
      </w:pPr>
      <w:r w:rsidRPr="00E059BC">
        <w:rPr>
          <w:rFonts w:ascii="Times New Roman" w:hAnsi="Times New Roman" w:cs="Times New Roman"/>
          <w:sz w:val="24"/>
          <w:szCs w:val="24"/>
        </w:rPr>
        <w:t>(it is noted Fig.2 average ratios are for the US automotive general sector, and AML is a niche luxury car manufacturer</w:t>
      </w:r>
      <w:r w:rsidR="00E059BC" w:rsidRPr="00E059BC">
        <w:rPr>
          <w:rFonts w:ascii="Times New Roman" w:hAnsi="Times New Roman" w:cs="Times New Roman"/>
          <w:sz w:val="24"/>
          <w:szCs w:val="24"/>
        </w:rPr>
        <w:t xml:space="preserve"> selling mainly in the UK and North America, </w:t>
      </w:r>
      <w:r w:rsidRPr="00E059BC">
        <w:rPr>
          <w:rFonts w:ascii="Times New Roman" w:hAnsi="Times New Roman" w:cs="Times New Roman"/>
          <w:sz w:val="24"/>
          <w:szCs w:val="24"/>
        </w:rPr>
        <w:t xml:space="preserve">, however the </w:t>
      </w:r>
      <w:r w:rsidR="00E059BC" w:rsidRPr="00E059BC">
        <w:rPr>
          <w:rFonts w:ascii="Times New Roman" w:hAnsi="Times New Roman" w:cs="Times New Roman"/>
          <w:sz w:val="24"/>
          <w:szCs w:val="24"/>
        </w:rPr>
        <w:t>large sample  allows a valid  sector comparison)</w:t>
      </w:r>
      <w:r w:rsidR="006248D4" w:rsidRPr="00E059BC">
        <w:rPr>
          <w:rFonts w:ascii="Times New Roman" w:hAnsi="Times New Roman" w:cs="Times New Roman"/>
          <w:sz w:val="24"/>
          <w:szCs w:val="24"/>
        </w:rPr>
        <w:t xml:space="preserve"> </w:t>
      </w:r>
    </w:p>
    <w:p w14:paraId="6A64A2C5" w14:textId="77777777" w:rsidR="00E059BC" w:rsidRPr="00E059BC" w:rsidRDefault="00E059BC" w:rsidP="00A8013E">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47"/>
        <w:gridCol w:w="1961"/>
        <w:gridCol w:w="2858"/>
        <w:gridCol w:w="1650"/>
      </w:tblGrid>
      <w:tr w:rsidR="00021CAB" w:rsidRPr="00E059BC" w14:paraId="33B303D7" w14:textId="77777777" w:rsidTr="00626C54">
        <w:tc>
          <w:tcPr>
            <w:tcW w:w="2547" w:type="dxa"/>
          </w:tcPr>
          <w:p w14:paraId="0DAA6A09" w14:textId="77777777" w:rsidR="00021CAB" w:rsidRPr="00E059BC" w:rsidRDefault="00021CAB">
            <w:pPr>
              <w:rPr>
                <w:rFonts w:ascii="Times New Roman" w:hAnsi="Times New Roman" w:cs="Times New Roman"/>
                <w:sz w:val="24"/>
                <w:szCs w:val="24"/>
              </w:rPr>
            </w:pPr>
          </w:p>
        </w:tc>
        <w:tc>
          <w:tcPr>
            <w:tcW w:w="1961" w:type="dxa"/>
          </w:tcPr>
          <w:p w14:paraId="5DB29710" w14:textId="42384BF4"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 xml:space="preserve">AML </w:t>
            </w:r>
            <w:r w:rsidR="00C56557" w:rsidRPr="00E059BC">
              <w:rPr>
                <w:rFonts w:ascii="Times New Roman" w:hAnsi="Times New Roman" w:cs="Times New Roman"/>
                <w:sz w:val="24"/>
                <w:szCs w:val="24"/>
              </w:rPr>
              <w:t>2020</w:t>
            </w:r>
          </w:p>
        </w:tc>
        <w:tc>
          <w:tcPr>
            <w:tcW w:w="2858" w:type="dxa"/>
          </w:tcPr>
          <w:p w14:paraId="275A18B5" w14:textId="6632C2EB"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Average US Auto</w:t>
            </w:r>
            <w:r w:rsidR="00C56557" w:rsidRPr="00E059BC">
              <w:rPr>
                <w:rFonts w:ascii="Times New Roman" w:hAnsi="Times New Roman" w:cs="Times New Roman"/>
                <w:sz w:val="24"/>
                <w:szCs w:val="24"/>
              </w:rPr>
              <w:t xml:space="preserve"> 2020</w:t>
            </w:r>
          </w:p>
        </w:tc>
        <w:tc>
          <w:tcPr>
            <w:tcW w:w="1650" w:type="dxa"/>
          </w:tcPr>
          <w:p w14:paraId="46728DB4" w14:textId="7782B854" w:rsidR="00021CAB" w:rsidRPr="00E059BC" w:rsidRDefault="00E873EE">
            <w:pPr>
              <w:rPr>
                <w:rFonts w:ascii="Times New Roman" w:hAnsi="Times New Roman" w:cs="Times New Roman"/>
                <w:sz w:val="24"/>
                <w:szCs w:val="24"/>
              </w:rPr>
            </w:pPr>
            <w:r w:rsidRPr="00E059BC">
              <w:rPr>
                <w:rFonts w:ascii="Times New Roman" w:hAnsi="Times New Roman" w:cs="Times New Roman"/>
                <w:sz w:val="24"/>
                <w:szCs w:val="24"/>
              </w:rPr>
              <w:t>Performance</w:t>
            </w:r>
          </w:p>
        </w:tc>
      </w:tr>
      <w:tr w:rsidR="00021CAB" w:rsidRPr="00E059BC" w14:paraId="43BCBFFF" w14:textId="77777777" w:rsidTr="00626C54">
        <w:tc>
          <w:tcPr>
            <w:tcW w:w="2547" w:type="dxa"/>
          </w:tcPr>
          <w:p w14:paraId="75A71396" w14:textId="2EBA8A09" w:rsidR="00021CAB" w:rsidRPr="00E059BC" w:rsidRDefault="00021CAB">
            <w:pPr>
              <w:rPr>
                <w:rFonts w:ascii="Times New Roman" w:hAnsi="Times New Roman" w:cs="Times New Roman"/>
                <w:b/>
                <w:bCs/>
                <w:sz w:val="24"/>
                <w:szCs w:val="24"/>
              </w:rPr>
            </w:pPr>
            <w:r w:rsidRPr="00E059BC">
              <w:rPr>
                <w:rFonts w:ascii="Times New Roman" w:hAnsi="Times New Roman" w:cs="Times New Roman"/>
                <w:b/>
                <w:bCs/>
                <w:sz w:val="24"/>
                <w:szCs w:val="24"/>
              </w:rPr>
              <w:t>Liquidity ratios</w:t>
            </w:r>
          </w:p>
        </w:tc>
        <w:tc>
          <w:tcPr>
            <w:tcW w:w="1961" w:type="dxa"/>
          </w:tcPr>
          <w:p w14:paraId="25A76272" w14:textId="54E84E8D" w:rsidR="00021CAB" w:rsidRPr="00E059BC" w:rsidRDefault="00021CAB">
            <w:pPr>
              <w:rPr>
                <w:rFonts w:ascii="Times New Roman" w:hAnsi="Times New Roman" w:cs="Times New Roman"/>
                <w:sz w:val="24"/>
                <w:szCs w:val="24"/>
              </w:rPr>
            </w:pPr>
          </w:p>
        </w:tc>
        <w:tc>
          <w:tcPr>
            <w:tcW w:w="2858" w:type="dxa"/>
          </w:tcPr>
          <w:p w14:paraId="21787A1F" w14:textId="446CAD61" w:rsidR="00021CAB" w:rsidRPr="00E059BC" w:rsidRDefault="00021CAB">
            <w:pPr>
              <w:rPr>
                <w:rFonts w:ascii="Times New Roman" w:hAnsi="Times New Roman" w:cs="Times New Roman"/>
                <w:sz w:val="24"/>
                <w:szCs w:val="24"/>
              </w:rPr>
            </w:pPr>
          </w:p>
        </w:tc>
        <w:tc>
          <w:tcPr>
            <w:tcW w:w="1650" w:type="dxa"/>
          </w:tcPr>
          <w:p w14:paraId="25F1AE69" w14:textId="77777777" w:rsidR="00021CAB" w:rsidRPr="00E059BC" w:rsidRDefault="00021CAB">
            <w:pPr>
              <w:rPr>
                <w:rFonts w:ascii="Times New Roman" w:hAnsi="Times New Roman" w:cs="Times New Roman"/>
                <w:sz w:val="24"/>
                <w:szCs w:val="24"/>
              </w:rPr>
            </w:pPr>
          </w:p>
        </w:tc>
      </w:tr>
      <w:tr w:rsidR="00021CAB" w:rsidRPr="00E059BC" w14:paraId="1A500C46" w14:textId="77777777" w:rsidTr="00626C54">
        <w:tc>
          <w:tcPr>
            <w:tcW w:w="2547" w:type="dxa"/>
          </w:tcPr>
          <w:p w14:paraId="3B1E68E9" w14:textId="368BD2EB"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Quick</w:t>
            </w:r>
          </w:p>
        </w:tc>
        <w:tc>
          <w:tcPr>
            <w:tcW w:w="1961" w:type="dxa"/>
          </w:tcPr>
          <w:p w14:paraId="18AB933B" w14:textId="10DB954D"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 xml:space="preserve">0.84 </w:t>
            </w:r>
          </w:p>
        </w:tc>
        <w:tc>
          <w:tcPr>
            <w:tcW w:w="2858" w:type="dxa"/>
          </w:tcPr>
          <w:p w14:paraId="093BF715" w14:textId="6AE4038F"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1.41</w:t>
            </w:r>
          </w:p>
        </w:tc>
        <w:tc>
          <w:tcPr>
            <w:tcW w:w="1650" w:type="dxa"/>
          </w:tcPr>
          <w:p w14:paraId="5C82A064" w14:textId="6CE6686C" w:rsidR="00021CAB" w:rsidRPr="00E059BC" w:rsidRDefault="00E873EE"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021CAB" w:rsidRPr="00E059BC" w14:paraId="1C3B8837" w14:textId="77777777" w:rsidTr="00626C54">
        <w:tc>
          <w:tcPr>
            <w:tcW w:w="2547" w:type="dxa"/>
          </w:tcPr>
          <w:p w14:paraId="0BF39B25" w14:textId="55E4D960"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Current</w:t>
            </w:r>
          </w:p>
        </w:tc>
        <w:tc>
          <w:tcPr>
            <w:tcW w:w="1961" w:type="dxa"/>
          </w:tcPr>
          <w:p w14:paraId="1B939962" w14:textId="6C6D4B43"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1.10</w:t>
            </w:r>
          </w:p>
        </w:tc>
        <w:tc>
          <w:tcPr>
            <w:tcW w:w="2858" w:type="dxa"/>
          </w:tcPr>
          <w:p w14:paraId="08700E43" w14:textId="65EFDB95"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2.46</w:t>
            </w:r>
          </w:p>
        </w:tc>
        <w:tc>
          <w:tcPr>
            <w:tcW w:w="1650" w:type="dxa"/>
          </w:tcPr>
          <w:p w14:paraId="4DDFC2A8" w14:textId="61F6B02A" w:rsidR="00021CAB"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021CAB" w:rsidRPr="00E059BC" w14:paraId="20CDA44A" w14:textId="77777777" w:rsidTr="00626C54">
        <w:tc>
          <w:tcPr>
            <w:tcW w:w="2547" w:type="dxa"/>
          </w:tcPr>
          <w:p w14:paraId="32E57003" w14:textId="54D0D6CB" w:rsidR="00021CAB" w:rsidRPr="00E059BC" w:rsidRDefault="00021CAB">
            <w:pPr>
              <w:rPr>
                <w:rFonts w:ascii="Times New Roman" w:hAnsi="Times New Roman" w:cs="Times New Roman"/>
                <w:sz w:val="24"/>
                <w:szCs w:val="24"/>
              </w:rPr>
            </w:pPr>
            <w:r w:rsidRPr="00E059BC">
              <w:rPr>
                <w:rFonts w:ascii="Times New Roman" w:hAnsi="Times New Roman" w:cs="Times New Roman"/>
                <w:sz w:val="24"/>
                <w:szCs w:val="24"/>
              </w:rPr>
              <w:t>Cash</w:t>
            </w:r>
          </w:p>
        </w:tc>
        <w:tc>
          <w:tcPr>
            <w:tcW w:w="1961" w:type="dxa"/>
          </w:tcPr>
          <w:p w14:paraId="2706E840" w14:textId="6466C033"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0.61</w:t>
            </w:r>
          </w:p>
        </w:tc>
        <w:tc>
          <w:tcPr>
            <w:tcW w:w="2858" w:type="dxa"/>
          </w:tcPr>
          <w:p w14:paraId="4F08ABD3" w14:textId="457FA304"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0.96</w:t>
            </w:r>
          </w:p>
        </w:tc>
        <w:tc>
          <w:tcPr>
            <w:tcW w:w="1650" w:type="dxa"/>
          </w:tcPr>
          <w:p w14:paraId="1AB4AFEC" w14:textId="4FD12EDF" w:rsidR="00021CAB"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021CAB" w:rsidRPr="00E059BC" w14:paraId="5B6EE5E7" w14:textId="77777777" w:rsidTr="00626C54">
        <w:tc>
          <w:tcPr>
            <w:tcW w:w="2547" w:type="dxa"/>
          </w:tcPr>
          <w:p w14:paraId="0C245D2A" w14:textId="3B458767" w:rsidR="00021CAB" w:rsidRPr="00E059BC" w:rsidRDefault="00C56557">
            <w:pPr>
              <w:rPr>
                <w:rFonts w:ascii="Times New Roman" w:hAnsi="Times New Roman" w:cs="Times New Roman"/>
                <w:b/>
                <w:bCs/>
                <w:sz w:val="24"/>
                <w:szCs w:val="24"/>
              </w:rPr>
            </w:pPr>
            <w:r w:rsidRPr="00E059BC">
              <w:rPr>
                <w:rFonts w:ascii="Times New Roman" w:hAnsi="Times New Roman" w:cs="Times New Roman"/>
                <w:b/>
                <w:bCs/>
                <w:sz w:val="24"/>
                <w:szCs w:val="24"/>
              </w:rPr>
              <w:t>Solvency Ratios</w:t>
            </w:r>
          </w:p>
        </w:tc>
        <w:tc>
          <w:tcPr>
            <w:tcW w:w="1961" w:type="dxa"/>
          </w:tcPr>
          <w:p w14:paraId="6A16C329" w14:textId="77777777" w:rsidR="00021CAB" w:rsidRPr="00E059BC" w:rsidRDefault="00021CAB">
            <w:pPr>
              <w:rPr>
                <w:rFonts w:ascii="Times New Roman" w:hAnsi="Times New Roman" w:cs="Times New Roman"/>
                <w:sz w:val="24"/>
                <w:szCs w:val="24"/>
              </w:rPr>
            </w:pPr>
          </w:p>
        </w:tc>
        <w:tc>
          <w:tcPr>
            <w:tcW w:w="2858" w:type="dxa"/>
          </w:tcPr>
          <w:p w14:paraId="0649F0DD" w14:textId="77777777" w:rsidR="00021CAB" w:rsidRPr="00E059BC" w:rsidRDefault="00021CAB">
            <w:pPr>
              <w:rPr>
                <w:rFonts w:ascii="Times New Roman" w:hAnsi="Times New Roman" w:cs="Times New Roman"/>
                <w:sz w:val="24"/>
                <w:szCs w:val="24"/>
              </w:rPr>
            </w:pPr>
          </w:p>
        </w:tc>
        <w:tc>
          <w:tcPr>
            <w:tcW w:w="1650" w:type="dxa"/>
          </w:tcPr>
          <w:p w14:paraId="5DA9F027" w14:textId="77777777" w:rsidR="00021CAB" w:rsidRPr="00E059BC" w:rsidRDefault="00021CAB" w:rsidP="00E873EE">
            <w:pPr>
              <w:jc w:val="center"/>
              <w:rPr>
                <w:rFonts w:ascii="Times New Roman" w:hAnsi="Times New Roman" w:cs="Times New Roman"/>
                <w:sz w:val="24"/>
                <w:szCs w:val="24"/>
              </w:rPr>
            </w:pPr>
          </w:p>
        </w:tc>
      </w:tr>
      <w:tr w:rsidR="00021CAB" w:rsidRPr="00E059BC" w14:paraId="451E3FFE" w14:textId="77777777" w:rsidTr="00626C54">
        <w:tc>
          <w:tcPr>
            <w:tcW w:w="2547" w:type="dxa"/>
          </w:tcPr>
          <w:p w14:paraId="4876B1AC" w14:textId="78968DF9"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Debt Ratio</w:t>
            </w:r>
          </w:p>
        </w:tc>
        <w:tc>
          <w:tcPr>
            <w:tcW w:w="1961" w:type="dxa"/>
          </w:tcPr>
          <w:p w14:paraId="0C8AFCC3" w14:textId="347E679A"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2.47</w:t>
            </w:r>
          </w:p>
        </w:tc>
        <w:tc>
          <w:tcPr>
            <w:tcW w:w="2858" w:type="dxa"/>
          </w:tcPr>
          <w:p w14:paraId="4B0F802F" w14:textId="580BE6A4"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0.43</w:t>
            </w:r>
          </w:p>
        </w:tc>
        <w:tc>
          <w:tcPr>
            <w:tcW w:w="1650" w:type="dxa"/>
          </w:tcPr>
          <w:p w14:paraId="2CB55F85" w14:textId="67377B15" w:rsidR="00021CAB" w:rsidRPr="00E059BC" w:rsidRDefault="006248D4"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021CAB" w:rsidRPr="00E059BC" w14:paraId="3343F7FA" w14:textId="77777777" w:rsidTr="00626C54">
        <w:tc>
          <w:tcPr>
            <w:tcW w:w="2547" w:type="dxa"/>
          </w:tcPr>
          <w:p w14:paraId="3489C279" w14:textId="3BE4F2D7"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D</w:t>
            </w:r>
            <w:r w:rsidR="007476A5" w:rsidRPr="00E059BC">
              <w:rPr>
                <w:rFonts w:ascii="Times New Roman" w:hAnsi="Times New Roman" w:cs="Times New Roman"/>
                <w:sz w:val="24"/>
                <w:szCs w:val="24"/>
              </w:rPr>
              <w:t>/</w:t>
            </w:r>
            <w:r w:rsidRPr="00E059BC">
              <w:rPr>
                <w:rFonts w:ascii="Times New Roman" w:hAnsi="Times New Roman" w:cs="Times New Roman"/>
                <w:sz w:val="24"/>
                <w:szCs w:val="24"/>
              </w:rPr>
              <w:t>E Ratio</w:t>
            </w:r>
          </w:p>
        </w:tc>
        <w:tc>
          <w:tcPr>
            <w:tcW w:w="1961" w:type="dxa"/>
          </w:tcPr>
          <w:p w14:paraId="23F67593" w14:textId="57767A5C"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1.47</w:t>
            </w:r>
          </w:p>
        </w:tc>
        <w:tc>
          <w:tcPr>
            <w:tcW w:w="2858" w:type="dxa"/>
          </w:tcPr>
          <w:p w14:paraId="4109452B" w14:textId="1CEDDC7D" w:rsidR="00021CAB"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0.6</w:t>
            </w:r>
          </w:p>
        </w:tc>
        <w:tc>
          <w:tcPr>
            <w:tcW w:w="1650" w:type="dxa"/>
          </w:tcPr>
          <w:p w14:paraId="1BAF6860" w14:textId="1ADB4192" w:rsidR="00021CAB" w:rsidRPr="00E059BC" w:rsidRDefault="006248D4"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C56557" w:rsidRPr="00E059BC" w14:paraId="3DDE1800" w14:textId="77777777" w:rsidTr="00626C54">
        <w:tc>
          <w:tcPr>
            <w:tcW w:w="2547" w:type="dxa"/>
          </w:tcPr>
          <w:p w14:paraId="402780A5" w14:textId="6463E160" w:rsidR="00C56557" w:rsidRPr="00E059BC" w:rsidRDefault="00C56557">
            <w:pPr>
              <w:rPr>
                <w:rFonts w:ascii="Times New Roman" w:hAnsi="Times New Roman" w:cs="Times New Roman"/>
                <w:sz w:val="24"/>
                <w:szCs w:val="24"/>
              </w:rPr>
            </w:pPr>
            <w:r w:rsidRPr="00E059BC">
              <w:rPr>
                <w:rFonts w:ascii="Times New Roman" w:hAnsi="Times New Roman" w:cs="Times New Roman"/>
                <w:sz w:val="24"/>
                <w:szCs w:val="24"/>
              </w:rPr>
              <w:t>Interest Coverage</w:t>
            </w:r>
          </w:p>
        </w:tc>
        <w:tc>
          <w:tcPr>
            <w:tcW w:w="1961" w:type="dxa"/>
          </w:tcPr>
          <w:p w14:paraId="467F0B77" w14:textId="0D784850"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5.66</w:t>
            </w:r>
          </w:p>
        </w:tc>
        <w:tc>
          <w:tcPr>
            <w:tcW w:w="2858" w:type="dxa"/>
          </w:tcPr>
          <w:p w14:paraId="12E79FB0" w14:textId="6857BA84"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1.48</w:t>
            </w:r>
          </w:p>
        </w:tc>
        <w:tc>
          <w:tcPr>
            <w:tcW w:w="1650" w:type="dxa"/>
          </w:tcPr>
          <w:p w14:paraId="5AE5D30A" w14:textId="5944FE0B" w:rsidR="00C56557"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C56557" w:rsidRPr="00E059BC" w14:paraId="04E751A7" w14:textId="77777777" w:rsidTr="00626C54">
        <w:tc>
          <w:tcPr>
            <w:tcW w:w="2547" w:type="dxa"/>
          </w:tcPr>
          <w:p w14:paraId="0C4B8B06" w14:textId="3148D64A" w:rsidR="00C56557" w:rsidRPr="00E059BC" w:rsidRDefault="00626C54">
            <w:pPr>
              <w:rPr>
                <w:rFonts w:ascii="Times New Roman" w:hAnsi="Times New Roman" w:cs="Times New Roman"/>
                <w:b/>
                <w:bCs/>
                <w:sz w:val="24"/>
                <w:szCs w:val="24"/>
              </w:rPr>
            </w:pPr>
            <w:r w:rsidRPr="00E059BC">
              <w:rPr>
                <w:rFonts w:ascii="Times New Roman" w:hAnsi="Times New Roman" w:cs="Times New Roman"/>
                <w:b/>
                <w:bCs/>
                <w:sz w:val="24"/>
                <w:szCs w:val="24"/>
              </w:rPr>
              <w:t>Profitability Ratios</w:t>
            </w:r>
          </w:p>
        </w:tc>
        <w:tc>
          <w:tcPr>
            <w:tcW w:w="1961" w:type="dxa"/>
          </w:tcPr>
          <w:p w14:paraId="4921228C" w14:textId="77777777" w:rsidR="00C56557" w:rsidRPr="00E059BC" w:rsidRDefault="00C56557">
            <w:pPr>
              <w:rPr>
                <w:rFonts w:ascii="Times New Roman" w:hAnsi="Times New Roman" w:cs="Times New Roman"/>
                <w:sz w:val="24"/>
                <w:szCs w:val="24"/>
              </w:rPr>
            </w:pPr>
          </w:p>
        </w:tc>
        <w:tc>
          <w:tcPr>
            <w:tcW w:w="2858" w:type="dxa"/>
          </w:tcPr>
          <w:p w14:paraId="173725A3" w14:textId="77777777" w:rsidR="00C56557" w:rsidRPr="00E059BC" w:rsidRDefault="00C56557">
            <w:pPr>
              <w:rPr>
                <w:rFonts w:ascii="Times New Roman" w:hAnsi="Times New Roman" w:cs="Times New Roman"/>
                <w:sz w:val="24"/>
                <w:szCs w:val="24"/>
              </w:rPr>
            </w:pPr>
          </w:p>
        </w:tc>
        <w:tc>
          <w:tcPr>
            <w:tcW w:w="1650" w:type="dxa"/>
          </w:tcPr>
          <w:p w14:paraId="39AB8A59" w14:textId="77777777" w:rsidR="00C56557" w:rsidRPr="00E059BC" w:rsidRDefault="00C56557" w:rsidP="00E873EE">
            <w:pPr>
              <w:jc w:val="center"/>
              <w:rPr>
                <w:rFonts w:ascii="Times New Roman" w:hAnsi="Times New Roman" w:cs="Times New Roman"/>
                <w:sz w:val="24"/>
                <w:szCs w:val="24"/>
              </w:rPr>
            </w:pPr>
          </w:p>
        </w:tc>
      </w:tr>
      <w:tr w:rsidR="00C56557" w:rsidRPr="00E059BC" w14:paraId="52F78365" w14:textId="77777777" w:rsidTr="00626C54">
        <w:tc>
          <w:tcPr>
            <w:tcW w:w="2547" w:type="dxa"/>
          </w:tcPr>
          <w:p w14:paraId="39341490" w14:textId="3D45B1AC"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 xml:space="preserve">Profit margin </w:t>
            </w:r>
          </w:p>
        </w:tc>
        <w:tc>
          <w:tcPr>
            <w:tcW w:w="1961" w:type="dxa"/>
          </w:tcPr>
          <w:p w14:paraId="1E05A830" w14:textId="46CC729F"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-0.067</w:t>
            </w:r>
          </w:p>
        </w:tc>
        <w:tc>
          <w:tcPr>
            <w:tcW w:w="2858" w:type="dxa"/>
          </w:tcPr>
          <w:p w14:paraId="5A12050A" w14:textId="2C562324"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0.023</w:t>
            </w:r>
          </w:p>
        </w:tc>
        <w:tc>
          <w:tcPr>
            <w:tcW w:w="1650" w:type="dxa"/>
          </w:tcPr>
          <w:p w14:paraId="0058350A" w14:textId="23DBEB9A" w:rsidR="00C56557"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C56557" w:rsidRPr="00E059BC" w14:paraId="05BEE4AB" w14:textId="77777777" w:rsidTr="00626C54">
        <w:tc>
          <w:tcPr>
            <w:tcW w:w="2547" w:type="dxa"/>
          </w:tcPr>
          <w:p w14:paraId="7C788D76" w14:textId="4C41A967"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Gross Margin</w:t>
            </w:r>
          </w:p>
        </w:tc>
        <w:tc>
          <w:tcPr>
            <w:tcW w:w="1961" w:type="dxa"/>
          </w:tcPr>
          <w:p w14:paraId="37D7D2F1" w14:textId="5F17F4FA"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0.18</w:t>
            </w:r>
          </w:p>
        </w:tc>
        <w:tc>
          <w:tcPr>
            <w:tcW w:w="2858" w:type="dxa"/>
          </w:tcPr>
          <w:p w14:paraId="6DC430C1" w14:textId="7F8EECB3"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0.175</w:t>
            </w:r>
          </w:p>
        </w:tc>
        <w:tc>
          <w:tcPr>
            <w:tcW w:w="1650" w:type="dxa"/>
          </w:tcPr>
          <w:p w14:paraId="1A8F47B7" w14:textId="46EA3D6D" w:rsidR="00C56557"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C56557" w:rsidRPr="00E059BC" w14:paraId="099F71AF" w14:textId="77777777" w:rsidTr="00626C54">
        <w:tc>
          <w:tcPr>
            <w:tcW w:w="2547" w:type="dxa"/>
          </w:tcPr>
          <w:p w14:paraId="0757158B" w14:textId="6F2DD497"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Operating Margin</w:t>
            </w:r>
          </w:p>
        </w:tc>
        <w:tc>
          <w:tcPr>
            <w:tcW w:w="1961" w:type="dxa"/>
          </w:tcPr>
          <w:p w14:paraId="32E2296C" w14:textId="052064EC"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-0.053</w:t>
            </w:r>
          </w:p>
        </w:tc>
        <w:tc>
          <w:tcPr>
            <w:tcW w:w="2858" w:type="dxa"/>
          </w:tcPr>
          <w:p w14:paraId="295BE95B" w14:textId="291B79F4"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0.072</w:t>
            </w:r>
          </w:p>
        </w:tc>
        <w:tc>
          <w:tcPr>
            <w:tcW w:w="1650" w:type="dxa"/>
          </w:tcPr>
          <w:p w14:paraId="461408B9" w14:textId="23434735" w:rsidR="00C56557"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C56557" w:rsidRPr="00E059BC" w14:paraId="389703F6" w14:textId="77777777" w:rsidTr="00626C54">
        <w:tc>
          <w:tcPr>
            <w:tcW w:w="2547" w:type="dxa"/>
          </w:tcPr>
          <w:p w14:paraId="44D8FD32" w14:textId="0956C28C"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ROE</w:t>
            </w:r>
          </w:p>
        </w:tc>
        <w:tc>
          <w:tcPr>
            <w:tcW w:w="1961" w:type="dxa"/>
          </w:tcPr>
          <w:p w14:paraId="537650F6" w14:textId="7DA2A87E"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w:t>
            </w:r>
            <w:r w:rsidR="00F976E2">
              <w:rPr>
                <w:rFonts w:ascii="Times New Roman" w:hAnsi="Times New Roman" w:cs="Times New Roman"/>
                <w:sz w:val="24"/>
                <w:szCs w:val="24"/>
              </w:rPr>
              <w:t>74</w:t>
            </w:r>
          </w:p>
        </w:tc>
        <w:tc>
          <w:tcPr>
            <w:tcW w:w="2858" w:type="dxa"/>
          </w:tcPr>
          <w:p w14:paraId="7D0CD97C" w14:textId="47AFD9D6"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-0.036</w:t>
            </w:r>
          </w:p>
        </w:tc>
        <w:tc>
          <w:tcPr>
            <w:tcW w:w="1650" w:type="dxa"/>
          </w:tcPr>
          <w:p w14:paraId="71006E5E" w14:textId="670F701A" w:rsidR="00C56557"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C56557" w:rsidRPr="00E059BC" w14:paraId="4754252D" w14:textId="77777777" w:rsidTr="00626C54">
        <w:tc>
          <w:tcPr>
            <w:tcW w:w="2547" w:type="dxa"/>
          </w:tcPr>
          <w:p w14:paraId="147FB8EE" w14:textId="543D2293" w:rsidR="00C56557" w:rsidRPr="00E059BC" w:rsidRDefault="00626C54">
            <w:pPr>
              <w:rPr>
                <w:rFonts w:ascii="Times New Roman" w:hAnsi="Times New Roman" w:cs="Times New Roman"/>
                <w:sz w:val="24"/>
                <w:szCs w:val="24"/>
              </w:rPr>
            </w:pPr>
            <w:r w:rsidRPr="00E059BC">
              <w:rPr>
                <w:rFonts w:ascii="Times New Roman" w:hAnsi="Times New Roman" w:cs="Times New Roman"/>
                <w:sz w:val="24"/>
                <w:szCs w:val="24"/>
              </w:rPr>
              <w:t>ROA</w:t>
            </w:r>
          </w:p>
        </w:tc>
        <w:tc>
          <w:tcPr>
            <w:tcW w:w="1961" w:type="dxa"/>
          </w:tcPr>
          <w:p w14:paraId="02E63DA9" w14:textId="1C00CBA0"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w:t>
            </w:r>
            <w:r w:rsidR="00F976E2">
              <w:rPr>
                <w:rFonts w:ascii="Times New Roman" w:hAnsi="Times New Roman" w:cs="Times New Roman"/>
                <w:sz w:val="24"/>
                <w:szCs w:val="24"/>
              </w:rPr>
              <w:t>167</w:t>
            </w:r>
          </w:p>
        </w:tc>
        <w:tc>
          <w:tcPr>
            <w:tcW w:w="2858" w:type="dxa"/>
          </w:tcPr>
          <w:p w14:paraId="55D81C8A" w14:textId="3462D124" w:rsidR="00C56557" w:rsidRPr="00E059BC" w:rsidRDefault="00AE1679">
            <w:pPr>
              <w:rPr>
                <w:rFonts w:ascii="Times New Roman" w:hAnsi="Times New Roman" w:cs="Times New Roman"/>
                <w:sz w:val="24"/>
                <w:szCs w:val="24"/>
              </w:rPr>
            </w:pPr>
            <w:r w:rsidRPr="00E059BC">
              <w:rPr>
                <w:rFonts w:ascii="Times New Roman" w:hAnsi="Times New Roman" w:cs="Times New Roman"/>
                <w:sz w:val="24"/>
                <w:szCs w:val="24"/>
              </w:rPr>
              <w:t>-0.007</w:t>
            </w:r>
          </w:p>
        </w:tc>
        <w:tc>
          <w:tcPr>
            <w:tcW w:w="1650" w:type="dxa"/>
          </w:tcPr>
          <w:p w14:paraId="5ECBB10D" w14:textId="564C89F5" w:rsidR="00C56557" w:rsidRPr="00E059BC" w:rsidRDefault="007476A5" w:rsidP="00E873EE">
            <w:pPr>
              <w:jc w:val="center"/>
              <w:rPr>
                <w:rFonts w:ascii="Times New Roman" w:hAnsi="Times New Roman" w:cs="Times New Roman"/>
                <w:sz w:val="24"/>
                <w:szCs w:val="24"/>
              </w:rPr>
            </w:pPr>
            <w:r w:rsidRPr="00E059BC">
              <w:rPr>
                <w:rFonts w:ascii="Times New Roman" w:hAnsi="Times New Roman" w:cs="Times New Roman"/>
                <w:sz w:val="24"/>
                <w:szCs w:val="24"/>
              </w:rPr>
              <w:t>-</w:t>
            </w:r>
          </w:p>
        </w:tc>
      </w:tr>
    </w:tbl>
    <w:p w14:paraId="7CE40485" w14:textId="4964243E" w:rsidR="0053639F" w:rsidRPr="00E059BC" w:rsidRDefault="006346E2" w:rsidP="006346E2">
      <w:pPr>
        <w:jc w:val="center"/>
        <w:rPr>
          <w:rFonts w:ascii="Times New Roman" w:hAnsi="Times New Roman" w:cs="Times New Roman"/>
          <w:sz w:val="24"/>
          <w:szCs w:val="24"/>
        </w:rPr>
      </w:pPr>
      <w:r w:rsidRPr="00E059BC">
        <w:rPr>
          <w:rFonts w:ascii="Times New Roman" w:hAnsi="Times New Roman" w:cs="Times New Roman"/>
          <w:sz w:val="24"/>
          <w:szCs w:val="24"/>
        </w:rPr>
        <w:t>Table 1</w:t>
      </w:r>
    </w:p>
    <w:p w14:paraId="21CF4A0C" w14:textId="39A5831B" w:rsidR="000161D1" w:rsidRPr="00E059BC" w:rsidRDefault="0015553C" w:rsidP="0015553C">
      <w:pPr>
        <w:rPr>
          <w:rFonts w:ascii="Times New Roman" w:hAnsi="Times New Roman" w:cs="Times New Roman"/>
          <w:sz w:val="24"/>
          <w:szCs w:val="24"/>
        </w:rPr>
      </w:pPr>
      <w:r w:rsidRPr="00E059BC">
        <w:rPr>
          <w:rFonts w:ascii="Times New Roman" w:hAnsi="Times New Roman" w:cs="Times New Roman"/>
          <w:sz w:val="24"/>
          <w:szCs w:val="24"/>
        </w:rPr>
        <w:t xml:space="preserve">Table 1 and Chart 1 illustrate AML underperforms in most if not all of the financial ratios against the general US automotive sector in the year 2020. </w:t>
      </w:r>
    </w:p>
    <w:p w14:paraId="59804D4E" w14:textId="16B6A3B4" w:rsidR="00E672CC" w:rsidRPr="00E059BC" w:rsidRDefault="006346E2">
      <w:pPr>
        <w:rPr>
          <w:rFonts w:ascii="Times New Roman" w:hAnsi="Times New Roman" w:cs="Times New Roman"/>
          <w:sz w:val="24"/>
          <w:szCs w:val="24"/>
        </w:rPr>
      </w:pPr>
      <w:r w:rsidRPr="00E059BC">
        <w:rPr>
          <w:rFonts w:ascii="Times New Roman" w:hAnsi="Times New Roman" w:cs="Times New Roman"/>
          <w:noProof/>
          <w:sz w:val="24"/>
          <w:szCs w:val="24"/>
        </w:rPr>
        <w:drawing>
          <wp:inline distT="0" distB="0" distL="0" distR="0" wp14:anchorId="7AE1859F" wp14:editId="3A0653C0">
            <wp:extent cx="5705061" cy="3398713"/>
            <wp:effectExtent l="0" t="0" r="10160" b="11430"/>
            <wp:docPr id="7" name="Chart 7">
              <a:extLst xmlns:a="http://schemas.openxmlformats.org/drawingml/2006/main">
                <a:ext uri="{FF2B5EF4-FFF2-40B4-BE49-F238E27FC236}">
                  <a16:creationId xmlns:a16="http://schemas.microsoft.com/office/drawing/2014/main" id="{1ADABA98-0DD8-4688-8927-38751E3B99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B2F878" w14:textId="75872E86" w:rsidR="006346E2" w:rsidRDefault="006346E2" w:rsidP="006346E2">
      <w:pPr>
        <w:jc w:val="center"/>
        <w:rPr>
          <w:rFonts w:ascii="Times New Roman" w:hAnsi="Times New Roman" w:cs="Times New Roman"/>
          <w:sz w:val="24"/>
          <w:szCs w:val="24"/>
        </w:rPr>
      </w:pPr>
      <w:r w:rsidRPr="00E059BC">
        <w:rPr>
          <w:rFonts w:ascii="Times New Roman" w:hAnsi="Times New Roman" w:cs="Times New Roman"/>
          <w:sz w:val="24"/>
          <w:szCs w:val="24"/>
        </w:rPr>
        <w:t>Chart 1</w:t>
      </w:r>
    </w:p>
    <w:p w14:paraId="5E10CCFB" w14:textId="14C329EC" w:rsidR="00513C86" w:rsidRPr="00E059BC" w:rsidRDefault="00513C86" w:rsidP="006346E2">
      <w:pPr>
        <w:jc w:val="center"/>
        <w:rPr>
          <w:rFonts w:ascii="Times New Roman" w:hAnsi="Times New Roman" w:cs="Times New Roman"/>
          <w:sz w:val="24"/>
          <w:szCs w:val="24"/>
        </w:rPr>
      </w:pPr>
    </w:p>
    <w:p w14:paraId="2F096D46" w14:textId="17B1E794" w:rsidR="000A0FA5" w:rsidRPr="00E059BC" w:rsidRDefault="000A0FA5" w:rsidP="006346E2">
      <w:pPr>
        <w:jc w:val="center"/>
        <w:rPr>
          <w:rFonts w:ascii="Times New Roman" w:hAnsi="Times New Roman" w:cs="Times New Roman"/>
          <w:sz w:val="24"/>
          <w:szCs w:val="24"/>
        </w:rPr>
      </w:pPr>
    </w:p>
    <w:p w14:paraId="1F0DE7BE" w14:textId="6AA71BBD" w:rsidR="000A0FA5" w:rsidRPr="00E059BC" w:rsidRDefault="00F61BB4" w:rsidP="00F61BB4">
      <w:pPr>
        <w:pStyle w:val="Heading1"/>
        <w:rPr>
          <w:rFonts w:ascii="Times New Roman" w:hAnsi="Times New Roman" w:cs="Times New Roman"/>
          <w:sz w:val="24"/>
          <w:szCs w:val="24"/>
        </w:rPr>
      </w:pPr>
      <w:bookmarkStart w:id="16" w:name="_Toc125378693"/>
      <w:r w:rsidRPr="00E059BC">
        <w:rPr>
          <w:rFonts w:ascii="Times New Roman" w:hAnsi="Times New Roman" w:cs="Times New Roman"/>
          <w:sz w:val="24"/>
          <w:szCs w:val="24"/>
        </w:rPr>
        <w:t>AML, Structure, Stock price History and significant events</w:t>
      </w:r>
      <w:bookmarkEnd w:id="16"/>
    </w:p>
    <w:p w14:paraId="27E0053E" w14:textId="5835DE5C" w:rsidR="00F61BB4" w:rsidRPr="00E059BC" w:rsidRDefault="00F61BB4" w:rsidP="00F61BB4">
      <w:pPr>
        <w:rPr>
          <w:rFonts w:ascii="Times New Roman" w:hAnsi="Times New Roman" w:cs="Times New Roman"/>
          <w:sz w:val="24"/>
          <w:szCs w:val="24"/>
        </w:rPr>
      </w:pPr>
    </w:p>
    <w:p w14:paraId="25A04A29" w14:textId="38ACBDBF" w:rsidR="00F61BB4" w:rsidRPr="00E059BC" w:rsidRDefault="00F61BB4" w:rsidP="00F61BB4">
      <w:pPr>
        <w:rPr>
          <w:rFonts w:ascii="Times New Roman" w:hAnsi="Times New Roman" w:cs="Times New Roman"/>
          <w:sz w:val="24"/>
          <w:szCs w:val="24"/>
        </w:rPr>
      </w:pPr>
      <w:r w:rsidRPr="00E059BC">
        <w:rPr>
          <w:rFonts w:ascii="Times New Roman" w:hAnsi="Times New Roman" w:cs="Times New Roman"/>
          <w:sz w:val="24"/>
          <w:szCs w:val="24"/>
        </w:rPr>
        <w:t>AML is a holding company incorporated July 2018</w:t>
      </w:r>
      <w:r w:rsidR="00285B59" w:rsidRPr="00E059BC">
        <w:rPr>
          <w:rFonts w:ascii="Times New Roman" w:hAnsi="Times New Roman" w:cs="Times New Roman"/>
          <w:sz w:val="24"/>
          <w:szCs w:val="24"/>
        </w:rPr>
        <w:t xml:space="preserve"> and is a non-trading business (as defined by SIC 74990)</w:t>
      </w:r>
    </w:p>
    <w:p w14:paraId="55F82C44" w14:textId="0498C01B" w:rsidR="00285B59" w:rsidRDefault="00285B59" w:rsidP="00F61BB4">
      <w:pPr>
        <w:rPr>
          <w:rFonts w:ascii="Times New Roman" w:hAnsi="Times New Roman" w:cs="Times New Roman"/>
          <w:sz w:val="24"/>
          <w:szCs w:val="24"/>
        </w:rPr>
      </w:pPr>
      <w:r w:rsidRPr="00E059BC">
        <w:rPr>
          <w:rFonts w:ascii="Times New Roman" w:hAnsi="Times New Roman" w:cs="Times New Roman"/>
          <w:sz w:val="24"/>
          <w:szCs w:val="24"/>
        </w:rPr>
        <w:t xml:space="preserve">The Aston Martin company has had a turbulent history </w:t>
      </w:r>
      <w:r w:rsidR="00BE0B98">
        <w:rPr>
          <w:rFonts w:ascii="Times New Roman" w:hAnsi="Times New Roman" w:cs="Times New Roman"/>
          <w:sz w:val="24"/>
          <w:szCs w:val="24"/>
        </w:rPr>
        <w:t>experiencing</w:t>
      </w:r>
      <w:r w:rsidRPr="00E059BC">
        <w:rPr>
          <w:rFonts w:ascii="Times New Roman" w:hAnsi="Times New Roman" w:cs="Times New Roman"/>
          <w:sz w:val="24"/>
          <w:szCs w:val="24"/>
        </w:rPr>
        <w:t xml:space="preserve"> bankruptcy on seven occasions</w:t>
      </w:r>
      <w:r w:rsidR="001E75F3" w:rsidRPr="00E059BC">
        <w:rPr>
          <w:rFonts w:ascii="Times New Roman" w:hAnsi="Times New Roman" w:cs="Times New Roman"/>
          <w:sz w:val="24"/>
          <w:szCs w:val="24"/>
        </w:rPr>
        <w:t xml:space="preserve"> (News, 2018).</w:t>
      </w:r>
    </w:p>
    <w:p w14:paraId="730E8606" w14:textId="1807ACAB" w:rsidR="00BE0B98" w:rsidRPr="00E059BC" w:rsidRDefault="00BE0B98" w:rsidP="00F61BB4">
      <w:pPr>
        <w:rPr>
          <w:rFonts w:ascii="Times New Roman" w:hAnsi="Times New Roman" w:cs="Times New Roman"/>
          <w:sz w:val="24"/>
          <w:szCs w:val="24"/>
        </w:rPr>
      </w:pPr>
      <w:r>
        <w:rPr>
          <w:rFonts w:ascii="Times New Roman" w:hAnsi="Times New Roman" w:cs="Times New Roman"/>
          <w:sz w:val="24"/>
          <w:szCs w:val="24"/>
        </w:rPr>
        <w:t>Prior to FTSE250 London Market flotation in 2018, private equity managed AML following Ford Motor Company divesting their</w:t>
      </w:r>
      <w:r w:rsidR="00276B8E">
        <w:rPr>
          <w:rFonts w:ascii="Times New Roman" w:hAnsi="Times New Roman" w:cs="Times New Roman"/>
          <w:sz w:val="24"/>
          <w:szCs w:val="24"/>
        </w:rPr>
        <w:t xml:space="preserve"> 70%</w:t>
      </w:r>
      <w:r>
        <w:rPr>
          <w:rFonts w:ascii="Times New Roman" w:hAnsi="Times New Roman" w:cs="Times New Roman"/>
          <w:sz w:val="24"/>
          <w:szCs w:val="24"/>
        </w:rPr>
        <w:t xml:space="preserve"> controlling </w:t>
      </w:r>
      <w:r w:rsidR="00276B8E">
        <w:rPr>
          <w:rFonts w:ascii="Times New Roman" w:hAnsi="Times New Roman" w:cs="Times New Roman"/>
          <w:sz w:val="24"/>
          <w:szCs w:val="24"/>
        </w:rPr>
        <w:t xml:space="preserve">shareholding </w:t>
      </w:r>
      <w:r w:rsidR="00276B8E" w:rsidRPr="00276B8E">
        <w:rPr>
          <w:rFonts w:ascii="Times New Roman" w:hAnsi="Times New Roman" w:cs="Times New Roman"/>
          <w:sz w:val="24"/>
          <w:szCs w:val="24"/>
        </w:rPr>
        <w:t>(Jones, 2007)</w:t>
      </w:r>
      <w:r w:rsidR="00276B8E">
        <w:rPr>
          <w:rFonts w:ascii="Times New Roman" w:hAnsi="Times New Roman" w:cs="Times New Roman"/>
          <w:sz w:val="24"/>
          <w:szCs w:val="24"/>
        </w:rPr>
        <w:t>.</w:t>
      </w:r>
    </w:p>
    <w:p w14:paraId="144FA16F" w14:textId="29454C2B" w:rsidR="001E75F3" w:rsidRDefault="001E75F3" w:rsidP="00F61BB4">
      <w:pPr>
        <w:rPr>
          <w:rFonts w:ascii="Times New Roman" w:hAnsi="Times New Roman" w:cs="Times New Roman"/>
          <w:sz w:val="24"/>
          <w:szCs w:val="24"/>
        </w:rPr>
      </w:pPr>
      <w:r w:rsidRPr="00E059BC">
        <w:rPr>
          <w:rFonts w:ascii="Times New Roman" w:hAnsi="Times New Roman" w:cs="Times New Roman"/>
          <w:sz w:val="24"/>
          <w:szCs w:val="24"/>
        </w:rPr>
        <w:t xml:space="preserve">While the company’s press releases are bullish, the market analysts and investors are often less </w:t>
      </w:r>
      <w:r w:rsidR="0069085F" w:rsidRPr="00E059BC">
        <w:rPr>
          <w:rFonts w:ascii="Times New Roman" w:hAnsi="Times New Roman" w:cs="Times New Roman"/>
          <w:sz w:val="24"/>
          <w:szCs w:val="24"/>
        </w:rPr>
        <w:t>so, as</w:t>
      </w:r>
      <w:r w:rsidRPr="00E059BC">
        <w:rPr>
          <w:rFonts w:ascii="Times New Roman" w:hAnsi="Times New Roman" w:cs="Times New Roman"/>
          <w:sz w:val="24"/>
          <w:szCs w:val="24"/>
        </w:rPr>
        <w:t xml:space="preserve"> seen in chart 2; </w:t>
      </w:r>
      <w:r w:rsidR="00A94552" w:rsidRPr="00E059BC">
        <w:rPr>
          <w:rFonts w:ascii="Times New Roman" w:hAnsi="Times New Roman" w:cs="Times New Roman"/>
          <w:sz w:val="24"/>
          <w:szCs w:val="24"/>
        </w:rPr>
        <w:t xml:space="preserve">as </w:t>
      </w:r>
      <w:r w:rsidR="0069085F" w:rsidRPr="00E059BC">
        <w:rPr>
          <w:rFonts w:ascii="Times New Roman" w:hAnsi="Times New Roman" w:cs="Times New Roman"/>
          <w:sz w:val="24"/>
          <w:szCs w:val="24"/>
        </w:rPr>
        <w:t>recently</w:t>
      </w:r>
      <w:r w:rsidR="00A94552" w:rsidRPr="00E059BC">
        <w:rPr>
          <w:rFonts w:ascii="Times New Roman" w:hAnsi="Times New Roman" w:cs="Times New Roman"/>
          <w:sz w:val="24"/>
          <w:szCs w:val="24"/>
        </w:rPr>
        <w:t xml:space="preserve"> as Sept. 2022 the share price plummeted from </w:t>
      </w:r>
      <w:r w:rsidR="00276B8E" w:rsidRPr="00E059BC">
        <w:rPr>
          <w:rFonts w:ascii="Times New Roman" w:hAnsi="Times New Roman" w:cs="Times New Roman"/>
          <w:sz w:val="24"/>
          <w:szCs w:val="24"/>
        </w:rPr>
        <w:t>approx.</w:t>
      </w:r>
      <w:r w:rsidR="00A94552" w:rsidRPr="00E059BC">
        <w:rPr>
          <w:rFonts w:ascii="Times New Roman" w:hAnsi="Times New Roman" w:cs="Times New Roman"/>
          <w:sz w:val="24"/>
          <w:szCs w:val="24"/>
        </w:rPr>
        <w:t xml:space="preserve"> 500</w:t>
      </w:r>
      <w:r w:rsidR="00276B8E">
        <w:rPr>
          <w:rFonts w:ascii="Times New Roman" w:hAnsi="Times New Roman" w:cs="Times New Roman"/>
          <w:sz w:val="24"/>
          <w:szCs w:val="24"/>
        </w:rPr>
        <w:t>p</w:t>
      </w:r>
      <w:r w:rsidR="00A94552" w:rsidRPr="00E059BC">
        <w:rPr>
          <w:rFonts w:ascii="Times New Roman" w:hAnsi="Times New Roman" w:cs="Times New Roman"/>
          <w:sz w:val="24"/>
          <w:szCs w:val="24"/>
        </w:rPr>
        <w:t xml:space="preserve"> to 220</w:t>
      </w:r>
      <w:r w:rsidR="00276B8E">
        <w:rPr>
          <w:rFonts w:ascii="Times New Roman" w:hAnsi="Times New Roman" w:cs="Times New Roman"/>
          <w:sz w:val="24"/>
          <w:szCs w:val="24"/>
        </w:rPr>
        <w:t>p</w:t>
      </w:r>
      <w:r w:rsidR="00A94552" w:rsidRPr="00E059BC">
        <w:rPr>
          <w:rFonts w:ascii="Times New Roman" w:hAnsi="Times New Roman" w:cs="Times New Roman"/>
          <w:sz w:val="24"/>
          <w:szCs w:val="24"/>
        </w:rPr>
        <w:t xml:space="preserve"> </w:t>
      </w:r>
      <w:r w:rsidR="0069085F" w:rsidRPr="00E059BC">
        <w:rPr>
          <w:rFonts w:ascii="Times New Roman" w:hAnsi="Times New Roman" w:cs="Times New Roman"/>
          <w:sz w:val="24"/>
          <w:szCs w:val="24"/>
        </w:rPr>
        <w:t>compounding an</w:t>
      </w:r>
      <w:r w:rsidR="00A94552" w:rsidRPr="00E059BC">
        <w:rPr>
          <w:rFonts w:ascii="Times New Roman" w:hAnsi="Times New Roman" w:cs="Times New Roman"/>
          <w:sz w:val="24"/>
          <w:szCs w:val="24"/>
        </w:rPr>
        <w:t xml:space="preserve"> already painful </w:t>
      </w:r>
      <w:r w:rsidR="0069085F" w:rsidRPr="00E059BC">
        <w:rPr>
          <w:rFonts w:ascii="Times New Roman" w:hAnsi="Times New Roman" w:cs="Times New Roman"/>
          <w:sz w:val="24"/>
          <w:szCs w:val="24"/>
        </w:rPr>
        <w:t>steady drop</w:t>
      </w:r>
      <w:r w:rsidR="00A94552" w:rsidRPr="00E059BC">
        <w:rPr>
          <w:rFonts w:ascii="Times New Roman" w:hAnsi="Times New Roman" w:cs="Times New Roman"/>
          <w:sz w:val="24"/>
          <w:szCs w:val="24"/>
        </w:rPr>
        <w:t xml:space="preserve"> from the annual high of 902.60 </w:t>
      </w:r>
      <w:r w:rsidR="00276B8E">
        <w:rPr>
          <w:rFonts w:ascii="Times New Roman" w:hAnsi="Times New Roman" w:cs="Times New Roman"/>
          <w:sz w:val="24"/>
          <w:szCs w:val="24"/>
        </w:rPr>
        <w:t>p</w:t>
      </w:r>
      <w:r w:rsidR="00A94552" w:rsidRPr="00E059BC">
        <w:rPr>
          <w:rFonts w:ascii="Times New Roman" w:hAnsi="Times New Roman" w:cs="Times New Roman"/>
          <w:sz w:val="24"/>
          <w:szCs w:val="24"/>
        </w:rPr>
        <w:t xml:space="preserve"> per share. </w:t>
      </w:r>
    </w:p>
    <w:p w14:paraId="39DD5900" w14:textId="5C72E544" w:rsidR="00135C6E" w:rsidRPr="00E059BC" w:rsidRDefault="0075656B" w:rsidP="00F61BB4">
      <w:pPr>
        <w:rPr>
          <w:rFonts w:ascii="Times New Roman" w:hAnsi="Times New Roman" w:cs="Times New Roman"/>
          <w:sz w:val="24"/>
          <w:szCs w:val="24"/>
        </w:rPr>
      </w:pPr>
      <w:r w:rsidRPr="00E059BC">
        <w:rPr>
          <w:rFonts w:ascii="Times New Roman" w:hAnsi="Times New Roman" w:cs="Times New Roman"/>
          <w:sz w:val="24"/>
          <w:szCs w:val="24"/>
        </w:rPr>
        <w:t>Market intelligence projects that the company will not be in profit by 2024, continuing its loss-making track record as may be seen in charts 3 and 4. Although this is a marked turnaround from 2020.</w:t>
      </w:r>
    </w:p>
    <w:p w14:paraId="006BC342" w14:textId="77777777" w:rsidR="00BE522C" w:rsidRPr="00E059BC" w:rsidRDefault="00BE522C" w:rsidP="00BE522C">
      <w:pPr>
        <w:rPr>
          <w:rFonts w:ascii="Times New Roman" w:hAnsi="Times New Roman" w:cs="Times New Roman"/>
          <w:sz w:val="24"/>
          <w:szCs w:val="24"/>
        </w:rPr>
      </w:pPr>
      <w:r w:rsidRPr="00E059BC">
        <w:rPr>
          <w:rFonts w:ascii="Times New Roman" w:hAnsi="Times New Roman" w:cs="Times New Roman"/>
          <w:noProof/>
          <w:sz w:val="24"/>
          <w:szCs w:val="24"/>
        </w:rPr>
        <w:drawing>
          <wp:inline distT="0" distB="0" distL="0" distR="0" wp14:anchorId="5D3E160F" wp14:editId="2AD28E3A">
            <wp:extent cx="5498511" cy="4442792"/>
            <wp:effectExtent l="0" t="0" r="6985" b="0"/>
            <wp:docPr id="8" name="Picture 8" descr=" Technical Analysis Chart | MarketScreen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Technical Analysis Chart | MarketScreene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2280" cy="4478158"/>
                    </a:xfrm>
                    <a:prstGeom prst="rect">
                      <a:avLst/>
                    </a:prstGeom>
                    <a:noFill/>
                    <a:ln>
                      <a:noFill/>
                    </a:ln>
                  </pic:spPr>
                </pic:pic>
              </a:graphicData>
            </a:graphic>
          </wp:inline>
        </w:drawing>
      </w:r>
    </w:p>
    <w:p w14:paraId="412E5C52" w14:textId="11703E63" w:rsidR="00BE522C" w:rsidRDefault="00BE522C" w:rsidP="000A0FA5">
      <w:pPr>
        <w:jc w:val="center"/>
        <w:rPr>
          <w:rFonts w:ascii="Times New Roman" w:hAnsi="Times New Roman" w:cs="Times New Roman"/>
          <w:sz w:val="24"/>
          <w:szCs w:val="24"/>
        </w:rPr>
      </w:pPr>
      <w:r w:rsidRPr="00E059BC">
        <w:rPr>
          <w:rFonts w:ascii="Times New Roman" w:hAnsi="Times New Roman" w:cs="Times New Roman"/>
          <w:sz w:val="24"/>
          <w:szCs w:val="24"/>
        </w:rPr>
        <w:t>Chart 2 From (MarketScreener, 2023b)</w:t>
      </w:r>
    </w:p>
    <w:p w14:paraId="1A16161D" w14:textId="5C5B0836" w:rsidR="00513C86" w:rsidRDefault="00513C86" w:rsidP="000A0FA5">
      <w:pPr>
        <w:jc w:val="center"/>
        <w:rPr>
          <w:rFonts w:ascii="Times New Roman" w:hAnsi="Times New Roman" w:cs="Times New Roman"/>
          <w:sz w:val="24"/>
          <w:szCs w:val="24"/>
        </w:rPr>
      </w:pPr>
    </w:p>
    <w:p w14:paraId="2B56E9DE" w14:textId="2803EA49" w:rsidR="00513C86" w:rsidRDefault="00513C86" w:rsidP="000A0FA5">
      <w:pPr>
        <w:jc w:val="center"/>
        <w:rPr>
          <w:rFonts w:ascii="Times New Roman" w:hAnsi="Times New Roman" w:cs="Times New Roman"/>
          <w:sz w:val="24"/>
          <w:szCs w:val="24"/>
        </w:rPr>
      </w:pPr>
      <w:r w:rsidRPr="00513C86">
        <w:rPr>
          <w:rFonts w:ascii="Times New Roman" w:hAnsi="Times New Roman" w:cs="Times New Roman"/>
          <w:sz w:val="24"/>
          <w:szCs w:val="24"/>
        </w:rPr>
        <w:drawing>
          <wp:inline distT="0" distB="0" distL="0" distR="0" wp14:anchorId="7A883030" wp14:editId="6995845E">
            <wp:extent cx="5731510" cy="4016375"/>
            <wp:effectExtent l="0" t="0" r="2540" b="3175"/>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11"/>
                    <a:stretch>
                      <a:fillRect/>
                    </a:stretch>
                  </pic:blipFill>
                  <pic:spPr>
                    <a:xfrm>
                      <a:off x="0" y="0"/>
                      <a:ext cx="5731510" cy="4016375"/>
                    </a:xfrm>
                    <a:prstGeom prst="rect">
                      <a:avLst/>
                    </a:prstGeom>
                  </pic:spPr>
                </pic:pic>
              </a:graphicData>
            </a:graphic>
          </wp:inline>
        </w:drawing>
      </w:r>
    </w:p>
    <w:p w14:paraId="6E59E7A5" w14:textId="7789611A" w:rsidR="0044571D" w:rsidRDefault="00164151" w:rsidP="00EC5423">
      <w:pPr>
        <w:jc w:val="center"/>
        <w:rPr>
          <w:rFonts w:ascii="Times New Roman" w:hAnsi="Times New Roman" w:cs="Times New Roman"/>
          <w:sz w:val="24"/>
          <w:szCs w:val="24"/>
        </w:rPr>
      </w:pPr>
      <w:r>
        <w:rPr>
          <w:rFonts w:ascii="Times New Roman" w:hAnsi="Times New Roman" w:cs="Times New Roman"/>
          <w:sz w:val="24"/>
          <w:szCs w:val="24"/>
        </w:rPr>
        <w:t xml:space="preserve"> Chart 3 </w:t>
      </w:r>
      <w:r w:rsidR="00513C86">
        <w:rPr>
          <w:rFonts w:ascii="Times New Roman" w:hAnsi="Times New Roman" w:cs="Times New Roman"/>
          <w:sz w:val="24"/>
          <w:szCs w:val="24"/>
        </w:rPr>
        <w:t xml:space="preserve">From </w:t>
      </w:r>
      <w:r w:rsidR="00513C86" w:rsidRPr="00513C86">
        <w:rPr>
          <w:rFonts w:ascii="Times New Roman" w:hAnsi="Times New Roman" w:cs="Times New Roman"/>
          <w:sz w:val="24"/>
          <w:szCs w:val="24"/>
        </w:rPr>
        <w:t>(Hargreaves Lansdown, 2023b)</w:t>
      </w:r>
      <w:r w:rsidR="007F06B5" w:rsidRPr="00E059BC">
        <w:rPr>
          <w:rFonts w:ascii="Times New Roman" w:hAnsi="Times New Roman" w:cs="Times New Roman"/>
          <w:sz w:val="24"/>
          <w:szCs w:val="24"/>
        </w:rPr>
        <w:t xml:space="preserve">           </w:t>
      </w:r>
    </w:p>
    <w:p w14:paraId="5800BBD7" w14:textId="77777777" w:rsidR="007F06B5" w:rsidRPr="00E059BC" w:rsidRDefault="007F06B5" w:rsidP="007F06B5">
      <w:pPr>
        <w:jc w:val="center"/>
        <w:rPr>
          <w:rFonts w:ascii="Times New Roman" w:hAnsi="Times New Roman" w:cs="Times New Roman"/>
          <w:sz w:val="24"/>
          <w:szCs w:val="24"/>
        </w:rPr>
      </w:pPr>
    </w:p>
    <w:p w14:paraId="211FBBAC" w14:textId="1546CFAD" w:rsidR="0044571D" w:rsidRDefault="0044571D" w:rsidP="0044571D">
      <w:pPr>
        <w:pStyle w:val="Heading2"/>
      </w:pPr>
      <w:bookmarkStart w:id="17" w:name="_Toc125378694"/>
      <w:r w:rsidRPr="0044571D">
        <w:t>Sector</w:t>
      </w:r>
      <w:r w:rsidR="00BE7ED5">
        <w:t xml:space="preserve"> financial ratio</w:t>
      </w:r>
      <w:r w:rsidRPr="0044571D">
        <w:t xml:space="preserve"> comparison AML and PORSCHE AUTOMOBIL HOLDING</w:t>
      </w:r>
      <w:bookmarkEnd w:id="17"/>
    </w:p>
    <w:p w14:paraId="352A7ECE" w14:textId="2032C85C" w:rsidR="00CB5C8F" w:rsidRPr="00CB5C8F" w:rsidRDefault="00CB5C8F" w:rsidP="00CB5C8F">
      <w:r>
        <w:t xml:space="preserve">Whilst it is acknowledged PAH is a magnitude of order larger than AML, a quick comparison highlights the contrast between two luxury automotive </w:t>
      </w:r>
      <w:r w:rsidR="00EC5423">
        <w:t xml:space="preserve">manufacturers and sales businesses, both with decades of </w:t>
      </w:r>
      <w:r w:rsidR="001953E3">
        <w:t>trading and</w:t>
      </w:r>
      <w:r w:rsidR="00EC5423">
        <w:t xml:space="preserve"> quite differing trading histories. Notably liquidity is very favourable for PAH and below safe for AML and profitability ratios indicate the reality of lack of dividend opportunity, actual or </w:t>
      </w:r>
      <w:r w:rsidR="001953E3">
        <w:t>forecast,</w:t>
      </w:r>
      <w:r w:rsidR="00EC5423">
        <w:t xml:space="preserve"> for AML versus PAH ‘s healthy position. </w:t>
      </w:r>
    </w:p>
    <w:tbl>
      <w:tblPr>
        <w:tblStyle w:val="TableGrid"/>
        <w:tblW w:w="0" w:type="auto"/>
        <w:tblLook w:val="04A0" w:firstRow="1" w:lastRow="0" w:firstColumn="1" w:lastColumn="0" w:noHBand="0" w:noVBand="1"/>
      </w:tblPr>
      <w:tblGrid>
        <w:gridCol w:w="2547"/>
        <w:gridCol w:w="1961"/>
        <w:gridCol w:w="2858"/>
        <w:gridCol w:w="1650"/>
      </w:tblGrid>
      <w:tr w:rsidR="00BE7ED5" w:rsidRPr="00E059BC" w14:paraId="5A4533E3" w14:textId="77777777" w:rsidTr="00F27178">
        <w:tc>
          <w:tcPr>
            <w:tcW w:w="2547" w:type="dxa"/>
          </w:tcPr>
          <w:p w14:paraId="079680D8" w14:textId="77777777" w:rsidR="00BE7ED5" w:rsidRPr="00E059BC" w:rsidRDefault="00BE7ED5" w:rsidP="001953E3">
            <w:pPr>
              <w:jc w:val="center"/>
              <w:rPr>
                <w:rFonts w:ascii="Times New Roman" w:hAnsi="Times New Roman" w:cs="Times New Roman"/>
                <w:sz w:val="24"/>
                <w:szCs w:val="24"/>
              </w:rPr>
            </w:pPr>
          </w:p>
        </w:tc>
        <w:tc>
          <w:tcPr>
            <w:tcW w:w="1961" w:type="dxa"/>
          </w:tcPr>
          <w:p w14:paraId="33D98B80" w14:textId="0812C7D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AML 202</w:t>
            </w:r>
            <w:r w:rsidR="00276B8E">
              <w:rPr>
                <w:rFonts w:ascii="Times New Roman" w:hAnsi="Times New Roman" w:cs="Times New Roman"/>
                <w:sz w:val="24"/>
                <w:szCs w:val="24"/>
              </w:rPr>
              <w:t>1</w:t>
            </w:r>
          </w:p>
        </w:tc>
        <w:tc>
          <w:tcPr>
            <w:tcW w:w="2858" w:type="dxa"/>
          </w:tcPr>
          <w:p w14:paraId="3BC98DB5" w14:textId="509B53D6" w:rsidR="00BE7ED5" w:rsidRPr="00E059BC" w:rsidRDefault="00BE7ED5" w:rsidP="001953E3">
            <w:pPr>
              <w:jc w:val="center"/>
              <w:rPr>
                <w:rFonts w:ascii="Times New Roman" w:hAnsi="Times New Roman" w:cs="Times New Roman"/>
                <w:sz w:val="24"/>
                <w:szCs w:val="24"/>
              </w:rPr>
            </w:pPr>
            <w:r w:rsidRPr="0044571D">
              <w:t>PORSCHE AUTOMOBIL HOLDING</w:t>
            </w:r>
            <w:r w:rsidR="001D71FE">
              <w:t xml:space="preserve"> 202</w:t>
            </w:r>
            <w:r w:rsidR="00276B8E">
              <w:t>1</w:t>
            </w:r>
          </w:p>
        </w:tc>
        <w:tc>
          <w:tcPr>
            <w:tcW w:w="1650" w:type="dxa"/>
          </w:tcPr>
          <w:p w14:paraId="3E4E3B49" w14:textId="51F3BE6F" w:rsidR="00BE7ED5" w:rsidRPr="00E059BC" w:rsidRDefault="0037427D" w:rsidP="001953E3">
            <w:pPr>
              <w:jc w:val="center"/>
              <w:rPr>
                <w:rFonts w:ascii="Times New Roman" w:hAnsi="Times New Roman" w:cs="Times New Roman"/>
                <w:sz w:val="24"/>
                <w:szCs w:val="24"/>
              </w:rPr>
            </w:pPr>
            <w:r>
              <w:rPr>
                <w:rFonts w:ascii="Times New Roman" w:hAnsi="Times New Roman" w:cs="Times New Roman"/>
                <w:sz w:val="24"/>
                <w:szCs w:val="24"/>
              </w:rPr>
              <w:t xml:space="preserve">AML </w:t>
            </w:r>
            <w:r w:rsidR="00EC5423">
              <w:rPr>
                <w:rFonts w:ascii="Times New Roman" w:hAnsi="Times New Roman" w:cs="Times New Roman"/>
                <w:sz w:val="24"/>
                <w:szCs w:val="24"/>
              </w:rPr>
              <w:t xml:space="preserve">v PAH </w:t>
            </w:r>
            <w:r w:rsidR="00BE7ED5" w:rsidRPr="00E059BC">
              <w:rPr>
                <w:rFonts w:ascii="Times New Roman" w:hAnsi="Times New Roman" w:cs="Times New Roman"/>
                <w:sz w:val="24"/>
                <w:szCs w:val="24"/>
              </w:rPr>
              <w:t>Performance</w:t>
            </w:r>
          </w:p>
        </w:tc>
      </w:tr>
      <w:tr w:rsidR="00BE7ED5" w:rsidRPr="00E059BC" w14:paraId="78F36AE0" w14:textId="77777777" w:rsidTr="00F27178">
        <w:tc>
          <w:tcPr>
            <w:tcW w:w="2547" w:type="dxa"/>
          </w:tcPr>
          <w:p w14:paraId="2BE47989" w14:textId="77777777" w:rsidR="00BE7ED5" w:rsidRPr="00E059BC" w:rsidRDefault="00BE7ED5" w:rsidP="001953E3">
            <w:pPr>
              <w:jc w:val="center"/>
              <w:rPr>
                <w:rFonts w:ascii="Times New Roman" w:hAnsi="Times New Roman" w:cs="Times New Roman"/>
                <w:b/>
                <w:bCs/>
                <w:sz w:val="24"/>
                <w:szCs w:val="24"/>
              </w:rPr>
            </w:pPr>
            <w:r w:rsidRPr="00E059BC">
              <w:rPr>
                <w:rFonts w:ascii="Times New Roman" w:hAnsi="Times New Roman" w:cs="Times New Roman"/>
                <w:b/>
                <w:bCs/>
                <w:sz w:val="24"/>
                <w:szCs w:val="24"/>
              </w:rPr>
              <w:t>Liquidity ratios</w:t>
            </w:r>
          </w:p>
        </w:tc>
        <w:tc>
          <w:tcPr>
            <w:tcW w:w="1961" w:type="dxa"/>
          </w:tcPr>
          <w:p w14:paraId="77175016" w14:textId="77777777" w:rsidR="00BE7ED5" w:rsidRPr="00E059BC" w:rsidRDefault="00BE7ED5" w:rsidP="001953E3">
            <w:pPr>
              <w:jc w:val="center"/>
              <w:rPr>
                <w:rFonts w:ascii="Times New Roman" w:hAnsi="Times New Roman" w:cs="Times New Roman"/>
                <w:sz w:val="24"/>
                <w:szCs w:val="24"/>
              </w:rPr>
            </w:pPr>
          </w:p>
        </w:tc>
        <w:tc>
          <w:tcPr>
            <w:tcW w:w="2858" w:type="dxa"/>
          </w:tcPr>
          <w:p w14:paraId="54685B98" w14:textId="77777777" w:rsidR="00BE7ED5" w:rsidRPr="00E059BC" w:rsidRDefault="00BE7ED5" w:rsidP="001953E3">
            <w:pPr>
              <w:jc w:val="center"/>
              <w:rPr>
                <w:rFonts w:ascii="Times New Roman" w:hAnsi="Times New Roman" w:cs="Times New Roman"/>
                <w:sz w:val="24"/>
                <w:szCs w:val="24"/>
              </w:rPr>
            </w:pPr>
          </w:p>
        </w:tc>
        <w:tc>
          <w:tcPr>
            <w:tcW w:w="1650" w:type="dxa"/>
          </w:tcPr>
          <w:p w14:paraId="428EBCF2" w14:textId="77777777" w:rsidR="00BE7ED5" w:rsidRPr="00E059BC" w:rsidRDefault="00BE7ED5" w:rsidP="001953E3">
            <w:pPr>
              <w:jc w:val="center"/>
              <w:rPr>
                <w:rFonts w:ascii="Times New Roman" w:hAnsi="Times New Roman" w:cs="Times New Roman"/>
                <w:sz w:val="24"/>
                <w:szCs w:val="24"/>
              </w:rPr>
            </w:pPr>
          </w:p>
        </w:tc>
      </w:tr>
      <w:tr w:rsidR="00BE7ED5" w:rsidRPr="00E059BC" w14:paraId="3BD6D47B" w14:textId="77777777" w:rsidTr="00F27178">
        <w:tc>
          <w:tcPr>
            <w:tcW w:w="2547" w:type="dxa"/>
          </w:tcPr>
          <w:p w14:paraId="2D5800D9"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Quick</w:t>
            </w:r>
          </w:p>
        </w:tc>
        <w:tc>
          <w:tcPr>
            <w:tcW w:w="1961" w:type="dxa"/>
          </w:tcPr>
          <w:p w14:paraId="242546D9" w14:textId="573D32E8"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0</w:t>
            </w:r>
            <w:r w:rsidR="008728C8">
              <w:rPr>
                <w:rFonts w:ascii="Times New Roman" w:hAnsi="Times New Roman" w:cs="Times New Roman"/>
                <w:sz w:val="24"/>
                <w:szCs w:val="24"/>
              </w:rPr>
              <w:t>.</w:t>
            </w:r>
            <w:r w:rsidR="00F976E2">
              <w:rPr>
                <w:rFonts w:ascii="Times New Roman" w:hAnsi="Times New Roman" w:cs="Times New Roman"/>
                <w:sz w:val="24"/>
                <w:szCs w:val="24"/>
              </w:rPr>
              <w:t>84</w:t>
            </w:r>
          </w:p>
        </w:tc>
        <w:tc>
          <w:tcPr>
            <w:tcW w:w="2858" w:type="dxa"/>
          </w:tcPr>
          <w:p w14:paraId="451BA748" w14:textId="4AD24D87" w:rsidR="00BE7ED5" w:rsidRPr="00E059BC" w:rsidRDefault="008728C8" w:rsidP="001953E3">
            <w:pPr>
              <w:jc w:val="center"/>
              <w:rPr>
                <w:rFonts w:ascii="Times New Roman" w:hAnsi="Times New Roman" w:cs="Times New Roman"/>
                <w:sz w:val="24"/>
                <w:szCs w:val="24"/>
              </w:rPr>
            </w:pPr>
            <w:r>
              <w:rPr>
                <w:rFonts w:ascii="Times New Roman" w:hAnsi="Times New Roman" w:cs="Times New Roman"/>
                <w:sz w:val="24"/>
                <w:szCs w:val="24"/>
              </w:rPr>
              <w:t>6.3</w:t>
            </w:r>
          </w:p>
        </w:tc>
        <w:tc>
          <w:tcPr>
            <w:tcW w:w="1650" w:type="dxa"/>
          </w:tcPr>
          <w:p w14:paraId="50ED54B0"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BE7ED5" w:rsidRPr="00E059BC" w14:paraId="2BD2FB0A" w14:textId="77777777" w:rsidTr="00F27178">
        <w:tc>
          <w:tcPr>
            <w:tcW w:w="2547" w:type="dxa"/>
          </w:tcPr>
          <w:p w14:paraId="3BA245C8"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Current</w:t>
            </w:r>
          </w:p>
        </w:tc>
        <w:tc>
          <w:tcPr>
            <w:tcW w:w="1961" w:type="dxa"/>
          </w:tcPr>
          <w:p w14:paraId="5B5BCDFD" w14:textId="03C392A5" w:rsidR="00BE7ED5" w:rsidRPr="00E059BC" w:rsidRDefault="00F976E2" w:rsidP="001953E3">
            <w:pPr>
              <w:jc w:val="center"/>
              <w:rPr>
                <w:rFonts w:ascii="Times New Roman" w:hAnsi="Times New Roman" w:cs="Times New Roman"/>
                <w:sz w:val="24"/>
                <w:szCs w:val="24"/>
              </w:rPr>
            </w:pPr>
            <w:r>
              <w:rPr>
                <w:rFonts w:ascii="Times New Roman" w:hAnsi="Times New Roman" w:cs="Times New Roman"/>
                <w:sz w:val="24"/>
                <w:szCs w:val="24"/>
              </w:rPr>
              <w:t>1.10</w:t>
            </w:r>
          </w:p>
        </w:tc>
        <w:tc>
          <w:tcPr>
            <w:tcW w:w="2858" w:type="dxa"/>
          </w:tcPr>
          <w:p w14:paraId="6D4B29A4" w14:textId="61D6E50A" w:rsidR="00EC5423" w:rsidRDefault="008728C8" w:rsidP="001953E3">
            <w:pPr>
              <w:jc w:val="center"/>
              <w:rPr>
                <w:rFonts w:ascii="Times New Roman" w:hAnsi="Times New Roman" w:cs="Times New Roman"/>
                <w:sz w:val="24"/>
                <w:szCs w:val="24"/>
              </w:rPr>
            </w:pPr>
            <w:r>
              <w:rPr>
                <w:rFonts w:ascii="Times New Roman" w:hAnsi="Times New Roman" w:cs="Times New Roman"/>
                <w:sz w:val="24"/>
                <w:szCs w:val="24"/>
              </w:rPr>
              <w:t>6.3</w:t>
            </w:r>
          </w:p>
          <w:p w14:paraId="6BFA55EC" w14:textId="7FAB64E9" w:rsidR="00BE7ED5" w:rsidRPr="00EC5423" w:rsidRDefault="00EC5423" w:rsidP="001953E3">
            <w:pPr>
              <w:jc w:val="center"/>
              <w:rPr>
                <w:rFonts w:ascii="Times New Roman" w:hAnsi="Times New Roman" w:cs="Times New Roman"/>
                <w:i/>
                <w:iCs/>
                <w:sz w:val="24"/>
                <w:szCs w:val="24"/>
              </w:rPr>
            </w:pPr>
            <w:r w:rsidRPr="00EC5423">
              <w:rPr>
                <w:rFonts w:ascii="Times New Roman" w:hAnsi="Times New Roman" w:cs="Times New Roman"/>
                <w:i/>
                <w:iCs/>
                <w:sz w:val="24"/>
                <w:szCs w:val="24"/>
              </w:rPr>
              <w:t xml:space="preserve">as declared in </w:t>
            </w:r>
            <w:r w:rsidRPr="00EC5423">
              <w:rPr>
                <w:i/>
                <w:iCs/>
              </w:rPr>
              <w:t>(TradingView, 2023a)</w:t>
            </w:r>
          </w:p>
        </w:tc>
        <w:tc>
          <w:tcPr>
            <w:tcW w:w="1650" w:type="dxa"/>
          </w:tcPr>
          <w:p w14:paraId="7DBF37F7"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BE7ED5" w:rsidRPr="00E059BC" w14:paraId="2DC5E758" w14:textId="77777777" w:rsidTr="00F27178">
        <w:tc>
          <w:tcPr>
            <w:tcW w:w="2547" w:type="dxa"/>
          </w:tcPr>
          <w:p w14:paraId="43B18110" w14:textId="77777777" w:rsidR="00BE7ED5" w:rsidRPr="00E059BC" w:rsidRDefault="00BE7ED5" w:rsidP="001953E3">
            <w:pPr>
              <w:jc w:val="center"/>
              <w:rPr>
                <w:rFonts w:ascii="Times New Roman" w:hAnsi="Times New Roman" w:cs="Times New Roman"/>
                <w:b/>
                <w:bCs/>
                <w:sz w:val="24"/>
                <w:szCs w:val="24"/>
              </w:rPr>
            </w:pPr>
            <w:r w:rsidRPr="00E059BC">
              <w:rPr>
                <w:rFonts w:ascii="Times New Roman" w:hAnsi="Times New Roman" w:cs="Times New Roman"/>
                <w:b/>
                <w:bCs/>
                <w:sz w:val="24"/>
                <w:szCs w:val="24"/>
              </w:rPr>
              <w:t>Profitability Ratios</w:t>
            </w:r>
          </w:p>
        </w:tc>
        <w:tc>
          <w:tcPr>
            <w:tcW w:w="1961" w:type="dxa"/>
          </w:tcPr>
          <w:p w14:paraId="0BB12439" w14:textId="77777777" w:rsidR="00BE7ED5" w:rsidRPr="00E059BC" w:rsidRDefault="00BE7ED5" w:rsidP="001953E3">
            <w:pPr>
              <w:jc w:val="center"/>
              <w:rPr>
                <w:rFonts w:ascii="Times New Roman" w:hAnsi="Times New Roman" w:cs="Times New Roman"/>
                <w:sz w:val="24"/>
                <w:szCs w:val="24"/>
              </w:rPr>
            </w:pPr>
          </w:p>
        </w:tc>
        <w:tc>
          <w:tcPr>
            <w:tcW w:w="2858" w:type="dxa"/>
          </w:tcPr>
          <w:p w14:paraId="25C75748" w14:textId="77777777" w:rsidR="00BE7ED5" w:rsidRPr="00E059BC" w:rsidRDefault="00BE7ED5" w:rsidP="001953E3">
            <w:pPr>
              <w:jc w:val="center"/>
              <w:rPr>
                <w:rFonts w:ascii="Times New Roman" w:hAnsi="Times New Roman" w:cs="Times New Roman"/>
                <w:sz w:val="24"/>
                <w:szCs w:val="24"/>
              </w:rPr>
            </w:pPr>
          </w:p>
        </w:tc>
        <w:tc>
          <w:tcPr>
            <w:tcW w:w="1650" w:type="dxa"/>
          </w:tcPr>
          <w:p w14:paraId="6B6C1DF3" w14:textId="77777777" w:rsidR="00BE7ED5" w:rsidRPr="00E059BC" w:rsidRDefault="00BE7ED5" w:rsidP="001953E3">
            <w:pPr>
              <w:jc w:val="center"/>
              <w:rPr>
                <w:rFonts w:ascii="Times New Roman" w:hAnsi="Times New Roman" w:cs="Times New Roman"/>
                <w:sz w:val="24"/>
                <w:szCs w:val="24"/>
              </w:rPr>
            </w:pPr>
          </w:p>
        </w:tc>
      </w:tr>
      <w:tr w:rsidR="00BE7ED5" w:rsidRPr="00E059BC" w14:paraId="5CE41579" w14:textId="77777777" w:rsidTr="00F27178">
        <w:tc>
          <w:tcPr>
            <w:tcW w:w="2547" w:type="dxa"/>
          </w:tcPr>
          <w:p w14:paraId="02554715"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ROE</w:t>
            </w:r>
          </w:p>
        </w:tc>
        <w:tc>
          <w:tcPr>
            <w:tcW w:w="1961" w:type="dxa"/>
          </w:tcPr>
          <w:p w14:paraId="1C94A010" w14:textId="299EFC85"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-0.</w:t>
            </w:r>
            <w:r w:rsidR="00BE1E75">
              <w:rPr>
                <w:rFonts w:ascii="Times New Roman" w:hAnsi="Times New Roman" w:cs="Times New Roman"/>
                <w:sz w:val="24"/>
                <w:szCs w:val="24"/>
              </w:rPr>
              <w:t>268</w:t>
            </w:r>
          </w:p>
        </w:tc>
        <w:tc>
          <w:tcPr>
            <w:tcW w:w="2858" w:type="dxa"/>
          </w:tcPr>
          <w:p w14:paraId="0CCD3878" w14:textId="09F42B64" w:rsidR="00BE7ED5" w:rsidRPr="00E059BC" w:rsidRDefault="00486804" w:rsidP="001953E3">
            <w:pPr>
              <w:jc w:val="center"/>
              <w:rPr>
                <w:rFonts w:ascii="Times New Roman" w:hAnsi="Times New Roman" w:cs="Times New Roman"/>
                <w:sz w:val="24"/>
                <w:szCs w:val="24"/>
              </w:rPr>
            </w:pPr>
            <w:r>
              <w:rPr>
                <w:rFonts w:ascii="Times New Roman" w:hAnsi="Times New Roman" w:cs="Times New Roman"/>
                <w:sz w:val="24"/>
                <w:szCs w:val="24"/>
              </w:rPr>
              <w:t>0.</w:t>
            </w:r>
            <w:r w:rsidR="008728C8">
              <w:rPr>
                <w:rFonts w:ascii="Times New Roman" w:hAnsi="Times New Roman" w:cs="Times New Roman"/>
                <w:sz w:val="24"/>
                <w:szCs w:val="24"/>
              </w:rPr>
              <w:t>1168</w:t>
            </w:r>
          </w:p>
        </w:tc>
        <w:tc>
          <w:tcPr>
            <w:tcW w:w="1650" w:type="dxa"/>
          </w:tcPr>
          <w:p w14:paraId="37FC15FB"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w:t>
            </w:r>
          </w:p>
        </w:tc>
      </w:tr>
      <w:tr w:rsidR="00BE7ED5" w:rsidRPr="00E059BC" w14:paraId="1AA9B7D1" w14:textId="77777777" w:rsidTr="00F27178">
        <w:tc>
          <w:tcPr>
            <w:tcW w:w="2547" w:type="dxa"/>
          </w:tcPr>
          <w:p w14:paraId="3518B440"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ROA</w:t>
            </w:r>
          </w:p>
        </w:tc>
        <w:tc>
          <w:tcPr>
            <w:tcW w:w="1961" w:type="dxa"/>
          </w:tcPr>
          <w:p w14:paraId="0FC7C74E" w14:textId="6C41AF9E"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-0.</w:t>
            </w:r>
            <w:r w:rsidR="00BE1E75">
              <w:rPr>
                <w:rFonts w:ascii="Times New Roman" w:hAnsi="Times New Roman" w:cs="Times New Roman"/>
                <w:sz w:val="24"/>
                <w:szCs w:val="24"/>
              </w:rPr>
              <w:t>068</w:t>
            </w:r>
          </w:p>
        </w:tc>
        <w:tc>
          <w:tcPr>
            <w:tcW w:w="2858" w:type="dxa"/>
          </w:tcPr>
          <w:p w14:paraId="7E35BCD2" w14:textId="3DFCFEBE" w:rsidR="00BE7ED5" w:rsidRPr="00E059BC" w:rsidRDefault="00BE7ED5" w:rsidP="001953E3">
            <w:pPr>
              <w:jc w:val="center"/>
              <w:rPr>
                <w:rFonts w:ascii="Times New Roman" w:hAnsi="Times New Roman" w:cs="Times New Roman"/>
                <w:sz w:val="24"/>
                <w:szCs w:val="24"/>
              </w:rPr>
            </w:pPr>
            <w:r>
              <w:rPr>
                <w:rFonts w:ascii="Times New Roman" w:hAnsi="Times New Roman" w:cs="Times New Roman"/>
                <w:sz w:val="24"/>
                <w:szCs w:val="24"/>
              </w:rPr>
              <w:t>0.</w:t>
            </w:r>
            <w:r w:rsidR="008728C8">
              <w:rPr>
                <w:rFonts w:ascii="Times New Roman" w:hAnsi="Times New Roman" w:cs="Times New Roman"/>
                <w:sz w:val="24"/>
                <w:szCs w:val="24"/>
              </w:rPr>
              <w:t>1157</w:t>
            </w:r>
          </w:p>
        </w:tc>
        <w:tc>
          <w:tcPr>
            <w:tcW w:w="1650" w:type="dxa"/>
          </w:tcPr>
          <w:p w14:paraId="6E99BB0C" w14:textId="77777777" w:rsidR="00BE7ED5" w:rsidRPr="00E059BC" w:rsidRDefault="00BE7ED5" w:rsidP="001953E3">
            <w:pPr>
              <w:jc w:val="center"/>
              <w:rPr>
                <w:rFonts w:ascii="Times New Roman" w:hAnsi="Times New Roman" w:cs="Times New Roman"/>
                <w:sz w:val="24"/>
                <w:szCs w:val="24"/>
              </w:rPr>
            </w:pPr>
            <w:r w:rsidRPr="00E059BC">
              <w:rPr>
                <w:rFonts w:ascii="Times New Roman" w:hAnsi="Times New Roman" w:cs="Times New Roman"/>
                <w:sz w:val="24"/>
                <w:szCs w:val="24"/>
              </w:rPr>
              <w:t>-</w:t>
            </w:r>
          </w:p>
        </w:tc>
      </w:tr>
    </w:tbl>
    <w:p w14:paraId="7DCA7EE4" w14:textId="77777777" w:rsidR="001953E3" w:rsidRDefault="001953E3" w:rsidP="001953E3">
      <w:pPr>
        <w:jc w:val="center"/>
        <w:rPr>
          <w:sz w:val="24"/>
          <w:szCs w:val="24"/>
        </w:rPr>
      </w:pPr>
    </w:p>
    <w:p w14:paraId="674A62CE" w14:textId="3A6CDF97" w:rsidR="00EA2677" w:rsidRPr="001953E3" w:rsidRDefault="001D71FE" w:rsidP="001953E3">
      <w:pPr>
        <w:jc w:val="center"/>
        <w:rPr>
          <w:sz w:val="24"/>
          <w:szCs w:val="24"/>
        </w:rPr>
      </w:pPr>
      <w:r w:rsidRPr="001953E3">
        <w:rPr>
          <w:sz w:val="24"/>
          <w:szCs w:val="24"/>
        </w:rPr>
        <w:t xml:space="preserve">Chart </w:t>
      </w:r>
      <w:r w:rsidR="00164151" w:rsidRPr="001953E3">
        <w:rPr>
          <w:sz w:val="24"/>
          <w:szCs w:val="24"/>
        </w:rPr>
        <w:t>4</w:t>
      </w:r>
      <w:r w:rsidRPr="001953E3">
        <w:rPr>
          <w:sz w:val="24"/>
          <w:szCs w:val="24"/>
        </w:rPr>
        <w:t xml:space="preserve"> from </w:t>
      </w:r>
      <w:r w:rsidRPr="001953E3">
        <w:rPr>
          <w:sz w:val="24"/>
          <w:szCs w:val="24"/>
        </w:rPr>
        <w:t>(TradingView, 2023c)</w:t>
      </w:r>
      <w:r w:rsidRPr="001953E3">
        <w:rPr>
          <w:sz w:val="24"/>
          <w:szCs w:val="24"/>
        </w:rPr>
        <w:t xml:space="preserve"> &amp; </w:t>
      </w:r>
      <w:r w:rsidRPr="001953E3">
        <w:rPr>
          <w:sz w:val="24"/>
          <w:szCs w:val="24"/>
        </w:rPr>
        <w:t>(TradingView, 2023a)</w:t>
      </w:r>
    </w:p>
    <w:p w14:paraId="2AFB7637" w14:textId="0E44DACB" w:rsidR="004D70EB" w:rsidRPr="00E059BC" w:rsidRDefault="004D306D" w:rsidP="004D306D">
      <w:pPr>
        <w:pStyle w:val="Heading2"/>
        <w:rPr>
          <w:rFonts w:ascii="Times New Roman" w:hAnsi="Times New Roman" w:cs="Times New Roman"/>
          <w:sz w:val="24"/>
          <w:szCs w:val="24"/>
        </w:rPr>
      </w:pPr>
      <w:bookmarkStart w:id="18" w:name="_Toc125378695"/>
      <w:r w:rsidRPr="00E059BC">
        <w:rPr>
          <w:rFonts w:ascii="Times New Roman" w:hAnsi="Times New Roman" w:cs="Times New Roman"/>
          <w:sz w:val="24"/>
          <w:szCs w:val="24"/>
        </w:rPr>
        <w:lastRenderedPageBreak/>
        <w:t>Performance and Market View</w:t>
      </w:r>
      <w:bookmarkEnd w:id="18"/>
    </w:p>
    <w:p w14:paraId="220D8EF1" w14:textId="77777777" w:rsidR="00447B78" w:rsidRDefault="004D70EB" w:rsidP="00135C6E">
      <w:pPr>
        <w:rPr>
          <w:rFonts w:ascii="Times New Roman" w:hAnsi="Times New Roman" w:cs="Times New Roman"/>
          <w:sz w:val="24"/>
          <w:szCs w:val="24"/>
        </w:rPr>
      </w:pPr>
      <w:r w:rsidRPr="00E059BC">
        <w:rPr>
          <w:rFonts w:ascii="Times New Roman" w:hAnsi="Times New Roman" w:cs="Times New Roman"/>
          <w:sz w:val="24"/>
          <w:szCs w:val="24"/>
        </w:rPr>
        <w:t xml:space="preserve">AML’s company history, narrowly avoiding insolvency repeatedly does infer creditors may have suffer a reduced premium on outstanding amounts. The </w:t>
      </w:r>
      <w:r w:rsidR="00CF0757" w:rsidRPr="00E059BC">
        <w:rPr>
          <w:rFonts w:ascii="Times New Roman" w:hAnsi="Times New Roman" w:cs="Times New Roman"/>
          <w:sz w:val="24"/>
          <w:szCs w:val="24"/>
        </w:rPr>
        <w:t>rapid growth in production and sales AML is striving for requires significant investment and borrowing, the D/E ratio increased significantly from a less than ideal 247% to 330% over 2021, indicating a jump in debt burden.  AML do not have a profit-making history therefore its safe to assume for a company as a whole</w:t>
      </w:r>
      <w:r w:rsidR="004D306D" w:rsidRPr="00E059BC">
        <w:rPr>
          <w:rFonts w:ascii="Times New Roman" w:hAnsi="Times New Roman" w:cs="Times New Roman"/>
          <w:sz w:val="24"/>
          <w:szCs w:val="24"/>
        </w:rPr>
        <w:t xml:space="preserve"> </w:t>
      </w:r>
      <w:r w:rsidR="00CF0757" w:rsidRPr="00E059BC">
        <w:rPr>
          <w:rFonts w:ascii="Times New Roman" w:hAnsi="Times New Roman" w:cs="Times New Roman"/>
          <w:sz w:val="24"/>
          <w:szCs w:val="24"/>
        </w:rPr>
        <w:t>over the Aston Martin lifetime</w:t>
      </w:r>
      <w:r w:rsidR="0069085F" w:rsidRPr="00E059BC">
        <w:rPr>
          <w:rFonts w:ascii="Times New Roman" w:hAnsi="Times New Roman" w:cs="Times New Roman"/>
          <w:sz w:val="24"/>
          <w:szCs w:val="24"/>
        </w:rPr>
        <w:t>, investors and lenders have suffered losses as AML phoenixed through the decades. More recently FTSE250 have not been favourable with AML trading at 167</w:t>
      </w:r>
      <w:r w:rsidR="0072773A">
        <w:rPr>
          <w:rFonts w:ascii="Times New Roman" w:hAnsi="Times New Roman" w:cs="Times New Roman"/>
          <w:sz w:val="24"/>
          <w:szCs w:val="24"/>
        </w:rPr>
        <w:t>p</w:t>
      </w:r>
      <w:r w:rsidR="0069085F" w:rsidRPr="00E059BC">
        <w:rPr>
          <w:rFonts w:ascii="Times New Roman" w:hAnsi="Times New Roman" w:cs="Times New Roman"/>
          <w:sz w:val="24"/>
          <w:szCs w:val="24"/>
        </w:rPr>
        <w:t xml:space="preserve"> on 20</w:t>
      </w:r>
      <w:r w:rsidR="0044571D">
        <w:rPr>
          <w:rFonts w:ascii="Times New Roman" w:hAnsi="Times New Roman" w:cs="Times New Roman"/>
          <w:sz w:val="24"/>
          <w:szCs w:val="24"/>
        </w:rPr>
        <w:t xml:space="preserve"> </w:t>
      </w:r>
      <w:r w:rsidR="0069085F" w:rsidRPr="00E059BC">
        <w:rPr>
          <w:rFonts w:ascii="Times New Roman" w:hAnsi="Times New Roman" w:cs="Times New Roman"/>
          <w:sz w:val="24"/>
          <w:szCs w:val="24"/>
        </w:rPr>
        <w:t>Jan 2023, less than 20% of the 2022 high, and even</w:t>
      </w:r>
      <w:r w:rsidR="004D306D" w:rsidRPr="00E059BC">
        <w:rPr>
          <w:rFonts w:ascii="Times New Roman" w:hAnsi="Times New Roman" w:cs="Times New Roman"/>
          <w:sz w:val="24"/>
          <w:szCs w:val="24"/>
        </w:rPr>
        <w:t xml:space="preserve"> the</w:t>
      </w:r>
      <w:r w:rsidR="0069085F" w:rsidRPr="00E059BC">
        <w:rPr>
          <w:rFonts w:ascii="Times New Roman" w:hAnsi="Times New Roman" w:cs="Times New Roman"/>
          <w:sz w:val="24"/>
          <w:szCs w:val="24"/>
        </w:rPr>
        <w:t xml:space="preserve"> </w:t>
      </w:r>
      <w:r w:rsidR="004D306D" w:rsidRPr="00E059BC">
        <w:rPr>
          <w:rFonts w:ascii="Times New Roman" w:hAnsi="Times New Roman" w:cs="Times New Roman"/>
          <w:sz w:val="24"/>
          <w:szCs w:val="24"/>
        </w:rPr>
        <w:t xml:space="preserve">current share price is a bounce from the Sept 2022 90% plummet. </w:t>
      </w:r>
      <w:r w:rsidR="00E551AF">
        <w:rPr>
          <w:rFonts w:ascii="Times New Roman" w:hAnsi="Times New Roman" w:cs="Times New Roman"/>
          <w:sz w:val="24"/>
          <w:szCs w:val="24"/>
        </w:rPr>
        <w:t>T</w:t>
      </w:r>
      <w:r w:rsidR="0044571D">
        <w:rPr>
          <w:rFonts w:ascii="Times New Roman" w:hAnsi="Times New Roman" w:cs="Times New Roman"/>
          <w:sz w:val="24"/>
          <w:szCs w:val="24"/>
        </w:rPr>
        <w:t>he 2018 FTSE250 floatation price was approx. 19GDP</w:t>
      </w:r>
      <w:r w:rsidR="00D73591">
        <w:rPr>
          <w:rFonts w:ascii="Times New Roman" w:hAnsi="Times New Roman" w:cs="Times New Roman"/>
          <w:sz w:val="24"/>
          <w:szCs w:val="24"/>
        </w:rPr>
        <w:t>. Chart 5 does explain the share price contraction as both the total</w:t>
      </w:r>
      <w:r w:rsidR="00D51DB5">
        <w:rPr>
          <w:rFonts w:ascii="Times New Roman" w:hAnsi="Times New Roman" w:cs="Times New Roman"/>
          <w:sz w:val="24"/>
          <w:szCs w:val="24"/>
        </w:rPr>
        <w:t xml:space="preserve"> common</w:t>
      </w:r>
      <w:r w:rsidR="00D73591">
        <w:rPr>
          <w:rFonts w:ascii="Times New Roman" w:hAnsi="Times New Roman" w:cs="Times New Roman"/>
          <w:sz w:val="24"/>
          <w:szCs w:val="24"/>
        </w:rPr>
        <w:t xml:space="preserve"> share outstanding increasing by a factor of 3</w:t>
      </w:r>
      <w:r w:rsidR="00D51DB5">
        <w:rPr>
          <w:rFonts w:ascii="Times New Roman" w:hAnsi="Times New Roman" w:cs="Times New Roman"/>
          <w:sz w:val="24"/>
          <w:szCs w:val="24"/>
        </w:rPr>
        <w:t xml:space="preserve"> from float to H1’20</w:t>
      </w:r>
      <w:r w:rsidR="00D73591">
        <w:rPr>
          <w:rFonts w:ascii="Times New Roman" w:hAnsi="Times New Roman" w:cs="Times New Roman"/>
          <w:sz w:val="24"/>
          <w:szCs w:val="24"/>
        </w:rPr>
        <w:t xml:space="preserve"> </w:t>
      </w:r>
      <w:r w:rsidR="00D51DB5">
        <w:rPr>
          <w:rFonts w:ascii="Times New Roman" w:hAnsi="Times New Roman" w:cs="Times New Roman"/>
          <w:sz w:val="24"/>
          <w:szCs w:val="24"/>
        </w:rPr>
        <w:t xml:space="preserve">with </w:t>
      </w:r>
      <w:r w:rsidR="0072773A">
        <w:rPr>
          <w:rFonts w:ascii="Times New Roman" w:hAnsi="Times New Roman" w:cs="Times New Roman"/>
          <w:sz w:val="24"/>
          <w:szCs w:val="24"/>
        </w:rPr>
        <w:t>current common</w:t>
      </w:r>
      <w:r w:rsidR="00D51DB5">
        <w:rPr>
          <w:rFonts w:ascii="Times New Roman" w:hAnsi="Times New Roman" w:cs="Times New Roman"/>
          <w:sz w:val="24"/>
          <w:szCs w:val="24"/>
        </w:rPr>
        <w:t xml:space="preserve"> share outstanding</w:t>
      </w:r>
      <w:r w:rsidR="00D51DB5">
        <w:rPr>
          <w:rFonts w:ascii="Times New Roman" w:hAnsi="Times New Roman" w:cs="Times New Roman"/>
          <w:sz w:val="24"/>
          <w:szCs w:val="24"/>
        </w:rPr>
        <w:t xml:space="preserve"> reaching in excess of 6 times that number issued at the 2018 floatation</w:t>
      </w:r>
      <w:r w:rsidR="00BE7ED5">
        <w:rPr>
          <w:rFonts w:ascii="Times New Roman" w:hAnsi="Times New Roman" w:cs="Times New Roman"/>
          <w:sz w:val="24"/>
          <w:szCs w:val="24"/>
        </w:rPr>
        <w:t xml:space="preserve"> </w:t>
      </w:r>
      <w:r w:rsidR="00BE7ED5" w:rsidRPr="00BE7ED5">
        <w:rPr>
          <w:rFonts w:ascii="Times New Roman" w:hAnsi="Times New Roman" w:cs="Times New Roman"/>
          <w:sz w:val="24"/>
          <w:szCs w:val="24"/>
        </w:rPr>
        <w:t>(TradingView, 2023b)</w:t>
      </w:r>
      <w:r w:rsidR="00BE7ED5">
        <w:rPr>
          <w:rFonts w:ascii="Times New Roman" w:hAnsi="Times New Roman" w:cs="Times New Roman"/>
          <w:sz w:val="24"/>
          <w:szCs w:val="24"/>
        </w:rPr>
        <w:t xml:space="preserve">. </w:t>
      </w:r>
    </w:p>
    <w:p w14:paraId="4F842220" w14:textId="16E31E49" w:rsidR="00135C6E" w:rsidRDefault="00135C6E" w:rsidP="00135C6E">
      <w:pPr>
        <w:rPr>
          <w:rFonts w:ascii="Times New Roman" w:hAnsi="Times New Roman" w:cs="Times New Roman"/>
          <w:sz w:val="24"/>
          <w:szCs w:val="24"/>
        </w:rPr>
      </w:pPr>
      <w:r w:rsidRPr="004820F7">
        <w:rPr>
          <w:rFonts w:ascii="Times New Roman" w:hAnsi="Times New Roman" w:cs="Times New Roman"/>
          <w:sz w:val="24"/>
          <w:szCs w:val="24"/>
        </w:rPr>
        <w:drawing>
          <wp:inline distT="0" distB="0" distL="0" distR="0" wp14:anchorId="3E8CAC03" wp14:editId="35AFC52F">
            <wp:extent cx="5731510" cy="2284095"/>
            <wp:effectExtent l="0" t="0" r="2540" b="1905"/>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2"/>
                    <a:stretch>
                      <a:fillRect/>
                    </a:stretch>
                  </pic:blipFill>
                  <pic:spPr>
                    <a:xfrm>
                      <a:off x="0" y="0"/>
                      <a:ext cx="5731510" cy="2284095"/>
                    </a:xfrm>
                    <a:prstGeom prst="rect">
                      <a:avLst/>
                    </a:prstGeom>
                  </pic:spPr>
                </pic:pic>
              </a:graphicData>
            </a:graphic>
          </wp:inline>
        </w:drawing>
      </w:r>
    </w:p>
    <w:p w14:paraId="1B1E010A" w14:textId="77777777" w:rsidR="00135C6E" w:rsidRPr="00E059BC" w:rsidRDefault="00135C6E" w:rsidP="00135C6E">
      <w:pPr>
        <w:rPr>
          <w:rFonts w:ascii="Times New Roman" w:hAnsi="Times New Roman" w:cs="Times New Roman"/>
          <w:sz w:val="24"/>
          <w:szCs w:val="24"/>
        </w:rPr>
      </w:pPr>
      <w:r>
        <w:rPr>
          <w:rFonts w:ascii="Times New Roman" w:hAnsi="Times New Roman" w:cs="Times New Roman"/>
          <w:sz w:val="24"/>
          <w:szCs w:val="24"/>
        </w:rPr>
        <w:t xml:space="preserve">From </w:t>
      </w:r>
      <w:r w:rsidRPr="004820F7">
        <w:rPr>
          <w:rFonts w:ascii="Times New Roman" w:hAnsi="Times New Roman" w:cs="Times New Roman"/>
          <w:sz w:val="24"/>
          <w:szCs w:val="24"/>
        </w:rPr>
        <w:t>(TradingView, 2023a)</w:t>
      </w:r>
    </w:p>
    <w:p w14:paraId="6B5BDB9A" w14:textId="691AA72F" w:rsidR="00135C6E" w:rsidRDefault="00135C6E" w:rsidP="004D70EB">
      <w:pPr>
        <w:rPr>
          <w:rFonts w:ascii="Times New Roman" w:hAnsi="Times New Roman" w:cs="Times New Roman"/>
          <w:sz w:val="24"/>
          <w:szCs w:val="24"/>
        </w:rPr>
      </w:pPr>
    </w:p>
    <w:p w14:paraId="443D1C79" w14:textId="77777777" w:rsidR="00135C6E" w:rsidRDefault="00135C6E" w:rsidP="004D70EB">
      <w:pPr>
        <w:rPr>
          <w:rFonts w:ascii="Times New Roman" w:hAnsi="Times New Roman" w:cs="Times New Roman"/>
          <w:sz w:val="24"/>
          <w:szCs w:val="24"/>
        </w:rPr>
      </w:pPr>
    </w:p>
    <w:p w14:paraId="7AAB41DE" w14:textId="77777777" w:rsidR="0091770C" w:rsidRDefault="00164151" w:rsidP="00447B78">
      <w:pPr>
        <w:rPr>
          <w:rFonts w:ascii="Times New Roman" w:hAnsi="Times New Roman" w:cs="Times New Roman"/>
          <w:sz w:val="24"/>
          <w:szCs w:val="24"/>
        </w:rPr>
      </w:pPr>
      <w:r w:rsidRPr="00E059BC">
        <w:rPr>
          <w:rFonts w:ascii="Times New Roman" w:hAnsi="Times New Roman" w:cs="Times New Roman"/>
          <w:sz w:val="24"/>
          <w:szCs w:val="24"/>
        </w:rPr>
        <w:t xml:space="preserve">Market intelligence projects that the company will not be in profit by 2024, continuing its loss-making track record as may be seen in charts </w:t>
      </w:r>
      <w:r w:rsidR="0091770C">
        <w:rPr>
          <w:rFonts w:ascii="Times New Roman" w:hAnsi="Times New Roman" w:cs="Times New Roman"/>
          <w:sz w:val="24"/>
          <w:szCs w:val="24"/>
        </w:rPr>
        <w:t>6</w:t>
      </w:r>
      <w:r w:rsidRPr="00E059BC">
        <w:rPr>
          <w:rFonts w:ascii="Times New Roman" w:hAnsi="Times New Roman" w:cs="Times New Roman"/>
          <w:sz w:val="24"/>
          <w:szCs w:val="24"/>
        </w:rPr>
        <w:t xml:space="preserve"> and </w:t>
      </w:r>
      <w:r w:rsidR="0091770C">
        <w:rPr>
          <w:rFonts w:ascii="Times New Roman" w:hAnsi="Times New Roman" w:cs="Times New Roman"/>
          <w:sz w:val="24"/>
          <w:szCs w:val="24"/>
        </w:rPr>
        <w:t>7</w:t>
      </w:r>
      <w:r w:rsidRPr="00E059BC">
        <w:rPr>
          <w:rFonts w:ascii="Times New Roman" w:hAnsi="Times New Roman" w:cs="Times New Roman"/>
          <w:sz w:val="24"/>
          <w:szCs w:val="24"/>
        </w:rPr>
        <w:t xml:space="preserve">. Although </w:t>
      </w:r>
      <w:r>
        <w:rPr>
          <w:rFonts w:ascii="Times New Roman" w:hAnsi="Times New Roman" w:cs="Times New Roman"/>
          <w:sz w:val="24"/>
          <w:szCs w:val="24"/>
        </w:rPr>
        <w:t>there</w:t>
      </w:r>
      <w:r w:rsidRPr="00E059BC">
        <w:rPr>
          <w:rFonts w:ascii="Times New Roman" w:hAnsi="Times New Roman" w:cs="Times New Roman"/>
          <w:sz w:val="24"/>
          <w:szCs w:val="24"/>
        </w:rPr>
        <w:t xml:space="preserve"> is a marked turnaround from</w:t>
      </w:r>
      <w:r>
        <w:rPr>
          <w:rFonts w:ascii="Times New Roman" w:hAnsi="Times New Roman" w:cs="Times New Roman"/>
          <w:sz w:val="24"/>
          <w:szCs w:val="24"/>
        </w:rPr>
        <w:t xml:space="preserve"> the dip experienced in</w:t>
      </w:r>
      <w:r w:rsidRPr="00E059BC">
        <w:rPr>
          <w:rFonts w:ascii="Times New Roman" w:hAnsi="Times New Roman" w:cs="Times New Roman"/>
          <w:sz w:val="24"/>
          <w:szCs w:val="24"/>
        </w:rPr>
        <w:t xml:space="preserve"> 2020</w:t>
      </w:r>
      <w:r>
        <w:rPr>
          <w:rFonts w:ascii="Times New Roman" w:hAnsi="Times New Roman" w:cs="Times New Roman"/>
          <w:sz w:val="24"/>
          <w:szCs w:val="24"/>
        </w:rPr>
        <w:t>, at least in part attributable to the effects of the Covid19 pandemic and associated global economic downturn.</w:t>
      </w:r>
    </w:p>
    <w:p w14:paraId="280EF5A7" w14:textId="5B8439D3" w:rsidR="00164151" w:rsidRPr="00E059BC" w:rsidRDefault="00164151" w:rsidP="00A64FF2">
      <w:pPr>
        <w:jc w:val="center"/>
        <w:rPr>
          <w:rFonts w:ascii="Times New Roman" w:hAnsi="Times New Roman" w:cs="Times New Roman"/>
          <w:sz w:val="24"/>
          <w:szCs w:val="24"/>
        </w:rPr>
      </w:pPr>
      <w:r w:rsidRPr="00E059BC">
        <w:rPr>
          <w:rFonts w:ascii="Times New Roman" w:hAnsi="Times New Roman" w:cs="Times New Roman"/>
          <w:noProof/>
          <w:sz w:val="24"/>
          <w:szCs w:val="24"/>
        </w:rPr>
        <w:lastRenderedPageBreak/>
        <w:drawing>
          <wp:inline distT="0" distB="0" distL="0" distR="0" wp14:anchorId="578C81C0" wp14:editId="55BBE6CE">
            <wp:extent cx="3476097" cy="3132306"/>
            <wp:effectExtent l="0" t="0" r="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3"/>
                    <a:stretch>
                      <a:fillRect/>
                    </a:stretch>
                  </pic:blipFill>
                  <pic:spPr>
                    <a:xfrm>
                      <a:off x="0" y="0"/>
                      <a:ext cx="3557100" cy="3205297"/>
                    </a:xfrm>
                    <a:prstGeom prst="rect">
                      <a:avLst/>
                    </a:prstGeom>
                  </pic:spPr>
                </pic:pic>
              </a:graphicData>
            </a:graphic>
          </wp:inline>
        </w:drawing>
      </w:r>
    </w:p>
    <w:p w14:paraId="52C75CEE" w14:textId="77777777" w:rsidR="00A64FF2" w:rsidRDefault="00164151" w:rsidP="00A64FF2">
      <w:pPr>
        <w:jc w:val="center"/>
        <w:rPr>
          <w:rFonts w:ascii="Times New Roman" w:hAnsi="Times New Roman" w:cs="Times New Roman"/>
          <w:sz w:val="24"/>
          <w:szCs w:val="24"/>
        </w:rPr>
      </w:pPr>
      <w:r w:rsidRPr="00E059BC">
        <w:rPr>
          <w:rFonts w:ascii="Times New Roman" w:hAnsi="Times New Roman" w:cs="Times New Roman"/>
          <w:sz w:val="24"/>
          <w:szCs w:val="24"/>
        </w:rPr>
        <w:t xml:space="preserve">Chart </w:t>
      </w:r>
      <w:r w:rsidR="00A64FF2">
        <w:rPr>
          <w:rFonts w:ascii="Times New Roman" w:hAnsi="Times New Roman" w:cs="Times New Roman"/>
          <w:sz w:val="24"/>
          <w:szCs w:val="24"/>
        </w:rPr>
        <w:t>6</w:t>
      </w:r>
      <w:r w:rsidRPr="00E059BC">
        <w:rPr>
          <w:rFonts w:ascii="Times New Roman" w:hAnsi="Times New Roman" w:cs="Times New Roman"/>
          <w:sz w:val="24"/>
          <w:szCs w:val="24"/>
        </w:rPr>
        <w:t xml:space="preserve"> </w:t>
      </w:r>
      <w:r>
        <w:rPr>
          <w:rFonts w:ascii="Times New Roman" w:hAnsi="Times New Roman" w:cs="Times New Roman"/>
          <w:sz w:val="24"/>
          <w:szCs w:val="24"/>
        </w:rPr>
        <w:t xml:space="preserve">AML </w:t>
      </w:r>
      <w:r w:rsidRPr="00E059BC">
        <w:rPr>
          <w:rFonts w:ascii="Times New Roman" w:hAnsi="Times New Roman" w:cs="Times New Roman"/>
          <w:sz w:val="24"/>
          <w:szCs w:val="24"/>
        </w:rPr>
        <w:t>From (MarketScreener, 2023a)</w:t>
      </w:r>
    </w:p>
    <w:p w14:paraId="5D2A3348" w14:textId="31E5AA69" w:rsidR="00164151" w:rsidRPr="00E059BC" w:rsidRDefault="00164151" w:rsidP="00A64FF2">
      <w:pPr>
        <w:jc w:val="center"/>
        <w:rPr>
          <w:rFonts w:ascii="Times New Roman" w:hAnsi="Times New Roman" w:cs="Times New Roman"/>
          <w:sz w:val="24"/>
          <w:szCs w:val="24"/>
        </w:rPr>
      </w:pPr>
      <w:r w:rsidRPr="00E059BC">
        <w:rPr>
          <w:rFonts w:ascii="Times New Roman" w:hAnsi="Times New Roman" w:cs="Times New Roman"/>
          <w:noProof/>
          <w:sz w:val="24"/>
          <w:szCs w:val="24"/>
        </w:rPr>
        <w:drawing>
          <wp:inline distT="0" distB="0" distL="0" distR="0" wp14:anchorId="615E7C83" wp14:editId="398B5917">
            <wp:extent cx="3247572" cy="3082439"/>
            <wp:effectExtent l="0" t="0" r="0" b="3810"/>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graphical user interface&#10;&#10;Description automatically generated"/>
                    <pic:cNvPicPr/>
                  </pic:nvPicPr>
                  <pic:blipFill>
                    <a:blip r:embed="rId14"/>
                    <a:stretch>
                      <a:fillRect/>
                    </a:stretch>
                  </pic:blipFill>
                  <pic:spPr>
                    <a:xfrm>
                      <a:off x="0" y="0"/>
                      <a:ext cx="3307015" cy="3138860"/>
                    </a:xfrm>
                    <a:prstGeom prst="rect">
                      <a:avLst/>
                    </a:prstGeom>
                  </pic:spPr>
                </pic:pic>
              </a:graphicData>
            </a:graphic>
          </wp:inline>
        </w:drawing>
      </w:r>
    </w:p>
    <w:p w14:paraId="51DAF241" w14:textId="2BD11D2A" w:rsidR="00164151" w:rsidRDefault="00164151" w:rsidP="00A64FF2">
      <w:pPr>
        <w:jc w:val="center"/>
        <w:rPr>
          <w:rFonts w:ascii="Times New Roman" w:hAnsi="Times New Roman" w:cs="Times New Roman"/>
          <w:sz w:val="24"/>
          <w:szCs w:val="24"/>
        </w:rPr>
      </w:pPr>
      <w:r w:rsidRPr="00E059BC">
        <w:rPr>
          <w:rFonts w:ascii="Times New Roman" w:hAnsi="Times New Roman" w:cs="Times New Roman"/>
          <w:sz w:val="24"/>
          <w:szCs w:val="24"/>
        </w:rPr>
        <w:t xml:space="preserve">Chart </w:t>
      </w:r>
      <w:r w:rsidR="0091770C">
        <w:rPr>
          <w:rFonts w:ascii="Times New Roman" w:hAnsi="Times New Roman" w:cs="Times New Roman"/>
          <w:sz w:val="24"/>
          <w:szCs w:val="24"/>
        </w:rPr>
        <w:t>7</w:t>
      </w:r>
      <w:r>
        <w:rPr>
          <w:rFonts w:ascii="Times New Roman" w:hAnsi="Times New Roman" w:cs="Times New Roman"/>
          <w:sz w:val="24"/>
          <w:szCs w:val="24"/>
        </w:rPr>
        <w:t xml:space="preserve"> AML</w:t>
      </w:r>
      <w:r w:rsidRPr="00E059BC">
        <w:rPr>
          <w:rFonts w:ascii="Times New Roman" w:hAnsi="Times New Roman" w:cs="Times New Roman"/>
          <w:sz w:val="24"/>
          <w:szCs w:val="24"/>
        </w:rPr>
        <w:t xml:space="preserve"> From (MarketScreener, 2023a)</w:t>
      </w:r>
    </w:p>
    <w:p w14:paraId="7EAB33E2" w14:textId="0C092B4B" w:rsidR="00164151" w:rsidRDefault="00C17833" w:rsidP="004D70EB">
      <w:pPr>
        <w:rPr>
          <w:rFonts w:ascii="Times New Roman" w:hAnsi="Times New Roman" w:cs="Times New Roman"/>
          <w:sz w:val="24"/>
          <w:szCs w:val="24"/>
        </w:rPr>
      </w:pPr>
      <w:r>
        <w:rPr>
          <w:rFonts w:ascii="Times New Roman" w:hAnsi="Times New Roman" w:cs="Times New Roman"/>
          <w:sz w:val="24"/>
          <w:szCs w:val="24"/>
        </w:rPr>
        <w:br w:type="page"/>
      </w:r>
    </w:p>
    <w:p w14:paraId="24524E88" w14:textId="049B905A" w:rsidR="00526AA2" w:rsidRPr="00526AA2" w:rsidRDefault="00C17833" w:rsidP="00526AA2">
      <w:pPr>
        <w:pStyle w:val="Heading1"/>
        <w:rPr>
          <w:rFonts w:ascii="Times New Roman" w:hAnsi="Times New Roman" w:cs="Times New Roman"/>
          <w:sz w:val="24"/>
          <w:szCs w:val="24"/>
        </w:rPr>
      </w:pPr>
      <w:bookmarkStart w:id="19" w:name="_Toc125378696"/>
      <w:r w:rsidRPr="00E059BC">
        <w:rPr>
          <w:rFonts w:ascii="Times New Roman" w:hAnsi="Times New Roman" w:cs="Times New Roman"/>
          <w:sz w:val="24"/>
          <w:szCs w:val="24"/>
        </w:rPr>
        <w:lastRenderedPageBreak/>
        <w:t>Conclusion</w:t>
      </w:r>
      <w:bookmarkEnd w:id="19"/>
    </w:p>
    <w:p w14:paraId="28665369" w14:textId="77777777" w:rsidR="00C17833" w:rsidRPr="00E059BC" w:rsidRDefault="00C17833" w:rsidP="00C17833">
      <w:pPr>
        <w:pStyle w:val="Heading2"/>
        <w:rPr>
          <w:rFonts w:ascii="Times New Roman" w:hAnsi="Times New Roman" w:cs="Times New Roman"/>
          <w:sz w:val="24"/>
          <w:szCs w:val="24"/>
        </w:rPr>
      </w:pPr>
      <w:bookmarkStart w:id="20" w:name="_Toc125378697"/>
      <w:r w:rsidRPr="00E059BC">
        <w:rPr>
          <w:rFonts w:ascii="Times New Roman" w:hAnsi="Times New Roman" w:cs="Times New Roman"/>
          <w:sz w:val="24"/>
          <w:szCs w:val="24"/>
        </w:rPr>
        <w:t>Cons.</w:t>
      </w:r>
      <w:bookmarkEnd w:id="20"/>
      <w:r w:rsidRPr="00E059BC">
        <w:rPr>
          <w:rFonts w:ascii="Times New Roman" w:hAnsi="Times New Roman" w:cs="Times New Roman"/>
          <w:sz w:val="24"/>
          <w:szCs w:val="24"/>
        </w:rPr>
        <w:t xml:space="preserve"> </w:t>
      </w:r>
    </w:p>
    <w:p w14:paraId="789AA5FB"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 xml:space="preserve">Under performance against industry sector financial ratios </w:t>
      </w:r>
    </w:p>
    <w:p w14:paraId="5FDE746C"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Poor profitability ratios (not in profit and not projected to be)</w:t>
      </w:r>
    </w:p>
    <w:p w14:paraId="74253A8F"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 xml:space="preserve">High gearing </w:t>
      </w:r>
    </w:p>
    <w:p w14:paraId="53446C4B"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Liquidity ratios mainly below safe zone</w:t>
      </w:r>
    </w:p>
    <w:p w14:paraId="02FB6C44"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Poor debt ratios</w:t>
      </w:r>
    </w:p>
    <w:p w14:paraId="02751937"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Poor DPO</w:t>
      </w:r>
    </w:p>
    <w:p w14:paraId="61550269"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Very recent avoidance of insolvency /bankruptcy 2018</w:t>
      </w:r>
    </w:p>
    <w:p w14:paraId="154A6629"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Most likely buoyed by strong brand value.</w:t>
      </w:r>
    </w:p>
    <w:p w14:paraId="623DF3EE" w14:textId="77777777" w:rsidR="00C17833" w:rsidRPr="00E059BC" w:rsidRDefault="00C17833" w:rsidP="00C17833">
      <w:pPr>
        <w:pStyle w:val="ListParagraph"/>
        <w:numPr>
          <w:ilvl w:val="0"/>
          <w:numId w:val="3"/>
        </w:numPr>
        <w:rPr>
          <w:rFonts w:ascii="Times New Roman" w:hAnsi="Times New Roman" w:cs="Times New Roman"/>
          <w:sz w:val="24"/>
          <w:szCs w:val="24"/>
        </w:rPr>
      </w:pPr>
      <w:r w:rsidRPr="00E059BC">
        <w:rPr>
          <w:rFonts w:ascii="Times New Roman" w:hAnsi="Times New Roman" w:cs="Times New Roman"/>
          <w:sz w:val="24"/>
          <w:szCs w:val="24"/>
        </w:rPr>
        <w:t>Most significant interest coverage ratio high in 2020 but dropping sharply in 2021 by approx. 60% of 2020 levels</w:t>
      </w:r>
    </w:p>
    <w:p w14:paraId="7DC3E4C6" w14:textId="77777777" w:rsidR="00C17833" w:rsidRPr="00E059BC" w:rsidRDefault="00C17833" w:rsidP="00C17833">
      <w:pPr>
        <w:pStyle w:val="Heading2"/>
        <w:rPr>
          <w:rFonts w:ascii="Times New Roman" w:hAnsi="Times New Roman" w:cs="Times New Roman"/>
          <w:sz w:val="24"/>
          <w:szCs w:val="24"/>
        </w:rPr>
      </w:pPr>
      <w:bookmarkStart w:id="21" w:name="_Toc125378698"/>
      <w:r w:rsidRPr="00E059BC">
        <w:rPr>
          <w:rFonts w:ascii="Times New Roman" w:hAnsi="Times New Roman" w:cs="Times New Roman"/>
          <w:sz w:val="24"/>
          <w:szCs w:val="24"/>
        </w:rPr>
        <w:t>Pros.</w:t>
      </w:r>
      <w:bookmarkEnd w:id="21"/>
    </w:p>
    <w:p w14:paraId="5F2C6EAC" w14:textId="2258F051" w:rsidR="00C17833" w:rsidRPr="00E059BC" w:rsidRDefault="00C17833" w:rsidP="00C17833">
      <w:pPr>
        <w:pStyle w:val="ListParagraph"/>
        <w:numPr>
          <w:ilvl w:val="0"/>
          <w:numId w:val="4"/>
        </w:numPr>
        <w:rPr>
          <w:rFonts w:ascii="Times New Roman" w:hAnsi="Times New Roman" w:cs="Times New Roman"/>
          <w:sz w:val="24"/>
          <w:szCs w:val="24"/>
        </w:rPr>
      </w:pPr>
      <w:r w:rsidRPr="00E059BC">
        <w:rPr>
          <w:rFonts w:ascii="Times New Roman" w:hAnsi="Times New Roman" w:cs="Times New Roman"/>
          <w:sz w:val="24"/>
          <w:szCs w:val="24"/>
        </w:rPr>
        <w:t xml:space="preserve">AML appear to be </w:t>
      </w:r>
      <w:r w:rsidR="001C30B2">
        <w:rPr>
          <w:rFonts w:ascii="Times New Roman" w:hAnsi="Times New Roman" w:cs="Times New Roman"/>
          <w:sz w:val="24"/>
          <w:szCs w:val="24"/>
        </w:rPr>
        <w:t xml:space="preserve">striving to </w:t>
      </w:r>
      <w:r w:rsidRPr="00E059BC">
        <w:rPr>
          <w:rFonts w:ascii="Times New Roman" w:hAnsi="Times New Roman" w:cs="Times New Roman"/>
          <w:sz w:val="24"/>
          <w:szCs w:val="24"/>
        </w:rPr>
        <w:t>stag a si</w:t>
      </w:r>
      <w:r w:rsidR="001C30B2">
        <w:rPr>
          <w:rFonts w:ascii="Times New Roman" w:hAnsi="Times New Roman" w:cs="Times New Roman"/>
          <w:sz w:val="24"/>
          <w:szCs w:val="24"/>
        </w:rPr>
        <w:t>e</w:t>
      </w:r>
      <w:r w:rsidRPr="00E059BC">
        <w:rPr>
          <w:rFonts w:ascii="Times New Roman" w:hAnsi="Times New Roman" w:cs="Times New Roman"/>
          <w:sz w:val="24"/>
          <w:szCs w:val="24"/>
        </w:rPr>
        <w:t>gnificant recovery.</w:t>
      </w:r>
    </w:p>
    <w:p w14:paraId="469EA84E" w14:textId="77777777" w:rsidR="00C17833" w:rsidRPr="00E059BC" w:rsidRDefault="00C17833" w:rsidP="00C17833">
      <w:pPr>
        <w:pStyle w:val="ListParagraph"/>
        <w:numPr>
          <w:ilvl w:val="0"/>
          <w:numId w:val="4"/>
        </w:numPr>
        <w:rPr>
          <w:rFonts w:ascii="Times New Roman" w:hAnsi="Times New Roman" w:cs="Times New Roman"/>
          <w:sz w:val="24"/>
          <w:szCs w:val="24"/>
        </w:rPr>
      </w:pPr>
      <w:r w:rsidRPr="00E059BC">
        <w:rPr>
          <w:rFonts w:ascii="Times New Roman" w:hAnsi="Times New Roman" w:cs="Times New Roman"/>
          <w:sz w:val="24"/>
          <w:szCs w:val="24"/>
        </w:rPr>
        <w:t xml:space="preserve">Acceptable interest coverage. </w:t>
      </w:r>
    </w:p>
    <w:p w14:paraId="4FABA0C9" w14:textId="77777777" w:rsidR="00C17833" w:rsidRPr="00447B78" w:rsidRDefault="00C17833" w:rsidP="00C17833">
      <w:pPr>
        <w:pStyle w:val="ListParagraph"/>
        <w:numPr>
          <w:ilvl w:val="0"/>
          <w:numId w:val="4"/>
        </w:numPr>
        <w:rPr>
          <w:rFonts w:ascii="Times New Roman" w:hAnsi="Times New Roman" w:cs="Times New Roman"/>
          <w:sz w:val="24"/>
          <w:szCs w:val="24"/>
        </w:rPr>
      </w:pPr>
      <w:r w:rsidRPr="00E059BC">
        <w:rPr>
          <w:rFonts w:ascii="Times New Roman" w:hAnsi="Times New Roman" w:cs="Times New Roman"/>
          <w:sz w:val="24"/>
          <w:szCs w:val="24"/>
        </w:rPr>
        <w:t xml:space="preserve">Prestigious brand for ABC to be associated with. </w:t>
      </w:r>
    </w:p>
    <w:p w14:paraId="4FE6919B" w14:textId="77777777" w:rsidR="00C17833" w:rsidRDefault="00C17833" w:rsidP="004D70EB">
      <w:pPr>
        <w:rPr>
          <w:rFonts w:ascii="Times New Roman" w:hAnsi="Times New Roman" w:cs="Times New Roman"/>
          <w:sz w:val="24"/>
          <w:szCs w:val="24"/>
        </w:rPr>
      </w:pPr>
    </w:p>
    <w:p w14:paraId="0F963111" w14:textId="7BC7646C" w:rsidR="00635C6F" w:rsidRPr="00E059BC" w:rsidRDefault="004D306D" w:rsidP="00AB06C9">
      <w:pPr>
        <w:pStyle w:val="Heading1"/>
        <w:rPr>
          <w:rFonts w:ascii="Times New Roman" w:hAnsi="Times New Roman" w:cs="Times New Roman"/>
          <w:sz w:val="24"/>
          <w:szCs w:val="24"/>
        </w:rPr>
      </w:pPr>
      <w:bookmarkStart w:id="22" w:name="_Toc125378699"/>
      <w:r w:rsidRPr="00E059BC">
        <w:rPr>
          <w:rFonts w:ascii="Times New Roman" w:hAnsi="Times New Roman" w:cs="Times New Roman"/>
          <w:sz w:val="24"/>
          <w:szCs w:val="24"/>
        </w:rPr>
        <w:t>Recommendations.</w:t>
      </w:r>
      <w:bookmarkEnd w:id="22"/>
    </w:p>
    <w:p w14:paraId="2116BA72" w14:textId="77777777" w:rsidR="005F19DB" w:rsidRPr="00E059BC" w:rsidRDefault="004D306D" w:rsidP="00635C6F">
      <w:pPr>
        <w:rPr>
          <w:rFonts w:ascii="Times New Roman" w:hAnsi="Times New Roman" w:cs="Times New Roman"/>
          <w:sz w:val="24"/>
          <w:szCs w:val="24"/>
        </w:rPr>
      </w:pPr>
      <w:r w:rsidRPr="00E059BC">
        <w:rPr>
          <w:rFonts w:ascii="Times New Roman" w:hAnsi="Times New Roman" w:cs="Times New Roman"/>
          <w:sz w:val="24"/>
          <w:szCs w:val="24"/>
        </w:rPr>
        <w:t>It is not recommended that Company ABC invest 5M</w:t>
      </w:r>
      <w:r w:rsidR="005F19DB" w:rsidRPr="00E059BC">
        <w:rPr>
          <w:rFonts w:ascii="Times New Roman" w:hAnsi="Times New Roman" w:cs="Times New Roman"/>
          <w:sz w:val="24"/>
          <w:szCs w:val="24"/>
        </w:rPr>
        <w:t xml:space="preserve"> GDP in</w:t>
      </w:r>
      <w:r w:rsidRPr="00E059BC">
        <w:rPr>
          <w:rFonts w:ascii="Times New Roman" w:hAnsi="Times New Roman" w:cs="Times New Roman"/>
          <w:sz w:val="24"/>
          <w:szCs w:val="24"/>
        </w:rPr>
        <w:t xml:space="preserve"> a venture with AML.  </w:t>
      </w:r>
    </w:p>
    <w:p w14:paraId="2B6479B3" w14:textId="22F4F296" w:rsidR="004D306D" w:rsidRPr="00E059BC" w:rsidRDefault="004D306D" w:rsidP="00635C6F">
      <w:pPr>
        <w:rPr>
          <w:rFonts w:ascii="Times New Roman" w:hAnsi="Times New Roman" w:cs="Times New Roman"/>
          <w:sz w:val="24"/>
          <w:szCs w:val="24"/>
        </w:rPr>
      </w:pPr>
      <w:r w:rsidRPr="00E059BC">
        <w:rPr>
          <w:rFonts w:ascii="Times New Roman" w:hAnsi="Times New Roman" w:cs="Times New Roman"/>
          <w:sz w:val="24"/>
          <w:szCs w:val="24"/>
        </w:rPr>
        <w:t>The</w:t>
      </w:r>
      <w:r w:rsidR="005F19DB" w:rsidRPr="00E059BC">
        <w:rPr>
          <w:rFonts w:ascii="Times New Roman" w:hAnsi="Times New Roman" w:cs="Times New Roman"/>
          <w:sz w:val="24"/>
          <w:szCs w:val="24"/>
        </w:rPr>
        <w:t xml:space="preserve"> perceived</w:t>
      </w:r>
      <w:r w:rsidRPr="00E059BC">
        <w:rPr>
          <w:rFonts w:ascii="Times New Roman" w:hAnsi="Times New Roman" w:cs="Times New Roman"/>
          <w:sz w:val="24"/>
          <w:szCs w:val="24"/>
        </w:rPr>
        <w:t xml:space="preserve"> risks presented include low expectancy of acceptable payment terms being met, </w:t>
      </w:r>
      <w:r w:rsidR="005F19DB" w:rsidRPr="00E059BC">
        <w:rPr>
          <w:rFonts w:ascii="Times New Roman" w:hAnsi="Times New Roman" w:cs="Times New Roman"/>
          <w:sz w:val="24"/>
          <w:szCs w:val="24"/>
        </w:rPr>
        <w:t xml:space="preserve">exposure </w:t>
      </w:r>
      <w:r w:rsidR="0075433A" w:rsidRPr="00E059BC">
        <w:rPr>
          <w:rFonts w:ascii="Times New Roman" w:hAnsi="Times New Roman" w:cs="Times New Roman"/>
          <w:sz w:val="24"/>
          <w:szCs w:val="24"/>
        </w:rPr>
        <w:t>to</w:t>
      </w:r>
      <w:r w:rsidR="005F19DB" w:rsidRPr="00E059BC">
        <w:rPr>
          <w:rFonts w:ascii="Times New Roman" w:hAnsi="Times New Roman" w:cs="Times New Roman"/>
          <w:sz w:val="24"/>
          <w:szCs w:val="24"/>
        </w:rPr>
        <w:t xml:space="preserve"> AML’s financial stability as demonstrated in the financial ratios, not least the D/E ratio, and AML’s turbulent history of near solvency events. </w:t>
      </w:r>
    </w:p>
    <w:p w14:paraId="3CC577A9" w14:textId="77777777" w:rsidR="00216C8E" w:rsidRPr="00E059BC" w:rsidRDefault="00216C8E" w:rsidP="006248D4">
      <w:pPr>
        <w:rPr>
          <w:rFonts w:ascii="Times New Roman" w:hAnsi="Times New Roman" w:cs="Times New Roman"/>
          <w:sz w:val="24"/>
          <w:szCs w:val="24"/>
        </w:rPr>
      </w:pPr>
    </w:p>
    <w:p w14:paraId="44CA5F04" w14:textId="77777777" w:rsidR="00216C8E" w:rsidRPr="00E059BC" w:rsidRDefault="00216C8E" w:rsidP="006248D4">
      <w:pPr>
        <w:rPr>
          <w:rFonts w:ascii="Times New Roman" w:hAnsi="Times New Roman" w:cs="Times New Roman"/>
          <w:sz w:val="24"/>
          <w:szCs w:val="24"/>
        </w:rPr>
      </w:pPr>
    </w:p>
    <w:p w14:paraId="19A540EB" w14:textId="73B83EED" w:rsidR="00A74F20" w:rsidRPr="00E059BC" w:rsidRDefault="00A74F20" w:rsidP="006248D4">
      <w:pPr>
        <w:rPr>
          <w:rFonts w:ascii="Times New Roman" w:hAnsi="Times New Roman" w:cs="Times New Roman"/>
          <w:sz w:val="24"/>
          <w:szCs w:val="24"/>
        </w:rPr>
      </w:pPr>
    </w:p>
    <w:p w14:paraId="7E52F5D7" w14:textId="29C6B141" w:rsidR="00E50AE2" w:rsidRPr="00E059BC" w:rsidRDefault="00E50AE2">
      <w:pPr>
        <w:rPr>
          <w:rFonts w:ascii="Times New Roman" w:hAnsi="Times New Roman" w:cs="Times New Roman"/>
          <w:sz w:val="24"/>
          <w:szCs w:val="24"/>
        </w:rPr>
      </w:pPr>
      <w:r w:rsidRPr="00E059BC">
        <w:rPr>
          <w:rFonts w:ascii="Times New Roman" w:hAnsi="Times New Roman" w:cs="Times New Roman"/>
          <w:sz w:val="24"/>
          <w:szCs w:val="24"/>
        </w:rPr>
        <w:br w:type="page"/>
      </w:r>
    </w:p>
    <w:p w14:paraId="4E774204" w14:textId="360A49B7" w:rsidR="00011E62" w:rsidRDefault="001953E3" w:rsidP="00E059BC">
      <w:pPr>
        <w:pStyle w:val="Heading1"/>
        <w:rPr>
          <w:lang w:val="en-US"/>
        </w:rPr>
      </w:pPr>
      <w:bookmarkStart w:id="23" w:name="_Toc125378700"/>
      <w:r>
        <w:rPr>
          <w:lang w:val="en-US"/>
        </w:rPr>
        <w:lastRenderedPageBreak/>
        <w:t>Bibliography</w:t>
      </w:r>
      <w:bookmarkEnd w:id="23"/>
    </w:p>
    <w:p w14:paraId="707105E7" w14:textId="77777777" w:rsidR="00035C0B" w:rsidRPr="00035C0B" w:rsidRDefault="00035C0B" w:rsidP="00035C0B">
      <w:pPr>
        <w:rPr>
          <w:lang w:val="en-US"/>
        </w:rPr>
      </w:pPr>
    </w:p>
    <w:p w14:paraId="6C4915C6"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Ahmed, D. (2022). </w:t>
      </w:r>
      <w:r>
        <w:rPr>
          <w:rFonts w:ascii="Times New Roman" w:hAnsi="Times New Roman" w:cs="Times New Roman"/>
          <w:i/>
          <w:iCs/>
          <w:sz w:val="24"/>
          <w:szCs w:val="24"/>
          <w:lang w:val="en-US"/>
        </w:rPr>
        <w:t>Top Automotive Industry Financial Metrics</w:t>
      </w:r>
      <w:r>
        <w:rPr>
          <w:rFonts w:ascii="Times New Roman" w:hAnsi="Times New Roman" w:cs="Times New Roman"/>
          <w:sz w:val="24"/>
          <w:szCs w:val="24"/>
          <w:lang w:val="en-US"/>
        </w:rPr>
        <w:t xml:space="preserve">. [online] Oak Business Consultant. Available at: </w:t>
      </w:r>
      <w:hyperlink r:id="rId15" w:history="1">
        <w:r>
          <w:rPr>
            <w:rStyle w:val="Hyperlink"/>
            <w:rFonts w:ascii="Times New Roman" w:hAnsi="Times New Roman" w:cs="Times New Roman"/>
            <w:color w:val="auto"/>
            <w:sz w:val="24"/>
            <w:szCs w:val="24"/>
            <w:lang w:val="en-US"/>
          </w:rPr>
          <w:t>https://oakbusinessconsultant.com/automotive-industry-financial-metrics/</w:t>
        </w:r>
      </w:hyperlink>
      <w:r>
        <w:rPr>
          <w:rFonts w:ascii="Times New Roman" w:hAnsi="Times New Roman" w:cs="Times New Roman"/>
          <w:sz w:val="24"/>
          <w:szCs w:val="24"/>
          <w:lang w:val="en-US"/>
        </w:rPr>
        <w:t>.</w:t>
      </w:r>
    </w:p>
    <w:p w14:paraId="4AD52D83"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CFI Team (2022a). </w:t>
      </w:r>
      <w:r>
        <w:rPr>
          <w:rFonts w:ascii="Times New Roman" w:hAnsi="Times New Roman" w:cs="Times New Roman"/>
          <w:i/>
          <w:iCs/>
          <w:sz w:val="24"/>
          <w:szCs w:val="24"/>
          <w:lang w:val="en-US"/>
        </w:rPr>
        <w:t>Liquidity Ratio</w:t>
      </w:r>
      <w:r>
        <w:rPr>
          <w:rFonts w:ascii="Times New Roman" w:hAnsi="Times New Roman" w:cs="Times New Roman"/>
          <w:sz w:val="24"/>
          <w:szCs w:val="24"/>
          <w:lang w:val="en-US"/>
        </w:rPr>
        <w:t xml:space="preserve">. [online] Corporate Finance Institute. Available at: </w:t>
      </w:r>
      <w:hyperlink r:id="rId16" w:history="1">
        <w:r>
          <w:rPr>
            <w:rStyle w:val="Hyperlink"/>
            <w:rFonts w:ascii="Times New Roman" w:hAnsi="Times New Roman" w:cs="Times New Roman"/>
            <w:color w:val="auto"/>
            <w:sz w:val="24"/>
            <w:szCs w:val="24"/>
            <w:lang w:val="en-US"/>
          </w:rPr>
          <w:t>https://corporatefinanceinstitute.com/resources/accounting/liquidity-ratio/</w:t>
        </w:r>
      </w:hyperlink>
      <w:r>
        <w:rPr>
          <w:rFonts w:ascii="Times New Roman" w:hAnsi="Times New Roman" w:cs="Times New Roman"/>
          <w:sz w:val="24"/>
          <w:szCs w:val="24"/>
          <w:lang w:val="en-US"/>
        </w:rPr>
        <w:t>.</w:t>
      </w:r>
    </w:p>
    <w:p w14:paraId="6F3FD9AC"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CFI Team (2022b). </w:t>
      </w:r>
      <w:r>
        <w:rPr>
          <w:rFonts w:ascii="Times New Roman" w:hAnsi="Times New Roman" w:cs="Times New Roman"/>
          <w:i/>
          <w:iCs/>
          <w:sz w:val="24"/>
          <w:szCs w:val="24"/>
          <w:lang w:val="en-US"/>
        </w:rPr>
        <w:t>Ratio Analysis</w:t>
      </w:r>
      <w:r>
        <w:rPr>
          <w:rFonts w:ascii="Times New Roman" w:hAnsi="Times New Roman" w:cs="Times New Roman"/>
          <w:sz w:val="24"/>
          <w:szCs w:val="24"/>
          <w:lang w:val="en-US"/>
        </w:rPr>
        <w:t xml:space="preserve">. [online] Corporate Finance Institute. Available at: </w:t>
      </w:r>
      <w:hyperlink r:id="rId17" w:history="1">
        <w:r>
          <w:rPr>
            <w:rStyle w:val="Hyperlink"/>
            <w:rFonts w:ascii="Times New Roman" w:hAnsi="Times New Roman" w:cs="Times New Roman"/>
            <w:color w:val="auto"/>
            <w:sz w:val="24"/>
            <w:szCs w:val="24"/>
            <w:lang w:val="en-US"/>
          </w:rPr>
          <w:t>https://corporatefinanceinstitute.com/resources/accounting/ratio-analysis/</w:t>
        </w:r>
      </w:hyperlink>
      <w:r>
        <w:rPr>
          <w:rFonts w:ascii="Times New Roman" w:hAnsi="Times New Roman" w:cs="Times New Roman"/>
          <w:sz w:val="24"/>
          <w:szCs w:val="24"/>
          <w:lang w:val="en-US"/>
        </w:rPr>
        <w:t>.</w:t>
      </w:r>
    </w:p>
    <w:p w14:paraId="7F8E8894"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Compare the Difference Between Similar Terms. (n.d.). </w:t>
      </w:r>
      <w:r>
        <w:rPr>
          <w:rFonts w:ascii="Times New Roman" w:hAnsi="Times New Roman" w:cs="Times New Roman"/>
          <w:i/>
          <w:iCs/>
          <w:sz w:val="24"/>
          <w:szCs w:val="24"/>
          <w:lang w:val="en-US"/>
        </w:rPr>
        <w:t>Difference Between Gearing and Leverage</w:t>
      </w:r>
      <w:r>
        <w:rPr>
          <w:rFonts w:ascii="Times New Roman" w:hAnsi="Times New Roman" w:cs="Times New Roman"/>
          <w:sz w:val="24"/>
          <w:szCs w:val="24"/>
          <w:lang w:val="en-US"/>
        </w:rPr>
        <w:t xml:space="preserve">. [online] Available at: </w:t>
      </w:r>
      <w:hyperlink r:id="rId18" w:history="1">
        <w:r>
          <w:rPr>
            <w:rStyle w:val="Hyperlink"/>
            <w:rFonts w:ascii="Times New Roman" w:hAnsi="Times New Roman" w:cs="Times New Roman"/>
            <w:color w:val="auto"/>
            <w:sz w:val="24"/>
            <w:szCs w:val="24"/>
            <w:lang w:val="en-US"/>
          </w:rPr>
          <w:t>https://www.differencebetween.com/difference-between-gearing-and-vs-leverage/</w:t>
        </w:r>
      </w:hyperlink>
      <w:r>
        <w:rPr>
          <w:rFonts w:ascii="Times New Roman" w:hAnsi="Times New Roman" w:cs="Times New Roman"/>
          <w:sz w:val="24"/>
          <w:szCs w:val="24"/>
          <w:lang w:val="en-US"/>
        </w:rPr>
        <w:t>.</w:t>
      </w:r>
    </w:p>
    <w:p w14:paraId="1A1A8197"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find-and-update.company-information.service.gov.uk. (n.d.). </w:t>
      </w:r>
      <w:r>
        <w:rPr>
          <w:rFonts w:ascii="Times New Roman" w:hAnsi="Times New Roman" w:cs="Times New Roman"/>
          <w:i/>
          <w:iCs/>
          <w:sz w:val="24"/>
          <w:szCs w:val="24"/>
          <w:lang w:val="en-US"/>
        </w:rPr>
        <w:t>ASTON MARTIN LAGONDA GLOBAL HOLDINGS PLC overview - Find and update company information - GOV.UK</w:t>
      </w:r>
      <w:r>
        <w:rPr>
          <w:rFonts w:ascii="Times New Roman" w:hAnsi="Times New Roman" w:cs="Times New Roman"/>
          <w:sz w:val="24"/>
          <w:szCs w:val="24"/>
          <w:lang w:val="en-US"/>
        </w:rPr>
        <w:t xml:space="preserve">. [online] Available at: </w:t>
      </w:r>
      <w:hyperlink r:id="rId19" w:history="1">
        <w:r>
          <w:rPr>
            <w:rStyle w:val="Hyperlink"/>
            <w:rFonts w:ascii="Times New Roman" w:hAnsi="Times New Roman" w:cs="Times New Roman"/>
            <w:color w:val="auto"/>
            <w:sz w:val="24"/>
            <w:szCs w:val="24"/>
            <w:lang w:val="en-US"/>
          </w:rPr>
          <w:t>https://find-and-update.company-information.service.gov.uk/company/11488166</w:t>
        </w:r>
      </w:hyperlink>
      <w:r>
        <w:rPr>
          <w:rFonts w:ascii="Times New Roman" w:hAnsi="Times New Roman" w:cs="Times New Roman"/>
          <w:sz w:val="24"/>
          <w:szCs w:val="24"/>
          <w:lang w:val="en-US"/>
        </w:rPr>
        <w:t xml:space="preserve"> [Accessed 19 Jan. 2023].</w:t>
      </w:r>
    </w:p>
    <w:p w14:paraId="05EA4005"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find-and-update.company-information.service.gov.uk. (n.d.). </w:t>
      </w:r>
      <w:r>
        <w:rPr>
          <w:rFonts w:ascii="Times New Roman" w:hAnsi="Times New Roman" w:cs="Times New Roman"/>
          <w:i/>
          <w:iCs/>
          <w:sz w:val="24"/>
          <w:szCs w:val="24"/>
          <w:lang w:val="en-US"/>
        </w:rPr>
        <w:t>ASTON MARTIN LAGONDA GROUP LIMITED filing history - Find and update company information - GOV.UK</w:t>
      </w:r>
      <w:r>
        <w:rPr>
          <w:rFonts w:ascii="Times New Roman" w:hAnsi="Times New Roman" w:cs="Times New Roman"/>
          <w:sz w:val="24"/>
          <w:szCs w:val="24"/>
          <w:lang w:val="en-US"/>
        </w:rPr>
        <w:t xml:space="preserve">. [online] Available at: </w:t>
      </w:r>
      <w:hyperlink r:id="rId20" w:history="1">
        <w:r>
          <w:rPr>
            <w:rStyle w:val="Hyperlink"/>
            <w:rFonts w:ascii="Times New Roman" w:hAnsi="Times New Roman" w:cs="Times New Roman"/>
            <w:color w:val="auto"/>
            <w:sz w:val="24"/>
            <w:szCs w:val="24"/>
            <w:lang w:val="en-US"/>
          </w:rPr>
          <w:t>https://find-and-update.company-information.service.gov.uk/company/01559668/filing-history</w:t>
        </w:r>
      </w:hyperlink>
      <w:r>
        <w:rPr>
          <w:rFonts w:ascii="Times New Roman" w:hAnsi="Times New Roman" w:cs="Times New Roman"/>
          <w:sz w:val="24"/>
          <w:szCs w:val="24"/>
          <w:lang w:val="en-US"/>
        </w:rPr>
        <w:t xml:space="preserve"> [Accessed 19 Jan. 2023].</w:t>
      </w:r>
    </w:p>
    <w:p w14:paraId="06A6C235"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find-and-update.company-information.service.gov.uk. (n.d.). </w:t>
      </w:r>
      <w:r>
        <w:rPr>
          <w:rFonts w:ascii="Times New Roman" w:hAnsi="Times New Roman" w:cs="Times New Roman"/>
          <w:i/>
          <w:iCs/>
          <w:sz w:val="24"/>
          <w:szCs w:val="24"/>
          <w:lang w:val="en-US"/>
        </w:rPr>
        <w:t>ASTON MARTIN LAGONDA LIMITED filing history - Find and update company information - GOV.UK</w:t>
      </w:r>
      <w:r>
        <w:rPr>
          <w:rFonts w:ascii="Times New Roman" w:hAnsi="Times New Roman" w:cs="Times New Roman"/>
          <w:sz w:val="24"/>
          <w:szCs w:val="24"/>
          <w:lang w:val="en-US"/>
        </w:rPr>
        <w:t xml:space="preserve">. [online] Available at: </w:t>
      </w:r>
      <w:hyperlink r:id="rId21" w:history="1">
        <w:r>
          <w:rPr>
            <w:rStyle w:val="Hyperlink"/>
            <w:rFonts w:ascii="Times New Roman" w:hAnsi="Times New Roman" w:cs="Times New Roman"/>
            <w:color w:val="auto"/>
            <w:sz w:val="24"/>
            <w:szCs w:val="24"/>
            <w:lang w:val="en-US"/>
          </w:rPr>
          <w:t>https://find-and-update.company-information.service.gov.uk/company/01199255/filing-history</w:t>
        </w:r>
      </w:hyperlink>
      <w:r>
        <w:rPr>
          <w:rFonts w:ascii="Times New Roman" w:hAnsi="Times New Roman" w:cs="Times New Roman"/>
          <w:sz w:val="24"/>
          <w:szCs w:val="24"/>
          <w:lang w:val="en-US"/>
        </w:rPr>
        <w:t>.</w:t>
      </w:r>
    </w:p>
    <w:p w14:paraId="46751C2F"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Hargreaves Lansdown. (2023a). </w:t>
      </w:r>
      <w:r>
        <w:rPr>
          <w:rFonts w:ascii="Times New Roman" w:hAnsi="Times New Roman" w:cs="Times New Roman"/>
          <w:i/>
          <w:iCs/>
          <w:sz w:val="24"/>
          <w:szCs w:val="24"/>
          <w:lang w:val="en-US"/>
        </w:rPr>
        <w:t>Aston Martin Lagonda (AML) Ordinary 10p Statements &amp; Reports</w:t>
      </w:r>
      <w:r>
        <w:rPr>
          <w:rFonts w:ascii="Times New Roman" w:hAnsi="Times New Roman" w:cs="Times New Roman"/>
          <w:sz w:val="24"/>
          <w:szCs w:val="24"/>
          <w:lang w:val="en-US"/>
        </w:rPr>
        <w:t xml:space="preserve">. [online] Available at: </w:t>
      </w:r>
      <w:hyperlink r:id="rId22" w:history="1">
        <w:r>
          <w:rPr>
            <w:rStyle w:val="Hyperlink"/>
            <w:rFonts w:ascii="Times New Roman" w:hAnsi="Times New Roman" w:cs="Times New Roman"/>
            <w:color w:val="auto"/>
            <w:sz w:val="24"/>
            <w:szCs w:val="24"/>
            <w:lang w:val="en-US"/>
          </w:rPr>
          <w:t>https://www.hl.co.uk/shares/shares-search-results/a/aston-martin-lagonda-ord-10p/financial-statements-and-reports</w:t>
        </w:r>
      </w:hyperlink>
      <w:r>
        <w:rPr>
          <w:rFonts w:ascii="Times New Roman" w:hAnsi="Times New Roman" w:cs="Times New Roman"/>
          <w:sz w:val="24"/>
          <w:szCs w:val="24"/>
          <w:lang w:val="en-US"/>
        </w:rPr>
        <w:t>.</w:t>
      </w:r>
    </w:p>
    <w:p w14:paraId="15C70201"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Hargreaves Lansdown. (2023b). </w:t>
      </w:r>
      <w:r>
        <w:rPr>
          <w:rFonts w:ascii="Times New Roman" w:hAnsi="Times New Roman" w:cs="Times New Roman"/>
          <w:i/>
          <w:iCs/>
          <w:sz w:val="24"/>
          <w:szCs w:val="24"/>
          <w:lang w:val="en-US"/>
        </w:rPr>
        <w:t>Interactive share charts for Aston Martin Lagonda (AML) Ordinary 10p</w:t>
      </w:r>
      <w:r>
        <w:rPr>
          <w:rFonts w:ascii="Times New Roman" w:hAnsi="Times New Roman" w:cs="Times New Roman"/>
          <w:sz w:val="24"/>
          <w:szCs w:val="24"/>
          <w:lang w:val="en-US"/>
        </w:rPr>
        <w:t xml:space="preserve">. [online] Available at: </w:t>
      </w:r>
      <w:hyperlink r:id="rId23" w:history="1">
        <w:r>
          <w:rPr>
            <w:rStyle w:val="Hyperlink"/>
            <w:rFonts w:ascii="Times New Roman" w:hAnsi="Times New Roman" w:cs="Times New Roman"/>
            <w:color w:val="auto"/>
            <w:sz w:val="24"/>
            <w:szCs w:val="24"/>
            <w:lang w:val="en-US"/>
          </w:rPr>
          <w:t>https://www.hl.co.uk/shares/shares-search-</w:t>
        </w:r>
        <w:r>
          <w:rPr>
            <w:rStyle w:val="Hyperlink"/>
            <w:rFonts w:ascii="Times New Roman" w:hAnsi="Times New Roman" w:cs="Times New Roman"/>
            <w:color w:val="auto"/>
            <w:sz w:val="24"/>
            <w:szCs w:val="24"/>
            <w:lang w:val="en-US"/>
          </w:rPr>
          <w:lastRenderedPageBreak/>
          <w:t>results/a/aston-martin-lagonda-ord-10p/share-charts</w:t>
        </w:r>
      </w:hyperlink>
      <w:r>
        <w:rPr>
          <w:rFonts w:ascii="Times New Roman" w:hAnsi="Times New Roman" w:cs="Times New Roman"/>
          <w:sz w:val="24"/>
          <w:szCs w:val="24"/>
          <w:lang w:val="en-US"/>
        </w:rPr>
        <w:t xml:space="preserve"> [Accessed 23 Jan. 2023].</w:t>
      </w:r>
    </w:p>
    <w:p w14:paraId="0EA4AC6B"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Hopkins, J. (2022). </w:t>
      </w:r>
      <w:r>
        <w:rPr>
          <w:rFonts w:ascii="Times New Roman" w:hAnsi="Times New Roman" w:cs="Times New Roman"/>
          <w:i/>
          <w:iCs/>
          <w:sz w:val="24"/>
          <w:szCs w:val="24"/>
          <w:lang w:val="en-US"/>
        </w:rPr>
        <w:t>Aston Martin Lagonda gets target price and estimates cut by Deutsche Bank</w:t>
      </w:r>
      <w:r>
        <w:rPr>
          <w:rFonts w:ascii="Times New Roman" w:hAnsi="Times New Roman" w:cs="Times New Roman"/>
          <w:sz w:val="24"/>
          <w:szCs w:val="24"/>
          <w:lang w:val="en-US"/>
        </w:rPr>
        <w:t xml:space="preserve">. [online] Proactiveinvestors UK. Available at: </w:t>
      </w:r>
      <w:hyperlink r:id="rId24" w:history="1">
        <w:r>
          <w:rPr>
            <w:rStyle w:val="Hyperlink"/>
            <w:rFonts w:ascii="Times New Roman" w:hAnsi="Times New Roman" w:cs="Times New Roman"/>
            <w:color w:val="auto"/>
            <w:sz w:val="24"/>
            <w:szCs w:val="24"/>
            <w:lang w:val="en-US"/>
          </w:rPr>
          <w:t>https://www.proactiveinvestors.co.uk/companies/news/997321/aston-martin-lagonda-gets-target-price-and-estimates-cut-by-deutsche-bank-997321.html</w:t>
        </w:r>
      </w:hyperlink>
      <w:r>
        <w:rPr>
          <w:rFonts w:ascii="Times New Roman" w:hAnsi="Times New Roman" w:cs="Times New Roman"/>
          <w:sz w:val="24"/>
          <w:szCs w:val="24"/>
          <w:lang w:val="en-US"/>
        </w:rPr>
        <w:t xml:space="preserve"> [Accessed 19 Jan. 2023].</w:t>
      </w:r>
    </w:p>
    <w:p w14:paraId="5E77465B"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https://amsc-prod-cd.azureedge.net/-/media/corporate/documents/annual-reports/aston-martin-lagonda-global-holdings-plc-annual-report-2021.pdf?rev=28bd14cf04634b888d914b32a783f2bf&amp;hash=08BCE7B57DD899A69FEC934CF8F3D24E. (n.d.). </w:t>
      </w:r>
      <w:r>
        <w:rPr>
          <w:rFonts w:ascii="Times New Roman" w:hAnsi="Times New Roman" w:cs="Times New Roman"/>
          <w:i/>
          <w:iCs/>
          <w:sz w:val="24"/>
          <w:szCs w:val="24"/>
          <w:lang w:val="en-US"/>
        </w:rPr>
        <w:t>ASTON MARTIN LAGONDA ANNUAL REPORT AND ACCOUNTS 2021</w:t>
      </w:r>
      <w:r>
        <w:rPr>
          <w:rFonts w:ascii="Times New Roman" w:hAnsi="Times New Roman" w:cs="Times New Roman"/>
          <w:sz w:val="24"/>
          <w:szCs w:val="24"/>
          <w:lang w:val="en-US"/>
        </w:rPr>
        <w:t>.</w:t>
      </w:r>
    </w:p>
    <w:p w14:paraId="20D307D2"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Jones, M. (2007). Ford to sell Aston Martin in $925 mln deal. </w:t>
      </w:r>
      <w:r>
        <w:rPr>
          <w:rFonts w:ascii="Times New Roman" w:hAnsi="Times New Roman" w:cs="Times New Roman"/>
          <w:i/>
          <w:iCs/>
          <w:sz w:val="24"/>
          <w:szCs w:val="24"/>
          <w:lang w:val="en-US"/>
        </w:rPr>
        <w:t>Reuters</w:t>
      </w:r>
      <w:r>
        <w:rPr>
          <w:rFonts w:ascii="Times New Roman" w:hAnsi="Times New Roman" w:cs="Times New Roman"/>
          <w:sz w:val="24"/>
          <w:szCs w:val="24"/>
          <w:lang w:val="en-US"/>
        </w:rPr>
        <w:t xml:space="preserve">. [online] 12 Mar. Available at: </w:t>
      </w:r>
      <w:hyperlink r:id="rId25" w:history="1">
        <w:r>
          <w:rPr>
            <w:rStyle w:val="Hyperlink"/>
            <w:rFonts w:ascii="Times New Roman" w:hAnsi="Times New Roman" w:cs="Times New Roman"/>
            <w:color w:val="auto"/>
            <w:sz w:val="24"/>
            <w:szCs w:val="24"/>
            <w:lang w:val="en-US"/>
          </w:rPr>
          <w:t>https://www.reuters.com/article/us-ford-astonmartin-statement/ford-to-sell-aston-martin-in-925-mln-deal-idUSWNAS371820070312</w:t>
        </w:r>
      </w:hyperlink>
      <w:r>
        <w:rPr>
          <w:rFonts w:ascii="Times New Roman" w:hAnsi="Times New Roman" w:cs="Times New Roman"/>
          <w:sz w:val="24"/>
          <w:szCs w:val="24"/>
          <w:lang w:val="en-US"/>
        </w:rPr>
        <w:t>.</w:t>
      </w:r>
    </w:p>
    <w:p w14:paraId="5ADFD94E"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MarketScreener (2022). </w:t>
      </w:r>
      <w:r>
        <w:rPr>
          <w:rFonts w:ascii="Times New Roman" w:hAnsi="Times New Roman" w:cs="Times New Roman"/>
          <w:i/>
          <w:iCs/>
          <w:sz w:val="24"/>
          <w:szCs w:val="24"/>
          <w:lang w:val="en-US"/>
        </w:rPr>
        <w:t>Aston Martin Lagonda Appoints Andreas Bareis as Regional President for Continental Europe | MarketScreener</w:t>
      </w:r>
      <w:r>
        <w:rPr>
          <w:rFonts w:ascii="Times New Roman" w:hAnsi="Times New Roman" w:cs="Times New Roman"/>
          <w:sz w:val="24"/>
          <w:szCs w:val="24"/>
          <w:lang w:val="en-US"/>
        </w:rPr>
        <w:t xml:space="preserve">. [online] www.marketscreener.com. Available at: </w:t>
      </w:r>
      <w:hyperlink r:id="rId26" w:history="1">
        <w:r>
          <w:rPr>
            <w:rStyle w:val="Hyperlink"/>
            <w:rFonts w:ascii="Times New Roman" w:hAnsi="Times New Roman" w:cs="Times New Roman"/>
            <w:color w:val="auto"/>
            <w:sz w:val="24"/>
            <w:szCs w:val="24"/>
            <w:lang w:val="en-US"/>
          </w:rPr>
          <w:t>https://www.marketscreener.com/quote/stock/ASTON-MARTIN-LAGONDA-GLOB-46472778/news/Aston-Martin-Lagonda-Appoints-Andreas-Bareis-as-Regional-President-for-Continental-Europe-42535106/</w:t>
        </w:r>
      </w:hyperlink>
      <w:r>
        <w:rPr>
          <w:rFonts w:ascii="Times New Roman" w:hAnsi="Times New Roman" w:cs="Times New Roman"/>
          <w:sz w:val="24"/>
          <w:szCs w:val="24"/>
          <w:lang w:val="en-US"/>
        </w:rPr>
        <w:t xml:space="preserve"> [Accessed 20 Jan. 2023].</w:t>
      </w:r>
    </w:p>
    <w:p w14:paraId="58A07341"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MarketScreener (2023a). </w:t>
      </w:r>
      <w:r>
        <w:rPr>
          <w:rFonts w:ascii="Times New Roman" w:hAnsi="Times New Roman" w:cs="Times New Roman"/>
          <w:i/>
          <w:iCs/>
          <w:sz w:val="24"/>
          <w:szCs w:val="24"/>
          <w:lang w:val="en-US"/>
        </w:rPr>
        <w:t>ASTON MARTIN LAGONDA GLOBAL HOLDINGS PLC : Shareholders Board Members Managers and Company Profile | GB00BN7CG237 | MarketScreener</w:t>
      </w:r>
      <w:r>
        <w:rPr>
          <w:rFonts w:ascii="Times New Roman" w:hAnsi="Times New Roman" w:cs="Times New Roman"/>
          <w:sz w:val="24"/>
          <w:szCs w:val="24"/>
          <w:lang w:val="en-US"/>
        </w:rPr>
        <w:t xml:space="preserve">. [online] www.marketscreener.com. Available at: </w:t>
      </w:r>
      <w:hyperlink r:id="rId27" w:history="1">
        <w:r>
          <w:rPr>
            <w:rStyle w:val="Hyperlink"/>
            <w:rFonts w:ascii="Times New Roman" w:hAnsi="Times New Roman" w:cs="Times New Roman"/>
            <w:color w:val="auto"/>
            <w:sz w:val="24"/>
            <w:szCs w:val="24"/>
            <w:lang w:val="en-US"/>
          </w:rPr>
          <w:t>https://www.marketscreener.com/quote/stock/ASTON-MARTIN-LAGONDA-GLOB-46472778/company/</w:t>
        </w:r>
      </w:hyperlink>
      <w:r>
        <w:rPr>
          <w:rFonts w:ascii="Times New Roman" w:hAnsi="Times New Roman" w:cs="Times New Roman"/>
          <w:sz w:val="24"/>
          <w:szCs w:val="24"/>
          <w:lang w:val="en-US"/>
        </w:rPr>
        <w:t>.</w:t>
      </w:r>
    </w:p>
    <w:p w14:paraId="1E72705D"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MarketScreener (2023b). </w:t>
      </w:r>
      <w:r>
        <w:rPr>
          <w:rFonts w:ascii="Times New Roman" w:hAnsi="Times New Roman" w:cs="Times New Roman"/>
          <w:i/>
          <w:iCs/>
          <w:sz w:val="24"/>
          <w:szCs w:val="24"/>
          <w:lang w:val="en-US"/>
        </w:rPr>
        <w:t>ASTON MARTIN LAGONDA GLOBAL HOLDINGS PLC : Technical Analysis Chart | AML | GB00BN7CG237 | MarketScreener</w:t>
      </w:r>
      <w:r>
        <w:rPr>
          <w:rFonts w:ascii="Times New Roman" w:hAnsi="Times New Roman" w:cs="Times New Roman"/>
          <w:sz w:val="24"/>
          <w:szCs w:val="24"/>
          <w:lang w:val="en-US"/>
        </w:rPr>
        <w:t xml:space="preserve">. [online] www.marketscreener.com. Available at: </w:t>
      </w:r>
      <w:hyperlink r:id="rId28" w:history="1">
        <w:r>
          <w:rPr>
            <w:rStyle w:val="Hyperlink"/>
            <w:rFonts w:ascii="Times New Roman" w:hAnsi="Times New Roman" w:cs="Times New Roman"/>
            <w:color w:val="auto"/>
            <w:sz w:val="24"/>
            <w:szCs w:val="24"/>
            <w:lang w:val="en-US"/>
          </w:rPr>
          <w:t>https://www.marketscreener.com/quote/stock/ASTON-MARTIN-LAGONDA-GLOB-46472778/charts/#</w:t>
        </w:r>
      </w:hyperlink>
      <w:r>
        <w:rPr>
          <w:rFonts w:ascii="Times New Roman" w:hAnsi="Times New Roman" w:cs="Times New Roman"/>
          <w:sz w:val="24"/>
          <w:szCs w:val="24"/>
          <w:lang w:val="en-US"/>
        </w:rPr>
        <w:t xml:space="preserve"> [Accessed 20 Jan. 2023].</w:t>
      </w:r>
    </w:p>
    <w:p w14:paraId="274D5AE8"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Mclaney, E.J. and Atrill, P. (2016). </w:t>
      </w:r>
      <w:r>
        <w:rPr>
          <w:rFonts w:ascii="Times New Roman" w:hAnsi="Times New Roman" w:cs="Times New Roman"/>
          <w:i/>
          <w:iCs/>
          <w:sz w:val="24"/>
          <w:szCs w:val="24"/>
          <w:lang w:val="en-US"/>
        </w:rPr>
        <w:t>Accounting and finance : an introduction</w:t>
      </w:r>
      <w:r>
        <w:rPr>
          <w:rFonts w:ascii="Times New Roman" w:hAnsi="Times New Roman" w:cs="Times New Roman"/>
          <w:sz w:val="24"/>
          <w:szCs w:val="24"/>
          <w:lang w:val="en-US"/>
        </w:rPr>
        <w:t xml:space="preserve">. 8th ed. Harlow: </w:t>
      </w:r>
      <w:r>
        <w:rPr>
          <w:rFonts w:ascii="Times New Roman" w:hAnsi="Times New Roman" w:cs="Times New Roman"/>
          <w:sz w:val="24"/>
          <w:szCs w:val="24"/>
          <w:lang w:val="en-US"/>
        </w:rPr>
        <w:lastRenderedPageBreak/>
        <w:t>Pearson.</w:t>
      </w:r>
    </w:p>
    <w:p w14:paraId="5DA535D2"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News, A.B.C. (2018). </w:t>
      </w:r>
      <w:r>
        <w:rPr>
          <w:rFonts w:ascii="Times New Roman" w:hAnsi="Times New Roman" w:cs="Times New Roman"/>
          <w:i/>
          <w:iCs/>
          <w:sz w:val="24"/>
          <w:szCs w:val="24"/>
          <w:lang w:val="en-US"/>
        </w:rPr>
        <w:t>British automaker Aston Martin has survived 7 bankruptcies. Now it wants you to invest in it</w:t>
      </w:r>
      <w:r>
        <w:rPr>
          <w:rFonts w:ascii="Times New Roman" w:hAnsi="Times New Roman" w:cs="Times New Roman"/>
          <w:sz w:val="24"/>
          <w:szCs w:val="24"/>
          <w:lang w:val="en-US"/>
        </w:rPr>
        <w:t xml:space="preserve">. [online] ABC News. Available at: </w:t>
      </w:r>
      <w:hyperlink r:id="rId29" w:history="1">
        <w:r>
          <w:rPr>
            <w:rStyle w:val="Hyperlink"/>
            <w:rFonts w:ascii="Times New Roman" w:hAnsi="Times New Roman" w:cs="Times New Roman"/>
            <w:color w:val="auto"/>
            <w:sz w:val="24"/>
            <w:szCs w:val="24"/>
            <w:lang w:val="en-US"/>
          </w:rPr>
          <w:t>https://abcnews.go.com/Business/british-automaker-aston-martin-survived-bankruptcies-now-invest/story?id=58417290</w:t>
        </w:r>
      </w:hyperlink>
      <w:r>
        <w:rPr>
          <w:rFonts w:ascii="Times New Roman" w:hAnsi="Times New Roman" w:cs="Times New Roman"/>
          <w:sz w:val="24"/>
          <w:szCs w:val="24"/>
          <w:lang w:val="en-US"/>
        </w:rPr>
        <w:t>.</w:t>
      </w:r>
    </w:p>
    <w:p w14:paraId="260E9454"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October 12, S. |, Valuation, 2020 | C., Ratio, F. and IRS (2020). </w:t>
      </w:r>
      <w:r>
        <w:rPr>
          <w:rFonts w:ascii="Times New Roman" w:hAnsi="Times New Roman" w:cs="Times New Roman"/>
          <w:i/>
          <w:iCs/>
          <w:sz w:val="24"/>
          <w:szCs w:val="24"/>
          <w:lang w:val="en-US"/>
        </w:rPr>
        <w:t>Company Valuation: Financial Ratios By Industry | Eqvistra</w:t>
      </w:r>
      <w:r>
        <w:rPr>
          <w:rFonts w:ascii="Times New Roman" w:hAnsi="Times New Roman" w:cs="Times New Roman"/>
          <w:sz w:val="24"/>
          <w:szCs w:val="24"/>
          <w:lang w:val="en-US"/>
        </w:rPr>
        <w:t xml:space="preserve">. [online] Eqvista. Available at: </w:t>
      </w:r>
      <w:hyperlink r:id="rId30" w:history="1">
        <w:r>
          <w:rPr>
            <w:rStyle w:val="Hyperlink"/>
            <w:rFonts w:ascii="Times New Roman" w:hAnsi="Times New Roman" w:cs="Times New Roman"/>
            <w:color w:val="auto"/>
            <w:sz w:val="24"/>
            <w:szCs w:val="24"/>
            <w:lang w:val="en-US"/>
          </w:rPr>
          <w:t>https://eqvista.com/company-valuation-financial-ratios-by-industry/</w:t>
        </w:r>
      </w:hyperlink>
      <w:r>
        <w:rPr>
          <w:rFonts w:ascii="Times New Roman" w:hAnsi="Times New Roman" w:cs="Times New Roman"/>
          <w:sz w:val="24"/>
          <w:szCs w:val="24"/>
          <w:lang w:val="en-US"/>
        </w:rPr>
        <w:t>.</w:t>
      </w:r>
    </w:p>
    <w:p w14:paraId="185D2898"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Ready Ratios (2022). </w:t>
      </w:r>
      <w:r>
        <w:rPr>
          <w:rFonts w:ascii="Times New Roman" w:hAnsi="Times New Roman" w:cs="Times New Roman"/>
          <w:i/>
          <w:iCs/>
          <w:sz w:val="24"/>
          <w:szCs w:val="24"/>
          <w:lang w:val="en-US"/>
        </w:rPr>
        <w:t>Motor Vehicles and Passenger Car Bodies: industry financial ratios benchmarking</w:t>
      </w:r>
      <w:r>
        <w:rPr>
          <w:rFonts w:ascii="Times New Roman" w:hAnsi="Times New Roman" w:cs="Times New Roman"/>
          <w:sz w:val="24"/>
          <w:szCs w:val="24"/>
          <w:lang w:val="en-US"/>
        </w:rPr>
        <w:t xml:space="preserve">. [online] www.readyratios.com. Available at: </w:t>
      </w:r>
      <w:hyperlink r:id="rId31" w:history="1">
        <w:r>
          <w:rPr>
            <w:rStyle w:val="Hyperlink"/>
            <w:rFonts w:ascii="Times New Roman" w:hAnsi="Times New Roman" w:cs="Times New Roman"/>
            <w:color w:val="auto"/>
            <w:sz w:val="24"/>
            <w:szCs w:val="24"/>
            <w:lang w:val="en-US"/>
          </w:rPr>
          <w:t>https://www.readyratios.com/sec/industry/3711/</w:t>
        </w:r>
      </w:hyperlink>
      <w:r>
        <w:rPr>
          <w:rFonts w:ascii="Times New Roman" w:hAnsi="Times New Roman" w:cs="Times New Roman"/>
          <w:sz w:val="24"/>
          <w:szCs w:val="24"/>
          <w:lang w:val="en-US"/>
        </w:rPr>
        <w:t>.</w:t>
      </w:r>
    </w:p>
    <w:p w14:paraId="48EB0D09"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TradingView. (2023a). </w:t>
      </w:r>
      <w:r>
        <w:rPr>
          <w:rFonts w:ascii="Times New Roman" w:hAnsi="Times New Roman" w:cs="Times New Roman"/>
          <w:i/>
          <w:iCs/>
          <w:sz w:val="24"/>
          <w:szCs w:val="24"/>
          <w:lang w:val="en-US"/>
        </w:rPr>
        <w:t>ASTON MARTIN LAGONDA GBL HLDGS PLC ORD GBP0.1 Key Stats and Ratios – LSE:AML</w:t>
      </w:r>
      <w:r>
        <w:rPr>
          <w:rFonts w:ascii="Times New Roman" w:hAnsi="Times New Roman" w:cs="Times New Roman"/>
          <w:sz w:val="24"/>
          <w:szCs w:val="24"/>
          <w:lang w:val="en-US"/>
        </w:rPr>
        <w:t xml:space="preserve">. [online] Available at: </w:t>
      </w:r>
      <w:hyperlink r:id="rId32" w:history="1">
        <w:r>
          <w:rPr>
            <w:rStyle w:val="Hyperlink"/>
            <w:rFonts w:ascii="Times New Roman" w:hAnsi="Times New Roman" w:cs="Times New Roman"/>
            <w:color w:val="auto"/>
            <w:sz w:val="24"/>
            <w:szCs w:val="24"/>
            <w:lang w:val="en-US"/>
          </w:rPr>
          <w:t>https://www.tradingview.com/symbols/LSE-AML/financials-statistics-and-ratios/</w:t>
        </w:r>
      </w:hyperlink>
      <w:r>
        <w:rPr>
          <w:rFonts w:ascii="Times New Roman" w:hAnsi="Times New Roman" w:cs="Times New Roman"/>
          <w:sz w:val="24"/>
          <w:szCs w:val="24"/>
          <w:lang w:val="en-US"/>
        </w:rPr>
        <w:t xml:space="preserve"> [Accessed 23 Jan. 2023].</w:t>
      </w:r>
    </w:p>
    <w:p w14:paraId="7C5FE67C"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TradingView. (2023b). </w:t>
      </w:r>
      <w:r>
        <w:rPr>
          <w:rFonts w:ascii="Times New Roman" w:hAnsi="Times New Roman" w:cs="Times New Roman"/>
          <w:i/>
          <w:iCs/>
          <w:sz w:val="24"/>
          <w:szCs w:val="24"/>
          <w:lang w:val="en-US"/>
        </w:rPr>
        <w:t>ASTON MARTIN LAGONDA GBL HLDGS PLC ORD GBP0.1 Key Stats and Ratios – LSE:AML</w:t>
      </w:r>
      <w:r>
        <w:rPr>
          <w:rFonts w:ascii="Times New Roman" w:hAnsi="Times New Roman" w:cs="Times New Roman"/>
          <w:sz w:val="24"/>
          <w:szCs w:val="24"/>
          <w:lang w:val="en-US"/>
        </w:rPr>
        <w:t xml:space="preserve">. [online] Available at: </w:t>
      </w:r>
      <w:hyperlink r:id="rId33" w:history="1">
        <w:r>
          <w:rPr>
            <w:rStyle w:val="Hyperlink"/>
            <w:rFonts w:ascii="Times New Roman" w:hAnsi="Times New Roman" w:cs="Times New Roman"/>
            <w:color w:val="auto"/>
            <w:sz w:val="24"/>
            <w:szCs w:val="24"/>
            <w:lang w:val="en-US"/>
          </w:rPr>
          <w:t>https://www.tradingview.com/symbols/LSE-AML/financials-statistics-and-ratios/?selected=total_shares_outstanding</w:t>
        </w:r>
      </w:hyperlink>
      <w:r>
        <w:rPr>
          <w:rFonts w:ascii="Times New Roman" w:hAnsi="Times New Roman" w:cs="Times New Roman"/>
          <w:sz w:val="24"/>
          <w:szCs w:val="24"/>
          <w:lang w:val="en-US"/>
        </w:rPr>
        <w:t xml:space="preserve"> [Accessed 23 Jan. 2023].</w:t>
      </w:r>
    </w:p>
    <w:p w14:paraId="061A298C"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TradingView. (2023c). </w:t>
      </w:r>
      <w:r>
        <w:rPr>
          <w:rFonts w:ascii="Times New Roman" w:hAnsi="Times New Roman" w:cs="Times New Roman"/>
          <w:i/>
          <w:iCs/>
          <w:sz w:val="24"/>
          <w:szCs w:val="24"/>
          <w:lang w:val="en-US"/>
        </w:rPr>
        <w:t>PORSCHE AUTOMOBIL HOLDING SE NON VTG PRF NPV Key Stats and Ratios – LSIN:0JHU</w:t>
      </w:r>
      <w:r>
        <w:rPr>
          <w:rFonts w:ascii="Times New Roman" w:hAnsi="Times New Roman" w:cs="Times New Roman"/>
          <w:sz w:val="24"/>
          <w:szCs w:val="24"/>
          <w:lang w:val="en-US"/>
        </w:rPr>
        <w:t xml:space="preserve">. [online] Available at: </w:t>
      </w:r>
      <w:hyperlink r:id="rId34" w:history="1">
        <w:r>
          <w:rPr>
            <w:rStyle w:val="Hyperlink"/>
            <w:rFonts w:ascii="Times New Roman" w:hAnsi="Times New Roman" w:cs="Times New Roman"/>
            <w:color w:val="auto"/>
            <w:sz w:val="24"/>
            <w:szCs w:val="24"/>
            <w:lang w:val="en-US"/>
          </w:rPr>
          <w:t>https://www.tradingview.com/symbols/LSIN-0JHU/financials-statistics-and-ratios/?selected=price_earnings</w:t>
        </w:r>
      </w:hyperlink>
      <w:r>
        <w:rPr>
          <w:rFonts w:ascii="Times New Roman" w:hAnsi="Times New Roman" w:cs="Times New Roman"/>
          <w:sz w:val="24"/>
          <w:szCs w:val="24"/>
          <w:lang w:val="en-US"/>
        </w:rPr>
        <w:t xml:space="preserve"> [Accessed 23 Jan. 2023].</w:t>
      </w:r>
    </w:p>
    <w:p w14:paraId="34B89522" w14:textId="77777777"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Wikipedia Contributors (2019). </w:t>
      </w:r>
      <w:r>
        <w:rPr>
          <w:rFonts w:ascii="Times New Roman" w:hAnsi="Times New Roman" w:cs="Times New Roman"/>
          <w:i/>
          <w:iCs/>
          <w:sz w:val="24"/>
          <w:szCs w:val="24"/>
          <w:lang w:val="en-US"/>
        </w:rPr>
        <w:t>Aston Martin</w:t>
      </w:r>
      <w:r>
        <w:rPr>
          <w:rFonts w:ascii="Times New Roman" w:hAnsi="Times New Roman" w:cs="Times New Roman"/>
          <w:sz w:val="24"/>
          <w:szCs w:val="24"/>
          <w:lang w:val="en-US"/>
        </w:rPr>
        <w:t xml:space="preserve">. [online] Wikipedia. Available at: </w:t>
      </w:r>
      <w:hyperlink r:id="rId35" w:history="1">
        <w:r>
          <w:rPr>
            <w:rStyle w:val="Hyperlink"/>
            <w:rFonts w:ascii="Times New Roman" w:hAnsi="Times New Roman" w:cs="Times New Roman"/>
            <w:color w:val="auto"/>
            <w:sz w:val="24"/>
            <w:szCs w:val="24"/>
            <w:lang w:val="en-US"/>
          </w:rPr>
          <w:t>https://en.wikipedia.org/wiki/Aston_Martin</w:t>
        </w:r>
      </w:hyperlink>
      <w:r>
        <w:rPr>
          <w:rFonts w:ascii="Times New Roman" w:hAnsi="Times New Roman" w:cs="Times New Roman"/>
          <w:sz w:val="24"/>
          <w:szCs w:val="24"/>
          <w:lang w:val="en-US"/>
        </w:rPr>
        <w:t>.</w:t>
      </w:r>
    </w:p>
    <w:p w14:paraId="283E18D0" w14:textId="4FC4EC94" w:rsidR="001953E3" w:rsidRDefault="001953E3"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Your Article Library. (2015). </w:t>
      </w:r>
      <w:r>
        <w:rPr>
          <w:rFonts w:ascii="Times New Roman" w:hAnsi="Times New Roman" w:cs="Times New Roman"/>
          <w:i/>
          <w:iCs/>
          <w:sz w:val="24"/>
          <w:szCs w:val="24"/>
          <w:lang w:val="en-US"/>
        </w:rPr>
        <w:t>5 Limitations of Financial Ratios</w:t>
      </w:r>
      <w:r>
        <w:rPr>
          <w:rFonts w:ascii="Times New Roman" w:hAnsi="Times New Roman" w:cs="Times New Roman"/>
          <w:sz w:val="24"/>
          <w:szCs w:val="24"/>
          <w:lang w:val="en-US"/>
        </w:rPr>
        <w:t xml:space="preserve">. [online] Available at: </w:t>
      </w:r>
      <w:hyperlink r:id="rId36" w:anchor=":~:text=5%20Limitations%20of%20Financial%20Ratios%201%20%281%29%20Ratios" w:history="1">
        <w:r>
          <w:rPr>
            <w:rStyle w:val="Hyperlink"/>
            <w:rFonts w:ascii="Times New Roman" w:hAnsi="Times New Roman" w:cs="Times New Roman"/>
            <w:color w:val="auto"/>
            <w:sz w:val="24"/>
            <w:szCs w:val="24"/>
            <w:lang w:val="en-US"/>
          </w:rPr>
          <w:t>https://www.yourarticlelibrary.com/accounting/financial-statements/5-limitations-of-financial-ratios/53045#:~:text=5%20Limitations%20of%20Financial%20Ratios%201%20%281%29%</w:t>
        </w:r>
        <w:r>
          <w:rPr>
            <w:rStyle w:val="Hyperlink"/>
            <w:rFonts w:ascii="Times New Roman" w:hAnsi="Times New Roman" w:cs="Times New Roman"/>
            <w:color w:val="auto"/>
            <w:sz w:val="24"/>
            <w:szCs w:val="24"/>
            <w:lang w:val="en-US"/>
          </w:rPr>
          <w:lastRenderedPageBreak/>
          <w:t>20Ratios</w:t>
        </w:r>
      </w:hyperlink>
      <w:r>
        <w:rPr>
          <w:rFonts w:ascii="Times New Roman" w:hAnsi="Times New Roman" w:cs="Times New Roman"/>
          <w:sz w:val="24"/>
          <w:szCs w:val="24"/>
          <w:lang w:val="en-US"/>
        </w:rPr>
        <w:t>.</w:t>
      </w:r>
    </w:p>
    <w:p w14:paraId="50B4C554" w14:textId="705D4A06" w:rsidR="00F04ABA" w:rsidRDefault="00F04ABA" w:rsidP="001953E3">
      <w:pPr>
        <w:widowControl w:val="0"/>
        <w:autoSpaceDE w:val="0"/>
        <w:autoSpaceDN w:val="0"/>
        <w:adjustRightInd w:val="0"/>
        <w:spacing w:after="240" w:line="360" w:lineRule="auto"/>
        <w:rPr>
          <w:rFonts w:ascii="Times New Roman" w:hAnsi="Times New Roman" w:cs="Times New Roman"/>
          <w:sz w:val="24"/>
          <w:szCs w:val="24"/>
          <w:lang w:val="en-US"/>
        </w:rPr>
      </w:pPr>
    </w:p>
    <w:p w14:paraId="45EDB5CD" w14:textId="4B64496C" w:rsidR="00F04ABA" w:rsidRDefault="00F04ABA" w:rsidP="001953E3">
      <w:pPr>
        <w:widowControl w:val="0"/>
        <w:autoSpaceDE w:val="0"/>
        <w:autoSpaceDN w:val="0"/>
        <w:adjustRightInd w:val="0"/>
        <w:spacing w:after="240" w:line="360" w:lineRule="auto"/>
        <w:rPr>
          <w:rFonts w:ascii="Times New Roman" w:hAnsi="Times New Roman" w:cs="Times New Roman"/>
          <w:sz w:val="24"/>
          <w:szCs w:val="24"/>
          <w:lang w:val="en-US"/>
        </w:rPr>
      </w:pPr>
    </w:p>
    <w:p w14:paraId="616186CE" w14:textId="43B76374" w:rsidR="00F04ABA" w:rsidRDefault="00EF101F" w:rsidP="00EF101F">
      <w:pPr>
        <w:pStyle w:val="Heading1"/>
        <w:rPr>
          <w:lang w:val="en-US"/>
        </w:rPr>
      </w:pPr>
      <w:bookmarkStart w:id="24" w:name="_Toc125378701"/>
      <w:r>
        <w:rPr>
          <w:lang w:val="en-US"/>
        </w:rPr>
        <w:t>AML Financial ratio calculations</w:t>
      </w:r>
      <w:bookmarkEnd w:id="24"/>
    </w:p>
    <w:p w14:paraId="67D00165" w14:textId="77777777" w:rsidR="00F04ABA" w:rsidRDefault="00F04ABA" w:rsidP="001953E3">
      <w:pPr>
        <w:widowControl w:val="0"/>
        <w:autoSpaceDE w:val="0"/>
        <w:autoSpaceDN w:val="0"/>
        <w:adjustRightInd w:val="0"/>
        <w:spacing w:after="240" w:line="360" w:lineRule="auto"/>
        <w:rPr>
          <w:rFonts w:ascii="Times New Roman" w:hAnsi="Times New Roman" w:cs="Times New Roman"/>
          <w:sz w:val="24"/>
          <w:szCs w:val="24"/>
          <w:lang w:val="en-US"/>
        </w:rPr>
      </w:pPr>
    </w:p>
    <w:bookmarkStart w:id="25" w:name="_MON_1735991138"/>
    <w:bookmarkEnd w:id="25"/>
    <w:p w14:paraId="0BB02F1E" w14:textId="770A1A5B" w:rsidR="00EC1539" w:rsidRDefault="006934DC" w:rsidP="001953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object w:dxaOrig="8279" w:dyaOrig="2745" w14:anchorId="4A96DA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551.5pt;height:183.05pt" o:ole="">
            <v:imagedata r:id="rId37" o:title=""/>
          </v:shape>
          <o:OLEObject Type="Embed" ProgID="Excel.Sheet.12" ShapeID="_x0000_i1067" DrawAspect="Content" ObjectID="_1735992229" r:id="rId38"/>
        </w:object>
      </w:r>
    </w:p>
    <w:p w14:paraId="468AC475" w14:textId="4901DECA" w:rsidR="00A74F20" w:rsidRPr="00373CA1" w:rsidRDefault="00373CA1" w:rsidP="00F42051">
      <w:pPr>
        <w:widowControl w:val="0"/>
        <w:autoSpaceDE w:val="0"/>
        <w:autoSpaceDN w:val="0"/>
        <w:adjustRightInd w:val="0"/>
        <w:spacing w:after="240" w:line="360" w:lineRule="auto"/>
        <w:rPr>
          <w:rFonts w:ascii="Times New Roman" w:hAnsi="Times New Roman" w:cs="Times New Roman"/>
          <w:b/>
          <w:bCs/>
          <w:i/>
          <w:iCs/>
          <w:sz w:val="24"/>
          <w:szCs w:val="24"/>
          <w:lang w:val="en-US"/>
        </w:rPr>
      </w:pPr>
      <w:r w:rsidRPr="00373CA1">
        <w:rPr>
          <w:rFonts w:ascii="Times New Roman" w:hAnsi="Times New Roman" w:cs="Times New Roman"/>
          <w:b/>
          <w:bCs/>
          <w:i/>
          <w:iCs/>
          <w:sz w:val="24"/>
          <w:szCs w:val="24"/>
          <w:lang w:val="en-US"/>
        </w:rPr>
        <w:t>Please</w:t>
      </w:r>
      <w:r w:rsidR="00C96991">
        <w:rPr>
          <w:rFonts w:ascii="Times New Roman" w:hAnsi="Times New Roman" w:cs="Times New Roman"/>
          <w:b/>
          <w:bCs/>
          <w:i/>
          <w:iCs/>
          <w:sz w:val="24"/>
          <w:szCs w:val="24"/>
          <w:lang w:val="en-US"/>
        </w:rPr>
        <w:t xml:space="preserve"> double</w:t>
      </w:r>
      <w:r w:rsidRPr="00373CA1">
        <w:rPr>
          <w:rFonts w:ascii="Times New Roman" w:hAnsi="Times New Roman" w:cs="Times New Roman"/>
          <w:b/>
          <w:bCs/>
          <w:i/>
          <w:iCs/>
          <w:sz w:val="24"/>
          <w:szCs w:val="24"/>
          <w:lang w:val="en-US"/>
        </w:rPr>
        <w:t xml:space="preserve"> click the spreadsheet window to open and browse calculations. </w:t>
      </w:r>
    </w:p>
    <w:sectPr w:rsidR="00A74F20" w:rsidRPr="00373CA1" w:rsidSect="00E06D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158A"/>
    <w:multiLevelType w:val="hybridMultilevel"/>
    <w:tmpl w:val="ECF4D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4619E"/>
    <w:multiLevelType w:val="hybridMultilevel"/>
    <w:tmpl w:val="48DE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1B28"/>
    <w:multiLevelType w:val="hybridMultilevel"/>
    <w:tmpl w:val="F20AF1A2"/>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C106DF"/>
    <w:multiLevelType w:val="hybridMultilevel"/>
    <w:tmpl w:val="7CBEF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0D451E"/>
    <w:multiLevelType w:val="hybridMultilevel"/>
    <w:tmpl w:val="A0963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F1963"/>
    <w:multiLevelType w:val="hybridMultilevel"/>
    <w:tmpl w:val="5FBA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ocumentProtection w:edit="readOnly"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zMDC3MDU1MDUxMjVV0lEKTi0uzszPAykwqgUAFvauliwAAAA="/>
  </w:docVars>
  <w:rsids>
    <w:rsidRoot w:val="0053639F"/>
    <w:rsid w:val="00011E62"/>
    <w:rsid w:val="000161D1"/>
    <w:rsid w:val="00021CAB"/>
    <w:rsid w:val="00035C0B"/>
    <w:rsid w:val="00051DFE"/>
    <w:rsid w:val="00095A31"/>
    <w:rsid w:val="000A0FA5"/>
    <w:rsid w:val="000D48DB"/>
    <w:rsid w:val="000F1FA7"/>
    <w:rsid w:val="00111459"/>
    <w:rsid w:val="00135C6E"/>
    <w:rsid w:val="001537B3"/>
    <w:rsid w:val="00154B83"/>
    <w:rsid w:val="0015553C"/>
    <w:rsid w:val="001605C6"/>
    <w:rsid w:val="00164151"/>
    <w:rsid w:val="00166EF9"/>
    <w:rsid w:val="0017184F"/>
    <w:rsid w:val="00180330"/>
    <w:rsid w:val="001828A3"/>
    <w:rsid w:val="001953E3"/>
    <w:rsid w:val="001A6C1D"/>
    <w:rsid w:val="001C168D"/>
    <w:rsid w:val="001C30B2"/>
    <w:rsid w:val="001D71FE"/>
    <w:rsid w:val="001D7C7E"/>
    <w:rsid w:val="001D7D5B"/>
    <w:rsid w:val="001E75F3"/>
    <w:rsid w:val="002076E2"/>
    <w:rsid w:val="0021346F"/>
    <w:rsid w:val="00216C8E"/>
    <w:rsid w:val="00232D88"/>
    <w:rsid w:val="00240FAD"/>
    <w:rsid w:val="00262301"/>
    <w:rsid w:val="00276B8E"/>
    <w:rsid w:val="0028156F"/>
    <w:rsid w:val="00285B59"/>
    <w:rsid w:val="00347AD3"/>
    <w:rsid w:val="003706B4"/>
    <w:rsid w:val="00373CA1"/>
    <w:rsid w:val="0037427D"/>
    <w:rsid w:val="003955AA"/>
    <w:rsid w:val="003A1B0D"/>
    <w:rsid w:val="003A2402"/>
    <w:rsid w:val="003C465F"/>
    <w:rsid w:val="003D7595"/>
    <w:rsid w:val="003E07F8"/>
    <w:rsid w:val="00416C9E"/>
    <w:rsid w:val="0044571D"/>
    <w:rsid w:val="00447B78"/>
    <w:rsid w:val="00476A67"/>
    <w:rsid w:val="004820F7"/>
    <w:rsid w:val="00486804"/>
    <w:rsid w:val="0049429C"/>
    <w:rsid w:val="004D306D"/>
    <w:rsid w:val="004D70EB"/>
    <w:rsid w:val="00513C86"/>
    <w:rsid w:val="00524DF9"/>
    <w:rsid w:val="00526AA2"/>
    <w:rsid w:val="0053639F"/>
    <w:rsid w:val="00567801"/>
    <w:rsid w:val="00570D9B"/>
    <w:rsid w:val="00583BB8"/>
    <w:rsid w:val="005C09EF"/>
    <w:rsid w:val="005D2F00"/>
    <w:rsid w:val="005F19DB"/>
    <w:rsid w:val="005F337D"/>
    <w:rsid w:val="006248D4"/>
    <w:rsid w:val="00626C54"/>
    <w:rsid w:val="0063012A"/>
    <w:rsid w:val="006346E2"/>
    <w:rsid w:val="00635566"/>
    <w:rsid w:val="00635C6F"/>
    <w:rsid w:val="0069085F"/>
    <w:rsid w:val="006934DC"/>
    <w:rsid w:val="0072135B"/>
    <w:rsid w:val="0072773A"/>
    <w:rsid w:val="00736FD4"/>
    <w:rsid w:val="007476A5"/>
    <w:rsid w:val="00747EA0"/>
    <w:rsid w:val="0075433A"/>
    <w:rsid w:val="0075656B"/>
    <w:rsid w:val="00767E8A"/>
    <w:rsid w:val="007A01B9"/>
    <w:rsid w:val="007A0EF9"/>
    <w:rsid w:val="007F06B5"/>
    <w:rsid w:val="00807F40"/>
    <w:rsid w:val="0081104F"/>
    <w:rsid w:val="008416AC"/>
    <w:rsid w:val="008728C8"/>
    <w:rsid w:val="00874D61"/>
    <w:rsid w:val="008C79E4"/>
    <w:rsid w:val="00905A6A"/>
    <w:rsid w:val="00911750"/>
    <w:rsid w:val="0091566B"/>
    <w:rsid w:val="0091770C"/>
    <w:rsid w:val="00917E30"/>
    <w:rsid w:val="00932F0C"/>
    <w:rsid w:val="009708CE"/>
    <w:rsid w:val="00981B97"/>
    <w:rsid w:val="009835C2"/>
    <w:rsid w:val="00996198"/>
    <w:rsid w:val="00A05158"/>
    <w:rsid w:val="00A0672E"/>
    <w:rsid w:val="00A3091F"/>
    <w:rsid w:val="00A44BAF"/>
    <w:rsid w:val="00A64FF2"/>
    <w:rsid w:val="00A74F20"/>
    <w:rsid w:val="00A8013E"/>
    <w:rsid w:val="00A94552"/>
    <w:rsid w:val="00AB06C9"/>
    <w:rsid w:val="00AB1ACD"/>
    <w:rsid w:val="00AE1679"/>
    <w:rsid w:val="00AE6CDA"/>
    <w:rsid w:val="00B23FDE"/>
    <w:rsid w:val="00B2403A"/>
    <w:rsid w:val="00B93B6B"/>
    <w:rsid w:val="00BB61F5"/>
    <w:rsid w:val="00BE0B98"/>
    <w:rsid w:val="00BE1E75"/>
    <w:rsid w:val="00BE522C"/>
    <w:rsid w:val="00BE7ED5"/>
    <w:rsid w:val="00C1693A"/>
    <w:rsid w:val="00C17833"/>
    <w:rsid w:val="00C21EBE"/>
    <w:rsid w:val="00C54ED6"/>
    <w:rsid w:val="00C56557"/>
    <w:rsid w:val="00C63937"/>
    <w:rsid w:val="00C93DF6"/>
    <w:rsid w:val="00C96991"/>
    <w:rsid w:val="00CB5C8F"/>
    <w:rsid w:val="00CF0757"/>
    <w:rsid w:val="00D51DB5"/>
    <w:rsid w:val="00D73591"/>
    <w:rsid w:val="00DA11A6"/>
    <w:rsid w:val="00DA1791"/>
    <w:rsid w:val="00DA5368"/>
    <w:rsid w:val="00E059BC"/>
    <w:rsid w:val="00E06D78"/>
    <w:rsid w:val="00E20DB6"/>
    <w:rsid w:val="00E32CB1"/>
    <w:rsid w:val="00E32CCA"/>
    <w:rsid w:val="00E414E3"/>
    <w:rsid w:val="00E50AE2"/>
    <w:rsid w:val="00E551AF"/>
    <w:rsid w:val="00E56AF5"/>
    <w:rsid w:val="00E672CC"/>
    <w:rsid w:val="00E873EE"/>
    <w:rsid w:val="00EA2677"/>
    <w:rsid w:val="00EC1539"/>
    <w:rsid w:val="00EC5423"/>
    <w:rsid w:val="00ED4384"/>
    <w:rsid w:val="00EF101F"/>
    <w:rsid w:val="00F04ABA"/>
    <w:rsid w:val="00F12F96"/>
    <w:rsid w:val="00F23929"/>
    <w:rsid w:val="00F42051"/>
    <w:rsid w:val="00F61BB4"/>
    <w:rsid w:val="00F87B30"/>
    <w:rsid w:val="00F976E2"/>
    <w:rsid w:val="00FA010D"/>
    <w:rsid w:val="00FB3508"/>
    <w:rsid w:val="00FD2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1A410"/>
  <w15:chartTrackingRefBased/>
  <w15:docId w15:val="{55E9F847-7452-4ED4-B12C-B57C3A499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A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A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A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7AD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D4384"/>
    <w:pPr>
      <w:ind w:left="720"/>
      <w:contextualSpacing/>
    </w:pPr>
  </w:style>
  <w:style w:type="table" w:styleId="TableGrid">
    <w:name w:val="Table Grid"/>
    <w:basedOn w:val="TableNormal"/>
    <w:uiPriority w:val="39"/>
    <w:rsid w:val="00021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06D78"/>
    <w:pPr>
      <w:outlineLvl w:val="9"/>
    </w:pPr>
    <w:rPr>
      <w:lang w:val="en-US"/>
    </w:rPr>
  </w:style>
  <w:style w:type="paragraph" w:styleId="TOC1">
    <w:name w:val="toc 1"/>
    <w:basedOn w:val="Normal"/>
    <w:next w:val="Normal"/>
    <w:autoRedefine/>
    <w:uiPriority w:val="39"/>
    <w:unhideWhenUsed/>
    <w:rsid w:val="00E06D78"/>
    <w:pPr>
      <w:spacing w:after="100"/>
    </w:pPr>
  </w:style>
  <w:style w:type="paragraph" w:styleId="TOC2">
    <w:name w:val="toc 2"/>
    <w:basedOn w:val="Normal"/>
    <w:next w:val="Normal"/>
    <w:autoRedefine/>
    <w:uiPriority w:val="39"/>
    <w:unhideWhenUsed/>
    <w:rsid w:val="00E06D78"/>
    <w:pPr>
      <w:spacing w:after="100"/>
      <w:ind w:left="220"/>
    </w:pPr>
  </w:style>
  <w:style w:type="character" w:styleId="Hyperlink">
    <w:name w:val="Hyperlink"/>
    <w:basedOn w:val="DefaultParagraphFont"/>
    <w:uiPriority w:val="99"/>
    <w:unhideWhenUsed/>
    <w:rsid w:val="00E06D78"/>
    <w:rPr>
      <w:color w:val="0563C1" w:themeColor="hyperlink"/>
      <w:u w:val="single"/>
    </w:rPr>
  </w:style>
  <w:style w:type="paragraph" w:styleId="NoSpacing">
    <w:name w:val="No Spacing"/>
    <w:link w:val="NoSpacingChar"/>
    <w:uiPriority w:val="1"/>
    <w:qFormat/>
    <w:rsid w:val="00E06D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6D7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106433">
      <w:bodyDiv w:val="1"/>
      <w:marLeft w:val="0"/>
      <w:marRight w:val="0"/>
      <w:marTop w:val="0"/>
      <w:marBottom w:val="0"/>
      <w:divBdr>
        <w:top w:val="none" w:sz="0" w:space="0" w:color="auto"/>
        <w:left w:val="none" w:sz="0" w:space="0" w:color="auto"/>
        <w:bottom w:val="none" w:sz="0" w:space="0" w:color="auto"/>
        <w:right w:val="none" w:sz="0" w:space="0" w:color="auto"/>
      </w:divBdr>
    </w:div>
    <w:div w:id="781413833">
      <w:bodyDiv w:val="1"/>
      <w:marLeft w:val="0"/>
      <w:marRight w:val="0"/>
      <w:marTop w:val="0"/>
      <w:marBottom w:val="0"/>
      <w:divBdr>
        <w:top w:val="none" w:sz="0" w:space="0" w:color="auto"/>
        <w:left w:val="none" w:sz="0" w:space="0" w:color="auto"/>
        <w:bottom w:val="none" w:sz="0" w:space="0" w:color="auto"/>
        <w:right w:val="none" w:sz="0" w:space="0" w:color="auto"/>
      </w:divBdr>
    </w:div>
    <w:div w:id="787159356">
      <w:bodyDiv w:val="1"/>
      <w:marLeft w:val="0"/>
      <w:marRight w:val="0"/>
      <w:marTop w:val="0"/>
      <w:marBottom w:val="0"/>
      <w:divBdr>
        <w:top w:val="none" w:sz="0" w:space="0" w:color="auto"/>
        <w:left w:val="none" w:sz="0" w:space="0" w:color="auto"/>
        <w:bottom w:val="none" w:sz="0" w:space="0" w:color="auto"/>
        <w:right w:val="none" w:sz="0" w:space="0" w:color="auto"/>
      </w:divBdr>
    </w:div>
    <w:div w:id="833956874">
      <w:bodyDiv w:val="1"/>
      <w:marLeft w:val="0"/>
      <w:marRight w:val="0"/>
      <w:marTop w:val="0"/>
      <w:marBottom w:val="0"/>
      <w:divBdr>
        <w:top w:val="none" w:sz="0" w:space="0" w:color="auto"/>
        <w:left w:val="none" w:sz="0" w:space="0" w:color="auto"/>
        <w:bottom w:val="none" w:sz="0" w:space="0" w:color="auto"/>
        <w:right w:val="none" w:sz="0" w:space="0" w:color="auto"/>
      </w:divBdr>
    </w:div>
    <w:div w:id="905453084">
      <w:bodyDiv w:val="1"/>
      <w:marLeft w:val="0"/>
      <w:marRight w:val="0"/>
      <w:marTop w:val="0"/>
      <w:marBottom w:val="0"/>
      <w:divBdr>
        <w:top w:val="none" w:sz="0" w:space="0" w:color="auto"/>
        <w:left w:val="none" w:sz="0" w:space="0" w:color="auto"/>
        <w:bottom w:val="none" w:sz="0" w:space="0" w:color="auto"/>
        <w:right w:val="none" w:sz="0" w:space="0" w:color="auto"/>
      </w:divBdr>
    </w:div>
    <w:div w:id="937755415">
      <w:bodyDiv w:val="1"/>
      <w:marLeft w:val="0"/>
      <w:marRight w:val="0"/>
      <w:marTop w:val="0"/>
      <w:marBottom w:val="0"/>
      <w:divBdr>
        <w:top w:val="none" w:sz="0" w:space="0" w:color="auto"/>
        <w:left w:val="none" w:sz="0" w:space="0" w:color="auto"/>
        <w:bottom w:val="none" w:sz="0" w:space="0" w:color="auto"/>
        <w:right w:val="none" w:sz="0" w:space="0" w:color="auto"/>
      </w:divBdr>
    </w:div>
    <w:div w:id="1229994829">
      <w:bodyDiv w:val="1"/>
      <w:marLeft w:val="0"/>
      <w:marRight w:val="0"/>
      <w:marTop w:val="0"/>
      <w:marBottom w:val="0"/>
      <w:divBdr>
        <w:top w:val="none" w:sz="0" w:space="0" w:color="auto"/>
        <w:left w:val="none" w:sz="0" w:space="0" w:color="auto"/>
        <w:bottom w:val="none" w:sz="0" w:space="0" w:color="auto"/>
        <w:right w:val="none" w:sz="0" w:space="0" w:color="auto"/>
      </w:divBdr>
    </w:div>
    <w:div w:id="1345085976">
      <w:bodyDiv w:val="1"/>
      <w:marLeft w:val="0"/>
      <w:marRight w:val="0"/>
      <w:marTop w:val="0"/>
      <w:marBottom w:val="0"/>
      <w:divBdr>
        <w:top w:val="none" w:sz="0" w:space="0" w:color="auto"/>
        <w:left w:val="none" w:sz="0" w:space="0" w:color="auto"/>
        <w:bottom w:val="none" w:sz="0" w:space="0" w:color="auto"/>
        <w:right w:val="none" w:sz="0" w:space="0" w:color="auto"/>
      </w:divBdr>
    </w:div>
    <w:div w:id="1661814710">
      <w:bodyDiv w:val="1"/>
      <w:marLeft w:val="0"/>
      <w:marRight w:val="0"/>
      <w:marTop w:val="0"/>
      <w:marBottom w:val="0"/>
      <w:divBdr>
        <w:top w:val="none" w:sz="0" w:space="0" w:color="auto"/>
        <w:left w:val="none" w:sz="0" w:space="0" w:color="auto"/>
        <w:bottom w:val="none" w:sz="0" w:space="0" w:color="auto"/>
        <w:right w:val="none" w:sz="0" w:space="0" w:color="auto"/>
      </w:divBdr>
    </w:div>
    <w:div w:id="1838618091">
      <w:bodyDiv w:val="1"/>
      <w:marLeft w:val="0"/>
      <w:marRight w:val="0"/>
      <w:marTop w:val="0"/>
      <w:marBottom w:val="0"/>
      <w:divBdr>
        <w:top w:val="none" w:sz="0" w:space="0" w:color="auto"/>
        <w:left w:val="none" w:sz="0" w:space="0" w:color="auto"/>
        <w:bottom w:val="none" w:sz="0" w:space="0" w:color="auto"/>
        <w:right w:val="none" w:sz="0" w:space="0" w:color="auto"/>
      </w:divBdr>
    </w:div>
    <w:div w:id="1874806821">
      <w:bodyDiv w:val="1"/>
      <w:marLeft w:val="0"/>
      <w:marRight w:val="0"/>
      <w:marTop w:val="0"/>
      <w:marBottom w:val="0"/>
      <w:divBdr>
        <w:top w:val="none" w:sz="0" w:space="0" w:color="auto"/>
        <w:left w:val="none" w:sz="0" w:space="0" w:color="auto"/>
        <w:bottom w:val="none" w:sz="0" w:space="0" w:color="auto"/>
        <w:right w:val="none" w:sz="0" w:space="0" w:color="auto"/>
      </w:divBdr>
    </w:div>
    <w:div w:id="1957639132">
      <w:bodyDiv w:val="1"/>
      <w:marLeft w:val="0"/>
      <w:marRight w:val="0"/>
      <w:marTop w:val="0"/>
      <w:marBottom w:val="0"/>
      <w:divBdr>
        <w:top w:val="none" w:sz="0" w:space="0" w:color="auto"/>
        <w:left w:val="none" w:sz="0" w:space="0" w:color="auto"/>
        <w:bottom w:val="none" w:sz="0" w:space="0" w:color="auto"/>
        <w:right w:val="none" w:sz="0" w:space="0" w:color="auto"/>
      </w:divBdr>
    </w:div>
    <w:div w:id="213660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ifferencebetween.com/difference-between-gearing-and-vs-leverage/" TargetMode="External"/><Relationship Id="rId26" Type="http://schemas.openxmlformats.org/officeDocument/2006/relationships/hyperlink" Target="https://www.marketscreener.com/quote/stock/ASTON-MARTIN-LAGONDA-GLOB-46472778/news/Aston-Martin-Lagonda-Appoints-Andreas-Bareis-as-Regional-President-for-Continental-Europe-42535106/" TargetMode="External"/><Relationship Id="rId39" Type="http://schemas.openxmlformats.org/officeDocument/2006/relationships/fontTable" Target="fontTable.xml"/><Relationship Id="rId21" Type="http://schemas.openxmlformats.org/officeDocument/2006/relationships/hyperlink" Target="https://find-and-update.company-information.service.gov.uk/company/01199255/filing-history" TargetMode="External"/><Relationship Id="rId34" Type="http://schemas.openxmlformats.org/officeDocument/2006/relationships/hyperlink" Target="https://www.tradingview.com/symbols/LSIN-0JHU/financials-statistics-and-ratios/?selected=price_earnings"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corporatefinanceinstitute.com/resources/accounting/ratio-analysis/" TargetMode="External"/><Relationship Id="rId25" Type="http://schemas.openxmlformats.org/officeDocument/2006/relationships/hyperlink" Target="https://www.reuters.com/article/us-ford-astonmartin-statement/ford-to-sell-aston-martin-in-925-mln-deal-idUSWNAS371820070312" TargetMode="External"/><Relationship Id="rId33" Type="http://schemas.openxmlformats.org/officeDocument/2006/relationships/hyperlink" Target="https://www.tradingview.com/symbols/LSE-AML/financials-statistics-and-ratios/?selected=total_shares_outstanding" TargetMode="External"/><Relationship Id="rId38"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hyperlink" Target="https://corporatefinanceinstitute.com/resources/accounting/liquidity-ratio/" TargetMode="External"/><Relationship Id="rId20" Type="http://schemas.openxmlformats.org/officeDocument/2006/relationships/hyperlink" Target="https://find-and-update.company-information.service.gov.uk/company/01559668/filing-history" TargetMode="External"/><Relationship Id="rId29" Type="http://schemas.openxmlformats.org/officeDocument/2006/relationships/hyperlink" Target="https://abcnews.go.com/Business/british-automaker-aston-martin-survived-bankruptcies-now-invest/story?id=5841729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proactiveinvestors.co.uk/companies/news/997321/aston-martin-lagonda-gets-target-price-and-estimates-cut-by-deutsche-bank-997321.html" TargetMode="External"/><Relationship Id="rId32" Type="http://schemas.openxmlformats.org/officeDocument/2006/relationships/hyperlink" Target="https://www.tradingview.com/symbols/LSE-AML/financials-statistics-and-ratios/" TargetMode="External"/><Relationship Id="rId37" Type="http://schemas.openxmlformats.org/officeDocument/2006/relationships/image" Target="media/image8.e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oakbusinessconsultant.com/automotive-industry-financial-metrics/" TargetMode="External"/><Relationship Id="rId23" Type="http://schemas.openxmlformats.org/officeDocument/2006/relationships/hyperlink" Target="https://www.hl.co.uk/shares/shares-search-results/a/aston-martin-lagonda-ord-10p/share-charts" TargetMode="External"/><Relationship Id="rId28" Type="http://schemas.openxmlformats.org/officeDocument/2006/relationships/hyperlink" Target="https://www.marketscreener.com/quote/stock/ASTON-MARTIN-LAGONDA-GLOB-46472778/charts/" TargetMode="External"/><Relationship Id="rId36" Type="http://schemas.openxmlformats.org/officeDocument/2006/relationships/hyperlink" Target="https://www.yourarticlelibrary.com/accounting/financial-statements/5-limitations-of-financial-ratios/53045" TargetMode="External"/><Relationship Id="rId10" Type="http://schemas.openxmlformats.org/officeDocument/2006/relationships/image" Target="media/image3.gif"/><Relationship Id="rId19" Type="http://schemas.openxmlformats.org/officeDocument/2006/relationships/hyperlink" Target="https://find-and-update.company-information.service.gov.uk/company/11488166" TargetMode="External"/><Relationship Id="rId31" Type="http://schemas.openxmlformats.org/officeDocument/2006/relationships/hyperlink" Target="https://www.readyratios.com/sec/industry/3711/"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image" Target="media/image7.png"/><Relationship Id="rId22" Type="http://schemas.openxmlformats.org/officeDocument/2006/relationships/hyperlink" Target="https://www.hl.co.uk/shares/shares-search-results/a/aston-martin-lagonda-ord-10p/financial-statements-and-reports" TargetMode="External"/><Relationship Id="rId27" Type="http://schemas.openxmlformats.org/officeDocument/2006/relationships/hyperlink" Target="https://www.marketscreener.com/quote/stock/ASTON-MARTIN-LAGONDA-GLOB-46472778/company/" TargetMode="External"/><Relationship Id="rId30" Type="http://schemas.openxmlformats.org/officeDocument/2006/relationships/hyperlink" Target="https://eqvista.com/company-valuation-financial-ratios-by-industry/" TargetMode="External"/><Relationship Id="rId35" Type="http://schemas.openxmlformats.org/officeDocument/2006/relationships/hyperlink" Target="https://en.wikipedia.org/wiki/Aston_Martin" TargetMode="External"/><Relationship Id="rId8" Type="http://schemas.openxmlformats.org/officeDocument/2006/relationships/image" Target="media/image2.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wner\Desktop\Finance%20assessment\sector%20comparis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Sector 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AML 2020</c:v>
                </c:pt>
              </c:strCache>
            </c:strRef>
          </c:tx>
          <c:spPr>
            <a:solidFill>
              <a:schemeClr val="accent1"/>
            </a:solidFill>
            <a:ln>
              <a:noFill/>
            </a:ln>
            <a:effectLst/>
          </c:spPr>
          <c:invertIfNegative val="0"/>
          <c:cat>
            <c:strRef>
              <c:f>Sheet1!$A$2:$A$14</c:f>
              <c:strCache>
                <c:ptCount val="13"/>
                <c:pt idx="0">
                  <c:v>Liquidity ratios</c:v>
                </c:pt>
                <c:pt idx="1">
                  <c:v>Quick</c:v>
                </c:pt>
                <c:pt idx="2">
                  <c:v>Current</c:v>
                </c:pt>
                <c:pt idx="3">
                  <c:v>Cash</c:v>
                </c:pt>
                <c:pt idx="4">
                  <c:v>Solvency Ratios</c:v>
                </c:pt>
                <c:pt idx="5">
                  <c:v>Debt Ratio</c:v>
                </c:pt>
                <c:pt idx="6">
                  <c:v>D/E Ratio</c:v>
                </c:pt>
                <c:pt idx="7">
                  <c:v>Interest Coverage</c:v>
                </c:pt>
                <c:pt idx="8">
                  <c:v>Profitability Ratios</c:v>
                </c:pt>
                <c:pt idx="9">
                  <c:v>Profit margin </c:v>
                </c:pt>
                <c:pt idx="10">
                  <c:v>Gross Margin</c:v>
                </c:pt>
                <c:pt idx="11">
                  <c:v>Operating Margin</c:v>
                </c:pt>
                <c:pt idx="12">
                  <c:v>ROE</c:v>
                </c:pt>
              </c:strCache>
            </c:strRef>
          </c:cat>
          <c:val>
            <c:numRef>
              <c:f>Sheet1!$B$2:$B$14</c:f>
              <c:numCache>
                <c:formatCode>General</c:formatCode>
                <c:ptCount val="13"/>
                <c:pt idx="1">
                  <c:v>0.84</c:v>
                </c:pt>
                <c:pt idx="2">
                  <c:v>1.1000000000000001</c:v>
                </c:pt>
                <c:pt idx="3">
                  <c:v>0.61</c:v>
                </c:pt>
                <c:pt idx="5">
                  <c:v>2.4700000000000002</c:v>
                </c:pt>
                <c:pt idx="6">
                  <c:v>1.47</c:v>
                </c:pt>
                <c:pt idx="7">
                  <c:v>5.66</c:v>
                </c:pt>
                <c:pt idx="9">
                  <c:v>-6.7000000000000004E-2</c:v>
                </c:pt>
                <c:pt idx="10">
                  <c:v>0.18</c:v>
                </c:pt>
                <c:pt idx="11">
                  <c:v>-5.2999999999999999E-2</c:v>
                </c:pt>
                <c:pt idx="12">
                  <c:v>-0.51</c:v>
                </c:pt>
              </c:numCache>
            </c:numRef>
          </c:val>
          <c:extLst>
            <c:ext xmlns:c16="http://schemas.microsoft.com/office/drawing/2014/chart" uri="{C3380CC4-5D6E-409C-BE32-E72D297353CC}">
              <c16:uniqueId val="{00000000-2737-4859-86CF-9E09DF242914}"/>
            </c:ext>
          </c:extLst>
        </c:ser>
        <c:ser>
          <c:idx val="1"/>
          <c:order val="1"/>
          <c:tx>
            <c:strRef>
              <c:f>Sheet1!$C$1</c:f>
              <c:strCache>
                <c:ptCount val="1"/>
                <c:pt idx="0">
                  <c:v>Average US Auto 2020</c:v>
                </c:pt>
              </c:strCache>
            </c:strRef>
          </c:tx>
          <c:spPr>
            <a:solidFill>
              <a:schemeClr val="accent2"/>
            </a:solidFill>
            <a:ln>
              <a:noFill/>
            </a:ln>
            <a:effectLst/>
          </c:spPr>
          <c:invertIfNegative val="0"/>
          <c:cat>
            <c:strRef>
              <c:f>Sheet1!$A$2:$A$14</c:f>
              <c:strCache>
                <c:ptCount val="13"/>
                <c:pt idx="0">
                  <c:v>Liquidity ratios</c:v>
                </c:pt>
                <c:pt idx="1">
                  <c:v>Quick</c:v>
                </c:pt>
                <c:pt idx="2">
                  <c:v>Current</c:v>
                </c:pt>
                <c:pt idx="3">
                  <c:v>Cash</c:v>
                </c:pt>
                <c:pt idx="4">
                  <c:v>Solvency Ratios</c:v>
                </c:pt>
                <c:pt idx="5">
                  <c:v>Debt Ratio</c:v>
                </c:pt>
                <c:pt idx="6">
                  <c:v>D/E Ratio</c:v>
                </c:pt>
                <c:pt idx="7">
                  <c:v>Interest Coverage</c:v>
                </c:pt>
                <c:pt idx="8">
                  <c:v>Profitability Ratios</c:v>
                </c:pt>
                <c:pt idx="9">
                  <c:v>Profit margin </c:v>
                </c:pt>
                <c:pt idx="10">
                  <c:v>Gross Margin</c:v>
                </c:pt>
                <c:pt idx="11">
                  <c:v>Operating Margin</c:v>
                </c:pt>
                <c:pt idx="12">
                  <c:v>ROE</c:v>
                </c:pt>
              </c:strCache>
            </c:strRef>
          </c:cat>
          <c:val>
            <c:numRef>
              <c:f>Sheet1!$C$2:$C$14</c:f>
              <c:numCache>
                <c:formatCode>General</c:formatCode>
                <c:ptCount val="13"/>
                <c:pt idx="1">
                  <c:v>1.41</c:v>
                </c:pt>
                <c:pt idx="2">
                  <c:v>2.46</c:v>
                </c:pt>
                <c:pt idx="3">
                  <c:v>0.96</c:v>
                </c:pt>
                <c:pt idx="5">
                  <c:v>0.43</c:v>
                </c:pt>
                <c:pt idx="6">
                  <c:v>0.6</c:v>
                </c:pt>
                <c:pt idx="7">
                  <c:v>1.48</c:v>
                </c:pt>
                <c:pt idx="9">
                  <c:v>2.3E-2</c:v>
                </c:pt>
                <c:pt idx="10">
                  <c:v>0.17499999999999999</c:v>
                </c:pt>
                <c:pt idx="11">
                  <c:v>7.1999999999999995E-2</c:v>
                </c:pt>
                <c:pt idx="12">
                  <c:v>-3.5999999999999997E-2</c:v>
                </c:pt>
              </c:numCache>
            </c:numRef>
          </c:val>
          <c:extLst>
            <c:ext xmlns:c16="http://schemas.microsoft.com/office/drawing/2014/chart" uri="{C3380CC4-5D6E-409C-BE32-E72D297353CC}">
              <c16:uniqueId val="{00000001-2737-4859-86CF-9E09DF242914}"/>
            </c:ext>
          </c:extLst>
        </c:ser>
        <c:dLbls>
          <c:showLegendKey val="0"/>
          <c:showVal val="0"/>
          <c:showCatName val="0"/>
          <c:showSerName val="0"/>
          <c:showPercent val="0"/>
          <c:showBubbleSize val="0"/>
        </c:dLbls>
        <c:gapWidth val="219"/>
        <c:overlap val="-27"/>
        <c:axId val="1897287440"/>
        <c:axId val="1715564912"/>
      </c:barChart>
      <c:catAx>
        <c:axId val="189728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5564912"/>
        <c:crosses val="autoZero"/>
        <c:auto val="1"/>
        <c:lblAlgn val="ctr"/>
        <c:lblOffset val="100"/>
        <c:noMultiLvlLbl val="0"/>
      </c:catAx>
      <c:valAx>
        <c:axId val="171556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287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analysis of Aston Martin Lagonda Global Holdings PLC company performance during financial  years 2020 and 2021,  based on financial metrics for said years, available publicly  in the annual reports; and compiled to inform potential  collaboration related investment .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2DAF41-D329-4018-9A54-EC70E6EDA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21</Pages>
  <Words>4608</Words>
  <Characters>25718</Characters>
  <Application>Microsoft Office Word</Application>
  <DocSecurity>0</DocSecurity>
  <Lines>2571</Lines>
  <Paragraphs>758</Paragraphs>
  <ScaleCrop>false</ScaleCrop>
  <HeadingPairs>
    <vt:vector size="2" baseType="variant">
      <vt:variant>
        <vt:lpstr>Title</vt:lpstr>
      </vt:variant>
      <vt:variant>
        <vt:i4>1</vt:i4>
      </vt:variant>
    </vt:vector>
  </HeadingPairs>
  <TitlesOfParts>
    <vt:vector size="1" baseType="lpstr">
      <vt:lpstr>Report: Collaboration with Aston Martin Lagonda</vt:lpstr>
    </vt:vector>
  </TitlesOfParts>
  <Company/>
  <LinksUpToDate>false</LinksUpToDate>
  <CharactersWithSpaces>29568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Collaboration with Aston Martin Lagonda</dc:title>
  <dc:subject>A Risk Management Assessment</dc:subject>
  <dc:creator>Jo Edwards</dc:creator>
  <cp:keywords/>
  <dc:description/>
  <cp:lastModifiedBy>Jo Edwards</cp:lastModifiedBy>
  <cp:revision>61</cp:revision>
  <cp:lastPrinted>2023-01-23T15:06:00Z</cp:lastPrinted>
  <dcterms:created xsi:type="dcterms:W3CDTF">2023-01-19T11:19:00Z</dcterms:created>
  <dcterms:modified xsi:type="dcterms:W3CDTF">2023-01-23T15:17:00Z</dcterms:modified>
</cp:coreProperties>
</file>