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6D9DF" w14:textId="6AB84EAE" w:rsidR="0072672E" w:rsidRPr="00FA23FD" w:rsidRDefault="0072672E" w:rsidP="0072672E">
      <w:pPr>
        <w:rPr>
          <w:b/>
          <w:bCs/>
          <w:u w:val="single"/>
        </w:rPr>
      </w:pPr>
      <w:r w:rsidRPr="00FA23FD">
        <w:rPr>
          <w:b/>
          <w:bCs/>
          <w:u w:val="single"/>
        </w:rPr>
        <w:t>Email 1</w:t>
      </w:r>
    </w:p>
    <w:p w14:paraId="3A3A9D3C" w14:textId="3A3E35E8" w:rsidR="0072672E" w:rsidRPr="0072672E" w:rsidRDefault="0072672E" w:rsidP="0072672E">
      <w:r w:rsidRPr="0072672E">
        <w:t>While I understand your focus, it's important to also consider compliance with legal and ethical regulations. Below is my evaluation of employment regulation goals and relevant case law.</w:t>
      </w:r>
    </w:p>
    <w:p w14:paraId="75AED744" w14:textId="77777777" w:rsidR="0072672E" w:rsidRPr="0072672E" w:rsidRDefault="0072672E" w:rsidP="0072672E">
      <w:r w:rsidRPr="0072672E">
        <w:t xml:space="preserve">A key goal of employment law is to protect employee rights, ensure fair treatment, and prevent discrimination (ACAS, 2023). The UK Supreme Court case </w:t>
      </w:r>
      <w:r w:rsidRPr="0072672E">
        <w:rPr>
          <w:i/>
          <w:iCs/>
        </w:rPr>
        <w:t xml:space="preserve">Royal Mail Group Ltd v </w:t>
      </w:r>
      <w:proofErr w:type="spellStart"/>
      <w:r w:rsidRPr="0072672E">
        <w:rPr>
          <w:i/>
          <w:iCs/>
        </w:rPr>
        <w:t>Jhuti</w:t>
      </w:r>
      <w:proofErr w:type="spellEnd"/>
      <w:r w:rsidRPr="0072672E">
        <w:t xml:space="preserve"> (2019) highlighted the importance of safeguarding employees from unfair dismissals influenced by biased managers. It established that even if a dismissal is justified, it must be conducted in a way that avoids discriminatory actions and respects employee rights. This is reinforced by </w:t>
      </w:r>
      <w:r w:rsidRPr="0072672E">
        <w:rPr>
          <w:i/>
          <w:iCs/>
        </w:rPr>
        <w:t>Polkey v A.E. Dayton Services Ltd</w:t>
      </w:r>
      <w:r w:rsidRPr="0072672E">
        <w:t xml:space="preserve"> [1987], where the House of Lords stressed that fair procedures must be followed even when there is a valid reason for dismissal. Both cases emphasize the need for businesses to comply with employment law and treat employees fairly during dismissals.</w:t>
      </w:r>
    </w:p>
    <w:p w14:paraId="4F854F0D" w14:textId="77777777" w:rsidR="0072672E" w:rsidRPr="0072672E" w:rsidRDefault="0072672E" w:rsidP="0072672E">
      <w:r w:rsidRPr="0072672E">
        <w:t xml:space="preserve">Compliance with regulations also shows the Trust's commitment to ethical standards and organizational integrity (Lewis, 2005). The case of </w:t>
      </w:r>
      <w:r w:rsidRPr="0072672E">
        <w:rPr>
          <w:i/>
          <w:iCs/>
        </w:rPr>
        <w:t>ASDA Stores Ltd v Brierley</w:t>
      </w:r>
      <w:r w:rsidRPr="0072672E">
        <w:t xml:space="preserve"> (2021) illustrated this, with the Supreme Court ruling that retail workers performing the same duties must receive equal pay under the Equal Pay Act 1970. This case underscores the importance of ensuring pay and terms of employment are fair and non-discriminatory, particularly regarding gender.</w:t>
      </w:r>
    </w:p>
    <w:p w14:paraId="48368F99" w14:textId="77777777" w:rsidR="0072672E" w:rsidRPr="0072672E" w:rsidRDefault="0072672E" w:rsidP="0072672E">
      <w:r w:rsidRPr="0072672E">
        <w:t xml:space="preserve">Employment regulations also help organizations minimize the risk of legal disputes and avoid lengthy proceedings (Pitts, 2024). In </w:t>
      </w:r>
      <w:r w:rsidRPr="0072672E">
        <w:rPr>
          <w:i/>
          <w:iCs/>
        </w:rPr>
        <w:t>NHS Leeds v Larner</w:t>
      </w:r>
      <w:r w:rsidRPr="0072672E">
        <w:t xml:space="preserve"> (2012), the Employment Appeal Tribunal emphasized the need for employers to follow procedural fairness in dismissals to reduce legal risks. Similarly, in </w:t>
      </w:r>
      <w:r w:rsidRPr="0072672E">
        <w:rPr>
          <w:i/>
          <w:iCs/>
        </w:rPr>
        <w:t>K v L</w:t>
      </w:r>
      <w:r w:rsidRPr="0072672E">
        <w:t xml:space="preserve"> (2020), the Tribunal highlighted the importance of consistent disciplinary procedures and found the dismissal unfair due to inadequate investigation. These cases support that compliance with employment law reduces the risks of legal challenges and upholds fair employment practices, fostering better employee relations.</w:t>
      </w:r>
    </w:p>
    <w:p w14:paraId="702FAD4E" w14:textId="77777777" w:rsidR="0072672E" w:rsidRDefault="0072672E" w:rsidP="0072672E">
      <w:r w:rsidRPr="0072672E">
        <w:t xml:space="preserve">Finally, non-compliance with employment regulations can damage an organization’s reputation and result in penalties or compensation. In </w:t>
      </w:r>
      <w:r w:rsidRPr="0072672E">
        <w:rPr>
          <w:i/>
          <w:iCs/>
        </w:rPr>
        <w:t>Breen v Golden Lane Housing Ltd</w:t>
      </w:r>
      <w:r w:rsidRPr="0072672E">
        <w:t xml:space="preserve"> (2021), the Employment Appeal Tribunal ruled that an employee was discriminated against due to their disability, resulting in a substantial award for injury to feelings. This case highlights the reputational and financial risks associated with failing to comply with the Equality Act 2010. It serves as a reminder that non-compliance can lead to significant consequences.</w:t>
      </w:r>
    </w:p>
    <w:p w14:paraId="2FD67776" w14:textId="1237B045" w:rsidR="0072672E" w:rsidRDefault="0072672E" w:rsidP="0072672E">
      <w:r w:rsidRPr="0072672E">
        <w:t xml:space="preserve">Employment law aims to protect employee rights, promote fairness, encourage ethical </w:t>
      </w:r>
      <w:r w:rsidRPr="0072672E">
        <w:t>behaviour</w:t>
      </w:r>
      <w:r w:rsidRPr="0072672E">
        <w:t>, and minimi</w:t>
      </w:r>
      <w:r>
        <w:t>s</w:t>
      </w:r>
      <w:r w:rsidRPr="0072672E">
        <w:t>e reputational risks. It plays a vital role in ensuring integrity and justice in the workplace while maintaining positive business relationships. Its goal is to balance employee welfare with legal compliance.</w:t>
      </w:r>
    </w:p>
    <w:p w14:paraId="1B575922" w14:textId="77777777" w:rsidR="00693926" w:rsidRPr="00693926" w:rsidRDefault="00693926" w:rsidP="0072672E"/>
    <w:p w14:paraId="491BC401" w14:textId="040281E5" w:rsidR="0072672E" w:rsidRPr="00FA23FD" w:rsidRDefault="0072672E" w:rsidP="0072672E">
      <w:pPr>
        <w:rPr>
          <w:b/>
          <w:bCs/>
          <w:u w:val="single"/>
        </w:rPr>
      </w:pPr>
      <w:r w:rsidRPr="00FA23FD">
        <w:rPr>
          <w:b/>
          <w:bCs/>
          <w:u w:val="single"/>
        </w:rPr>
        <w:t xml:space="preserve">Email 2 </w:t>
      </w:r>
    </w:p>
    <w:p w14:paraId="6A56FC3A" w14:textId="261721C7" w:rsidR="0072672E" w:rsidRPr="00CA3AE9" w:rsidRDefault="0072672E" w:rsidP="0072672E">
      <w:r w:rsidRPr="0072672E">
        <w:t>After the UK’s departure from the European Union on 31st January 2020, the legal framework governing the relationship between UK courts and the European Court of Justice (ECJ) changed. However, this shift did not occur immediately or entirely</w:t>
      </w:r>
      <w:r w:rsidRPr="00CA3AE9">
        <w:t xml:space="preserve"> through the framework</w:t>
      </w:r>
      <w:r w:rsidRPr="0072672E">
        <w:t xml:space="preserve"> (Mars, 2020).</w:t>
      </w:r>
    </w:p>
    <w:p w14:paraId="01BD904B" w14:textId="74322E36" w:rsidR="0072672E" w:rsidRPr="0072672E" w:rsidRDefault="0072672E" w:rsidP="0072672E">
      <w:r w:rsidRPr="0072672E">
        <w:t xml:space="preserve">Pre-Brexit ECJ judgments are not </w:t>
      </w:r>
      <w:r w:rsidRPr="00CA3AE9">
        <w:t>inevitably</w:t>
      </w:r>
      <w:r w:rsidRPr="0072672E">
        <w:t xml:space="preserve"> binding on UK courts but remain relevant for guidance. UK courts are not required to follow ECJ rulings and have discretion in whether to apply them. While ECJ decisions before Brexit still influence areas like trade law and equality where EU law has been retained, UK courts can depart from them (The Law Society, 2023).</w:t>
      </w:r>
    </w:p>
    <w:p w14:paraId="60554990" w14:textId="1FCFEFF2" w:rsidR="0072672E" w:rsidRPr="0072672E" w:rsidRDefault="0072672E" w:rsidP="0072672E">
      <w:r w:rsidRPr="0072672E">
        <w:lastRenderedPageBreak/>
        <w:t xml:space="preserve">The European Union (Withdrawal) Act 2018 </w:t>
      </w:r>
      <w:r w:rsidRPr="00CA3AE9">
        <w:t xml:space="preserve">provides that EU Law that existed before Brexit was “retained” in UK and this meant that it remains effective as part of UK legislation. This allows </w:t>
      </w:r>
      <w:r w:rsidRPr="0072672E">
        <w:t>UK courts to consider past ECJ decisions for consistency and clarity. The Supreme Court has the final authority on determining the purpose of ECJ judgments if the case law hasn't been clearly retained by UK regulation.</w:t>
      </w:r>
    </w:p>
    <w:p w14:paraId="42F3FB9F" w14:textId="7E6E4654" w:rsidR="0072672E" w:rsidRPr="0072672E" w:rsidRDefault="0072672E" w:rsidP="0072672E">
      <w:r w:rsidRPr="0072672E">
        <w:t xml:space="preserve">ECJ judgments are no longer legally mandatory but remain persuasive within UK law. Shellaker (2024) discusses how UK courts continue to reference ECJ decisions, though they are no longer directly tied to EU rulings. In Robinson-Steele v RBS </w:t>
      </w:r>
      <w:r w:rsidRPr="00CA3AE9">
        <w:t>[</w:t>
      </w:r>
      <w:r w:rsidRPr="0072672E">
        <w:t>2006</w:t>
      </w:r>
      <w:r w:rsidRPr="00CA3AE9">
        <w:t>]</w:t>
      </w:r>
      <w:r w:rsidRPr="0072672E">
        <w:t xml:space="preserve">, the ECJ addressed the calculation of holiday pay under the EU Working Time Directive, ruling that overtime should be included. Pre-Brexit, this decision was binding, but UK courts no longer have to follow it. However, UK courts have continued using it when interpreting the Working Time Regulations, though they may diverge if deemed inappropriate. The Working Time Regulations, which incorporate the EU directive, remain in force in the UK, so the ECJ's principles still influence UK case law, as seen in Dudley Metropolitan Council v Willetts </w:t>
      </w:r>
      <w:r w:rsidRPr="00CA3AE9">
        <w:t>[</w:t>
      </w:r>
      <w:r w:rsidRPr="0072672E">
        <w:t>2016</w:t>
      </w:r>
      <w:r w:rsidRPr="00CA3AE9">
        <w:t>]</w:t>
      </w:r>
      <w:r w:rsidRPr="0072672E">
        <w:t>.</w:t>
      </w:r>
      <w:r w:rsidR="00CA3AE9" w:rsidRPr="00CA3AE9">
        <w:t xml:space="preserve"> </w:t>
      </w:r>
      <w:r w:rsidR="00CA3AE9" w:rsidRPr="00CA3AE9">
        <w:t>This example shows that although UK courts don’t have to follow ECJ case law, they still do (Merrett, 2021).</w:t>
      </w:r>
    </w:p>
    <w:p w14:paraId="2508D93B" w14:textId="77777777" w:rsidR="0072672E" w:rsidRPr="0072672E" w:rsidRDefault="0072672E" w:rsidP="0072672E">
      <w:r w:rsidRPr="0072672E">
        <w:t>Similarly, in Neyz v Secretary of State for Employment (2012), the ECJ ruled that part-time and full-time workers should be treated equally. After Brexit, the Equal Treatment Directive was retained in UK law, so the principle from this case remains relevant, even if UK courts are no longer bound by it.</w:t>
      </w:r>
    </w:p>
    <w:p w14:paraId="33ED4FF5" w14:textId="010328EC" w:rsidR="0072672E" w:rsidRDefault="0072672E" w:rsidP="0072672E">
      <w:r w:rsidRPr="0072672E">
        <w:t>In conclusion, while pre-Brexit ECJ judgments are no longer binding, they continue to play an important role in UK law and are still considered, though UK courts can choose to depart from them (O’Connor, 2021).</w:t>
      </w:r>
    </w:p>
    <w:p w14:paraId="18668386" w14:textId="77777777" w:rsidR="00693926" w:rsidRDefault="00693926" w:rsidP="0072672E"/>
    <w:p w14:paraId="2087F81D" w14:textId="6E3C3207" w:rsidR="00CA3AE9" w:rsidRPr="00FA23FD" w:rsidRDefault="00CA3AE9" w:rsidP="0072672E">
      <w:pPr>
        <w:rPr>
          <w:b/>
          <w:bCs/>
          <w:u w:val="single"/>
        </w:rPr>
      </w:pPr>
      <w:r w:rsidRPr="00FA23FD">
        <w:rPr>
          <w:b/>
          <w:bCs/>
          <w:u w:val="single"/>
        </w:rPr>
        <w:t xml:space="preserve">Email 3 </w:t>
      </w:r>
    </w:p>
    <w:p w14:paraId="7C4E411B" w14:textId="01AA49A6" w:rsidR="00CA3AE9" w:rsidRPr="00CA3AE9" w:rsidRDefault="00CA3AE9" w:rsidP="00CA3AE9">
      <w:r w:rsidRPr="00CA3AE9">
        <w:t xml:space="preserve">I understand you’re seeking guidance on when it is appropriate to specify a job requirement based on gender. In the UK, the Equality Act 2010 is the primary law against discrimination, protecting individuals from discrimination based on protected characteristics like gender (ACAS, 2025). However, the </w:t>
      </w:r>
      <w:r>
        <w:t>law</w:t>
      </w:r>
      <w:r w:rsidRPr="00CA3AE9">
        <w:t xml:space="preserve"> allows exemptions for Genuine Occupational Requirements (GORs), where specifying a gender may be justified in certain situations (Daniels, 2022).</w:t>
      </w:r>
    </w:p>
    <w:p w14:paraId="6124A33D" w14:textId="69D45E88" w:rsidR="00CA3AE9" w:rsidRPr="00CA3AE9" w:rsidRDefault="00CA3AE9" w:rsidP="00CA3AE9">
      <w:r w:rsidRPr="00CA3AE9">
        <w:t xml:space="preserve">Section 13 of the Equality Act 2010 outlines direct discrimination, which occurs when an individual is treated less </w:t>
      </w:r>
      <w:r w:rsidRPr="00CA3AE9">
        <w:t>favourably</w:t>
      </w:r>
      <w:r w:rsidRPr="00CA3AE9">
        <w:t xml:space="preserve"> due to a protected characteristic. In this case, specifying a gender for a role may be considered discriminatory unless justified by GOR (Rupp, 2022). A GOR permits employers to require a specific gender if it is essential to the job, but these exemptions are narrowly defined by law, and employers must prove the necessity</w:t>
      </w:r>
      <w:r>
        <w:t xml:space="preserve"> of such condition</w:t>
      </w:r>
      <w:r w:rsidRPr="00CA3AE9">
        <w:t xml:space="preserve"> (Vickers, 2017).</w:t>
      </w:r>
    </w:p>
    <w:p w14:paraId="559753DE" w14:textId="090C1D09" w:rsidR="00CA3AE9" w:rsidRPr="00CA3AE9" w:rsidRDefault="00CA3AE9" w:rsidP="00CA3AE9">
      <w:r w:rsidRPr="00CA3AE9">
        <w:t xml:space="preserve">Gender-based requirements can be justified </w:t>
      </w:r>
      <w:r>
        <w:t xml:space="preserve">and permissible </w:t>
      </w:r>
      <w:r w:rsidRPr="00CA3AE9">
        <w:t>in situations such as authenticity (e.g., acting roles where the character must be a certain gender), privacy and dignity (e.g., care workers assisting elderly individuals), or rare health and safety concerns</w:t>
      </w:r>
      <w:r>
        <w:t xml:space="preserve"> which need to be assessed to ensure justification</w:t>
      </w:r>
      <w:r w:rsidRPr="00CA3AE9">
        <w:t xml:space="preserve"> (Oliver, 2004). For example, a care worker for an elderly woman may need to be of the same gender to maintain dignity and respect.</w:t>
      </w:r>
    </w:p>
    <w:p w14:paraId="29795D64" w14:textId="7F67FFD9" w:rsidR="00CA3AE9" w:rsidRPr="00CA3AE9" w:rsidRDefault="00CA3AE9" w:rsidP="00CA3AE9">
      <w:r w:rsidRPr="00CA3AE9">
        <w:t xml:space="preserve">A case law example is </w:t>
      </w:r>
      <w:r w:rsidRPr="00CA3AE9">
        <w:rPr>
          <w:i/>
          <w:iCs/>
        </w:rPr>
        <w:t>Jones v. Tower Hamlets Borough Council</w:t>
      </w:r>
      <w:r w:rsidRPr="00CA3AE9">
        <w:t xml:space="preserve"> </w:t>
      </w:r>
      <w:r w:rsidR="00466E37" w:rsidRPr="00466E37">
        <w:t>[</w:t>
      </w:r>
      <w:r w:rsidRPr="00CA3AE9">
        <w:t>2005</w:t>
      </w:r>
      <w:r w:rsidR="00466E37" w:rsidRPr="00466E37">
        <w:t>]</w:t>
      </w:r>
      <w:r w:rsidRPr="00CA3AE9">
        <w:t xml:space="preserve">, where the tribunal ruled in </w:t>
      </w:r>
      <w:r w:rsidRPr="00466E37">
        <w:t>favour</w:t>
      </w:r>
      <w:r w:rsidRPr="00CA3AE9">
        <w:t xml:space="preserve"> of the employer requiring female staff at a women’s homeless shelter</w:t>
      </w:r>
      <w:r w:rsidR="00466E37" w:rsidRPr="00466E37">
        <w:t>.</w:t>
      </w:r>
      <w:r w:rsidRPr="00CA3AE9">
        <w:t xml:space="preserve"> The Tribunal found the GOR due to the sensitive nature of the work </w:t>
      </w:r>
      <w:r w:rsidR="00466E37" w:rsidRPr="00466E37">
        <w:t xml:space="preserve">as the staff needed to provide intimate, sensitive care to vulnerable women. Additionally, Tribunal further noted that the comfort and discretion of the </w:t>
      </w:r>
      <w:r w:rsidR="00466E37" w:rsidRPr="00466E37">
        <w:lastRenderedPageBreak/>
        <w:t>women who attended the shelter were important and only female</w:t>
      </w:r>
      <w:r w:rsidRPr="00CA3AE9">
        <w:t xml:space="preserve"> staff could </w:t>
      </w:r>
      <w:r w:rsidR="00466E37" w:rsidRPr="00466E37">
        <w:t xml:space="preserve">meet these requirements. </w:t>
      </w:r>
    </w:p>
    <w:p w14:paraId="300094D4" w14:textId="49E54823" w:rsidR="00CA3AE9" w:rsidRPr="00CA3AE9" w:rsidRDefault="00CA3AE9" w:rsidP="00CA3AE9">
      <w:r w:rsidRPr="00CA3AE9">
        <w:t xml:space="preserve">Gender requirements are unlikely to be justifiable in administrative or professional roles. Advertising for gender-specific roles could amount to indirect discrimination unless proven to be a GOR (Pitt, 2011). A case example is </w:t>
      </w:r>
      <w:r w:rsidRPr="00CA3AE9">
        <w:rPr>
          <w:i/>
          <w:iCs/>
        </w:rPr>
        <w:t>P v S and CCC</w:t>
      </w:r>
      <w:r w:rsidRPr="00CA3AE9">
        <w:t xml:space="preserve"> </w:t>
      </w:r>
      <w:r w:rsidR="00466E37">
        <w:t>[</w:t>
      </w:r>
      <w:r w:rsidRPr="00CA3AE9">
        <w:t>1996</w:t>
      </w:r>
      <w:r w:rsidR="00466E37">
        <w:t>]</w:t>
      </w:r>
      <w:r w:rsidRPr="00CA3AE9">
        <w:t>, where a school secretary was dismissed due to gender reassignment</w:t>
      </w:r>
      <w:r w:rsidR="00466E37">
        <w:t xml:space="preserve"> and where the employer argued that the gender was incompatible with the position</w:t>
      </w:r>
      <w:r w:rsidR="008D3BF8">
        <w:t xml:space="preserve">. </w:t>
      </w:r>
      <w:r w:rsidRPr="00CA3AE9">
        <w:t xml:space="preserve">The European Court of Justice ruled that gender reassignment did not </w:t>
      </w:r>
      <w:r w:rsidR="00466E37">
        <w:t>constitute to a</w:t>
      </w:r>
      <w:r w:rsidRPr="00CA3AE9">
        <w:t xml:space="preserve"> GOR, and the dismissal was discriminatory.</w:t>
      </w:r>
      <w:r w:rsidR="00466E37" w:rsidRPr="00466E37">
        <w:rPr>
          <w:color w:val="FF0000"/>
        </w:rPr>
        <w:t xml:space="preserve"> </w:t>
      </w:r>
    </w:p>
    <w:p w14:paraId="141E06E0" w14:textId="2FD06141" w:rsidR="008D3BF8" w:rsidRDefault="00CA3AE9" w:rsidP="0072672E">
      <w:r w:rsidRPr="00CA3AE9">
        <w:t>To establish a GOR, the role’s context must be assessed, and gender should be proven as essential. Employers should ensure the gender requirement is based on a legitimate aim and is the least discriminatory option. Gender-specific advertising must be backed by GOR to prove it is justifiable, necessary, and proportional to the job's nature (Practical Law, 2025).</w:t>
      </w:r>
    </w:p>
    <w:p w14:paraId="0D3B6039" w14:textId="77777777" w:rsidR="00693926" w:rsidRPr="00693926" w:rsidRDefault="00693926" w:rsidP="0072672E"/>
    <w:p w14:paraId="4ADB126F" w14:textId="3159AAFD" w:rsidR="008D3BF8" w:rsidRPr="00FA23FD" w:rsidRDefault="008D3BF8" w:rsidP="0072672E">
      <w:pPr>
        <w:rPr>
          <w:b/>
          <w:bCs/>
          <w:u w:val="single"/>
        </w:rPr>
      </w:pPr>
      <w:r w:rsidRPr="00FA23FD">
        <w:rPr>
          <w:b/>
          <w:bCs/>
          <w:u w:val="single"/>
        </w:rPr>
        <w:t xml:space="preserve">Email 4 </w:t>
      </w:r>
    </w:p>
    <w:p w14:paraId="514A9AEA" w14:textId="54A6D7AB" w:rsidR="008D3BF8" w:rsidRPr="008D3BF8" w:rsidRDefault="0018658A" w:rsidP="008D3BF8">
      <w:r>
        <w:t>Any</w:t>
      </w:r>
      <w:r w:rsidR="008D3BF8" w:rsidRPr="008D3BF8">
        <w:t xml:space="preserve"> decision regarding the upgrade of two male HCAs complies with equality legislation, considering legal requirements related to equal pay (ACAS, 2024). The nurse manager must ensure that the same criteria for a wage promotion would apply if a female HCA were upgraded as well. For instance, if a female HCA with the same experience, credentials, and responsibilities would also be considered for a B grade upgrade, then upgrading the two male HCAs aligns with the principle of equal pay for equal work. The criteria must be based on objectives unrelated to gender to ensure legal compliance (EHRC, 2021).</w:t>
      </w:r>
    </w:p>
    <w:p w14:paraId="3625E145" w14:textId="55DF36FD" w:rsidR="008D3BF8" w:rsidRPr="008D3BF8" w:rsidRDefault="008D3BF8" w:rsidP="008D3BF8">
      <w:r w:rsidRPr="008D3BF8">
        <w:t>Additionally, the Equality Act 2010 requires men and women to receive equal pay for equal work. This act emphasi</w:t>
      </w:r>
      <w:r w:rsidR="0018658A">
        <w:t>s</w:t>
      </w:r>
      <w:r w:rsidRPr="008D3BF8">
        <w:t>es that employers must provide equal pay for similar work, regardless of sex or protected characteristics (CIPD, 2024). Pay differences can only be justified by objective factors like experience</w:t>
      </w:r>
      <w:r w:rsidR="0018658A">
        <w:t xml:space="preserve"> or </w:t>
      </w:r>
      <w:r w:rsidRPr="008D3BF8">
        <w:t xml:space="preserve">seniority, not gender (UNISON, 2019). The British Airways Plc v Williams </w:t>
      </w:r>
      <w:r w:rsidR="0018658A">
        <w:t>[</w:t>
      </w:r>
      <w:r w:rsidRPr="008D3BF8">
        <w:t>2012</w:t>
      </w:r>
      <w:r w:rsidR="0018658A">
        <w:t xml:space="preserve">] </w:t>
      </w:r>
      <w:r w:rsidRPr="008D3BF8">
        <w:t>case illustrates this, where the UK Supreme Court ruled that male and female workers performing work of equal value are entitled to the same pay, even with different terms and conditions. This ruling supports that pay differences must be justified by non-gender-related factors. If the two male HCAs meet the criteria for the B grade, their upgrade should be based on non-discriminatory factors like performance and qualifications, which should apply equally to female HCAs (Rupp, 2022).</w:t>
      </w:r>
    </w:p>
    <w:p w14:paraId="663FDADF" w14:textId="3A6929AB" w:rsidR="008D3BF8" w:rsidRPr="008D3BF8" w:rsidRDefault="008D3BF8" w:rsidP="008D3BF8">
      <w:r w:rsidRPr="008D3BF8">
        <w:t>The surplus funds from a research project should not influence the decision unless tied to specific, transparent, and non-discriminatory criteria. The upgrade should align with the Trust’s pay policies and equal opportunity guidelines. Since 80% of HCAs in the Trust are women, it is crucial that the decision does not indirectly disadvantage female employees. For example, if the Trust promotes HCAs to the B grade based on skill or performance, this policy should apply equally to all employees</w:t>
      </w:r>
      <w:r w:rsidR="0018658A">
        <w:t xml:space="preserve"> </w:t>
      </w:r>
      <w:r w:rsidRPr="008D3BF8">
        <w:t>regardless of gender. The fact that both individuals are male should not affect the decision, provided the criteria are applied consistently to all HCAs (Raile, 2023).</w:t>
      </w:r>
    </w:p>
    <w:p w14:paraId="3ABC8FCD" w14:textId="495FDE51" w:rsidR="008D3BF8" w:rsidRPr="008D3BF8" w:rsidRDefault="008D3BF8" w:rsidP="008D3BF8">
      <w:r w:rsidRPr="008D3BF8">
        <w:t xml:space="preserve">The nurse manager should ensure the upgrade is based on objective, non-gender-specific criteria and </w:t>
      </w:r>
      <w:r w:rsidR="0018658A">
        <w:t>ensure</w:t>
      </w:r>
      <w:r w:rsidRPr="008D3BF8">
        <w:t xml:space="preserve"> transparen</w:t>
      </w:r>
      <w:r w:rsidR="0018658A">
        <w:t>cy</w:t>
      </w:r>
      <w:r w:rsidRPr="008D3BF8">
        <w:t>. Documentation should be kept to verify compliance with equal pay legislation (Nguyen, 2022). Additionally, the manager must ensure the pay rise does not create an unjustifiable gender gap. The City of Glasgow Council v Zander (2013) case emphasi</w:t>
      </w:r>
      <w:r w:rsidR="0018658A">
        <w:t>s</w:t>
      </w:r>
      <w:r w:rsidRPr="008D3BF8">
        <w:t>ed that any pay differences must be objectively justified, especially when one gender predominates in a job group. If pay inequality exists without valid justification, it is considered discrimination.</w:t>
      </w:r>
    </w:p>
    <w:p w14:paraId="6784BE6A" w14:textId="7963AA8B" w:rsidR="00693926" w:rsidRPr="00693926" w:rsidRDefault="0018658A" w:rsidP="0072672E">
      <w:r>
        <w:lastRenderedPageBreak/>
        <w:t xml:space="preserve">The </w:t>
      </w:r>
      <w:r w:rsidR="008D3BF8" w:rsidRPr="008D3BF8">
        <w:t>decision must comply with the Equality Act 2010’s and anti-discrimination laws, with objective reasons provided (Nguyen, 2022).</w:t>
      </w:r>
      <w:r w:rsidR="00FA23FD">
        <w:br/>
      </w:r>
    </w:p>
    <w:p w14:paraId="460AF846" w14:textId="582AE1F5" w:rsidR="0018658A" w:rsidRPr="00FA23FD" w:rsidRDefault="0018658A" w:rsidP="0072672E">
      <w:pPr>
        <w:rPr>
          <w:b/>
          <w:bCs/>
          <w:u w:val="single"/>
        </w:rPr>
      </w:pPr>
      <w:r w:rsidRPr="00FA23FD">
        <w:rPr>
          <w:b/>
          <w:bCs/>
          <w:u w:val="single"/>
        </w:rPr>
        <w:t xml:space="preserve">Email 5 </w:t>
      </w:r>
    </w:p>
    <w:p w14:paraId="4AA28961" w14:textId="77777777" w:rsidR="0018658A" w:rsidRPr="0018658A" w:rsidRDefault="0018658A" w:rsidP="0018658A">
      <w:r w:rsidRPr="0018658A">
        <w:t>Understanding the key aspects of constructive dismissal claims and their time limits is crucial when making a claim to the Employment Tribunal (ET). An individual can only make a constructive dismissal claim if they are legally considered an employee and have worked for the company for at least two years (Cane, 2008).</w:t>
      </w:r>
    </w:p>
    <w:p w14:paraId="587D242E" w14:textId="181E3A88" w:rsidR="0018658A" w:rsidRPr="0018658A" w:rsidRDefault="0018658A" w:rsidP="0018658A">
      <w:r w:rsidRPr="0018658A">
        <w:t>To make a constructive dismissal claim, the employee must resign due to a fundamental breach of their contract, such as changes to working hours, wages, or other terms (ACAS, 2024). The burden of proof lies with the employee, who must demonstrate a serious breach of contract and show that resignation was the only reasonable option</w:t>
      </w:r>
      <w:r>
        <w:t xml:space="preserve"> but to resign in response</w:t>
      </w:r>
      <w:r w:rsidRPr="0018658A">
        <w:t xml:space="preserve"> (Cabrelli, 2012).</w:t>
      </w:r>
    </w:p>
    <w:p w14:paraId="53E1DFA9" w14:textId="77777777" w:rsidR="0018658A" w:rsidRPr="0018658A" w:rsidRDefault="0018658A" w:rsidP="0018658A">
      <w:r w:rsidRPr="0018658A">
        <w:t>A change in working hours could form the basis of a constructive dismissal claim if the employee didn’t agree to the change and the modification was significant. Minor changes may not be enough, but a substantial and detrimental change could be considered a breach of contract (Brodie, 2022).</w:t>
      </w:r>
    </w:p>
    <w:p w14:paraId="1B4E4644" w14:textId="04DE15E9" w:rsidR="0018658A" w:rsidRPr="0018658A" w:rsidRDefault="0018658A" w:rsidP="0018658A">
      <w:r w:rsidRPr="0018658A">
        <w:t>The employer must also consider whether the employee consented to the change. If the employee did not agree and the change was imposed unilaterally, it could amount to a breach of contract. The employee must show they made reasonable efforts to discuss the issue before resigning (</w:t>
      </w:r>
      <w:proofErr w:type="spellStart"/>
      <w:r w:rsidRPr="0018658A">
        <w:t>Whitear</w:t>
      </w:r>
      <w:proofErr w:type="spellEnd"/>
      <w:r w:rsidRPr="0018658A">
        <w:t xml:space="preserve">-Nel, 2012). Additionally, </w:t>
      </w:r>
      <w:r w:rsidR="00775505">
        <w:t xml:space="preserve">the employer should check </w:t>
      </w:r>
      <w:r w:rsidRPr="0018658A">
        <w:t>if the contract implied that working hours would remain stable,</w:t>
      </w:r>
      <w:r w:rsidR="00775505">
        <w:t xml:space="preserve"> if it did imply this then</w:t>
      </w:r>
      <w:r w:rsidRPr="0018658A">
        <w:t xml:space="preserve"> a drastic change could lead to a constructive dismissal claim (Reynold, 2005). An example of this is ECC Ltd v Sharp </w:t>
      </w:r>
      <w:r w:rsidR="00775505">
        <w:t>[</w:t>
      </w:r>
      <w:r w:rsidRPr="0018658A">
        <w:t>1978</w:t>
      </w:r>
      <w:r w:rsidR="00775505">
        <w:t>],</w:t>
      </w:r>
      <w:r w:rsidRPr="0018658A">
        <w:t xml:space="preserve"> where the employee resigned after his hours were reduced from 40 to 35 per week without his agreement. The court ruled it was a constructive dismissal due to the significant change in hours. If the change is substantial and without the employee’s agreement, they may have a valid claim, but they must file</w:t>
      </w:r>
      <w:r w:rsidR="00775505">
        <w:t xml:space="preserve"> a claim</w:t>
      </w:r>
      <w:r w:rsidRPr="0018658A">
        <w:t xml:space="preserve"> within the three-month time limit (Wynn, 2002).</w:t>
      </w:r>
    </w:p>
    <w:p w14:paraId="24EA5973" w14:textId="37A9E29B" w:rsidR="0018658A" w:rsidRPr="0018658A" w:rsidRDefault="0018658A" w:rsidP="0018658A">
      <w:r w:rsidRPr="0018658A">
        <w:t xml:space="preserve">The time limit for making a constructive dismissal claim to the ET is three months minus one day from the date of notice. This applies from the last act, meaning the date of notice, not the change in terms. Failing to meet the deadline may result in the </w:t>
      </w:r>
      <w:r w:rsidR="00775505">
        <w:t>claim being “out of time” and later dismissed in court</w:t>
      </w:r>
      <w:r w:rsidRPr="0018658A">
        <w:t>, even if the</w:t>
      </w:r>
      <w:r w:rsidR="00775505">
        <w:t xml:space="preserve"> claimant feels that the</w:t>
      </w:r>
      <w:r w:rsidRPr="0018658A">
        <w:t xml:space="preserve"> change was unjustified (GOV, 2012). A tribunal may extend the time limit in exceptional circumstances, but such extensions are rarely granted (Mahil, 2014).</w:t>
      </w:r>
    </w:p>
    <w:p w14:paraId="070C6D59" w14:textId="77777777" w:rsidR="00775505" w:rsidRDefault="00775505" w:rsidP="0072672E"/>
    <w:p w14:paraId="5B709701" w14:textId="2651FD2D" w:rsidR="00775505" w:rsidRPr="00FA23FD" w:rsidRDefault="00775505" w:rsidP="0072672E">
      <w:pPr>
        <w:rPr>
          <w:b/>
          <w:bCs/>
          <w:u w:val="single"/>
        </w:rPr>
      </w:pPr>
      <w:r w:rsidRPr="00FA23FD">
        <w:rPr>
          <w:b/>
          <w:bCs/>
          <w:u w:val="single"/>
        </w:rPr>
        <w:t>Email 6</w:t>
      </w:r>
    </w:p>
    <w:p w14:paraId="57409B27" w14:textId="77777777" w:rsidR="00AA1722" w:rsidRDefault="00AA1722" w:rsidP="0072672E">
      <w:r w:rsidRPr="00AA1722">
        <w:t>When carrying out redundancies, businesses must comply with legislation that protects staff rights and ensures the process is transparent and fair. A manager’s desire to quickly dismiss the poorest performers, avoiding a lengthy consultation, can lead to significant legal consequences (ACAS, 2022).</w:t>
      </w:r>
      <w:r w:rsidRPr="00AA1722">
        <w:br/>
        <w:t>Redundancy decisions must be based on transparent and fair criteria, such as skills, performance, experience, and business needs. Managers cannot dismiss underperforming employees without ensuring the process is objective and non-discriminatory (Moy, 2013).</w:t>
      </w:r>
    </w:p>
    <w:p w14:paraId="0F5B67B0" w14:textId="7FC072C4" w:rsidR="00AA1722" w:rsidRDefault="00AA1722" w:rsidP="0072672E">
      <w:r w:rsidRPr="00AA1722">
        <w:t>Even with a desire to act swiftly, businesses must consult employees at risk of redundancy. The consultation should explore alternatives like redeployment or retraining, and failure to do so may result in legal claims for unfair dismissal (Blackwell, 2018 &amp; GOV, 2012).</w:t>
      </w:r>
      <w:r w:rsidRPr="00AA1722">
        <w:br/>
        <w:t xml:space="preserve">Managers must also ensure the selection process does not disadvantage certain groups, such as </w:t>
      </w:r>
      <w:r w:rsidRPr="00AA1722">
        <w:lastRenderedPageBreak/>
        <w:t>those with disabilities, or based on age or race, as discriminatory decisions can lead to further legal claims (CIPD, 2024).</w:t>
      </w:r>
    </w:p>
    <w:p w14:paraId="290C0D61" w14:textId="4AB8EEF9" w:rsidR="00AA1722" w:rsidRDefault="00AA1722" w:rsidP="0072672E">
      <w:r w:rsidRPr="00AA1722">
        <w:t>Businesses must also follow statutory consultation processes. For redundancies affecting fewer than 20 employees within 90 days, individual consultations are required. This process typically lasts 1–2 weeks, and employees must be informed of the reasons for redundancy and potential alternatives (Daniels, 2022). However, for 20 or more employees, a collective consultation is required, usually involving a trade union or appointed representative (Lewis, 2005). Consultation should begin at least 30 days before the first dismissal for 20–99 employees, or 45 days for 100 or more</w:t>
      </w:r>
      <w:r w:rsidR="00AC5044">
        <w:t xml:space="preserve">. </w:t>
      </w:r>
      <w:r w:rsidR="00AC5044" w:rsidRPr="00AC5044">
        <w:t xml:space="preserve">This process </w:t>
      </w:r>
      <w:r w:rsidR="00AC5044">
        <w:t>should be a</w:t>
      </w:r>
      <w:r w:rsidR="00AC5044" w:rsidRPr="00AC5044">
        <w:t xml:space="preserve"> transparent discussion </w:t>
      </w:r>
      <w:r w:rsidR="00AC5044">
        <w:t>to</w:t>
      </w:r>
      <w:r w:rsidR="00AC5044" w:rsidRPr="00AC5044">
        <w:t xml:space="preserve"> deliberate on ways to reduce the redundancies</w:t>
      </w:r>
      <w:r w:rsidR="00AC5044" w:rsidRPr="00AC5044">
        <w:t xml:space="preserve"> </w:t>
      </w:r>
      <w:r w:rsidR="00AC5044" w:rsidRPr="00AC5044">
        <w:t>(Butler, 2018).</w:t>
      </w:r>
      <w:r w:rsidRPr="00AA1722">
        <w:br/>
        <w:t>Employees are entitled to a minimum notice period based on length of service, typically one week for employees with 1–2 years of service, with an additional week for each subsequent year (</w:t>
      </w:r>
      <w:proofErr w:type="spellStart"/>
      <w:r w:rsidRPr="00AA1722">
        <w:t>Nairns</w:t>
      </w:r>
      <w:proofErr w:type="spellEnd"/>
      <w:r w:rsidRPr="00AA1722">
        <w:t xml:space="preserve">, </w:t>
      </w:r>
      <w:r w:rsidRPr="00AC5044">
        <w:t>2011).</w:t>
      </w:r>
      <w:r w:rsidR="00AC5044" w:rsidRPr="00AC5044">
        <w:t xml:space="preserve"> </w:t>
      </w:r>
      <w:r w:rsidR="00AC5044" w:rsidRPr="00AC5044">
        <w:t xml:space="preserve">There could also be a contractual notice which will be different to a statutory one. </w:t>
      </w:r>
      <w:r w:rsidRPr="00AC5044">
        <w:t xml:space="preserve"> </w:t>
      </w:r>
      <w:r w:rsidRPr="00AA1722">
        <w:t>If employees are dismissed immediately</w:t>
      </w:r>
      <w:r w:rsidR="00AC5044">
        <w:t xml:space="preserve">, </w:t>
      </w:r>
      <w:r w:rsidRPr="00AA1722">
        <w:t>the employer must pay in lieu of notice (Access, 2024).</w:t>
      </w:r>
    </w:p>
    <w:p w14:paraId="540C87BE" w14:textId="30CACFF7" w:rsidR="00AA1722" w:rsidRDefault="00AA1722" w:rsidP="0072672E">
      <w:r w:rsidRPr="00AA1722">
        <w:t>Employees made redundant are also entitled to redundancy pay, calculated based on age, service length, and weekly earnings. The rate is half a week’s salary for each year of employment for under-22s, one week’s salary for those between 22 and 41, and one and a half weeks’ salary for those over 41 (Gov, 2012).</w:t>
      </w:r>
    </w:p>
    <w:p w14:paraId="3689D28C" w14:textId="6F99015B" w:rsidR="00775505" w:rsidRPr="00AA1722" w:rsidRDefault="00AA1722" w:rsidP="0072672E">
      <w:r w:rsidRPr="00AA1722">
        <w:t>To avoid claims for unfair dismissal and discrimination, managers must ensure a fair process is followed, offering employees a chance to respond and exploring alternatives. Failure to do so could lead to legal repercussions, including unfair dismissals, discrimination claims, and protective awards for failure to consult (Stroud, 2012).</w:t>
      </w:r>
    </w:p>
    <w:p w14:paraId="70EE6D0F" w14:textId="77777777" w:rsidR="00865060" w:rsidRPr="00865060" w:rsidRDefault="00865060" w:rsidP="0072672E">
      <w:pPr>
        <w:rPr>
          <w:b/>
          <w:bCs/>
        </w:rPr>
      </w:pPr>
    </w:p>
    <w:p w14:paraId="5AD4B5CB" w14:textId="0C3296AE" w:rsidR="00AC5044" w:rsidRPr="00FA23FD" w:rsidRDefault="00AC5044" w:rsidP="0072672E">
      <w:pPr>
        <w:rPr>
          <w:b/>
          <w:bCs/>
          <w:u w:val="single"/>
        </w:rPr>
      </w:pPr>
      <w:r w:rsidRPr="00FA23FD">
        <w:rPr>
          <w:b/>
          <w:bCs/>
          <w:u w:val="single"/>
        </w:rPr>
        <w:t xml:space="preserve">Email 7 </w:t>
      </w:r>
    </w:p>
    <w:p w14:paraId="4A9726E8" w14:textId="228BDC70" w:rsidR="00250F26" w:rsidRPr="00250F26" w:rsidRDefault="00250F26" w:rsidP="00250F26">
      <w:r w:rsidRPr="00250F26">
        <w:t xml:space="preserve">The Transfer of Undertakings (Protection of Employment) (TUPE) Regulations 2006 protect employees’ rights during a company </w:t>
      </w:r>
      <w:r w:rsidR="00700D3F">
        <w:t xml:space="preserve">(or part of it) </w:t>
      </w:r>
      <w:r w:rsidRPr="00250F26">
        <w:t>transfer or when services change providers. TUPE ensures that employees’ jobs, terms, conditions, and continuity of employment are transferred to the new owner (GOV, 2024).</w:t>
      </w:r>
    </w:p>
    <w:p w14:paraId="23BC8200" w14:textId="77777777" w:rsidR="00250F26" w:rsidRPr="00250F26" w:rsidRDefault="00250F26" w:rsidP="00250F26">
      <w:r w:rsidRPr="00250F26">
        <w:t>TUPE automatically applies to employees in the transferred part of the business (Wales, 2019). For example, if a pharmacy operation moves to a new centralised pharmacy under a Trust, all employees in the pharmacy departments will transfer automatically (Daniels, 2022). Employees can only be excluded with their consent, unless there are specific exemptions, such as redundancy or insolvency (Pollard, 1996).</w:t>
      </w:r>
    </w:p>
    <w:p w14:paraId="11D40D2C" w14:textId="59C6EE64" w:rsidR="00250F26" w:rsidRPr="00250F26" w:rsidRDefault="00250F26" w:rsidP="00250F26">
      <w:r w:rsidRPr="00250F26">
        <w:t xml:space="preserve">Employers must consult with employees or their representatives, such as unions or appointed representatives, before proceeding with a transfer (Lewis, 2005). During this consultation, employers must discuss any changes and their impact on staff (CIPD, 2023). They are also required to explain the reasons for the transfer and its legal, financial, and social consequences for employees (ACAS, 2014). Failure to consult appropriately may lead to claims for protective awards, unfair dismissal, or discrimination (Wynn-Evans, 2020). For example, in Mann &amp; O v Secretary of State for Employment </w:t>
      </w:r>
      <w:r w:rsidR="00700D3F">
        <w:t>[</w:t>
      </w:r>
      <w:r w:rsidRPr="00250F26">
        <w:t>1999</w:t>
      </w:r>
      <w:r w:rsidR="00700D3F">
        <w:t>]</w:t>
      </w:r>
      <w:r w:rsidRPr="00250F26">
        <w:t>, an employer had to pay protective awards for failing to consult on a business transfer, covering up to 13 weeks of pay per employee.</w:t>
      </w:r>
    </w:p>
    <w:p w14:paraId="0F0A1C4A" w14:textId="77777777" w:rsidR="00250F26" w:rsidRPr="00250F26" w:rsidRDefault="00250F26" w:rsidP="00250F26">
      <w:r w:rsidRPr="00250F26">
        <w:t>Employees’ terms and conditions, including pay, benefits, and holidays, must be preserved. Any unlawful changes, such as to wages or hours, could result in unfair dismissal claims (O’Neill, 2015). Employees also have the right to remain with their existing pension providers, though this may vary.</w:t>
      </w:r>
    </w:p>
    <w:p w14:paraId="11EC0B6B" w14:textId="7C80CE0E" w:rsidR="00250F26" w:rsidRPr="00250F26" w:rsidRDefault="00250F26" w:rsidP="00250F26">
      <w:r w:rsidRPr="00250F26">
        <w:lastRenderedPageBreak/>
        <w:t>Employees can object to a transfer, but resigning does not</w:t>
      </w:r>
      <w:r w:rsidR="00700D3F">
        <w:t xml:space="preserve"> mean they can resign and claim</w:t>
      </w:r>
      <w:r w:rsidRPr="00250F26">
        <w:t xml:space="preserve"> compensation. Resigning and objecting could be considered voluntary resignation (McMullen, 2012). However, if employees object but stay, their terms remain protected under TUPE (ACAS, 2024).</w:t>
      </w:r>
    </w:p>
    <w:p w14:paraId="277EB4C1" w14:textId="77777777" w:rsidR="00250F26" w:rsidRPr="00250F26" w:rsidRDefault="00250F26" w:rsidP="00250F26">
      <w:r w:rsidRPr="00250F26">
        <w:t>Dismissals related to TUPE are automatically unfair unless justified by economic, technical, or organisational reasons (ETO). Dismissing employees solely due to the transfer or its changes would be unfair, and they could claim unfair dismissal (Nicholls, 2008).</w:t>
      </w:r>
    </w:p>
    <w:p w14:paraId="42E92262" w14:textId="77777777" w:rsidR="00250F26" w:rsidRPr="00250F26" w:rsidRDefault="00250F26" w:rsidP="00250F26">
      <w:r w:rsidRPr="00250F26">
        <w:t>As the new employer, the Trust would inherit all liabilities associated with the transferred employees, including disputes over wages or discrimination (Tynan, 2008). Any changes to business operations must be carefully considered, and disadvantageous changes to terms must be justifiable under ETO reasons. If redundancies are necessary after the transfer, proper consultation and redundancy pay must be provided (Lewis, 2005).</w:t>
      </w:r>
    </w:p>
    <w:p w14:paraId="546CCA2B" w14:textId="5997FABD" w:rsidR="00775505" w:rsidRDefault="00250F26" w:rsidP="0072672E">
      <w:r w:rsidRPr="00250F26">
        <w:t>In conclusion, TUPE Regulations protect employees during transfers, ensuring their terms and conditions are preserved, and any dismissals are subject to specific criteria (Daniels, 2022).</w:t>
      </w:r>
    </w:p>
    <w:p w14:paraId="28EF55C0" w14:textId="77777777" w:rsidR="00865060" w:rsidRDefault="00865060" w:rsidP="0072672E">
      <w:pPr>
        <w:rPr>
          <w:b/>
          <w:bCs/>
        </w:rPr>
      </w:pPr>
    </w:p>
    <w:p w14:paraId="4691F9BF" w14:textId="30428AB7" w:rsidR="00700D3F" w:rsidRPr="00FA23FD" w:rsidRDefault="00700D3F" w:rsidP="0072672E">
      <w:pPr>
        <w:rPr>
          <w:b/>
          <w:bCs/>
          <w:u w:val="single"/>
        </w:rPr>
      </w:pPr>
      <w:r w:rsidRPr="00FA23FD">
        <w:rPr>
          <w:b/>
          <w:bCs/>
          <w:u w:val="single"/>
        </w:rPr>
        <w:t>Email 8</w:t>
      </w:r>
    </w:p>
    <w:p w14:paraId="5207F975" w14:textId="73D5A1DD" w:rsidR="00700D3F" w:rsidRPr="00700D3F" w:rsidRDefault="00700D3F" w:rsidP="00700D3F">
      <w:r w:rsidRPr="00700D3F">
        <w:t xml:space="preserve">In the UK, the Working Time Regulations 1998 oversee the holiday pay entitlement rules. Casual or Bank workers are entitled to holiday pay even if they </w:t>
      </w:r>
      <w:r>
        <w:t>don’t</w:t>
      </w:r>
      <w:r w:rsidRPr="00700D3F">
        <w:t xml:space="preserve"> have a permanent contract of employment (Daniels, 2022). </w:t>
      </w:r>
    </w:p>
    <w:p w14:paraId="16F9D626" w14:textId="068371E0" w:rsidR="00700D3F" w:rsidRPr="00700D3F" w:rsidRDefault="00700D3F" w:rsidP="00700D3F">
      <w:r w:rsidRPr="00700D3F">
        <w:t xml:space="preserve">All workers including casual or bank staff are entitled to a minimum of 28 days of paid holiday annually, this may include public holidays depending on individual policies. Casual workers get their pay calculated based on average earnings over 52 weeks, excluding unpaid weeks (ACAS, 2023). If the worker does regular overtime, </w:t>
      </w:r>
      <w:r>
        <w:t>this</w:t>
      </w:r>
      <w:r w:rsidRPr="00700D3F">
        <w:t xml:space="preserve"> should be included in the calculation (Tarka, 2019). </w:t>
      </w:r>
    </w:p>
    <w:p w14:paraId="09991EB7" w14:textId="18024986" w:rsidR="00700D3F" w:rsidRPr="00700D3F" w:rsidRDefault="00700D3F" w:rsidP="00700D3F">
      <w:r w:rsidRPr="00700D3F">
        <w:t xml:space="preserve">Due to the nurses working on casual basis, holiday pay would be calculated differently to permanent staff. There are two methods </w:t>
      </w:r>
      <w:r>
        <w:t>for</w:t>
      </w:r>
      <w:r w:rsidRPr="00700D3F">
        <w:t xml:space="preserve"> this; </w:t>
      </w:r>
    </w:p>
    <w:p w14:paraId="523BFAB7" w14:textId="4E0CEC79" w:rsidR="00700D3F" w:rsidRPr="00700D3F" w:rsidRDefault="00700D3F" w:rsidP="00700D3F">
      <w:r w:rsidRPr="00700D3F">
        <w:t xml:space="preserve">The first is a rolling up method which adds 12.07% of each shift’s pay to account for holiday, this is a statutory minimum of 28-day holidays as a proportion of the 52 weeks in a year. </w:t>
      </w:r>
      <w:r>
        <w:t>For</w:t>
      </w:r>
      <w:r w:rsidRPr="00700D3F">
        <w:t xml:space="preserve"> example</w:t>
      </w:r>
      <w:r>
        <w:t xml:space="preserve">, </w:t>
      </w:r>
      <w:r w:rsidRPr="00700D3F">
        <w:t xml:space="preserve">if a nurse was paid £200 a shift, 12.07% of this would be £24.14 which would be added on top of their shift pay (Lewis, 2005 &amp; GOV, 2020). </w:t>
      </w:r>
    </w:p>
    <w:p w14:paraId="620E2D13" w14:textId="05D2F850" w:rsidR="00700D3F" w:rsidRPr="00700D3F" w:rsidRDefault="00700D3F" w:rsidP="00700D3F">
      <w:r w:rsidRPr="00700D3F">
        <w:t>The second would be an accrual method which collects holiday pay as the workers complete shifts over a 12-week period. At the end of this period the accrued pay is given to the employee. This method is fair and it guarantees that employees are paid holidays based on the hours they actually work (</w:t>
      </w:r>
      <w:proofErr w:type="spellStart"/>
      <w:r w:rsidRPr="00700D3F">
        <w:t>Mcmanus</w:t>
      </w:r>
      <w:proofErr w:type="spellEnd"/>
      <w:r w:rsidRPr="00700D3F">
        <w:t xml:space="preserve">, 2017 &amp; GOV,2020). </w:t>
      </w:r>
    </w:p>
    <w:p w14:paraId="54E40FA3" w14:textId="6C3DA4C0" w:rsidR="00700D3F" w:rsidRPr="00700D3F" w:rsidRDefault="00700D3F" w:rsidP="00700D3F">
      <w:r w:rsidRPr="00700D3F">
        <w:t xml:space="preserve">If the nurses have irregular hours or shifts, the calculation should be inclusive of all remuneration elements that are included within their pay, </w:t>
      </w:r>
      <w:r w:rsidR="0002078E">
        <w:t>such as</w:t>
      </w:r>
      <w:r w:rsidRPr="00700D3F">
        <w:t xml:space="preserve"> overtime, commissions and allowances (MacDermott, 1998). </w:t>
      </w:r>
    </w:p>
    <w:p w14:paraId="4C38C2F8" w14:textId="52672CDF" w:rsidR="00700D3F" w:rsidRPr="00700D3F" w:rsidRDefault="00700D3F" w:rsidP="00700D3F">
      <w:r w:rsidRPr="00700D3F">
        <w:t xml:space="preserve">Lock v British Gas </w:t>
      </w:r>
      <w:r w:rsidR="0002078E">
        <w:t>[</w:t>
      </w:r>
      <w:r w:rsidRPr="00700D3F">
        <w:t>2014</w:t>
      </w:r>
      <w:r w:rsidR="0002078E">
        <w:t>]</w:t>
      </w:r>
      <w:r w:rsidRPr="00700D3F">
        <w:t xml:space="preserve">, established that workers are entitled to holiday pay that shows their standard earnings along with overtime and commissions. This strengthened the idea that holiday pay should be based on worker’s average earnings and not </w:t>
      </w:r>
      <w:r w:rsidR="0002078E">
        <w:t>just</w:t>
      </w:r>
      <w:r w:rsidRPr="00700D3F">
        <w:t xml:space="preserve"> salary.  If the bank</w:t>
      </w:r>
      <w:r w:rsidR="0002078E">
        <w:t>-</w:t>
      </w:r>
      <w:r w:rsidRPr="00700D3F">
        <w:t xml:space="preserve">staff regularly work overtime or complete extra shifts, this should be factored in their wage (Tarka, 2019 &amp; Darcy, 2005). It is also worth noting that rounding up holiday pay can result in overpayment or underpayment, </w:t>
      </w:r>
      <w:r w:rsidRPr="00700D3F">
        <w:lastRenderedPageBreak/>
        <w:t>which may lead to legal claims</w:t>
      </w:r>
      <w:r w:rsidR="0002078E">
        <w:t>. Employer’s</w:t>
      </w:r>
      <w:r w:rsidRPr="00700D3F">
        <w:t xml:space="preserve"> will have to ensure that holiday calculations are in line with legal requirements (Walker, 2023). </w:t>
      </w:r>
    </w:p>
    <w:p w14:paraId="6335B9BD" w14:textId="55F036AE" w:rsidR="0002078E" w:rsidRPr="00865060" w:rsidRDefault="0002078E" w:rsidP="0072672E">
      <w:r>
        <w:t xml:space="preserve">Employers should ensure </w:t>
      </w:r>
      <w:r w:rsidR="00700D3F" w:rsidRPr="00700D3F">
        <w:t xml:space="preserve">hours completed are tracked by each bank nurse carefully, so that holiday calculations are accurate. </w:t>
      </w:r>
      <w:r>
        <w:t xml:space="preserve">They should also communicate clearly with </w:t>
      </w:r>
      <w:r w:rsidR="00700D3F" w:rsidRPr="00700D3F">
        <w:t>casual workers and that</w:t>
      </w:r>
      <w:r>
        <w:t xml:space="preserve"> guarantee</w:t>
      </w:r>
      <w:r w:rsidR="00700D3F" w:rsidRPr="00700D3F">
        <w:t xml:space="preserve"> they are aware of how their holiday pay is calculated (ACAS, 2023). </w:t>
      </w:r>
    </w:p>
    <w:p w14:paraId="5D5D266D" w14:textId="77777777" w:rsidR="00865060" w:rsidRPr="0002078E" w:rsidRDefault="00865060" w:rsidP="0072672E">
      <w:pPr>
        <w:rPr>
          <w:b/>
          <w:bCs/>
        </w:rPr>
      </w:pPr>
    </w:p>
    <w:p w14:paraId="2EA71601" w14:textId="5C1B9081" w:rsidR="00700D3F" w:rsidRPr="00FA23FD" w:rsidRDefault="00865060" w:rsidP="0072672E">
      <w:pPr>
        <w:rPr>
          <w:b/>
          <w:bCs/>
          <w:u w:val="single"/>
        </w:rPr>
      </w:pPr>
      <w:r w:rsidRPr="00FA23FD">
        <w:rPr>
          <w:b/>
          <w:bCs/>
          <w:u w:val="single"/>
        </w:rPr>
        <w:t xml:space="preserve">Email 9 </w:t>
      </w:r>
    </w:p>
    <w:p w14:paraId="51696FE8" w14:textId="7D83C021" w:rsidR="00865060" w:rsidRPr="00865060" w:rsidRDefault="00865060" w:rsidP="00865060">
      <w:r w:rsidRPr="00865060">
        <w:t xml:space="preserve">Maternity leave is available to employees who are pregnant and have given birth, designed to help mothers recover from childbirth and care for their baby. </w:t>
      </w:r>
      <w:r w:rsidR="00C6797C">
        <w:br/>
      </w:r>
      <w:r w:rsidRPr="00865060">
        <w:t>Statutory Maternity Leave (SML) lasts 52 weeks, divided into 26 weeks of Ordinary and 26 weeks of Additional Maternity Leave (ACAS, 2023). Statutory Maternity Pay (SMP) is calculated differently during this period: the first 6 weeks are paid at 90% of average weekly earnings, and the remaining 33 weeks are paid at a statutory rate of £184.03 (or 90% of average weekly earnings if lower) (GOV, 2024/2012). This leave can begin up to 11 weeks before the due date, but the employer cannot force the worker to take it early (Birkinshaw, 2017). After maternity leave ends, the employee must return to the same role if they took the first 26 weeks. If they took additional leave, they may be reassigned to a similar role (Martin, 2005).</w:t>
      </w:r>
    </w:p>
    <w:p w14:paraId="54F6F491" w14:textId="1ACED24E" w:rsidR="00865060" w:rsidRPr="00865060" w:rsidRDefault="00865060" w:rsidP="00865060">
      <w:r w:rsidRPr="00865060">
        <w:t>Statutory Parental Leave (SPL) is available to both parents, but both must be employed and share responsibility for the child (Mitchell, 2023). SPL allows up to 50 weeks of leave, though the amount taken depends on the mother's maternity leave. Most mothers must take at least 2 weeks of maternity leave before starting shared parental leave (NEU, 2024). SPL pay follows the same structure as SMP: 90% of average weekly earnings for the first 6 weeks, then a statutory rate or 90% of earnings if lower (GOV, 2024). SPL provides flexibility, allowing both parents to take leave and spend time with their newborn (</w:t>
      </w:r>
      <w:proofErr w:type="spellStart"/>
      <w:r w:rsidRPr="00865060">
        <w:t>Bunnefeld</w:t>
      </w:r>
      <w:proofErr w:type="spellEnd"/>
      <w:r w:rsidRPr="00865060">
        <w:t xml:space="preserve">, 2019). Both parents have the same return-to-work rights as maternity leave, with the first 26 weeks guaranteeing a return to the same role and </w:t>
      </w:r>
      <w:r w:rsidR="00C6797C">
        <w:t xml:space="preserve">the additional </w:t>
      </w:r>
      <w:r w:rsidRPr="00865060">
        <w:t>26 weeks, a similar role (</w:t>
      </w:r>
      <w:proofErr w:type="spellStart"/>
      <w:r w:rsidRPr="00865060">
        <w:t>Brandth</w:t>
      </w:r>
      <w:proofErr w:type="spellEnd"/>
      <w:r w:rsidRPr="00865060">
        <w:t>, 2019).</w:t>
      </w:r>
    </w:p>
    <w:p w14:paraId="21113DFD" w14:textId="6E047692" w:rsidR="00865060" w:rsidRPr="00865060" w:rsidRDefault="00865060" w:rsidP="00865060">
      <w:r w:rsidRPr="00865060">
        <w:t xml:space="preserve">Key differences include that maternity leave is for the mother only, while SPL can be split between parents. Maternity leave lasts 52 weeks, while SPL lasts 50 weeks, giving the mother </w:t>
      </w:r>
      <w:r w:rsidR="00C6797C">
        <w:t xml:space="preserve">compulsory </w:t>
      </w:r>
      <w:r w:rsidRPr="00865060">
        <w:t>2 weeks. SPL offers greater flexibility in when leave can be taken, while maternity leave is solely at the mother’s discretion (Green, 2021; Daniels, 2022). Although pay rates are the same, SPL’s pay structure can depend on how the leave is split.</w:t>
      </w:r>
    </w:p>
    <w:p w14:paraId="316EB67A" w14:textId="374CEFF3" w:rsidR="00025E59" w:rsidRPr="00FA23FD" w:rsidRDefault="00865060" w:rsidP="0072672E">
      <w:r w:rsidRPr="00865060">
        <w:t>Which leave is more beneficial depends on individual circumstances and finances. Maternity leave may better support the mother's recovery and well-being, with no need to coordinate with a partner. On the other hand, SPL can benefit both parents by sharing responsibility and strengthening the family bond, and it can provide better work-life balance. Some employers may offer more flexibility or pay for SPL (Lidbeck, 2021).</w:t>
      </w:r>
      <w:r w:rsidR="00FA23FD">
        <w:br/>
      </w:r>
    </w:p>
    <w:p w14:paraId="09B5E4F1" w14:textId="156F2E94" w:rsidR="00C6797C" w:rsidRPr="00FA23FD" w:rsidRDefault="00025E59" w:rsidP="0072672E">
      <w:pPr>
        <w:rPr>
          <w:b/>
          <w:bCs/>
          <w:u w:val="single"/>
        </w:rPr>
      </w:pPr>
      <w:r w:rsidRPr="00FA23FD">
        <w:rPr>
          <w:b/>
          <w:bCs/>
          <w:u w:val="single"/>
        </w:rPr>
        <w:t>Email 10</w:t>
      </w:r>
    </w:p>
    <w:p w14:paraId="0AC07163" w14:textId="77777777" w:rsidR="00025E59" w:rsidRPr="00025E59" w:rsidRDefault="00025E59" w:rsidP="00025E59">
      <w:r w:rsidRPr="00025E59">
        <w:t>In the UK, employees have the legal right to request flexible working from day one of employment, starting in April 2024. Flexible working requests can include variations in hours, job-sharing, condensed hours, or remote work (Jackson, 2024). Employees can make two requests within a 12-month period, but only one can be active at a time (ACAS, 2024).</w:t>
      </w:r>
    </w:p>
    <w:p w14:paraId="13CA9565" w14:textId="254AE2B2" w:rsidR="00025E59" w:rsidRPr="00025E59" w:rsidRDefault="00025E59" w:rsidP="00025E59">
      <w:r w:rsidRPr="00025E59">
        <w:lastRenderedPageBreak/>
        <w:t>To make a request, employees must submit a written application outlining the dates, proposed changes, reasons for the request, and any previous requests (PB, 2015; ACAS, 2023). Employers must respond within two months</w:t>
      </w:r>
      <w:r w:rsidR="00AA6BD5">
        <w:t xml:space="preserve"> from the date of the request</w:t>
      </w:r>
      <w:r w:rsidRPr="00025E59">
        <w:t xml:space="preserve"> (CIPD, 2024).</w:t>
      </w:r>
    </w:p>
    <w:p w14:paraId="5DD20088" w14:textId="33761AC6" w:rsidR="00025E59" w:rsidRPr="00025E59" w:rsidRDefault="00025E59" w:rsidP="00025E59">
      <w:r w:rsidRPr="00025E59">
        <w:t xml:space="preserve">Employers can reject requests based on business reasons, such as additional costs, negative impacts on service quality, recruitment issues, performance, customer demands, or organizational changes. Other reasons are listed in the ACAS Code of Practice (2024). While employers may be concerned about setting a precedent, decisions should focus on business needs, not avoiding patterns. Requests should be reviewed independently, considering individual roles and responsibilities (Cooper, 2015). If rejected, employees can appeal, and the appeal should be </w:t>
      </w:r>
      <w:r w:rsidR="000174DC">
        <w:t xml:space="preserve">dealt with </w:t>
      </w:r>
      <w:r w:rsidRPr="00025E59">
        <w:t>impartial</w:t>
      </w:r>
      <w:r w:rsidR="000174DC">
        <w:t>ly, i</w:t>
      </w:r>
      <w:r w:rsidR="000174DC" w:rsidRPr="000174DC">
        <w:t xml:space="preserve">deally </w:t>
      </w:r>
      <w:r w:rsidR="000174DC" w:rsidRPr="000174DC">
        <w:t>with a</w:t>
      </w:r>
      <w:r w:rsidR="000174DC" w:rsidRPr="000174DC">
        <w:t xml:space="preserve"> person </w:t>
      </w:r>
      <w:r w:rsidR="000174DC" w:rsidRPr="000174DC">
        <w:t>who was not involved in</w:t>
      </w:r>
      <w:r w:rsidR="000174DC" w:rsidRPr="000174DC">
        <w:t xml:space="preserve"> previous discussions</w:t>
      </w:r>
      <w:r w:rsidRPr="00025E59">
        <w:t xml:space="preserve"> (CIPD &amp; ACAS, 2024).</w:t>
      </w:r>
    </w:p>
    <w:p w14:paraId="5C6B4E20" w14:textId="625B0BC6" w:rsidR="00025E59" w:rsidRPr="00025E59" w:rsidRDefault="00025E59" w:rsidP="00025E59">
      <w:r w:rsidRPr="00025E59">
        <w:t>Requests should be evaluated to determine if the duties of the role, such as an administrative officer, can be fulfilled with remote work three days a week without affecting service delivery. For example, if the employee must handle daily document copying</w:t>
      </w:r>
      <w:r w:rsidR="000174DC">
        <w:t xml:space="preserve"> or handling physical copies and printing</w:t>
      </w:r>
      <w:r w:rsidRPr="00025E59">
        <w:t>, this may not be feasible (Loch &amp; Towner, 2005).</w:t>
      </w:r>
    </w:p>
    <w:p w14:paraId="1BA110F9" w14:textId="668AA605" w:rsidR="00025E59" w:rsidRPr="00025E59" w:rsidRDefault="00025E59" w:rsidP="00025E59">
      <w:r w:rsidRPr="00025E59">
        <w:t>People services should maintain consistency in decision-making to avoid setting unfair precedents. Requests must be assessed on a case-by-case basis, considering both operational and employee needs. They cannot grant one administrator’s request and deny another’s in the same role (Faragher, 2014). If a request is rejected, alternative options, such as one or two remote workdays</w:t>
      </w:r>
      <w:r w:rsidR="000174DC">
        <w:t xml:space="preserve"> or hybrid working</w:t>
      </w:r>
      <w:r w:rsidRPr="00025E59">
        <w:t>, should be considered.</w:t>
      </w:r>
      <w:r w:rsidR="000174DC" w:rsidRPr="000174DC">
        <w:rPr>
          <w:color w:val="FF0000"/>
        </w:rPr>
        <w:t xml:space="preserve"> </w:t>
      </w:r>
      <w:r w:rsidR="000174DC" w:rsidRPr="000174DC">
        <w:t>Additionally, they need to demonstrate why or how the request would not be feasible.</w:t>
      </w:r>
    </w:p>
    <w:p w14:paraId="0D14D0CA" w14:textId="00A18A1B" w:rsidR="00025E59" w:rsidRPr="00025E59" w:rsidRDefault="00025E59" w:rsidP="00025E59">
      <w:r w:rsidRPr="00025E59">
        <w:t>Rejecting a request without a valid reason</w:t>
      </w:r>
      <w:r w:rsidR="000174DC">
        <w:t xml:space="preserve"> or rejecting it for reasons influenced by </w:t>
      </w:r>
      <w:r w:rsidRPr="00025E59">
        <w:t>gender or disability, could lead to a discrimination claim. Failing to follow proper procedures, like missing deadlines or citing non-business reasons, could also result in an employee filing a constructive or unfair dismissal claim (Faragher, 2014).</w:t>
      </w:r>
    </w:p>
    <w:p w14:paraId="61827F02" w14:textId="6A89D7A0" w:rsidR="00025E59" w:rsidRDefault="00025E59" w:rsidP="0072672E">
      <w:r w:rsidRPr="00025E59">
        <w:t>With flexible working now a day-one right, people management must carefully assess requests. Though they aren’t required to grant the request, they must follow the correct process, and refusal without a legitimate reason could lead to unfairness. Offering alternatives can help balance business and employee needs (Newman, 2016).</w:t>
      </w:r>
    </w:p>
    <w:p w14:paraId="151F3241" w14:textId="3556B125" w:rsidR="00593E3C" w:rsidRDefault="00593E3C" w:rsidP="0072672E"/>
    <w:p w14:paraId="1B9C502D" w14:textId="5298CB5E" w:rsidR="00593E3C" w:rsidRDefault="00593E3C" w:rsidP="0072672E"/>
    <w:p w14:paraId="7DE34E0B" w14:textId="77777777" w:rsidR="00FA23FD" w:rsidRDefault="00FA23FD" w:rsidP="0072672E"/>
    <w:p w14:paraId="77CDEE9D" w14:textId="77777777" w:rsidR="00FA23FD" w:rsidRDefault="00FA23FD" w:rsidP="0072672E"/>
    <w:p w14:paraId="0DE20976" w14:textId="77777777" w:rsidR="00FA23FD" w:rsidRDefault="00FA23FD" w:rsidP="0072672E"/>
    <w:p w14:paraId="761B4925" w14:textId="77777777" w:rsidR="00FA23FD" w:rsidRDefault="00FA23FD" w:rsidP="0072672E"/>
    <w:p w14:paraId="0956B5CC" w14:textId="77777777" w:rsidR="00FA23FD" w:rsidRDefault="00FA23FD" w:rsidP="0072672E"/>
    <w:p w14:paraId="4AB18FF2" w14:textId="77777777" w:rsidR="00FA23FD" w:rsidRDefault="00FA23FD" w:rsidP="0072672E"/>
    <w:p w14:paraId="518B525E" w14:textId="77777777" w:rsidR="00FA23FD" w:rsidRDefault="00FA23FD" w:rsidP="0072672E"/>
    <w:p w14:paraId="6A8FDB7A" w14:textId="344553F4" w:rsidR="00FA23FD" w:rsidRPr="00FA23FD" w:rsidRDefault="00FA23FD" w:rsidP="0072672E">
      <w:pPr>
        <w:rPr>
          <w:b/>
          <w:bCs/>
          <w:u w:val="single"/>
        </w:rPr>
      </w:pPr>
      <w:r w:rsidRPr="00FA23FD">
        <w:rPr>
          <w:b/>
          <w:bCs/>
          <w:u w:val="single"/>
        </w:rPr>
        <w:t>Bibliography</w:t>
      </w:r>
    </w:p>
    <w:p w14:paraId="62B274B5" w14:textId="77777777" w:rsidR="00FA23FD" w:rsidRPr="00727143" w:rsidRDefault="00FA23FD" w:rsidP="00FA23FD">
      <w:pPr>
        <w:rPr>
          <w:b/>
          <w:bCs/>
          <w:i/>
          <w:iCs/>
        </w:rPr>
      </w:pPr>
      <w:bookmarkStart w:id="0" w:name="_Hlk192444722"/>
      <w:r w:rsidRPr="00BE0F8E">
        <w:rPr>
          <w:i/>
          <w:iCs/>
        </w:rPr>
        <w:lastRenderedPageBreak/>
        <w:t>ACAS (2023). </w:t>
      </w:r>
      <w:proofErr w:type="spellStart"/>
      <w:r w:rsidRPr="00BE0F8E">
        <w:rPr>
          <w:i/>
          <w:iCs/>
        </w:rPr>
        <w:t>Acas</w:t>
      </w:r>
      <w:proofErr w:type="spellEnd"/>
      <w:r w:rsidRPr="00BE0F8E">
        <w:rPr>
          <w:i/>
          <w:iCs/>
        </w:rPr>
        <w:t xml:space="preserve"> | Making working life better for everyone in Britain. [online] Acas.org.uk. Available at: </w:t>
      </w:r>
      <w:hyperlink r:id="rId4" w:history="1">
        <w:r w:rsidRPr="008144CD">
          <w:rPr>
            <w:rStyle w:val="Hyperlink"/>
            <w:i/>
            <w:iCs/>
          </w:rPr>
          <w:t>https://www.acas.org.uk/</w:t>
        </w:r>
      </w:hyperlink>
      <w:r w:rsidRPr="00BE0F8E">
        <w:rPr>
          <w:i/>
          <w:iCs/>
        </w:rPr>
        <w:t>.</w:t>
      </w:r>
      <w:r>
        <w:rPr>
          <w:i/>
          <w:iCs/>
        </w:rPr>
        <w:t xml:space="preserve"> [Accessed 02</w:t>
      </w:r>
      <w:r w:rsidRPr="00E3392C">
        <w:rPr>
          <w:i/>
          <w:iCs/>
          <w:vertAlign w:val="superscript"/>
        </w:rPr>
        <w:t>nd</w:t>
      </w:r>
      <w:r>
        <w:rPr>
          <w:i/>
          <w:iCs/>
        </w:rPr>
        <w:t xml:space="preserve"> March 2025]</w:t>
      </w:r>
    </w:p>
    <w:p w14:paraId="73341F04" w14:textId="77777777" w:rsidR="00FA23FD" w:rsidRDefault="00FA23FD" w:rsidP="00FA23FD">
      <w:pPr>
        <w:rPr>
          <w:i/>
          <w:iCs/>
        </w:rPr>
      </w:pPr>
      <w:r w:rsidRPr="001C2C41">
        <w:rPr>
          <w:i/>
          <w:iCs/>
        </w:rPr>
        <w:t>‌</w:t>
      </w:r>
      <w:r w:rsidRPr="00C8735B">
        <w:t xml:space="preserve"> </w:t>
      </w:r>
      <w:r w:rsidRPr="00C8735B">
        <w:rPr>
          <w:i/>
          <w:iCs/>
        </w:rPr>
        <w:t xml:space="preserve">Breen v. Golden Lane Housing Ltd [2021] EWCA </w:t>
      </w:r>
      <w:proofErr w:type="spellStart"/>
      <w:r w:rsidRPr="00C8735B">
        <w:rPr>
          <w:i/>
          <w:iCs/>
        </w:rPr>
        <w:t>Civ</w:t>
      </w:r>
      <w:proofErr w:type="spellEnd"/>
      <w:r w:rsidRPr="00C8735B">
        <w:rPr>
          <w:i/>
          <w:iCs/>
        </w:rPr>
        <w:t xml:space="preserve"> 439</w:t>
      </w:r>
      <w:r>
        <w:rPr>
          <w:i/>
          <w:iCs/>
        </w:rPr>
        <w:t xml:space="preserve"> </w:t>
      </w:r>
      <w:r w:rsidRPr="00C8735B">
        <w:rPr>
          <w:i/>
          <w:iCs/>
        </w:rPr>
        <w:t xml:space="preserve">Available at: </w:t>
      </w:r>
      <w:hyperlink r:id="rId5" w:history="1">
        <w:r w:rsidRPr="008144CD">
          <w:rPr>
            <w:rStyle w:val="Hyperlink"/>
            <w:i/>
            <w:iCs/>
          </w:rPr>
          <w:t>https://www.gov.uk/government/publications/regulatory-judgement-golden-lane-housing-limited/golden-lane-housing-limited-4803-regulatory-judgement-15-january-2025</w:t>
        </w:r>
      </w:hyperlink>
      <w:r>
        <w:rPr>
          <w:i/>
          <w:iCs/>
        </w:rPr>
        <w:t xml:space="preserve"> </w:t>
      </w:r>
      <w:r w:rsidRPr="00C8735B">
        <w:rPr>
          <w:i/>
          <w:iCs/>
        </w:rPr>
        <w:t>[Accessed 2 Mar. 2025].</w:t>
      </w:r>
      <w:r>
        <w:rPr>
          <w:i/>
          <w:iCs/>
        </w:rPr>
        <w:t xml:space="preserve"> </w:t>
      </w:r>
    </w:p>
    <w:p w14:paraId="3196BF6F" w14:textId="77777777" w:rsidR="00FA23FD" w:rsidRDefault="00FA23FD" w:rsidP="00FA23FD">
      <w:pPr>
        <w:rPr>
          <w:i/>
          <w:iCs/>
        </w:rPr>
      </w:pPr>
      <w:r w:rsidRPr="00C768BD">
        <w:rPr>
          <w:i/>
          <w:iCs/>
        </w:rPr>
        <w:t>‌</w:t>
      </w:r>
      <w:r w:rsidRPr="003104AD">
        <w:rPr>
          <w:rFonts w:ascii="Times New Roman" w:eastAsia="Times New Roman" w:hAnsi="Times New Roman" w:cs="Times New Roman"/>
          <w:kern w:val="0"/>
          <w:sz w:val="24"/>
          <w:szCs w:val="24"/>
          <w:lang w:eastAsia="en-GB"/>
          <w14:ligatures w14:val="none"/>
        </w:rPr>
        <w:t xml:space="preserve"> </w:t>
      </w:r>
      <w:r w:rsidRPr="003104AD">
        <w:rPr>
          <w:i/>
          <w:iCs/>
        </w:rPr>
        <w:t xml:space="preserve">Cooper, R., &amp; Baird, M. (2015). Bringing the “right to request” flexible working arrangements to life: from policies to practices. Employee Relations, 37(5), 568–581. </w:t>
      </w:r>
      <w:hyperlink r:id="rId6" w:history="1">
        <w:r w:rsidRPr="00205052">
          <w:rPr>
            <w:rStyle w:val="Hyperlink"/>
            <w:i/>
            <w:iCs/>
          </w:rPr>
          <w:t>https://doi.org/10.1108/ER-07-2014-0085</w:t>
        </w:r>
      </w:hyperlink>
      <w:r>
        <w:rPr>
          <w:i/>
          <w:iCs/>
        </w:rPr>
        <w:t xml:space="preserve"> </w:t>
      </w:r>
    </w:p>
    <w:p w14:paraId="7F3ADD36" w14:textId="77777777" w:rsidR="00FA23FD" w:rsidRDefault="00FA23FD" w:rsidP="00FA23FD">
      <w:pPr>
        <w:rPr>
          <w:i/>
          <w:iCs/>
        </w:rPr>
      </w:pPr>
      <w:r w:rsidRPr="00882FF2">
        <w:rPr>
          <w:i/>
          <w:iCs/>
        </w:rPr>
        <w:t>‌</w:t>
      </w:r>
      <w:r w:rsidRPr="00882FF2">
        <w:rPr>
          <w:rFonts w:ascii="Calibri" w:eastAsia="Times New Roman" w:hAnsi="Calibri" w:cs="Calibri"/>
          <w:color w:val="000000"/>
          <w:kern w:val="0"/>
          <w:sz w:val="27"/>
          <w:szCs w:val="27"/>
          <w:lang w:eastAsia="en-GB"/>
          <w14:ligatures w14:val="none"/>
        </w:rPr>
        <w:t xml:space="preserve"> </w:t>
      </w:r>
      <w:r w:rsidRPr="00882FF2">
        <w:rPr>
          <w:i/>
          <w:iCs/>
        </w:rPr>
        <w:t xml:space="preserve">EHRC (2021). Equal pay | EHRC. [online] www.equalityhumanrights.com. Available at: </w:t>
      </w:r>
      <w:hyperlink r:id="rId7" w:history="1">
        <w:r w:rsidRPr="005B05EC">
          <w:rPr>
            <w:rStyle w:val="Hyperlink"/>
            <w:i/>
            <w:iCs/>
          </w:rPr>
          <w:t>https://www.equalityhumanrights.com/guidance/equal-pay</w:t>
        </w:r>
      </w:hyperlink>
      <w:r w:rsidRPr="00882FF2">
        <w:rPr>
          <w:i/>
          <w:iCs/>
        </w:rPr>
        <w:t>.</w:t>
      </w:r>
      <w:r>
        <w:rPr>
          <w:i/>
          <w:iCs/>
        </w:rPr>
        <w:t xml:space="preserve"> [Accessed: 7</w:t>
      </w:r>
      <w:r w:rsidRPr="00882FF2">
        <w:rPr>
          <w:i/>
          <w:iCs/>
          <w:vertAlign w:val="superscript"/>
        </w:rPr>
        <w:t>th</w:t>
      </w:r>
      <w:r>
        <w:rPr>
          <w:i/>
          <w:iCs/>
        </w:rPr>
        <w:t xml:space="preserve"> March] </w:t>
      </w:r>
    </w:p>
    <w:p w14:paraId="1045634C" w14:textId="77777777" w:rsidR="00FA23FD" w:rsidRDefault="00FA23FD" w:rsidP="00FA23FD">
      <w:pPr>
        <w:rPr>
          <w:i/>
          <w:iCs/>
        </w:rPr>
      </w:pPr>
      <w:r w:rsidRPr="00882FF2">
        <w:rPr>
          <w:i/>
          <w:iCs/>
        </w:rPr>
        <w:t>‌</w:t>
      </w:r>
      <w:r w:rsidRPr="00FA7DC3">
        <w:rPr>
          <w:i/>
          <w:iCs/>
        </w:rPr>
        <w:t xml:space="preserve"> </w:t>
      </w:r>
      <w:r w:rsidRPr="007D541C">
        <w:rPr>
          <w:i/>
          <w:iCs/>
        </w:rPr>
        <w:t xml:space="preserve">Equality Act 2010. (2010). c. 15. London: The Stationery Office. Available at: </w:t>
      </w:r>
      <w:hyperlink r:id="rId8" w:history="1">
        <w:r w:rsidRPr="008144CD">
          <w:rPr>
            <w:rStyle w:val="Hyperlink"/>
            <w:i/>
            <w:iCs/>
          </w:rPr>
          <w:t>https://www.legislation.gov.uk/ukpga/2010/15/contents/enacted</w:t>
        </w:r>
      </w:hyperlink>
      <w:r>
        <w:rPr>
          <w:i/>
          <w:iCs/>
        </w:rPr>
        <w:t xml:space="preserve"> </w:t>
      </w:r>
      <w:r w:rsidRPr="007D541C">
        <w:rPr>
          <w:i/>
          <w:iCs/>
        </w:rPr>
        <w:t xml:space="preserve"> </w:t>
      </w:r>
      <w:r>
        <w:rPr>
          <w:i/>
          <w:iCs/>
        </w:rPr>
        <w:t>[</w:t>
      </w:r>
      <w:r w:rsidRPr="007D541C">
        <w:rPr>
          <w:i/>
          <w:iCs/>
        </w:rPr>
        <w:t xml:space="preserve">Accessed: </w:t>
      </w:r>
      <w:r>
        <w:rPr>
          <w:i/>
          <w:iCs/>
        </w:rPr>
        <w:t>8</w:t>
      </w:r>
      <w:proofErr w:type="gramStart"/>
      <w:r w:rsidRPr="00FA7DC3">
        <w:rPr>
          <w:i/>
          <w:iCs/>
          <w:vertAlign w:val="superscript"/>
        </w:rPr>
        <w:t>th</w:t>
      </w:r>
      <w:r>
        <w:rPr>
          <w:i/>
          <w:iCs/>
        </w:rPr>
        <w:t xml:space="preserve">  </w:t>
      </w:r>
      <w:r w:rsidRPr="007D541C">
        <w:rPr>
          <w:i/>
          <w:iCs/>
        </w:rPr>
        <w:t>March</w:t>
      </w:r>
      <w:proofErr w:type="gramEnd"/>
      <w:r w:rsidRPr="007D541C">
        <w:rPr>
          <w:i/>
          <w:iCs/>
        </w:rPr>
        <w:t xml:space="preserve"> 2025</w:t>
      </w:r>
      <w:r>
        <w:rPr>
          <w:i/>
          <w:iCs/>
        </w:rPr>
        <w:t>].</w:t>
      </w:r>
    </w:p>
    <w:p w14:paraId="50FF05B1" w14:textId="77777777" w:rsidR="00FA23FD" w:rsidRPr="00C21BEE" w:rsidRDefault="00FA23FD" w:rsidP="00FA23FD">
      <w:pPr>
        <w:rPr>
          <w:i/>
          <w:iCs/>
        </w:rPr>
      </w:pPr>
      <w:r w:rsidRPr="003801D5">
        <w:rPr>
          <w:i/>
          <w:iCs/>
        </w:rPr>
        <w:t>‌</w:t>
      </w:r>
      <w:r w:rsidRPr="00C21BEE">
        <w:rPr>
          <w:rFonts w:ascii="Times New Roman" w:eastAsia="Times New Roman" w:hAnsi="Times New Roman" w:cs="Times New Roman"/>
          <w:kern w:val="0"/>
          <w:sz w:val="24"/>
          <w:szCs w:val="24"/>
          <w:lang w:eastAsia="en-GB"/>
          <w14:ligatures w14:val="none"/>
        </w:rPr>
        <w:t xml:space="preserve"> </w:t>
      </w:r>
      <w:r w:rsidRPr="00C21BEE">
        <w:rPr>
          <w:i/>
          <w:iCs/>
        </w:rPr>
        <w:t>Khoja, S. (2004). HOLIDAY PAY FOR CASUAL STAFF. Caterer &amp; Hotelkeeper, 193(4336), 45-.</w:t>
      </w:r>
    </w:p>
    <w:p w14:paraId="628A4226" w14:textId="77777777" w:rsidR="00FA23FD" w:rsidRDefault="00FA23FD" w:rsidP="00FA23FD">
      <w:pPr>
        <w:rPr>
          <w:i/>
          <w:iCs/>
        </w:rPr>
      </w:pPr>
      <w:r w:rsidRPr="00E3392C">
        <w:rPr>
          <w:i/>
          <w:iCs/>
        </w:rPr>
        <w:t>‌</w:t>
      </w:r>
      <w:r w:rsidRPr="001D6807">
        <w:rPr>
          <w:rFonts w:ascii="Times New Roman" w:eastAsia="Times New Roman" w:hAnsi="Times New Roman" w:cs="Times New Roman"/>
          <w:kern w:val="0"/>
          <w:sz w:val="24"/>
          <w:szCs w:val="24"/>
          <w:lang w:eastAsia="en-GB"/>
          <w14:ligatures w14:val="none"/>
        </w:rPr>
        <w:t xml:space="preserve"> </w:t>
      </w:r>
      <w:r w:rsidRPr="001D6807">
        <w:rPr>
          <w:i/>
          <w:iCs/>
        </w:rPr>
        <w:t xml:space="preserve">O’Connor, N. (2021). ‘Unchartered’ waters: fundamental rights, Brexit and the (re)constitution of the employment law hierarchy of norms. European Labour Law Journal, 12(1), 52–82. </w:t>
      </w:r>
      <w:hyperlink r:id="rId9" w:history="1">
        <w:r w:rsidRPr="008144CD">
          <w:rPr>
            <w:rStyle w:val="Hyperlink"/>
            <w:i/>
            <w:iCs/>
          </w:rPr>
          <w:t>https://doi.org/10.1177/2031952520911063</w:t>
        </w:r>
      </w:hyperlink>
      <w:r>
        <w:rPr>
          <w:i/>
          <w:iCs/>
        </w:rPr>
        <w:t xml:space="preserve"> </w:t>
      </w:r>
    </w:p>
    <w:p w14:paraId="6D188664" w14:textId="77777777" w:rsidR="00FA23FD" w:rsidRPr="00041863" w:rsidRDefault="00FA23FD" w:rsidP="00FA23FD">
      <w:pPr>
        <w:rPr>
          <w:i/>
          <w:iCs/>
        </w:rPr>
      </w:pPr>
      <w:r w:rsidRPr="00753EDE">
        <w:rPr>
          <w:i/>
          <w:iCs/>
        </w:rPr>
        <w:t>‌</w:t>
      </w:r>
      <w:r w:rsidRPr="00041863">
        <w:rPr>
          <w:rFonts w:ascii="Times New Roman" w:eastAsia="Times New Roman" w:hAnsi="Times New Roman" w:cs="Times New Roman"/>
          <w:kern w:val="0"/>
          <w:sz w:val="24"/>
          <w:szCs w:val="24"/>
          <w:lang w:eastAsia="en-GB"/>
          <w14:ligatures w14:val="none"/>
        </w:rPr>
        <w:t xml:space="preserve"> </w:t>
      </w:r>
      <w:r w:rsidRPr="00041863">
        <w:rPr>
          <w:i/>
          <w:iCs/>
        </w:rPr>
        <w:t xml:space="preserve">Rupp, D. E., &amp; Vodanovich, S. J. (Eds.). (2022). Employment </w:t>
      </w:r>
      <w:proofErr w:type="gramStart"/>
      <w:r w:rsidRPr="00041863">
        <w:rPr>
          <w:i/>
          <w:iCs/>
        </w:rPr>
        <w:t>discrimination :</w:t>
      </w:r>
      <w:proofErr w:type="gramEnd"/>
      <w:r w:rsidRPr="00041863">
        <w:rPr>
          <w:i/>
          <w:iCs/>
        </w:rPr>
        <w:t xml:space="preserve"> a concise review of the legal landscape. Oxford University Press.</w:t>
      </w:r>
    </w:p>
    <w:p w14:paraId="60E89B51" w14:textId="77777777" w:rsidR="00FA23FD" w:rsidRPr="0074676F" w:rsidRDefault="00FA23FD" w:rsidP="00FA23FD">
      <w:pPr>
        <w:rPr>
          <w:i/>
          <w:iCs/>
        </w:rPr>
      </w:pPr>
      <w:r w:rsidRPr="0074676F">
        <w:rPr>
          <w:i/>
          <w:iCs/>
        </w:rPr>
        <w:t>‌</w:t>
      </w:r>
      <w:r w:rsidRPr="0074676F">
        <w:rPr>
          <w:rFonts w:ascii="Times New Roman" w:eastAsia="Times New Roman" w:hAnsi="Times New Roman" w:cs="Times New Roman"/>
          <w:kern w:val="0"/>
          <w:sz w:val="24"/>
          <w:szCs w:val="24"/>
          <w:lang w:eastAsia="en-GB"/>
          <w14:ligatures w14:val="none"/>
        </w:rPr>
        <w:t xml:space="preserve"> </w:t>
      </w:r>
      <w:r w:rsidRPr="0074676F">
        <w:rPr>
          <w:i/>
          <w:iCs/>
        </w:rPr>
        <w:t xml:space="preserve">Stroud, D., &amp; Fairbrother, P. (2012). The limits and prospects of union power: Addressing mass redundancy in the steel industry. Economic and Industrial Democracy, 33(4), 649–668. </w:t>
      </w:r>
      <w:hyperlink r:id="rId10" w:history="1">
        <w:r w:rsidRPr="00867BF9">
          <w:rPr>
            <w:rStyle w:val="Hyperlink"/>
            <w:i/>
            <w:iCs/>
          </w:rPr>
          <w:t>https://doi.org/10.1177/0143831X11425542</w:t>
        </w:r>
      </w:hyperlink>
      <w:r>
        <w:rPr>
          <w:i/>
          <w:iCs/>
        </w:rPr>
        <w:t xml:space="preserve"> </w:t>
      </w:r>
    </w:p>
    <w:p w14:paraId="569B6F55" w14:textId="77777777" w:rsidR="00FA23FD" w:rsidRDefault="00FA23FD" w:rsidP="00FA23FD">
      <w:pPr>
        <w:rPr>
          <w:i/>
          <w:iCs/>
        </w:rPr>
      </w:pPr>
      <w:r w:rsidRPr="00C21BEE">
        <w:rPr>
          <w:i/>
          <w:iCs/>
        </w:rPr>
        <w:t>‌</w:t>
      </w:r>
      <w:r w:rsidRPr="00F95B28">
        <w:rPr>
          <w:rFonts w:ascii="Times New Roman" w:eastAsia="Times New Roman" w:hAnsi="Times New Roman" w:cs="Times New Roman"/>
          <w:kern w:val="0"/>
          <w:sz w:val="24"/>
          <w:szCs w:val="24"/>
          <w:lang w:eastAsia="en-GB"/>
          <w14:ligatures w14:val="none"/>
        </w:rPr>
        <w:t xml:space="preserve"> </w:t>
      </w:r>
      <w:r w:rsidRPr="00F95B28">
        <w:rPr>
          <w:i/>
          <w:iCs/>
        </w:rPr>
        <w:t xml:space="preserve">Tarka, J. (2019). UK: Holiday Pay Becomes Costlier. </w:t>
      </w:r>
      <w:proofErr w:type="spellStart"/>
      <w:r w:rsidRPr="00F95B28">
        <w:rPr>
          <w:i/>
          <w:iCs/>
        </w:rPr>
        <w:t>HRNews</w:t>
      </w:r>
      <w:proofErr w:type="spellEnd"/>
      <w:r w:rsidRPr="00F95B28">
        <w:rPr>
          <w:i/>
          <w:iCs/>
        </w:rPr>
        <w:t>.</w:t>
      </w:r>
    </w:p>
    <w:p w14:paraId="240AE1DA" w14:textId="77777777" w:rsidR="00FA23FD" w:rsidRDefault="00FA23FD" w:rsidP="00FA23FD">
      <w:pPr>
        <w:rPr>
          <w:i/>
          <w:iCs/>
        </w:rPr>
      </w:pPr>
      <w:r w:rsidRPr="008659E7">
        <w:rPr>
          <w:i/>
          <w:iCs/>
        </w:rPr>
        <w:t xml:space="preserve">ACAS (2014). Transfer of undertakings (TUPE) | </w:t>
      </w:r>
      <w:r>
        <w:rPr>
          <w:i/>
          <w:iCs/>
        </w:rPr>
        <w:t>ACAS</w:t>
      </w:r>
      <w:r w:rsidRPr="008659E7">
        <w:rPr>
          <w:i/>
          <w:iCs/>
        </w:rPr>
        <w:t xml:space="preserve"> advice and guidance | </w:t>
      </w:r>
      <w:r>
        <w:rPr>
          <w:i/>
          <w:iCs/>
        </w:rPr>
        <w:t>ACAS</w:t>
      </w:r>
      <w:r w:rsidRPr="008659E7">
        <w:rPr>
          <w:i/>
          <w:iCs/>
        </w:rPr>
        <w:t xml:space="preserve">. Acas.org.uk. [online] </w:t>
      </w:r>
      <w:proofErr w:type="spellStart"/>
      <w:r w:rsidRPr="008659E7">
        <w:rPr>
          <w:i/>
          <w:iCs/>
        </w:rPr>
        <w:t>doi</w:t>
      </w:r>
      <w:proofErr w:type="spellEnd"/>
      <w:r w:rsidRPr="008659E7">
        <w:rPr>
          <w:i/>
          <w:iCs/>
        </w:rPr>
        <w:t>:</w:t>
      </w:r>
      <w:r>
        <w:rPr>
          <w:i/>
          <w:iCs/>
        </w:rPr>
        <w:t xml:space="preserve"> </w:t>
      </w:r>
      <w:hyperlink r:id="rId11" w:history="1">
        <w:r w:rsidRPr="008659E7">
          <w:rPr>
            <w:rStyle w:val="Hyperlink"/>
            <w:i/>
            <w:iCs/>
          </w:rPr>
          <w:t>https://www.acas.org.uk/index.aspx?articleid=1655</w:t>
        </w:r>
      </w:hyperlink>
      <w:r w:rsidRPr="008659E7">
        <w:rPr>
          <w:i/>
          <w:iCs/>
        </w:rPr>
        <w:t>.</w:t>
      </w:r>
      <w:r>
        <w:rPr>
          <w:i/>
          <w:iCs/>
        </w:rPr>
        <w:t xml:space="preserve"> </w:t>
      </w:r>
    </w:p>
    <w:p w14:paraId="50873718" w14:textId="77777777" w:rsidR="00FA23FD" w:rsidRDefault="00FA23FD" w:rsidP="00FA23FD">
      <w:pPr>
        <w:rPr>
          <w:i/>
          <w:iCs/>
        </w:rPr>
      </w:pPr>
      <w:r>
        <w:rPr>
          <w:i/>
          <w:iCs/>
        </w:rPr>
        <w:t>ACAS</w:t>
      </w:r>
      <w:r w:rsidRPr="003217A6">
        <w:rPr>
          <w:i/>
          <w:iCs/>
        </w:rPr>
        <w:t xml:space="preserve"> (2022). Check if you need to hold collective consultation: Collective consultation for redundancy - </w:t>
      </w:r>
      <w:r>
        <w:rPr>
          <w:i/>
          <w:iCs/>
        </w:rPr>
        <w:t>ACAS</w:t>
      </w:r>
      <w:r w:rsidRPr="003217A6">
        <w:rPr>
          <w:i/>
          <w:iCs/>
        </w:rPr>
        <w:t xml:space="preserve">. [online] www.acas.org.uk. Available at: </w:t>
      </w:r>
      <w:hyperlink r:id="rId12" w:history="1">
        <w:r w:rsidRPr="003217A6">
          <w:rPr>
            <w:rStyle w:val="Hyperlink"/>
            <w:i/>
            <w:iCs/>
          </w:rPr>
          <w:t>https://www.acas.org.uk/collective-consultation-redundancy</w:t>
        </w:r>
      </w:hyperlink>
      <w:r w:rsidRPr="003217A6">
        <w:rPr>
          <w:i/>
          <w:iCs/>
        </w:rPr>
        <w:t>.</w:t>
      </w:r>
      <w:r>
        <w:rPr>
          <w:i/>
          <w:iCs/>
        </w:rPr>
        <w:t xml:space="preserve"> [Accessed: 01</w:t>
      </w:r>
      <w:r w:rsidRPr="003217A6">
        <w:rPr>
          <w:i/>
          <w:iCs/>
          <w:vertAlign w:val="superscript"/>
        </w:rPr>
        <w:t>st</w:t>
      </w:r>
      <w:r>
        <w:rPr>
          <w:i/>
          <w:iCs/>
        </w:rPr>
        <w:t xml:space="preserve"> March 2025] </w:t>
      </w:r>
    </w:p>
    <w:p w14:paraId="6E5977D2" w14:textId="77777777" w:rsidR="00FA23FD" w:rsidRDefault="00FA23FD" w:rsidP="00FA23FD">
      <w:pPr>
        <w:rPr>
          <w:i/>
          <w:iCs/>
        </w:rPr>
      </w:pPr>
      <w:r w:rsidRPr="00C768BD">
        <w:rPr>
          <w:i/>
          <w:iCs/>
        </w:rPr>
        <w:t xml:space="preserve">‌ACAS (2023). 7 out of 10 employees are unaware of new day one right to request flexible working. [online] </w:t>
      </w:r>
      <w:r>
        <w:rPr>
          <w:i/>
          <w:iCs/>
        </w:rPr>
        <w:t>ACAS</w:t>
      </w:r>
      <w:r w:rsidRPr="00C768BD">
        <w:rPr>
          <w:i/>
          <w:iCs/>
        </w:rPr>
        <w:t xml:space="preserve">. Available at: </w:t>
      </w:r>
      <w:hyperlink r:id="rId13" w:history="1">
        <w:r w:rsidRPr="00205052">
          <w:rPr>
            <w:rStyle w:val="Hyperlink"/>
            <w:i/>
            <w:iCs/>
          </w:rPr>
          <w:t>https://www.acas.org.uk/7-out-of-10-employees-are-unaware-of-new-day-one-right-to-request-flexible-working</w:t>
        </w:r>
      </w:hyperlink>
      <w:r w:rsidRPr="00C768BD">
        <w:rPr>
          <w:i/>
          <w:iCs/>
        </w:rPr>
        <w:t>.</w:t>
      </w:r>
      <w:r>
        <w:rPr>
          <w:i/>
          <w:iCs/>
        </w:rPr>
        <w:t xml:space="preserve"> [Accessed: 14</w:t>
      </w:r>
      <w:r w:rsidRPr="00727143">
        <w:rPr>
          <w:i/>
          <w:iCs/>
          <w:vertAlign w:val="superscript"/>
        </w:rPr>
        <w:t>th</w:t>
      </w:r>
      <w:r>
        <w:rPr>
          <w:i/>
          <w:iCs/>
        </w:rPr>
        <w:t xml:space="preserve"> March 2025]</w:t>
      </w:r>
    </w:p>
    <w:p w14:paraId="7956A6E6" w14:textId="77777777" w:rsidR="00FA23FD" w:rsidRDefault="00FA23FD" w:rsidP="00FA23FD">
      <w:pPr>
        <w:rPr>
          <w:i/>
          <w:iCs/>
        </w:rPr>
      </w:pPr>
      <w:r w:rsidRPr="00C21BEE">
        <w:rPr>
          <w:i/>
          <w:iCs/>
        </w:rPr>
        <w:t xml:space="preserve">ACAS (2023). Calculating holiday pay | </w:t>
      </w:r>
      <w:r>
        <w:rPr>
          <w:i/>
          <w:iCs/>
        </w:rPr>
        <w:t>ACAS</w:t>
      </w:r>
      <w:r w:rsidRPr="00C21BEE">
        <w:rPr>
          <w:i/>
          <w:iCs/>
        </w:rPr>
        <w:t xml:space="preserve">. [online] www.acas.org.uk. Available at: </w:t>
      </w:r>
      <w:hyperlink r:id="rId14" w:history="1">
        <w:r w:rsidRPr="00C21BEE">
          <w:rPr>
            <w:rStyle w:val="Hyperlink"/>
            <w:i/>
            <w:iCs/>
          </w:rPr>
          <w:t>https://www.acas.org.uk/checking-holiday-entitlement/calculating-holiday-pay</w:t>
        </w:r>
      </w:hyperlink>
      <w:r w:rsidRPr="00C21BEE">
        <w:rPr>
          <w:i/>
          <w:iCs/>
        </w:rPr>
        <w:t>.</w:t>
      </w:r>
      <w:r>
        <w:rPr>
          <w:i/>
          <w:iCs/>
        </w:rPr>
        <w:t xml:space="preserve"> [Accessed: 7</w:t>
      </w:r>
      <w:r w:rsidRPr="00C21BEE">
        <w:rPr>
          <w:i/>
          <w:iCs/>
          <w:vertAlign w:val="superscript"/>
        </w:rPr>
        <w:t>th</w:t>
      </w:r>
      <w:r>
        <w:rPr>
          <w:i/>
          <w:iCs/>
        </w:rPr>
        <w:t xml:space="preserve"> March 2025]. </w:t>
      </w:r>
    </w:p>
    <w:p w14:paraId="0C4DD040" w14:textId="77777777" w:rsidR="00FA23FD" w:rsidRDefault="00FA23FD" w:rsidP="00FA23FD">
      <w:pPr>
        <w:rPr>
          <w:i/>
          <w:iCs/>
        </w:rPr>
      </w:pPr>
      <w:r w:rsidRPr="006E3106">
        <w:rPr>
          <w:i/>
          <w:iCs/>
        </w:rPr>
        <w:t xml:space="preserve">ACAS (2023). Working out maternity pay | </w:t>
      </w:r>
      <w:r>
        <w:rPr>
          <w:i/>
          <w:iCs/>
        </w:rPr>
        <w:t>ACAS</w:t>
      </w:r>
      <w:r w:rsidRPr="006E3106">
        <w:rPr>
          <w:i/>
          <w:iCs/>
        </w:rPr>
        <w:t xml:space="preserve">. [online] www.acas.org.uk. Available at: </w:t>
      </w:r>
      <w:hyperlink r:id="rId15" w:history="1">
        <w:r w:rsidRPr="006E3106">
          <w:rPr>
            <w:rStyle w:val="Hyperlink"/>
            <w:i/>
            <w:iCs/>
          </w:rPr>
          <w:t>https://www.acas.org.uk/your-maternity-leave-pay-and-other-rights/working-out-maternity-pay</w:t>
        </w:r>
      </w:hyperlink>
      <w:r w:rsidRPr="006E3106">
        <w:rPr>
          <w:i/>
          <w:iCs/>
        </w:rPr>
        <w:t>.</w:t>
      </w:r>
      <w:r>
        <w:rPr>
          <w:i/>
          <w:iCs/>
        </w:rPr>
        <w:t xml:space="preserve"> [Accessed: 10</w:t>
      </w:r>
      <w:r w:rsidRPr="006E3106">
        <w:rPr>
          <w:i/>
          <w:iCs/>
          <w:vertAlign w:val="superscript"/>
        </w:rPr>
        <w:t>th</w:t>
      </w:r>
      <w:r>
        <w:rPr>
          <w:i/>
          <w:iCs/>
        </w:rPr>
        <w:t xml:space="preserve"> March 2025]</w:t>
      </w:r>
    </w:p>
    <w:p w14:paraId="203AE31F" w14:textId="77777777" w:rsidR="00FA23FD" w:rsidRDefault="00FA23FD" w:rsidP="00FA23FD">
      <w:pPr>
        <w:rPr>
          <w:i/>
          <w:iCs/>
        </w:rPr>
      </w:pPr>
      <w:r w:rsidRPr="005614C7">
        <w:rPr>
          <w:i/>
          <w:iCs/>
        </w:rPr>
        <w:t xml:space="preserve">ACAS (2024). What flexible working is - Statutory flexible working requests. [online] </w:t>
      </w:r>
      <w:r>
        <w:rPr>
          <w:i/>
          <w:iCs/>
        </w:rPr>
        <w:t>ACAS</w:t>
      </w:r>
      <w:r w:rsidRPr="005614C7">
        <w:rPr>
          <w:i/>
          <w:iCs/>
        </w:rPr>
        <w:t xml:space="preserve">. Available at: </w:t>
      </w:r>
      <w:hyperlink r:id="rId16" w:history="1">
        <w:r w:rsidRPr="00205052">
          <w:rPr>
            <w:rStyle w:val="Hyperlink"/>
            <w:i/>
            <w:iCs/>
          </w:rPr>
          <w:t>https://www.acas.org.uk/statutory-flexible-working-requests</w:t>
        </w:r>
      </w:hyperlink>
      <w:r w:rsidRPr="005614C7">
        <w:rPr>
          <w:i/>
          <w:iCs/>
        </w:rPr>
        <w:t>.</w:t>
      </w:r>
      <w:r>
        <w:rPr>
          <w:i/>
          <w:iCs/>
        </w:rPr>
        <w:t xml:space="preserve"> [Accessed:13</w:t>
      </w:r>
      <w:r w:rsidRPr="00727143">
        <w:rPr>
          <w:i/>
          <w:iCs/>
          <w:vertAlign w:val="superscript"/>
        </w:rPr>
        <w:t>th</w:t>
      </w:r>
      <w:r>
        <w:rPr>
          <w:i/>
          <w:iCs/>
        </w:rPr>
        <w:t xml:space="preserve"> March 2025]</w:t>
      </w:r>
    </w:p>
    <w:p w14:paraId="0E27D4C3" w14:textId="77777777" w:rsidR="00FA23FD" w:rsidRPr="00C768BD" w:rsidRDefault="00FA23FD" w:rsidP="00FA23FD">
      <w:pPr>
        <w:rPr>
          <w:i/>
          <w:iCs/>
        </w:rPr>
      </w:pPr>
      <w:r w:rsidRPr="00D73E9C">
        <w:rPr>
          <w:i/>
          <w:iCs/>
        </w:rPr>
        <w:lastRenderedPageBreak/>
        <w:t xml:space="preserve">ACAS (2024). Code of Practice on Handling in a Reasonable Manner Requests to Work Flexibly | </w:t>
      </w:r>
      <w:proofErr w:type="spellStart"/>
      <w:r w:rsidRPr="00D73E9C">
        <w:rPr>
          <w:i/>
          <w:iCs/>
        </w:rPr>
        <w:t>Acas</w:t>
      </w:r>
      <w:proofErr w:type="spellEnd"/>
      <w:r w:rsidRPr="00D73E9C">
        <w:rPr>
          <w:i/>
          <w:iCs/>
        </w:rPr>
        <w:t xml:space="preserve">. [online] ACAS. Available at: </w:t>
      </w:r>
      <w:hyperlink r:id="rId17" w:history="1">
        <w:r w:rsidRPr="00D73E9C">
          <w:rPr>
            <w:rStyle w:val="Hyperlink"/>
            <w:i/>
            <w:iCs/>
          </w:rPr>
          <w:t>https://www.acas.org.uk/acas-code-of-practice-on-flexible-working-requests/html</w:t>
        </w:r>
      </w:hyperlink>
      <w:r w:rsidRPr="00D73E9C">
        <w:rPr>
          <w:i/>
          <w:iCs/>
        </w:rPr>
        <w:t>.</w:t>
      </w:r>
      <w:r>
        <w:rPr>
          <w:i/>
          <w:iCs/>
        </w:rPr>
        <w:t xml:space="preserve"> [Accesed:13</w:t>
      </w:r>
      <w:r w:rsidRPr="00727143">
        <w:rPr>
          <w:i/>
          <w:iCs/>
          <w:vertAlign w:val="superscript"/>
        </w:rPr>
        <w:t>th</w:t>
      </w:r>
      <w:r>
        <w:rPr>
          <w:i/>
          <w:iCs/>
        </w:rPr>
        <w:t xml:space="preserve"> March 2025]</w:t>
      </w:r>
    </w:p>
    <w:p w14:paraId="2919EEAB" w14:textId="77777777" w:rsidR="00FA23FD" w:rsidRDefault="00FA23FD" w:rsidP="00FA23FD">
      <w:pPr>
        <w:rPr>
          <w:i/>
          <w:iCs/>
        </w:rPr>
      </w:pPr>
      <w:proofErr w:type="spellStart"/>
      <w:r w:rsidRPr="006B4649">
        <w:rPr>
          <w:i/>
          <w:iCs/>
        </w:rPr>
        <w:t>Acas</w:t>
      </w:r>
      <w:proofErr w:type="spellEnd"/>
      <w:r w:rsidRPr="006B4649">
        <w:rPr>
          <w:i/>
          <w:iCs/>
        </w:rPr>
        <w:t xml:space="preserve"> (2024). Constructive dismissal. [online] www.acas.org.uk. Available at: </w:t>
      </w:r>
      <w:hyperlink r:id="rId18" w:history="1">
        <w:r w:rsidRPr="006B4649">
          <w:rPr>
            <w:rStyle w:val="Hyperlink"/>
            <w:i/>
            <w:iCs/>
          </w:rPr>
          <w:t>https://www.acas.org.uk/dismissals/constructive-dismissal</w:t>
        </w:r>
      </w:hyperlink>
      <w:r w:rsidRPr="006B4649">
        <w:rPr>
          <w:i/>
          <w:iCs/>
        </w:rPr>
        <w:t>.</w:t>
      </w:r>
      <w:r>
        <w:rPr>
          <w:i/>
          <w:iCs/>
        </w:rPr>
        <w:t xml:space="preserve"> [Accessed: 9</w:t>
      </w:r>
      <w:r w:rsidRPr="00117EAF">
        <w:rPr>
          <w:i/>
          <w:iCs/>
          <w:vertAlign w:val="superscript"/>
        </w:rPr>
        <w:t>th</w:t>
      </w:r>
      <w:r>
        <w:rPr>
          <w:i/>
          <w:iCs/>
        </w:rPr>
        <w:t xml:space="preserve"> March 2025]</w:t>
      </w:r>
    </w:p>
    <w:p w14:paraId="62E5E7F1" w14:textId="77777777" w:rsidR="00FA23FD" w:rsidRPr="00882FF2" w:rsidRDefault="00FA23FD" w:rsidP="00FA23FD">
      <w:pPr>
        <w:rPr>
          <w:i/>
          <w:iCs/>
        </w:rPr>
      </w:pPr>
      <w:r w:rsidRPr="00882FF2">
        <w:rPr>
          <w:i/>
          <w:iCs/>
        </w:rPr>
        <w:t xml:space="preserve">ACAS (2024). Equal Pay and the Law. [online] ACAS. Available at: </w:t>
      </w:r>
      <w:hyperlink r:id="rId19" w:history="1">
        <w:r w:rsidRPr="00882FF2">
          <w:rPr>
            <w:rStyle w:val="Hyperlink"/>
            <w:i/>
            <w:iCs/>
          </w:rPr>
          <w:t>https://www.acas.org.uk/equal-pay/equal-pay-law</w:t>
        </w:r>
      </w:hyperlink>
      <w:r w:rsidRPr="00882FF2">
        <w:rPr>
          <w:i/>
          <w:iCs/>
        </w:rPr>
        <w:t>.</w:t>
      </w:r>
      <w:r>
        <w:rPr>
          <w:i/>
          <w:iCs/>
        </w:rPr>
        <w:t xml:space="preserve"> [Accessed: 07</w:t>
      </w:r>
      <w:r w:rsidRPr="00882FF2">
        <w:rPr>
          <w:i/>
          <w:iCs/>
          <w:vertAlign w:val="superscript"/>
        </w:rPr>
        <w:t>th</w:t>
      </w:r>
      <w:r>
        <w:rPr>
          <w:i/>
          <w:iCs/>
        </w:rPr>
        <w:t xml:space="preserve"> March 2025] </w:t>
      </w:r>
    </w:p>
    <w:p w14:paraId="28FFEFE1" w14:textId="77777777" w:rsidR="00FA23FD" w:rsidRDefault="00FA23FD" w:rsidP="00FA23FD">
      <w:pPr>
        <w:rPr>
          <w:i/>
          <w:iCs/>
        </w:rPr>
      </w:pPr>
      <w:r w:rsidRPr="003801D5">
        <w:rPr>
          <w:i/>
          <w:iCs/>
        </w:rPr>
        <w:t xml:space="preserve">ACAS (2024). What a TUPE Transfer Is - TUPE - </w:t>
      </w:r>
      <w:proofErr w:type="spellStart"/>
      <w:r w:rsidRPr="003801D5">
        <w:rPr>
          <w:i/>
          <w:iCs/>
        </w:rPr>
        <w:t>Acas</w:t>
      </w:r>
      <w:proofErr w:type="spellEnd"/>
      <w:r w:rsidRPr="003801D5">
        <w:rPr>
          <w:i/>
          <w:iCs/>
        </w:rPr>
        <w:t xml:space="preserve">. [online] </w:t>
      </w:r>
      <w:proofErr w:type="spellStart"/>
      <w:r w:rsidRPr="003801D5">
        <w:rPr>
          <w:i/>
          <w:iCs/>
        </w:rPr>
        <w:t>Acas</w:t>
      </w:r>
      <w:proofErr w:type="spellEnd"/>
      <w:r w:rsidRPr="003801D5">
        <w:rPr>
          <w:i/>
          <w:iCs/>
        </w:rPr>
        <w:t xml:space="preserve">. Available at: </w:t>
      </w:r>
      <w:hyperlink r:id="rId20" w:history="1">
        <w:r w:rsidRPr="003801D5">
          <w:rPr>
            <w:rStyle w:val="Hyperlink"/>
            <w:i/>
            <w:iCs/>
          </w:rPr>
          <w:t>https://www.acas.org.uk/tupe/advice-for-employers-and-employees</w:t>
        </w:r>
      </w:hyperlink>
      <w:r w:rsidRPr="003801D5">
        <w:rPr>
          <w:i/>
          <w:iCs/>
        </w:rPr>
        <w:t>.</w:t>
      </w:r>
      <w:r>
        <w:rPr>
          <w:i/>
          <w:iCs/>
        </w:rPr>
        <w:t xml:space="preserve"> [Accessed: 7</w:t>
      </w:r>
      <w:r w:rsidRPr="003801D5">
        <w:rPr>
          <w:i/>
          <w:iCs/>
          <w:vertAlign w:val="superscript"/>
        </w:rPr>
        <w:t>th</w:t>
      </w:r>
      <w:r>
        <w:rPr>
          <w:i/>
          <w:iCs/>
        </w:rPr>
        <w:t xml:space="preserve"> March 2025]</w:t>
      </w:r>
    </w:p>
    <w:p w14:paraId="7DA250B8" w14:textId="77777777" w:rsidR="00FA23FD" w:rsidRDefault="00FA23FD" w:rsidP="00FA23FD">
      <w:pPr>
        <w:rPr>
          <w:i/>
          <w:iCs/>
        </w:rPr>
      </w:pPr>
      <w:r w:rsidRPr="00753EDE">
        <w:rPr>
          <w:i/>
          <w:iCs/>
        </w:rPr>
        <w:t xml:space="preserve">ACAS (2025). Discrimination and the Law. [online] ACAS. Available at: </w:t>
      </w:r>
      <w:hyperlink r:id="rId21" w:history="1">
        <w:r w:rsidRPr="00753EDE">
          <w:rPr>
            <w:rStyle w:val="Hyperlink"/>
            <w:i/>
            <w:iCs/>
          </w:rPr>
          <w:t>https://www.acas.org.uk/discrimination-and-the-law</w:t>
        </w:r>
      </w:hyperlink>
      <w:r w:rsidRPr="00753EDE">
        <w:rPr>
          <w:i/>
          <w:iCs/>
        </w:rPr>
        <w:t>.</w:t>
      </w:r>
      <w:r>
        <w:rPr>
          <w:i/>
          <w:iCs/>
        </w:rPr>
        <w:t xml:space="preserve"> [Accessed on 29</w:t>
      </w:r>
      <w:r w:rsidRPr="00753EDE">
        <w:rPr>
          <w:i/>
          <w:iCs/>
          <w:vertAlign w:val="superscript"/>
        </w:rPr>
        <w:t>th</w:t>
      </w:r>
      <w:r>
        <w:rPr>
          <w:i/>
          <w:iCs/>
        </w:rPr>
        <w:t xml:space="preserve"> February 2025]</w:t>
      </w:r>
    </w:p>
    <w:p w14:paraId="56FF95B5" w14:textId="77777777" w:rsidR="00FA23FD" w:rsidRDefault="00FA23FD" w:rsidP="00FA23FD">
      <w:pPr>
        <w:rPr>
          <w:i/>
          <w:iCs/>
        </w:rPr>
      </w:pPr>
      <w:proofErr w:type="spellStart"/>
      <w:r w:rsidRPr="00DE1A2E">
        <w:rPr>
          <w:i/>
          <w:iCs/>
        </w:rPr>
        <w:t>Acas</w:t>
      </w:r>
      <w:proofErr w:type="spellEnd"/>
      <w:r w:rsidRPr="00DE1A2E">
        <w:rPr>
          <w:i/>
          <w:iCs/>
        </w:rPr>
        <w:t>. (</w:t>
      </w:r>
      <w:r>
        <w:rPr>
          <w:i/>
          <w:iCs/>
        </w:rPr>
        <w:t>2025</w:t>
      </w:r>
      <w:r w:rsidRPr="00DE1A2E">
        <w:rPr>
          <w:i/>
          <w:iCs/>
        </w:rPr>
        <w:t xml:space="preserve">). Pay during the notice </w:t>
      </w:r>
      <w:proofErr w:type="gramStart"/>
      <w:r w:rsidRPr="00DE1A2E">
        <w:rPr>
          <w:i/>
          <w:iCs/>
        </w:rPr>
        <w:t>period :</w:t>
      </w:r>
      <w:proofErr w:type="gramEnd"/>
      <w:r w:rsidRPr="00DE1A2E">
        <w:rPr>
          <w:i/>
          <w:iCs/>
        </w:rPr>
        <w:t xml:space="preserve"> Final pay when someone leaves a job. [online] Available at: </w:t>
      </w:r>
      <w:hyperlink r:id="rId22" w:history="1">
        <w:r w:rsidRPr="00DE1A2E">
          <w:rPr>
            <w:rStyle w:val="Hyperlink"/>
            <w:i/>
            <w:iCs/>
          </w:rPr>
          <w:t>https://www.acas.org.uk/final-pay-when-someone-leaves-a-job/pay-during-the-notice-period</w:t>
        </w:r>
      </w:hyperlink>
      <w:r w:rsidRPr="00DE1A2E">
        <w:rPr>
          <w:i/>
          <w:iCs/>
        </w:rPr>
        <w:t>.</w:t>
      </w:r>
      <w:r>
        <w:rPr>
          <w:i/>
          <w:iCs/>
        </w:rPr>
        <w:t xml:space="preserve"> [Accessed: 08</w:t>
      </w:r>
      <w:r w:rsidRPr="00DE1A2E">
        <w:rPr>
          <w:i/>
          <w:iCs/>
          <w:vertAlign w:val="superscript"/>
        </w:rPr>
        <w:t>th</w:t>
      </w:r>
      <w:r>
        <w:rPr>
          <w:i/>
          <w:iCs/>
        </w:rPr>
        <w:t xml:space="preserve"> March 2025] </w:t>
      </w:r>
    </w:p>
    <w:p w14:paraId="261F2C21" w14:textId="77777777" w:rsidR="00FA23FD" w:rsidRDefault="00FA23FD" w:rsidP="00FA23FD">
      <w:pPr>
        <w:rPr>
          <w:i/>
          <w:iCs/>
        </w:rPr>
      </w:pPr>
      <w:r w:rsidRPr="006561DC">
        <w:rPr>
          <w:i/>
          <w:iCs/>
        </w:rPr>
        <w:t xml:space="preserve">Andrew Wales (2019). TUPE - an overview. [online] YouTube. Available at: </w:t>
      </w:r>
      <w:hyperlink r:id="rId23" w:history="1">
        <w:r w:rsidRPr="006561DC">
          <w:rPr>
            <w:rStyle w:val="Hyperlink"/>
            <w:i/>
            <w:iCs/>
          </w:rPr>
          <w:t>https://www.youtube.com/watch?v=x5yMEG_01R8</w:t>
        </w:r>
      </w:hyperlink>
      <w:r>
        <w:rPr>
          <w:i/>
          <w:iCs/>
        </w:rPr>
        <w:t xml:space="preserve"> </w:t>
      </w:r>
      <w:r w:rsidRPr="006561DC">
        <w:rPr>
          <w:i/>
          <w:iCs/>
        </w:rPr>
        <w:t xml:space="preserve"> [Accessed 9 Mar. 2025].</w:t>
      </w:r>
    </w:p>
    <w:p w14:paraId="14ECACA2" w14:textId="77777777" w:rsidR="00FA23FD" w:rsidRPr="00BE5F28" w:rsidRDefault="00FA23FD" w:rsidP="00FA23FD">
      <w:pPr>
        <w:rPr>
          <w:i/>
          <w:iCs/>
        </w:rPr>
      </w:pPr>
      <w:r w:rsidRPr="00DA4DEF">
        <w:rPr>
          <w:i/>
          <w:iCs/>
        </w:rPr>
        <w:t>Asda Stores Ltd v Brierley &amp; Ors [2021] UKSC 10</w:t>
      </w:r>
      <w:r w:rsidRPr="00BE5F28">
        <w:rPr>
          <w:i/>
          <w:iCs/>
        </w:rPr>
        <w:t xml:space="preserve"> Available at: Employment Cases Update. (n.d.). Employment Cases Update: Asda Stores Ltd v Brierley &amp; Ors [2021] UKSC 10. [online] Available at: </w:t>
      </w:r>
      <w:hyperlink r:id="rId24" w:history="1">
        <w:r w:rsidRPr="00BE5F28">
          <w:rPr>
            <w:rStyle w:val="Hyperlink"/>
            <w:i/>
            <w:iCs/>
          </w:rPr>
          <w:t>https://employmentcasesupdate.co.uk/content/asda-stores-ltd-v-brierley-ors-2021-uksc-10.1fc99372b9fe479ebf392fbe139a4351.htm</w:t>
        </w:r>
      </w:hyperlink>
      <w:r w:rsidRPr="00BE5F28">
        <w:rPr>
          <w:i/>
          <w:iCs/>
        </w:rPr>
        <w:t xml:space="preserve">. </w:t>
      </w:r>
      <w:r>
        <w:rPr>
          <w:i/>
          <w:iCs/>
        </w:rPr>
        <w:t>[Accessed 25</w:t>
      </w:r>
      <w:r w:rsidRPr="00E3392C">
        <w:rPr>
          <w:i/>
          <w:iCs/>
          <w:vertAlign w:val="superscript"/>
        </w:rPr>
        <w:t>th</w:t>
      </w:r>
      <w:r>
        <w:rPr>
          <w:i/>
          <w:iCs/>
        </w:rPr>
        <w:t xml:space="preserve"> February 2025]</w:t>
      </w:r>
    </w:p>
    <w:p w14:paraId="56A770A2" w14:textId="77777777" w:rsidR="00FA23FD" w:rsidRPr="00C21BEE" w:rsidRDefault="00FA23FD" w:rsidP="00FA23FD">
      <w:pPr>
        <w:rPr>
          <w:i/>
          <w:iCs/>
        </w:rPr>
      </w:pPr>
      <w:r w:rsidRPr="00C21BEE">
        <w:rPr>
          <w:i/>
          <w:iCs/>
        </w:rPr>
        <w:t>Basic rights at work for casual employees. (2018). In Commercial Motor (Vol. 229, Number 5777, pp. 26–26). DVV Media International Ltd.</w:t>
      </w:r>
    </w:p>
    <w:p w14:paraId="7098D003" w14:textId="77777777" w:rsidR="00FA23FD" w:rsidRPr="008E38BA" w:rsidRDefault="00FA23FD" w:rsidP="00FA23FD">
      <w:pPr>
        <w:rPr>
          <w:i/>
          <w:iCs/>
        </w:rPr>
      </w:pPr>
      <w:r w:rsidRPr="008E38BA">
        <w:rPr>
          <w:i/>
          <w:iCs/>
        </w:rPr>
        <w:t>Birkinshaw, C. (2017). Maternity matters. Employers’ Law, 20-.</w:t>
      </w:r>
    </w:p>
    <w:p w14:paraId="31710923" w14:textId="77777777" w:rsidR="00FA23FD" w:rsidRPr="00FF61C7" w:rsidRDefault="00FA23FD" w:rsidP="00FA23FD">
      <w:pPr>
        <w:rPr>
          <w:i/>
          <w:iCs/>
        </w:rPr>
      </w:pPr>
      <w:r w:rsidRPr="00FF61C7">
        <w:rPr>
          <w:i/>
          <w:iCs/>
        </w:rPr>
        <w:t xml:space="preserve">Blackwell, A. (2018). UK: How Should Collective Redundancy Consultation Be Done? </w:t>
      </w:r>
      <w:proofErr w:type="spellStart"/>
      <w:r w:rsidRPr="00FF61C7">
        <w:rPr>
          <w:i/>
          <w:iCs/>
        </w:rPr>
        <w:t>HRNews</w:t>
      </w:r>
      <w:proofErr w:type="spellEnd"/>
    </w:p>
    <w:p w14:paraId="58785BE7" w14:textId="77777777" w:rsidR="00FA23FD" w:rsidRDefault="00FA23FD" w:rsidP="00FA23FD">
      <w:pPr>
        <w:rPr>
          <w:i/>
          <w:iCs/>
        </w:rPr>
      </w:pPr>
      <w:proofErr w:type="spellStart"/>
      <w:r w:rsidRPr="008E2F2D">
        <w:rPr>
          <w:i/>
          <w:iCs/>
        </w:rPr>
        <w:t>Brandth</w:t>
      </w:r>
      <w:proofErr w:type="spellEnd"/>
      <w:r w:rsidRPr="008E2F2D">
        <w:rPr>
          <w:i/>
          <w:iCs/>
        </w:rPr>
        <w:t xml:space="preserve">, B., &amp; Kvande, E. (2019). Fathers’ sense of entitlement to ear-marked and shared parental leave. The Sociological Review (Keele), 67(5), 1154–1169. </w:t>
      </w:r>
      <w:hyperlink r:id="rId25" w:history="1">
        <w:r w:rsidRPr="00F73FCD">
          <w:rPr>
            <w:rStyle w:val="Hyperlink"/>
            <w:i/>
            <w:iCs/>
          </w:rPr>
          <w:t>https://doi.org/10.1177/0038026118809002</w:t>
        </w:r>
      </w:hyperlink>
      <w:r>
        <w:rPr>
          <w:i/>
          <w:iCs/>
        </w:rPr>
        <w:t xml:space="preserve"> </w:t>
      </w:r>
    </w:p>
    <w:p w14:paraId="1C6AA51B" w14:textId="77777777" w:rsidR="00FA23FD" w:rsidRDefault="00FA23FD" w:rsidP="00FA23FD">
      <w:pPr>
        <w:rPr>
          <w:i/>
          <w:iCs/>
        </w:rPr>
      </w:pPr>
      <w:r w:rsidRPr="009046BC">
        <w:rPr>
          <w:i/>
          <w:iCs/>
        </w:rPr>
        <w:t>British Airways plc v. Williams [2012] UKSC 43</w:t>
      </w:r>
      <w:r>
        <w:rPr>
          <w:i/>
          <w:iCs/>
        </w:rPr>
        <w:t xml:space="preserve">. </w:t>
      </w:r>
      <w:r w:rsidRPr="009046BC">
        <w:rPr>
          <w:i/>
          <w:iCs/>
        </w:rPr>
        <w:t xml:space="preserve">Available at: </w:t>
      </w:r>
      <w:hyperlink r:id="rId26" w:history="1">
        <w:r w:rsidRPr="005B05EC">
          <w:rPr>
            <w:rStyle w:val="Hyperlink"/>
            <w:i/>
            <w:iCs/>
          </w:rPr>
          <w:t>https://www.supremecourt.uk/cases/uksc-2009-0042</w:t>
        </w:r>
      </w:hyperlink>
      <w:r w:rsidRPr="009046BC">
        <w:rPr>
          <w:i/>
          <w:iCs/>
        </w:rPr>
        <w:t>.</w:t>
      </w:r>
      <w:r>
        <w:rPr>
          <w:i/>
          <w:iCs/>
        </w:rPr>
        <w:t xml:space="preserve"> [Accessed: 8</w:t>
      </w:r>
      <w:r w:rsidRPr="009046BC">
        <w:rPr>
          <w:i/>
          <w:iCs/>
          <w:vertAlign w:val="superscript"/>
        </w:rPr>
        <w:t>th</w:t>
      </w:r>
      <w:r>
        <w:rPr>
          <w:i/>
          <w:iCs/>
        </w:rPr>
        <w:t xml:space="preserve"> March 2025] </w:t>
      </w:r>
    </w:p>
    <w:p w14:paraId="424CBDC6" w14:textId="77777777" w:rsidR="00FA23FD" w:rsidRDefault="00FA23FD" w:rsidP="00FA23FD">
      <w:pPr>
        <w:rPr>
          <w:i/>
          <w:iCs/>
        </w:rPr>
      </w:pPr>
      <w:r w:rsidRPr="00182257">
        <w:rPr>
          <w:i/>
          <w:iCs/>
        </w:rPr>
        <w:t xml:space="preserve">Brodie, D. (2022). Constructive Dismissal: The Contractual Maze. King’s Law Journal, 33(2), 151–168. </w:t>
      </w:r>
      <w:hyperlink r:id="rId27" w:history="1">
        <w:r w:rsidRPr="00182257">
          <w:rPr>
            <w:rStyle w:val="Hyperlink"/>
            <w:i/>
            <w:iCs/>
          </w:rPr>
          <w:t>https://doi.org/10.1080/09615768.2022.2093620</w:t>
        </w:r>
      </w:hyperlink>
      <w:r>
        <w:rPr>
          <w:i/>
          <w:iCs/>
        </w:rPr>
        <w:t xml:space="preserve"> </w:t>
      </w:r>
    </w:p>
    <w:p w14:paraId="15191AEA" w14:textId="77777777" w:rsidR="00FA23FD" w:rsidRDefault="00FA23FD" w:rsidP="00FA23FD">
      <w:pPr>
        <w:rPr>
          <w:i/>
          <w:iCs/>
        </w:rPr>
      </w:pPr>
      <w:proofErr w:type="spellStart"/>
      <w:r w:rsidRPr="008E2F2D">
        <w:rPr>
          <w:i/>
          <w:iCs/>
        </w:rPr>
        <w:t>Bunnefeld</w:t>
      </w:r>
      <w:proofErr w:type="spellEnd"/>
      <w:r w:rsidRPr="008E2F2D">
        <w:rPr>
          <w:i/>
          <w:iCs/>
        </w:rPr>
        <w:t xml:space="preserve">, L. (2019). SHARED PARENTAL LEAVE FOR THE FAMILY. Nature (London), 574(7779), 587–588. </w:t>
      </w:r>
      <w:hyperlink r:id="rId28" w:history="1">
        <w:r w:rsidRPr="008E2F2D">
          <w:rPr>
            <w:rStyle w:val="Hyperlink"/>
            <w:i/>
            <w:iCs/>
          </w:rPr>
          <w:t>https://doi.org/10.1038/d41586-019-03019-z</w:t>
        </w:r>
      </w:hyperlink>
      <w:r>
        <w:rPr>
          <w:i/>
          <w:iCs/>
        </w:rPr>
        <w:t xml:space="preserve"> </w:t>
      </w:r>
    </w:p>
    <w:p w14:paraId="7F2A4F82" w14:textId="77777777" w:rsidR="00FA23FD" w:rsidRPr="005E4CB1" w:rsidRDefault="00FA23FD" w:rsidP="00FA23FD">
      <w:pPr>
        <w:rPr>
          <w:i/>
          <w:iCs/>
        </w:rPr>
      </w:pPr>
      <w:r w:rsidRPr="005E4CB1">
        <w:rPr>
          <w:i/>
          <w:iCs/>
        </w:rPr>
        <w:t xml:space="preserve">Butler, M. (2018). A ‘Pick and Mix’ Approach to Collective Redundancy: USDAW. Industrial Law Journal (London), 47(2), 297–314. </w:t>
      </w:r>
      <w:hyperlink r:id="rId29" w:history="1">
        <w:r w:rsidRPr="005E4CB1">
          <w:rPr>
            <w:rStyle w:val="Hyperlink"/>
            <w:i/>
            <w:iCs/>
          </w:rPr>
          <w:t>https://doi.org/10.1093/indlaw/dwy008</w:t>
        </w:r>
      </w:hyperlink>
      <w:r>
        <w:rPr>
          <w:i/>
          <w:iCs/>
        </w:rPr>
        <w:t xml:space="preserve"> </w:t>
      </w:r>
    </w:p>
    <w:p w14:paraId="15391987" w14:textId="77777777" w:rsidR="00FA23FD" w:rsidRPr="006B4649" w:rsidRDefault="00FA23FD" w:rsidP="00FA23FD">
      <w:pPr>
        <w:rPr>
          <w:i/>
          <w:iCs/>
        </w:rPr>
      </w:pPr>
      <w:r w:rsidRPr="006B4649">
        <w:rPr>
          <w:i/>
          <w:iCs/>
        </w:rPr>
        <w:t>Cabrelli, D. A. (2012). Employment law (3rd ed.). Longman.</w:t>
      </w:r>
    </w:p>
    <w:bookmarkEnd w:id="0"/>
    <w:p w14:paraId="4A9507B7" w14:textId="77777777" w:rsidR="00FA23FD" w:rsidRDefault="00FA23FD" w:rsidP="00FA23FD">
      <w:pPr>
        <w:rPr>
          <w:i/>
          <w:iCs/>
        </w:rPr>
      </w:pPr>
      <w:r w:rsidRPr="006561DC">
        <w:rPr>
          <w:i/>
          <w:iCs/>
        </w:rPr>
        <w:t xml:space="preserve">CIPD (2023). CIPD | TUPE (Transfer of Undertakings) | Factsheets. [online] CIPD. Available at: </w:t>
      </w:r>
      <w:hyperlink r:id="rId30" w:history="1">
        <w:r w:rsidRPr="006561DC">
          <w:rPr>
            <w:rStyle w:val="Hyperlink"/>
            <w:i/>
            <w:iCs/>
          </w:rPr>
          <w:t>https://www.cipd.org/uk/knowledge/factsheets/tupe-factsheet/</w:t>
        </w:r>
      </w:hyperlink>
      <w:r w:rsidRPr="006561DC">
        <w:rPr>
          <w:i/>
          <w:iCs/>
        </w:rPr>
        <w:t>.</w:t>
      </w:r>
      <w:r>
        <w:rPr>
          <w:i/>
          <w:iCs/>
        </w:rPr>
        <w:t xml:space="preserve"> [Accessed: 7</w:t>
      </w:r>
      <w:r w:rsidRPr="006561DC">
        <w:rPr>
          <w:i/>
          <w:iCs/>
          <w:vertAlign w:val="superscript"/>
        </w:rPr>
        <w:t>th</w:t>
      </w:r>
      <w:r>
        <w:rPr>
          <w:i/>
          <w:iCs/>
        </w:rPr>
        <w:t xml:space="preserve"> March 2025] </w:t>
      </w:r>
    </w:p>
    <w:p w14:paraId="5255CFBF" w14:textId="77777777" w:rsidR="00FA23FD" w:rsidRPr="00C768BD" w:rsidRDefault="00FA23FD" w:rsidP="00FA23FD">
      <w:pPr>
        <w:rPr>
          <w:i/>
          <w:iCs/>
        </w:rPr>
      </w:pPr>
      <w:r w:rsidRPr="005614C7">
        <w:rPr>
          <w:i/>
          <w:iCs/>
        </w:rPr>
        <w:lastRenderedPageBreak/>
        <w:t xml:space="preserve">CIPD (2024). CIPD | How to request flexible working. [online] CIPD. Available at: </w:t>
      </w:r>
      <w:hyperlink r:id="rId31" w:history="1">
        <w:r w:rsidRPr="005614C7">
          <w:rPr>
            <w:rStyle w:val="Hyperlink"/>
            <w:i/>
            <w:iCs/>
          </w:rPr>
          <w:t>https://www.cipd.org/uk/knowledge/guides/requesting-flexible-working-guide/</w:t>
        </w:r>
      </w:hyperlink>
      <w:r w:rsidRPr="005614C7">
        <w:rPr>
          <w:i/>
          <w:iCs/>
        </w:rPr>
        <w:t>.</w:t>
      </w:r>
      <w:r>
        <w:rPr>
          <w:i/>
          <w:iCs/>
        </w:rPr>
        <w:t xml:space="preserve"> </w:t>
      </w:r>
    </w:p>
    <w:p w14:paraId="410FAB2D" w14:textId="77777777" w:rsidR="00FA23FD" w:rsidRDefault="00FA23FD" w:rsidP="00FA23FD">
      <w:pPr>
        <w:rPr>
          <w:i/>
          <w:iCs/>
        </w:rPr>
      </w:pPr>
      <w:r w:rsidRPr="003217A6">
        <w:rPr>
          <w:i/>
          <w:iCs/>
        </w:rPr>
        <w:t xml:space="preserve">CIPD (2024). CIPD | Managing the Redundancy Process. [online] CIPD. Available at: </w:t>
      </w:r>
      <w:hyperlink r:id="rId32" w:history="1">
        <w:r w:rsidRPr="003217A6">
          <w:rPr>
            <w:rStyle w:val="Hyperlink"/>
            <w:i/>
            <w:iCs/>
          </w:rPr>
          <w:t>https://www.cipd.org/uk/knowledge/guides/managing-the-redundancy-process/</w:t>
        </w:r>
      </w:hyperlink>
      <w:r w:rsidRPr="003217A6">
        <w:rPr>
          <w:i/>
          <w:iCs/>
        </w:rPr>
        <w:t>.</w:t>
      </w:r>
      <w:r>
        <w:rPr>
          <w:i/>
          <w:iCs/>
        </w:rPr>
        <w:t xml:space="preserve"> [Accessed: 01</w:t>
      </w:r>
      <w:r w:rsidRPr="003217A6">
        <w:rPr>
          <w:i/>
          <w:iCs/>
          <w:vertAlign w:val="superscript"/>
        </w:rPr>
        <w:t>st</w:t>
      </w:r>
      <w:r>
        <w:rPr>
          <w:i/>
          <w:iCs/>
        </w:rPr>
        <w:t xml:space="preserve"> March 2025]</w:t>
      </w:r>
    </w:p>
    <w:p w14:paraId="1126C08E" w14:textId="77777777" w:rsidR="00FA23FD" w:rsidRPr="00882FF2" w:rsidRDefault="00FA23FD" w:rsidP="00FA23FD">
      <w:pPr>
        <w:rPr>
          <w:i/>
          <w:iCs/>
        </w:rPr>
      </w:pPr>
      <w:r w:rsidRPr="00882FF2">
        <w:rPr>
          <w:i/>
          <w:iCs/>
        </w:rPr>
        <w:t xml:space="preserve">CIPD (2024). Equal Pay: UK Employment Law. [online] CIPD. Available at: </w:t>
      </w:r>
      <w:hyperlink r:id="rId33" w:history="1">
        <w:r w:rsidRPr="00882FF2">
          <w:rPr>
            <w:rStyle w:val="Hyperlink"/>
            <w:i/>
            <w:iCs/>
          </w:rPr>
          <w:t>https://www.cipd.org/uk/knowledge/employment-law/equal-pay/</w:t>
        </w:r>
      </w:hyperlink>
      <w:r w:rsidRPr="00882FF2">
        <w:rPr>
          <w:i/>
          <w:iCs/>
        </w:rPr>
        <w:t>.</w:t>
      </w:r>
      <w:r>
        <w:rPr>
          <w:i/>
          <w:iCs/>
        </w:rPr>
        <w:t xml:space="preserve"> [Accessed: 7</w:t>
      </w:r>
      <w:r w:rsidRPr="00882FF2">
        <w:rPr>
          <w:i/>
          <w:iCs/>
          <w:vertAlign w:val="superscript"/>
        </w:rPr>
        <w:t>th</w:t>
      </w:r>
      <w:r>
        <w:rPr>
          <w:i/>
          <w:iCs/>
        </w:rPr>
        <w:t xml:space="preserve"> March 2025]</w:t>
      </w:r>
    </w:p>
    <w:p w14:paraId="16B5CDF2" w14:textId="77777777" w:rsidR="00FA23FD" w:rsidRPr="00C13CBC" w:rsidRDefault="00FA23FD" w:rsidP="00FA23FD">
      <w:pPr>
        <w:rPr>
          <w:i/>
          <w:iCs/>
        </w:rPr>
      </w:pPr>
      <w:r w:rsidRPr="00727143">
        <w:rPr>
          <w:i/>
          <w:iCs/>
        </w:rPr>
        <w:t xml:space="preserve">City of Glasgow Council v. Zander [2013] UKSC 2. Available at: </w:t>
      </w:r>
      <w:hyperlink r:id="rId34" w:history="1">
        <w:r w:rsidRPr="00727143">
          <w:rPr>
            <w:rStyle w:val="Hyperlink"/>
            <w:i/>
            <w:iCs/>
          </w:rPr>
          <w:t>Glasgow City Council (Respondent) v X (Appellant) (AP) (Scotland) - UK Supreme Court</w:t>
        </w:r>
      </w:hyperlink>
    </w:p>
    <w:p w14:paraId="57AA85E5" w14:textId="77777777" w:rsidR="00FA23FD" w:rsidRDefault="00FA23FD" w:rsidP="00FA23FD">
      <w:pPr>
        <w:rPr>
          <w:i/>
          <w:iCs/>
        </w:rPr>
      </w:pPr>
      <w:r w:rsidRPr="004201E2">
        <w:rPr>
          <w:i/>
          <w:iCs/>
        </w:rPr>
        <w:t xml:space="preserve">Daniels, K. (2022). Introduction to employment </w:t>
      </w:r>
      <w:proofErr w:type="gramStart"/>
      <w:r w:rsidRPr="004201E2">
        <w:rPr>
          <w:i/>
          <w:iCs/>
        </w:rPr>
        <w:t>law :</w:t>
      </w:r>
      <w:proofErr w:type="gramEnd"/>
      <w:r w:rsidRPr="004201E2">
        <w:rPr>
          <w:i/>
          <w:iCs/>
        </w:rPr>
        <w:t xml:space="preserve"> fundamentals for HR and business students (Sixth edition.). Kogan Page Limited.</w:t>
      </w:r>
    </w:p>
    <w:p w14:paraId="43DF78E2" w14:textId="77777777" w:rsidR="00FA23FD" w:rsidRPr="002C260C" w:rsidRDefault="00FA23FD" w:rsidP="00FA23FD">
      <w:pPr>
        <w:rPr>
          <w:i/>
          <w:iCs/>
        </w:rPr>
      </w:pPr>
      <w:r w:rsidRPr="002C260C">
        <w:rPr>
          <w:i/>
          <w:iCs/>
        </w:rPr>
        <w:t>Darcy, J. (2005). UK says rolled up holiday pay is allowed under WTD. Contract Journal, 428(6527), 6-.</w:t>
      </w:r>
    </w:p>
    <w:p w14:paraId="6F2D5602" w14:textId="77777777" w:rsidR="00FA23FD" w:rsidRDefault="00FA23FD" w:rsidP="00FA23FD">
      <w:pPr>
        <w:rPr>
          <w:i/>
          <w:iCs/>
        </w:rPr>
      </w:pPr>
      <w:r w:rsidRPr="00015B1C">
        <w:rPr>
          <w:i/>
          <w:iCs/>
        </w:rPr>
        <w:t>Dudley Metropolitan Borough Council v Willetts and others UKEAT/0334/1</w:t>
      </w:r>
      <w:r>
        <w:rPr>
          <w:i/>
          <w:iCs/>
        </w:rPr>
        <w:t xml:space="preserve"> Available at: </w:t>
      </w:r>
      <w:hyperlink r:id="rId35" w:history="1">
        <w:r w:rsidRPr="00015B1C">
          <w:rPr>
            <w:rStyle w:val="Hyperlink"/>
            <w:i/>
            <w:iCs/>
          </w:rPr>
          <w:t>Voluntary overtime, standby allowances and call-out payments count towards holiday pay if sufficiently regular (EAT) | Practical Law</w:t>
        </w:r>
      </w:hyperlink>
      <w:r>
        <w:rPr>
          <w:i/>
          <w:iCs/>
        </w:rPr>
        <w:t xml:space="preserve"> [Accessed 4</w:t>
      </w:r>
      <w:r w:rsidRPr="00015B1C">
        <w:rPr>
          <w:i/>
          <w:iCs/>
          <w:vertAlign w:val="superscript"/>
        </w:rPr>
        <w:t>th</w:t>
      </w:r>
      <w:r>
        <w:rPr>
          <w:i/>
          <w:iCs/>
        </w:rPr>
        <w:t xml:space="preserve"> March 2025] </w:t>
      </w:r>
    </w:p>
    <w:p w14:paraId="394977BF" w14:textId="77777777" w:rsidR="00FA23FD" w:rsidRDefault="00FA23FD" w:rsidP="00FA23FD">
      <w:pPr>
        <w:rPr>
          <w:i/>
          <w:iCs/>
        </w:rPr>
      </w:pPr>
      <w:r w:rsidRPr="00B75E42">
        <w:rPr>
          <w:i/>
          <w:iCs/>
        </w:rPr>
        <w:t xml:space="preserve">Equal Pay Act 1970. (1970). c. 41. London: The Stationery Office. Available at: </w:t>
      </w:r>
      <w:hyperlink r:id="rId36" w:history="1">
        <w:r w:rsidRPr="008144CD">
          <w:rPr>
            <w:rStyle w:val="Hyperlink"/>
            <w:i/>
            <w:iCs/>
          </w:rPr>
          <w:t>https://www.legislation.gov.uk/ukpga/1970/41/contents/enacted</w:t>
        </w:r>
      </w:hyperlink>
      <w:r>
        <w:rPr>
          <w:i/>
          <w:iCs/>
        </w:rPr>
        <w:t xml:space="preserve"> </w:t>
      </w:r>
      <w:r w:rsidRPr="00B75E42">
        <w:rPr>
          <w:i/>
          <w:iCs/>
        </w:rPr>
        <w:t>(Accessed: 3 March 2025).</w:t>
      </w:r>
    </w:p>
    <w:p w14:paraId="5283BF50" w14:textId="77777777" w:rsidR="00FA23FD" w:rsidRPr="00753EDE" w:rsidRDefault="00FA23FD" w:rsidP="00FA23FD">
      <w:pPr>
        <w:rPr>
          <w:i/>
          <w:iCs/>
        </w:rPr>
      </w:pPr>
      <w:r w:rsidRPr="00753EDE">
        <w:rPr>
          <w:b/>
          <w:bCs/>
          <w:i/>
          <w:iCs/>
        </w:rPr>
        <w:t>Equality Act 2010</w:t>
      </w:r>
      <w:r w:rsidRPr="00753EDE">
        <w:rPr>
          <w:i/>
          <w:iCs/>
        </w:rPr>
        <w:t>. (2010)</w:t>
      </w:r>
      <w:r>
        <w:rPr>
          <w:i/>
          <w:iCs/>
        </w:rPr>
        <w:t xml:space="preserve"> Section 13.</w:t>
      </w:r>
      <w:r w:rsidRPr="00753EDE">
        <w:rPr>
          <w:i/>
          <w:iCs/>
        </w:rPr>
        <w:t xml:space="preserve"> An Act to make provision for the equality of treatment of individuals, the prohibition of discrimination, harassment and victimisation, and for other connected purposes. [online] Available at: </w:t>
      </w:r>
      <w:hyperlink r:id="rId37" w:history="1">
        <w:r w:rsidRPr="00CE62D4">
          <w:rPr>
            <w:rStyle w:val="Hyperlink"/>
            <w:i/>
            <w:iCs/>
          </w:rPr>
          <w:t>https://www.legislation.gov.uk/ukpga/2010/15/contents/enacted</w:t>
        </w:r>
      </w:hyperlink>
      <w:r>
        <w:rPr>
          <w:i/>
          <w:iCs/>
        </w:rPr>
        <w:t xml:space="preserve"> </w:t>
      </w:r>
      <w:r w:rsidRPr="00753EDE">
        <w:rPr>
          <w:i/>
          <w:iCs/>
        </w:rPr>
        <w:t xml:space="preserve"> [Accessed 5 March 2025].</w:t>
      </w:r>
      <w:r>
        <w:rPr>
          <w:i/>
          <w:iCs/>
        </w:rPr>
        <w:t xml:space="preserve"> </w:t>
      </w:r>
    </w:p>
    <w:p w14:paraId="234F539B" w14:textId="77777777" w:rsidR="00FA23FD" w:rsidRDefault="00FA23FD" w:rsidP="00FA23FD">
      <w:pPr>
        <w:rPr>
          <w:i/>
          <w:iCs/>
        </w:rPr>
      </w:pPr>
      <w:r w:rsidRPr="007D541C">
        <w:rPr>
          <w:i/>
          <w:iCs/>
        </w:rPr>
        <w:t xml:space="preserve">Equality Act 2010. (2010). c. 15. London: The Stationery Office. Available at: </w:t>
      </w:r>
      <w:hyperlink r:id="rId38" w:history="1">
        <w:r w:rsidRPr="008144CD">
          <w:rPr>
            <w:rStyle w:val="Hyperlink"/>
            <w:i/>
            <w:iCs/>
          </w:rPr>
          <w:t>https://www.legislation.gov.uk/ukpga/2010/15/contents/enacted</w:t>
        </w:r>
      </w:hyperlink>
      <w:r>
        <w:rPr>
          <w:i/>
          <w:iCs/>
        </w:rPr>
        <w:t xml:space="preserve"> </w:t>
      </w:r>
      <w:r w:rsidRPr="007D541C">
        <w:rPr>
          <w:i/>
          <w:iCs/>
        </w:rPr>
        <w:t xml:space="preserve"> (Accessed: 3 March 2025).</w:t>
      </w:r>
    </w:p>
    <w:p w14:paraId="3547183B" w14:textId="77777777" w:rsidR="00FA23FD" w:rsidRPr="003104AD" w:rsidRDefault="00FA23FD" w:rsidP="00FA23FD">
      <w:pPr>
        <w:rPr>
          <w:i/>
          <w:iCs/>
        </w:rPr>
      </w:pPr>
      <w:r w:rsidRPr="003104AD">
        <w:rPr>
          <w:i/>
          <w:iCs/>
        </w:rPr>
        <w:t>Faragher, J. (2014). How to avoid discrimination claims arising from flexible working requests. Employers’ Law, 12-.</w:t>
      </w:r>
      <w:r>
        <w:rPr>
          <w:i/>
          <w:iCs/>
        </w:rPr>
        <w:t xml:space="preserve"> </w:t>
      </w:r>
    </w:p>
    <w:p w14:paraId="03796EBF" w14:textId="77777777" w:rsidR="00FA23FD" w:rsidRPr="00117EAF" w:rsidRDefault="00FA23FD" w:rsidP="00FA23FD">
      <w:pPr>
        <w:rPr>
          <w:i/>
          <w:iCs/>
        </w:rPr>
      </w:pPr>
      <w:r w:rsidRPr="00117EAF">
        <w:rPr>
          <w:i/>
          <w:iCs/>
        </w:rPr>
        <w:t xml:space="preserve">GOV.UK (2012). Dismissal: your rights. [online] GOV.UK. Available at: </w:t>
      </w:r>
      <w:hyperlink r:id="rId39" w:history="1">
        <w:r w:rsidRPr="00117EAF">
          <w:rPr>
            <w:rStyle w:val="Hyperlink"/>
            <w:i/>
            <w:iCs/>
          </w:rPr>
          <w:t>https://www.gov.uk/dismissal/what-to-do-if-youre-dismissed</w:t>
        </w:r>
      </w:hyperlink>
      <w:r w:rsidRPr="00117EAF">
        <w:rPr>
          <w:i/>
          <w:iCs/>
        </w:rPr>
        <w:t>.</w:t>
      </w:r>
      <w:r>
        <w:rPr>
          <w:i/>
          <w:iCs/>
        </w:rPr>
        <w:t xml:space="preserve"> [Accessed: 8</w:t>
      </w:r>
      <w:r w:rsidRPr="00117EAF">
        <w:rPr>
          <w:i/>
          <w:iCs/>
          <w:vertAlign w:val="superscript"/>
        </w:rPr>
        <w:t>th</w:t>
      </w:r>
      <w:r>
        <w:rPr>
          <w:i/>
          <w:iCs/>
        </w:rPr>
        <w:t xml:space="preserve"> March 2025]</w:t>
      </w:r>
    </w:p>
    <w:p w14:paraId="649A4AA9" w14:textId="77777777" w:rsidR="00FA23FD" w:rsidRDefault="00FA23FD" w:rsidP="00FA23FD">
      <w:pPr>
        <w:rPr>
          <w:i/>
          <w:iCs/>
        </w:rPr>
      </w:pPr>
      <w:r w:rsidRPr="003217A6">
        <w:rPr>
          <w:i/>
          <w:iCs/>
        </w:rPr>
        <w:t xml:space="preserve">Gov.uk (2012). Making staff redundant. [online] GOV.UK. Available at: </w:t>
      </w:r>
      <w:hyperlink r:id="rId40" w:history="1">
        <w:r w:rsidRPr="003217A6">
          <w:rPr>
            <w:rStyle w:val="Hyperlink"/>
            <w:i/>
            <w:iCs/>
          </w:rPr>
          <w:t>https://www.gov.uk/staff-redundant/redundancy-consultations</w:t>
        </w:r>
      </w:hyperlink>
      <w:r w:rsidRPr="003217A6">
        <w:rPr>
          <w:i/>
          <w:iCs/>
        </w:rPr>
        <w:t>.</w:t>
      </w:r>
      <w:r>
        <w:rPr>
          <w:i/>
          <w:iCs/>
        </w:rPr>
        <w:t xml:space="preserve"> [Accessed: 01</w:t>
      </w:r>
      <w:r w:rsidRPr="003217A6">
        <w:rPr>
          <w:i/>
          <w:iCs/>
          <w:vertAlign w:val="superscript"/>
        </w:rPr>
        <w:t>st</w:t>
      </w:r>
      <w:r>
        <w:rPr>
          <w:i/>
          <w:iCs/>
        </w:rPr>
        <w:t xml:space="preserve"> March 2025]</w:t>
      </w:r>
    </w:p>
    <w:p w14:paraId="0E2F14DB" w14:textId="77777777" w:rsidR="00FA23FD" w:rsidRPr="0074676F" w:rsidRDefault="00FA23FD" w:rsidP="00FA23FD">
      <w:pPr>
        <w:rPr>
          <w:i/>
          <w:iCs/>
        </w:rPr>
      </w:pPr>
      <w:r w:rsidRPr="0074676F">
        <w:rPr>
          <w:i/>
          <w:iCs/>
        </w:rPr>
        <w:t xml:space="preserve">Gov.uk (2012). Redundancy: your rights. [online] GOV.UK. Available at: </w:t>
      </w:r>
      <w:hyperlink r:id="rId41" w:history="1">
        <w:r w:rsidRPr="0074676F">
          <w:rPr>
            <w:rStyle w:val="Hyperlink"/>
            <w:i/>
            <w:iCs/>
          </w:rPr>
          <w:t>https://www.gov.uk/redundancy-your-rights/redundancy-pay</w:t>
        </w:r>
      </w:hyperlink>
      <w:r w:rsidRPr="0074676F">
        <w:rPr>
          <w:i/>
          <w:iCs/>
        </w:rPr>
        <w:t>.</w:t>
      </w:r>
      <w:r>
        <w:rPr>
          <w:i/>
          <w:iCs/>
        </w:rPr>
        <w:t xml:space="preserve"> </w:t>
      </w:r>
    </w:p>
    <w:p w14:paraId="3F3FD8C5" w14:textId="77777777" w:rsidR="00FA23FD" w:rsidRDefault="00FA23FD" w:rsidP="00FA23FD">
      <w:pPr>
        <w:rPr>
          <w:i/>
          <w:iCs/>
        </w:rPr>
      </w:pPr>
      <w:r w:rsidRPr="006E3106">
        <w:rPr>
          <w:i/>
          <w:iCs/>
        </w:rPr>
        <w:t xml:space="preserve">GOV.UK (2013). Maternity Pay and Leave. [online] GOV.UK. Available at: </w:t>
      </w:r>
      <w:hyperlink r:id="rId42" w:history="1">
        <w:r w:rsidRPr="006E3106">
          <w:rPr>
            <w:rStyle w:val="Hyperlink"/>
            <w:i/>
            <w:iCs/>
          </w:rPr>
          <w:t>https://www.gov.uk/maternity-pay-leave</w:t>
        </w:r>
      </w:hyperlink>
      <w:r w:rsidRPr="006E3106">
        <w:rPr>
          <w:i/>
          <w:iCs/>
        </w:rPr>
        <w:t>.</w:t>
      </w:r>
      <w:r>
        <w:rPr>
          <w:i/>
          <w:iCs/>
        </w:rPr>
        <w:t xml:space="preserve"> [Accessed: 10</w:t>
      </w:r>
      <w:r w:rsidRPr="006E3106">
        <w:rPr>
          <w:i/>
          <w:iCs/>
          <w:vertAlign w:val="superscript"/>
        </w:rPr>
        <w:t>th</w:t>
      </w:r>
      <w:r>
        <w:rPr>
          <w:i/>
          <w:iCs/>
        </w:rPr>
        <w:t xml:space="preserve"> March 2025]</w:t>
      </w:r>
    </w:p>
    <w:p w14:paraId="0F6BD4C9" w14:textId="77777777" w:rsidR="00FA23FD" w:rsidRDefault="00FA23FD" w:rsidP="00FA23FD">
      <w:pPr>
        <w:rPr>
          <w:i/>
          <w:iCs/>
        </w:rPr>
      </w:pPr>
      <w:r w:rsidRPr="00C21BEE">
        <w:rPr>
          <w:i/>
          <w:iCs/>
        </w:rPr>
        <w:t xml:space="preserve">GOV.UK (2020). Calculating holiday pay for workers without fixed hours or pay. [online] GOV.UK. Available at: </w:t>
      </w:r>
      <w:hyperlink r:id="rId43" w:history="1">
        <w:r w:rsidRPr="00C21BEE">
          <w:rPr>
            <w:rStyle w:val="Hyperlink"/>
            <w:i/>
            <w:iCs/>
          </w:rPr>
          <w:t>https://www.gov.uk/government/publications/calculating-holiday-pay-for-workers-without-fixed-hours-or-pay/calculating-holiday-pay-for-workers-without-fixed-hours-or-pay--2</w:t>
        </w:r>
      </w:hyperlink>
      <w:r w:rsidRPr="00C21BEE">
        <w:rPr>
          <w:i/>
          <w:iCs/>
        </w:rPr>
        <w:t>.</w:t>
      </w:r>
      <w:r>
        <w:rPr>
          <w:i/>
          <w:iCs/>
        </w:rPr>
        <w:t xml:space="preserve"> [Accessed: 10</w:t>
      </w:r>
      <w:r w:rsidRPr="00C21BEE">
        <w:rPr>
          <w:i/>
          <w:iCs/>
          <w:vertAlign w:val="superscript"/>
        </w:rPr>
        <w:t>th</w:t>
      </w:r>
      <w:r>
        <w:rPr>
          <w:i/>
          <w:iCs/>
        </w:rPr>
        <w:t xml:space="preserve"> March 2025]</w:t>
      </w:r>
    </w:p>
    <w:p w14:paraId="36CEE6FB" w14:textId="77777777" w:rsidR="00FA23FD" w:rsidRDefault="00FA23FD" w:rsidP="00FA23FD">
      <w:pPr>
        <w:rPr>
          <w:i/>
          <w:iCs/>
        </w:rPr>
      </w:pPr>
      <w:r w:rsidRPr="008659E7">
        <w:rPr>
          <w:i/>
          <w:iCs/>
        </w:rPr>
        <w:t xml:space="preserve">Gov.uk (2024). Business transfers, takeovers and TUPE. [online] GOV.UK. Available at: </w:t>
      </w:r>
      <w:hyperlink r:id="rId44" w:history="1">
        <w:r w:rsidRPr="008659E7">
          <w:rPr>
            <w:rStyle w:val="Hyperlink"/>
            <w:i/>
            <w:iCs/>
          </w:rPr>
          <w:t>https://www.gov.uk/transfers-takeovers</w:t>
        </w:r>
      </w:hyperlink>
      <w:r w:rsidRPr="008659E7">
        <w:rPr>
          <w:i/>
          <w:iCs/>
        </w:rPr>
        <w:t>.</w:t>
      </w:r>
      <w:r>
        <w:rPr>
          <w:i/>
          <w:iCs/>
        </w:rPr>
        <w:t xml:space="preserve"> [Accessed: 7</w:t>
      </w:r>
      <w:r w:rsidRPr="008659E7">
        <w:rPr>
          <w:i/>
          <w:iCs/>
          <w:vertAlign w:val="superscript"/>
        </w:rPr>
        <w:t>th</w:t>
      </w:r>
      <w:r>
        <w:rPr>
          <w:i/>
          <w:iCs/>
        </w:rPr>
        <w:t xml:space="preserve"> March 2025] </w:t>
      </w:r>
    </w:p>
    <w:p w14:paraId="3A7FFB5C" w14:textId="77777777" w:rsidR="00FA23FD" w:rsidRDefault="00FA23FD" w:rsidP="00FA23FD">
      <w:pPr>
        <w:rPr>
          <w:i/>
          <w:iCs/>
        </w:rPr>
      </w:pPr>
      <w:r w:rsidRPr="00936A09">
        <w:rPr>
          <w:i/>
          <w:iCs/>
        </w:rPr>
        <w:lastRenderedPageBreak/>
        <w:t xml:space="preserve">Green, E. (2021). Shared parental leave; achieving a new normal. Bulletin of the Royal College of Surgeons of England, 103(S1), 36–39. </w:t>
      </w:r>
      <w:hyperlink r:id="rId45" w:history="1">
        <w:r w:rsidRPr="00936A09">
          <w:rPr>
            <w:rStyle w:val="Hyperlink"/>
            <w:i/>
            <w:iCs/>
          </w:rPr>
          <w:t>https://doi.org/10.1308/rcsbull.TB2021.12</w:t>
        </w:r>
      </w:hyperlink>
      <w:r>
        <w:rPr>
          <w:i/>
          <w:iCs/>
        </w:rPr>
        <w:t xml:space="preserve"> </w:t>
      </w:r>
    </w:p>
    <w:p w14:paraId="5ADAB989" w14:textId="77777777" w:rsidR="00FA23FD" w:rsidRDefault="00FA23FD" w:rsidP="00FA23FD">
      <w:pPr>
        <w:rPr>
          <w:i/>
          <w:iCs/>
        </w:rPr>
      </w:pPr>
      <w:r w:rsidRPr="00C768BD">
        <w:rPr>
          <w:i/>
          <w:iCs/>
        </w:rPr>
        <w:t xml:space="preserve">Jackson, I. (2024). New Flexible Working laws: an Employer’s Guide. [online] People Management. Available at: </w:t>
      </w:r>
      <w:hyperlink r:id="rId46" w:history="1">
        <w:r w:rsidRPr="00C768BD">
          <w:rPr>
            <w:rStyle w:val="Hyperlink"/>
            <w:i/>
            <w:iCs/>
          </w:rPr>
          <w:t>https://www.peoplemanagement.co.uk/article/1856168/new-flexible-working-laws-employers-guide</w:t>
        </w:r>
      </w:hyperlink>
      <w:r w:rsidRPr="00C768BD">
        <w:rPr>
          <w:i/>
          <w:iCs/>
        </w:rPr>
        <w:t xml:space="preserve">. </w:t>
      </w:r>
      <w:r>
        <w:rPr>
          <w:i/>
          <w:iCs/>
        </w:rPr>
        <w:t>[Accessed: 14</w:t>
      </w:r>
      <w:r w:rsidRPr="00727143">
        <w:rPr>
          <w:i/>
          <w:iCs/>
          <w:vertAlign w:val="superscript"/>
        </w:rPr>
        <w:t>th</w:t>
      </w:r>
      <w:r>
        <w:rPr>
          <w:i/>
          <w:iCs/>
        </w:rPr>
        <w:t xml:space="preserve"> March 2025]</w:t>
      </w:r>
    </w:p>
    <w:p w14:paraId="140C90B1" w14:textId="77777777" w:rsidR="00FA23FD" w:rsidRPr="006B3A96" w:rsidRDefault="00FA23FD" w:rsidP="00FA23FD">
      <w:pPr>
        <w:rPr>
          <w:i/>
          <w:iCs/>
        </w:rPr>
      </w:pPr>
      <w:r w:rsidRPr="00BC4C95">
        <w:rPr>
          <w:i/>
          <w:iCs/>
        </w:rPr>
        <w:t xml:space="preserve">Jones v. Tower Hamlets Borough Council </w:t>
      </w:r>
      <w:r>
        <w:rPr>
          <w:i/>
          <w:iCs/>
        </w:rPr>
        <w:t>[2</w:t>
      </w:r>
      <w:r w:rsidRPr="00BC4C95">
        <w:rPr>
          <w:i/>
          <w:iCs/>
        </w:rPr>
        <w:t>005</w:t>
      </w:r>
      <w:r>
        <w:rPr>
          <w:i/>
          <w:iCs/>
        </w:rPr>
        <w:t>].</w:t>
      </w:r>
      <w:r w:rsidRPr="00BC4C95">
        <w:rPr>
          <w:i/>
          <w:iCs/>
        </w:rPr>
        <w:t xml:space="preserve"> EWCA </w:t>
      </w:r>
      <w:proofErr w:type="spellStart"/>
      <w:r w:rsidRPr="00BC4C95">
        <w:rPr>
          <w:i/>
          <w:iCs/>
        </w:rPr>
        <w:t>Civ</w:t>
      </w:r>
      <w:proofErr w:type="spellEnd"/>
      <w:r w:rsidRPr="00BC4C95">
        <w:rPr>
          <w:i/>
          <w:iCs/>
        </w:rPr>
        <w:t xml:space="preserve"> 245. Available at: </w:t>
      </w:r>
      <w:hyperlink r:id="rId47" w:history="1">
        <w:r w:rsidRPr="00CE62D4">
          <w:rPr>
            <w:rStyle w:val="Hyperlink"/>
            <w:i/>
            <w:iCs/>
          </w:rPr>
          <w:t>https://www.bailii.org/ew/cases/EWCA/Civ/2005/245.html</w:t>
        </w:r>
      </w:hyperlink>
      <w:r>
        <w:rPr>
          <w:i/>
          <w:iCs/>
        </w:rPr>
        <w:t xml:space="preserve"> </w:t>
      </w:r>
      <w:r w:rsidRPr="00BC4C95">
        <w:rPr>
          <w:i/>
          <w:iCs/>
        </w:rPr>
        <w:t>[Accessed 5 March 2025].</w:t>
      </w:r>
      <w:r>
        <w:rPr>
          <w:i/>
          <w:iCs/>
        </w:rPr>
        <w:t xml:space="preserve"> </w:t>
      </w:r>
    </w:p>
    <w:p w14:paraId="41179A90" w14:textId="77777777" w:rsidR="00FA23FD" w:rsidRDefault="00FA23FD" w:rsidP="00FA23FD">
      <w:pPr>
        <w:rPr>
          <w:i/>
          <w:iCs/>
        </w:rPr>
      </w:pPr>
      <w:r w:rsidRPr="00B0636E">
        <w:rPr>
          <w:i/>
          <w:iCs/>
        </w:rPr>
        <w:t>K v L UKEATS/0014/18/JW</w:t>
      </w:r>
      <w:r>
        <w:rPr>
          <w:i/>
          <w:iCs/>
        </w:rPr>
        <w:t xml:space="preserve"> Available at: </w:t>
      </w:r>
      <w:hyperlink r:id="rId48" w:history="1">
        <w:r w:rsidRPr="008144CD">
          <w:rPr>
            <w:rStyle w:val="Hyperlink"/>
            <w:i/>
            <w:iCs/>
          </w:rPr>
          <w:t>https://www.gov.uk/employment-appeal-tribunal-decisions/k-v-l-ukeats-0014-18-jw</w:t>
        </w:r>
      </w:hyperlink>
      <w:r w:rsidRPr="00B0636E">
        <w:rPr>
          <w:i/>
          <w:iCs/>
        </w:rPr>
        <w:t>.</w:t>
      </w:r>
      <w:r>
        <w:rPr>
          <w:i/>
          <w:iCs/>
        </w:rPr>
        <w:t xml:space="preserve"> [Accessed 20</w:t>
      </w:r>
      <w:r w:rsidRPr="00E3392C">
        <w:rPr>
          <w:i/>
          <w:iCs/>
          <w:vertAlign w:val="superscript"/>
        </w:rPr>
        <w:t>th</w:t>
      </w:r>
      <w:r>
        <w:rPr>
          <w:i/>
          <w:iCs/>
        </w:rPr>
        <w:t xml:space="preserve"> February 2025]</w:t>
      </w:r>
    </w:p>
    <w:p w14:paraId="41914BFF" w14:textId="77777777" w:rsidR="00FA23FD" w:rsidRPr="004201E2" w:rsidRDefault="00FA23FD" w:rsidP="00FA23FD">
      <w:pPr>
        <w:rPr>
          <w:i/>
          <w:iCs/>
        </w:rPr>
      </w:pPr>
      <w:r w:rsidRPr="00BE5F28">
        <w:rPr>
          <w:i/>
          <w:iCs/>
        </w:rPr>
        <w:t xml:space="preserve">Lewis, T. and Legal Action Group (2005). Employment </w:t>
      </w:r>
      <w:proofErr w:type="gramStart"/>
      <w:r w:rsidRPr="00BE5F28">
        <w:rPr>
          <w:i/>
          <w:iCs/>
        </w:rPr>
        <w:t>law :</w:t>
      </w:r>
      <w:proofErr w:type="gramEnd"/>
      <w:r w:rsidRPr="00BE5F28">
        <w:rPr>
          <w:i/>
          <w:iCs/>
        </w:rPr>
        <w:t xml:space="preserve"> an adviser’s handbook. London: Legal Action Group. </w:t>
      </w:r>
    </w:p>
    <w:p w14:paraId="7E1D4CA0" w14:textId="77777777" w:rsidR="00FA23FD" w:rsidRPr="00E33268" w:rsidRDefault="00FA23FD" w:rsidP="00FA23FD">
      <w:pPr>
        <w:rPr>
          <w:i/>
          <w:iCs/>
        </w:rPr>
      </w:pPr>
      <w:r w:rsidRPr="00E33268">
        <w:rPr>
          <w:i/>
          <w:iCs/>
        </w:rPr>
        <w:t xml:space="preserve">Lidbeck, M., &amp; Boström, P. K. (2021). “I believe it’s important for kids to know they have two parents”: Parents’ experiences of equally shared parental leave in Sweden. Journal of Social and Personal Relationships, 38(1), 413–431. </w:t>
      </w:r>
      <w:hyperlink r:id="rId49" w:history="1">
        <w:r w:rsidRPr="00E33268">
          <w:rPr>
            <w:rStyle w:val="Hyperlink"/>
            <w:i/>
            <w:iCs/>
          </w:rPr>
          <w:t>https://doi.org/10.1177/0265407520961841</w:t>
        </w:r>
      </w:hyperlink>
      <w:r>
        <w:rPr>
          <w:i/>
          <w:iCs/>
        </w:rPr>
        <w:t xml:space="preserve"> </w:t>
      </w:r>
    </w:p>
    <w:p w14:paraId="451191E8" w14:textId="77777777" w:rsidR="00FA23FD" w:rsidRPr="0087723E" w:rsidRDefault="00FA23FD" w:rsidP="00FA23FD">
      <w:pPr>
        <w:rPr>
          <w:i/>
          <w:iCs/>
        </w:rPr>
      </w:pPr>
      <w:r w:rsidRPr="0087723E">
        <w:rPr>
          <w:i/>
          <w:iCs/>
        </w:rPr>
        <w:t>Loch, P. (2005). Flexible working requests must not be taken lightly. Personnel Today, 14-.</w:t>
      </w:r>
    </w:p>
    <w:p w14:paraId="4E174DD1" w14:textId="77777777" w:rsidR="00FA23FD" w:rsidRPr="00F95B28" w:rsidRDefault="00FA23FD" w:rsidP="00FA23FD">
      <w:pPr>
        <w:rPr>
          <w:i/>
          <w:iCs/>
        </w:rPr>
      </w:pPr>
      <w:r w:rsidRPr="00F403A8">
        <w:rPr>
          <w:i/>
          <w:iCs/>
        </w:rPr>
        <w:t xml:space="preserve">Lock v British Gas Trading Ltd (2014) EWCA </w:t>
      </w:r>
      <w:proofErr w:type="spellStart"/>
      <w:r w:rsidRPr="00F403A8">
        <w:rPr>
          <w:i/>
          <w:iCs/>
        </w:rPr>
        <w:t>Civ</w:t>
      </w:r>
      <w:proofErr w:type="spellEnd"/>
      <w:r w:rsidRPr="00F403A8">
        <w:rPr>
          <w:i/>
          <w:iCs/>
        </w:rPr>
        <w:t xml:space="preserve"> 1230.</w:t>
      </w:r>
      <w:r>
        <w:rPr>
          <w:i/>
          <w:iCs/>
        </w:rPr>
        <w:t xml:space="preserve"> </w:t>
      </w:r>
      <w:r w:rsidRPr="00F403A8">
        <w:rPr>
          <w:i/>
          <w:iCs/>
        </w:rPr>
        <w:t xml:space="preserve">Available at: </w:t>
      </w:r>
      <w:hyperlink r:id="rId50" w:history="1">
        <w:r w:rsidRPr="00AF23C7">
          <w:rPr>
            <w:rStyle w:val="Hyperlink"/>
            <w:i/>
            <w:iCs/>
          </w:rPr>
          <w:t>https://employmentcasesupdate.co.uk/content/lock-v-british-gas-trading-limited-2014-cjeu-c-539-12.efbd568708f447779b7ebfde08881d8d.htm</w:t>
        </w:r>
      </w:hyperlink>
      <w:r w:rsidRPr="00F403A8">
        <w:rPr>
          <w:i/>
          <w:iCs/>
        </w:rPr>
        <w:t>.</w:t>
      </w:r>
      <w:r>
        <w:rPr>
          <w:i/>
          <w:iCs/>
        </w:rPr>
        <w:t xml:space="preserve"> </w:t>
      </w:r>
    </w:p>
    <w:p w14:paraId="6F113146" w14:textId="77777777" w:rsidR="00FA23FD" w:rsidRPr="00C21BEE" w:rsidRDefault="00FA23FD" w:rsidP="00FA23FD">
      <w:pPr>
        <w:rPr>
          <w:i/>
          <w:iCs/>
        </w:rPr>
      </w:pPr>
      <w:bookmarkStart w:id="1" w:name="_Hlk192451834"/>
      <w:r w:rsidRPr="00C21BEE">
        <w:rPr>
          <w:i/>
          <w:iCs/>
        </w:rPr>
        <w:t>MacDermott</w:t>
      </w:r>
      <w:bookmarkEnd w:id="1"/>
      <w:r w:rsidRPr="00C21BEE">
        <w:rPr>
          <w:i/>
          <w:iCs/>
        </w:rPr>
        <w:t>, M. (1998). Part-timers eligible for benefits. Business Insurance, 32(14), 35-.</w:t>
      </w:r>
    </w:p>
    <w:p w14:paraId="019C4F48" w14:textId="77777777" w:rsidR="00FA23FD" w:rsidRDefault="00FA23FD" w:rsidP="00FA23FD">
      <w:pPr>
        <w:rPr>
          <w:i/>
          <w:iCs/>
        </w:rPr>
      </w:pPr>
      <w:r w:rsidRPr="00117EAF">
        <w:rPr>
          <w:i/>
          <w:iCs/>
        </w:rPr>
        <w:t>‌</w:t>
      </w:r>
      <w:r w:rsidRPr="006553AA">
        <w:rPr>
          <w:i/>
          <w:iCs/>
        </w:rPr>
        <w:t>Mahil, R. (2014). Constructive dismissal: Should I stay or should I go? Canadian Employment Law Today, 1-.</w:t>
      </w:r>
      <w:r>
        <w:rPr>
          <w:i/>
          <w:iCs/>
        </w:rPr>
        <w:t xml:space="preserve"> </w:t>
      </w:r>
    </w:p>
    <w:p w14:paraId="649A3294" w14:textId="77777777" w:rsidR="00FA23FD" w:rsidRDefault="00FA23FD" w:rsidP="00FA23FD">
      <w:pPr>
        <w:rPr>
          <w:i/>
          <w:iCs/>
        </w:rPr>
      </w:pPr>
      <w:r w:rsidRPr="00A05BF7">
        <w:rPr>
          <w:i/>
          <w:iCs/>
        </w:rPr>
        <w:t>Mann and Others v. Secretary of State for Employment [1999] 1 WLR 1017</w:t>
      </w:r>
      <w:r>
        <w:rPr>
          <w:i/>
          <w:iCs/>
        </w:rPr>
        <w:t xml:space="preserve"> available at: </w:t>
      </w:r>
      <w:hyperlink r:id="rId51" w:history="1">
        <w:r w:rsidRPr="00A05BF7">
          <w:rPr>
            <w:rStyle w:val="Hyperlink"/>
            <w:i/>
            <w:iCs/>
          </w:rPr>
          <w:t>House of Lords - Mann and Others v. Secretary of State for Employment</w:t>
        </w:r>
      </w:hyperlink>
      <w:r>
        <w:rPr>
          <w:i/>
          <w:iCs/>
        </w:rPr>
        <w:t xml:space="preserve"> </w:t>
      </w:r>
    </w:p>
    <w:p w14:paraId="0A93452A" w14:textId="77777777" w:rsidR="00FA23FD" w:rsidRDefault="00FA23FD" w:rsidP="00FA23FD">
      <w:pPr>
        <w:rPr>
          <w:i/>
          <w:iCs/>
        </w:rPr>
      </w:pPr>
      <w:r w:rsidRPr="00E3392C">
        <w:rPr>
          <w:i/>
          <w:iCs/>
        </w:rPr>
        <w:t xml:space="preserve">Mars, S. de (2020). Brexit next steps: The Court of Justice of the EU and the UK. commonslibrary.parliament.uk. [online] Available at: </w:t>
      </w:r>
      <w:hyperlink r:id="rId52" w:history="1">
        <w:r w:rsidRPr="00E3392C">
          <w:rPr>
            <w:rStyle w:val="Hyperlink"/>
            <w:i/>
            <w:iCs/>
          </w:rPr>
          <w:t>https://commonslibrary.parliament.uk/brexit-next-steps-the-court-of-justice-of-the-eu-and-the-uk/</w:t>
        </w:r>
      </w:hyperlink>
      <w:r w:rsidRPr="00E3392C">
        <w:rPr>
          <w:i/>
          <w:iCs/>
        </w:rPr>
        <w:t>.</w:t>
      </w:r>
      <w:r>
        <w:rPr>
          <w:i/>
          <w:iCs/>
        </w:rPr>
        <w:t xml:space="preserve"> [Accessed 20</w:t>
      </w:r>
      <w:r w:rsidRPr="00E3392C">
        <w:rPr>
          <w:i/>
          <w:iCs/>
          <w:vertAlign w:val="superscript"/>
        </w:rPr>
        <w:t>th</w:t>
      </w:r>
      <w:r>
        <w:rPr>
          <w:i/>
          <w:iCs/>
        </w:rPr>
        <w:t xml:space="preserve"> February 2025]</w:t>
      </w:r>
    </w:p>
    <w:p w14:paraId="4ED122B1" w14:textId="77777777" w:rsidR="00FA23FD" w:rsidRPr="00B63B89" w:rsidRDefault="00FA23FD" w:rsidP="00FA23FD">
      <w:pPr>
        <w:rPr>
          <w:i/>
          <w:iCs/>
        </w:rPr>
      </w:pPr>
      <w:r w:rsidRPr="00B63B89">
        <w:rPr>
          <w:i/>
          <w:iCs/>
        </w:rPr>
        <w:t>Martin, D. (2005). The A-Z of Employment Practice. Thorogood.</w:t>
      </w:r>
    </w:p>
    <w:p w14:paraId="482CB040" w14:textId="77777777" w:rsidR="00FA23FD" w:rsidRPr="00C21BEE" w:rsidRDefault="00FA23FD" w:rsidP="00FA23FD">
      <w:pPr>
        <w:rPr>
          <w:i/>
          <w:iCs/>
        </w:rPr>
      </w:pPr>
      <w:bookmarkStart w:id="2" w:name="_Hlk192450270"/>
      <w:proofErr w:type="spellStart"/>
      <w:r w:rsidRPr="00C21BEE">
        <w:rPr>
          <w:i/>
          <w:iCs/>
        </w:rPr>
        <w:t>Mcmanus</w:t>
      </w:r>
      <w:bookmarkEnd w:id="2"/>
      <w:proofErr w:type="spellEnd"/>
      <w:r w:rsidRPr="00C21BEE">
        <w:rPr>
          <w:i/>
          <w:iCs/>
        </w:rPr>
        <w:t xml:space="preserve">, S. (2017). If we want to make a difference, we need to rewrite the rules. </w:t>
      </w:r>
      <w:proofErr w:type="spellStart"/>
      <w:r w:rsidRPr="00C21BEE">
        <w:rPr>
          <w:i/>
          <w:iCs/>
        </w:rPr>
        <w:t>InScope</w:t>
      </w:r>
      <w:proofErr w:type="spellEnd"/>
      <w:r w:rsidRPr="00C21BEE">
        <w:rPr>
          <w:i/>
          <w:iCs/>
        </w:rPr>
        <w:t>, 28–29.</w:t>
      </w:r>
    </w:p>
    <w:p w14:paraId="757259D1" w14:textId="77777777" w:rsidR="00FA23FD" w:rsidRPr="008659E7" w:rsidRDefault="00FA23FD" w:rsidP="00FA23FD">
      <w:pPr>
        <w:rPr>
          <w:i/>
          <w:iCs/>
        </w:rPr>
      </w:pPr>
      <w:r w:rsidRPr="008659E7">
        <w:rPr>
          <w:i/>
          <w:iCs/>
        </w:rPr>
        <w:t xml:space="preserve">McMullen, J. (2012). Re-structuring and TUPE. Industrial Law Journal (London), 41(3), 358–362. </w:t>
      </w:r>
      <w:hyperlink r:id="rId53" w:history="1">
        <w:r w:rsidRPr="008659E7">
          <w:rPr>
            <w:rStyle w:val="Hyperlink"/>
            <w:i/>
            <w:iCs/>
          </w:rPr>
          <w:t>https://doi.org/10.1093/indlaw/dws025</w:t>
        </w:r>
      </w:hyperlink>
      <w:r>
        <w:rPr>
          <w:i/>
          <w:iCs/>
        </w:rPr>
        <w:t xml:space="preserve"> </w:t>
      </w:r>
    </w:p>
    <w:p w14:paraId="3EECAD93" w14:textId="77777777" w:rsidR="00FA23FD" w:rsidRPr="001D6807" w:rsidRDefault="00FA23FD" w:rsidP="00FA23FD">
      <w:pPr>
        <w:rPr>
          <w:i/>
          <w:iCs/>
        </w:rPr>
      </w:pPr>
      <w:r w:rsidRPr="001D6807">
        <w:rPr>
          <w:i/>
          <w:iCs/>
        </w:rPr>
        <w:t xml:space="preserve">Merrett, L. (2021). International Employment Cases Post-Brexit: Choice of Law, Territorial Scope, Jurisdiction and Enforcement. Industrial Law Journal (London), 50(3), 343–374. </w:t>
      </w:r>
      <w:hyperlink r:id="rId54" w:history="1">
        <w:r w:rsidRPr="001D6807">
          <w:rPr>
            <w:rStyle w:val="Hyperlink"/>
            <w:i/>
            <w:iCs/>
          </w:rPr>
          <w:t>https://doi.org/10.1093/indlaw/dwab019</w:t>
        </w:r>
      </w:hyperlink>
      <w:r>
        <w:rPr>
          <w:i/>
          <w:iCs/>
        </w:rPr>
        <w:t xml:space="preserve"> </w:t>
      </w:r>
    </w:p>
    <w:p w14:paraId="18CBA39E" w14:textId="77777777" w:rsidR="00FA23FD" w:rsidRPr="003217A6" w:rsidRDefault="00FA23FD" w:rsidP="00FA23FD">
      <w:pPr>
        <w:rPr>
          <w:i/>
          <w:iCs/>
        </w:rPr>
      </w:pPr>
      <w:r w:rsidRPr="003217A6">
        <w:rPr>
          <w:i/>
          <w:iCs/>
        </w:rPr>
        <w:t>Michael Moy, &amp; John Herbert. (2013). Genuine redundancy and consultation obligations. Keeping Good Companies, 65(7), 422–424.</w:t>
      </w:r>
      <w:r>
        <w:rPr>
          <w:i/>
          <w:iCs/>
        </w:rPr>
        <w:t xml:space="preserve"> </w:t>
      </w:r>
    </w:p>
    <w:p w14:paraId="57509540" w14:textId="77777777" w:rsidR="00FA23FD" w:rsidRPr="00B63B89" w:rsidRDefault="00FA23FD" w:rsidP="00FA23FD">
      <w:pPr>
        <w:rPr>
          <w:i/>
          <w:iCs/>
        </w:rPr>
      </w:pPr>
      <w:r w:rsidRPr="00B63B89">
        <w:rPr>
          <w:i/>
          <w:iCs/>
        </w:rPr>
        <w:t xml:space="preserve">Mitchell, G. (2023). Shared Parental Leave: Can Transferable Maternity Leave Ever Encourage Fathers to Care? Industrial Law Journal (London), 52(1), 149–178. </w:t>
      </w:r>
      <w:hyperlink r:id="rId55" w:history="1">
        <w:r w:rsidRPr="00B63B89">
          <w:rPr>
            <w:rStyle w:val="Hyperlink"/>
            <w:i/>
            <w:iCs/>
          </w:rPr>
          <w:t>https://doi.org/10.1093/indlaw/dwac015</w:t>
        </w:r>
      </w:hyperlink>
      <w:r>
        <w:rPr>
          <w:i/>
          <w:iCs/>
        </w:rPr>
        <w:t xml:space="preserve"> </w:t>
      </w:r>
    </w:p>
    <w:p w14:paraId="497AA293" w14:textId="77777777" w:rsidR="00FA23FD" w:rsidRPr="00AA5794" w:rsidRDefault="00FA23FD" w:rsidP="00FA23FD">
      <w:pPr>
        <w:rPr>
          <w:i/>
          <w:iCs/>
        </w:rPr>
      </w:pPr>
      <w:proofErr w:type="spellStart"/>
      <w:r w:rsidRPr="00AA5794">
        <w:rPr>
          <w:i/>
          <w:iCs/>
        </w:rPr>
        <w:lastRenderedPageBreak/>
        <w:t>Nairns</w:t>
      </w:r>
      <w:proofErr w:type="spellEnd"/>
      <w:r w:rsidRPr="00AA5794">
        <w:rPr>
          <w:i/>
          <w:iCs/>
        </w:rPr>
        <w:t>, J. (2011). Employment law for business students (4th ed.). Longman.</w:t>
      </w:r>
    </w:p>
    <w:p w14:paraId="00BBB194" w14:textId="77777777" w:rsidR="00FA23FD" w:rsidRDefault="00FA23FD" w:rsidP="00FA23FD">
      <w:pPr>
        <w:rPr>
          <w:i/>
          <w:iCs/>
        </w:rPr>
      </w:pPr>
      <w:r w:rsidRPr="008E2F2D">
        <w:rPr>
          <w:i/>
          <w:iCs/>
        </w:rPr>
        <w:t xml:space="preserve">National Education Union. (2024). Shared parental leave and pay | National Education Union. [online] Available at: </w:t>
      </w:r>
      <w:hyperlink r:id="rId56" w:history="1">
        <w:r w:rsidRPr="008E2F2D">
          <w:rPr>
            <w:rStyle w:val="Hyperlink"/>
            <w:i/>
            <w:iCs/>
          </w:rPr>
          <w:t>https://neu.org.uk/advice/your-rights-work/family-rights/shared-parental-leave-and-pay</w:t>
        </w:r>
      </w:hyperlink>
      <w:r w:rsidRPr="008E2F2D">
        <w:rPr>
          <w:i/>
          <w:iCs/>
        </w:rPr>
        <w:t>.</w:t>
      </w:r>
      <w:r>
        <w:rPr>
          <w:i/>
          <w:iCs/>
        </w:rPr>
        <w:t xml:space="preserve"> [Accessed: 10</w:t>
      </w:r>
      <w:r w:rsidRPr="008E2F2D">
        <w:rPr>
          <w:i/>
          <w:iCs/>
          <w:vertAlign w:val="superscript"/>
        </w:rPr>
        <w:t>th</w:t>
      </w:r>
      <w:r>
        <w:rPr>
          <w:i/>
          <w:iCs/>
        </w:rPr>
        <w:t xml:space="preserve"> March 2025]</w:t>
      </w:r>
    </w:p>
    <w:p w14:paraId="3B983BE1" w14:textId="77777777" w:rsidR="00FA23FD" w:rsidRDefault="00FA23FD" w:rsidP="00FA23FD">
      <w:pPr>
        <w:rPr>
          <w:i/>
          <w:iCs/>
        </w:rPr>
      </w:pPr>
      <w:r w:rsidRPr="008E2F2D">
        <w:rPr>
          <w:i/>
          <w:iCs/>
        </w:rPr>
        <w:t xml:space="preserve">Ndzi, E. (2017). Shared parental leave: awareness is key. International Journal of Law and Management, 59(6), 1331–1336. </w:t>
      </w:r>
      <w:hyperlink r:id="rId57" w:history="1">
        <w:r w:rsidRPr="008E2F2D">
          <w:rPr>
            <w:rStyle w:val="Hyperlink"/>
            <w:i/>
            <w:iCs/>
          </w:rPr>
          <w:t>https://doi.org/10.1108/IJLMA-07-2017-0160</w:t>
        </w:r>
      </w:hyperlink>
      <w:r>
        <w:rPr>
          <w:i/>
          <w:iCs/>
        </w:rPr>
        <w:t xml:space="preserve"> </w:t>
      </w:r>
    </w:p>
    <w:p w14:paraId="5A3DFAA8" w14:textId="77777777" w:rsidR="00FA23FD" w:rsidRPr="00632F4E" w:rsidRDefault="00FA23FD" w:rsidP="00FA23FD">
      <w:pPr>
        <w:rPr>
          <w:i/>
          <w:iCs/>
        </w:rPr>
      </w:pPr>
      <w:r w:rsidRPr="00632F4E">
        <w:rPr>
          <w:i/>
          <w:iCs/>
        </w:rPr>
        <w:t>Newman, D. (2016). Perspective: Flexible working: balancing workforce working-pattern requests. Employers’ Law, 10-.</w:t>
      </w:r>
      <w:r>
        <w:rPr>
          <w:i/>
          <w:iCs/>
        </w:rPr>
        <w:t xml:space="preserve"> </w:t>
      </w:r>
    </w:p>
    <w:p w14:paraId="16C5F51F" w14:textId="77777777" w:rsidR="00FA23FD" w:rsidRPr="00E3392C" w:rsidRDefault="00FA23FD" w:rsidP="00FA23FD">
      <w:r w:rsidRPr="006E1449">
        <w:t>Neyz v. Secretary of State for Employment (2012) Case C-415/10, European Court of Justice. Available at:</w:t>
      </w:r>
      <w:r>
        <w:t xml:space="preserve"> </w:t>
      </w:r>
      <w:hyperlink r:id="rId58" w:history="1">
        <w:r w:rsidRPr="008144CD">
          <w:rPr>
            <w:rStyle w:val="Hyperlink"/>
          </w:rPr>
          <w:t>https://curia.europa.eu/juris/document/document.jsf?text=&amp;docid=124504&amp;pageIndex=0&amp;doclang=EN&amp;mode=req&amp;dir=&amp;occ=first&amp;part=1</w:t>
        </w:r>
      </w:hyperlink>
      <w:r>
        <w:t xml:space="preserve"> </w:t>
      </w:r>
      <w:r w:rsidRPr="006E1449">
        <w:t>(Accessed: 3 March 2025).</w:t>
      </w:r>
    </w:p>
    <w:p w14:paraId="435963EE" w14:textId="77777777" w:rsidR="00FA23FD" w:rsidRPr="00257BE1" w:rsidRDefault="00FA23FD" w:rsidP="00FA23FD">
      <w:pPr>
        <w:rPr>
          <w:i/>
          <w:iCs/>
        </w:rPr>
      </w:pPr>
      <w:bookmarkStart w:id="3" w:name="_Hlk192276922"/>
      <w:r w:rsidRPr="00257BE1">
        <w:rPr>
          <w:i/>
          <w:iCs/>
        </w:rPr>
        <w:t>Nguyen</w:t>
      </w:r>
      <w:bookmarkEnd w:id="3"/>
      <w:r w:rsidRPr="00257BE1">
        <w:rPr>
          <w:i/>
          <w:iCs/>
        </w:rPr>
        <w:t xml:space="preserve">, H., Parker, B. R., &amp; Simpson, S. S. (2022). Equal Pay for Equal Work? Considering the Gender Gap in Illegal Pay. Journal of Quantitative Criminology, 38(2), 425–458. </w:t>
      </w:r>
      <w:hyperlink r:id="rId59" w:history="1">
        <w:r w:rsidRPr="00257BE1">
          <w:rPr>
            <w:rStyle w:val="Hyperlink"/>
            <w:i/>
            <w:iCs/>
          </w:rPr>
          <w:t>https://doi.org/10.1007/s10940-021-09498-6</w:t>
        </w:r>
      </w:hyperlink>
      <w:r>
        <w:rPr>
          <w:i/>
          <w:iCs/>
        </w:rPr>
        <w:t xml:space="preserve"> </w:t>
      </w:r>
    </w:p>
    <w:p w14:paraId="575B67BE" w14:textId="77777777" w:rsidR="00FA23FD" w:rsidRDefault="00FA23FD" w:rsidP="00FA23FD">
      <w:pPr>
        <w:rPr>
          <w:i/>
          <w:iCs/>
        </w:rPr>
      </w:pPr>
      <w:r w:rsidRPr="00371514">
        <w:rPr>
          <w:i/>
          <w:iCs/>
        </w:rPr>
        <w:t>NHS Leeds v Larner [2012] UKEAT/0391/11/DA</w:t>
      </w:r>
      <w:r>
        <w:rPr>
          <w:i/>
          <w:iCs/>
        </w:rPr>
        <w:t xml:space="preserve"> </w:t>
      </w:r>
      <w:r w:rsidRPr="00371514">
        <w:rPr>
          <w:i/>
          <w:iCs/>
        </w:rPr>
        <w:t xml:space="preserve">Employment Available at: </w:t>
      </w:r>
      <w:hyperlink r:id="rId60" w:history="1">
        <w:r w:rsidRPr="008144CD">
          <w:rPr>
            <w:rStyle w:val="Hyperlink"/>
            <w:i/>
            <w:iCs/>
          </w:rPr>
          <w:t>https://employmentcasesupdate.co.uk/content/nhs-leeds-v-larner-2012-ewca-civ-1034.6bb8dd8300cb4777af65c8cec3878760.htm</w:t>
        </w:r>
      </w:hyperlink>
      <w:r w:rsidRPr="00371514">
        <w:rPr>
          <w:i/>
          <w:iCs/>
        </w:rPr>
        <w:t>.</w:t>
      </w:r>
      <w:r>
        <w:rPr>
          <w:i/>
          <w:iCs/>
        </w:rPr>
        <w:t xml:space="preserve"> [Accessed 25</w:t>
      </w:r>
      <w:r w:rsidRPr="00E3392C">
        <w:rPr>
          <w:i/>
          <w:iCs/>
          <w:vertAlign w:val="superscript"/>
        </w:rPr>
        <w:t>th</w:t>
      </w:r>
      <w:r>
        <w:rPr>
          <w:i/>
          <w:iCs/>
        </w:rPr>
        <w:t xml:space="preserve"> February 2025]</w:t>
      </w:r>
    </w:p>
    <w:p w14:paraId="68A7CC65" w14:textId="77777777" w:rsidR="00FA23FD" w:rsidRPr="003801D5" w:rsidRDefault="00FA23FD" w:rsidP="00FA23FD">
      <w:pPr>
        <w:rPr>
          <w:i/>
          <w:iCs/>
        </w:rPr>
      </w:pPr>
      <w:r w:rsidRPr="003801D5">
        <w:rPr>
          <w:i/>
          <w:iCs/>
        </w:rPr>
        <w:t>Nicholls, V. (2008). TUPE or not TUPE. Works Management, 61(1), 9-.</w:t>
      </w:r>
    </w:p>
    <w:p w14:paraId="08593FDF" w14:textId="77777777" w:rsidR="00FA23FD" w:rsidRPr="003801D5" w:rsidRDefault="00FA23FD" w:rsidP="00FA23FD">
      <w:pPr>
        <w:rPr>
          <w:i/>
          <w:iCs/>
        </w:rPr>
      </w:pPr>
      <w:r w:rsidRPr="003801D5">
        <w:rPr>
          <w:i/>
          <w:iCs/>
        </w:rPr>
        <w:t>O’Neill, L., &amp; Faulkner, D. (2015). Dismissals under TUPE. Employers’ Law, 18-.</w:t>
      </w:r>
      <w:r>
        <w:rPr>
          <w:i/>
          <w:iCs/>
        </w:rPr>
        <w:t xml:space="preserve"> </w:t>
      </w:r>
    </w:p>
    <w:p w14:paraId="62F4072E" w14:textId="77777777" w:rsidR="00FA23FD" w:rsidRDefault="00FA23FD" w:rsidP="00FA23FD">
      <w:pPr>
        <w:rPr>
          <w:i/>
          <w:iCs/>
        </w:rPr>
      </w:pPr>
      <w:r w:rsidRPr="00840F50">
        <w:rPr>
          <w:i/>
          <w:iCs/>
        </w:rPr>
        <w:t xml:space="preserve">Oliver, H. (2004). Sexual Orientation Discrimination: Perceptions, Definitions and Genuine Occupational Requirements. Industrial Law Journal (London), 33(1), 1–21. </w:t>
      </w:r>
      <w:hyperlink r:id="rId61" w:history="1">
        <w:r w:rsidRPr="00840F50">
          <w:rPr>
            <w:rStyle w:val="Hyperlink"/>
            <w:i/>
            <w:iCs/>
          </w:rPr>
          <w:t>https://doi.org/10.1093/ilj/33.1.1</w:t>
        </w:r>
      </w:hyperlink>
      <w:r>
        <w:rPr>
          <w:i/>
          <w:iCs/>
        </w:rPr>
        <w:t xml:space="preserve"> </w:t>
      </w:r>
    </w:p>
    <w:p w14:paraId="46C46041" w14:textId="77777777" w:rsidR="00FA23FD" w:rsidRPr="00840F50" w:rsidRDefault="00FA23FD" w:rsidP="00FA23FD">
      <w:pPr>
        <w:rPr>
          <w:i/>
          <w:iCs/>
        </w:rPr>
      </w:pPr>
      <w:r w:rsidRPr="007E5ECD">
        <w:rPr>
          <w:i/>
          <w:iCs/>
        </w:rPr>
        <w:t xml:space="preserve">P v. S and Cornwall County Council (1996). European Court of Justice, Case C-13/94. Available at: </w:t>
      </w:r>
      <w:hyperlink r:id="rId62" w:tgtFrame="_new" w:history="1">
        <w:r w:rsidRPr="007E5ECD">
          <w:rPr>
            <w:rStyle w:val="Hyperlink"/>
            <w:i/>
            <w:iCs/>
          </w:rPr>
          <w:t>https://eur-lex.europa.eu/legal-content/EN/TXT/?uri=CELEX%3A61994CJ0013</w:t>
        </w:r>
      </w:hyperlink>
      <w:r w:rsidRPr="007E5ECD">
        <w:rPr>
          <w:i/>
          <w:iCs/>
        </w:rPr>
        <w:t xml:space="preserve"> [Accessed 5 March 2025].</w:t>
      </w:r>
    </w:p>
    <w:p w14:paraId="76AD70B5" w14:textId="77777777" w:rsidR="00FA23FD" w:rsidRPr="006B4649" w:rsidRDefault="00FA23FD" w:rsidP="00FA23FD">
      <w:pPr>
        <w:rPr>
          <w:i/>
          <w:iCs/>
        </w:rPr>
      </w:pPr>
      <w:r w:rsidRPr="006B4649">
        <w:rPr>
          <w:i/>
          <w:iCs/>
        </w:rPr>
        <w:t>Peter Cane, &amp; Joanne Conaghan. (2008). constructive dismissal. In The New Oxford Companion to Law (1 ed.). Oxford University Press.</w:t>
      </w:r>
    </w:p>
    <w:p w14:paraId="76C9BA73" w14:textId="77777777" w:rsidR="00FA23FD" w:rsidRDefault="00FA23FD" w:rsidP="00FA23FD">
      <w:pPr>
        <w:rPr>
          <w:i/>
          <w:iCs/>
        </w:rPr>
      </w:pPr>
      <w:r w:rsidRPr="006B3A96">
        <w:rPr>
          <w:i/>
          <w:iCs/>
        </w:rPr>
        <w:t>Pitt, G. (2011). Are Occupational Requirements Genuinely Necessary? Contemporary Issues in Law, 11(1), 1–18.</w:t>
      </w:r>
      <w:r>
        <w:rPr>
          <w:i/>
          <w:iCs/>
        </w:rPr>
        <w:t xml:space="preserve"> </w:t>
      </w:r>
    </w:p>
    <w:p w14:paraId="3402C0CB" w14:textId="77777777" w:rsidR="00FA23FD" w:rsidRPr="00BE5F28" w:rsidRDefault="00FA23FD" w:rsidP="00FA23FD">
      <w:pPr>
        <w:rPr>
          <w:i/>
          <w:iCs/>
        </w:rPr>
      </w:pPr>
      <w:r w:rsidRPr="00BE5F28">
        <w:rPr>
          <w:i/>
          <w:iCs/>
        </w:rPr>
        <w:t xml:space="preserve">Pitts, C. (2024). Coached by ContentKeeper. [online] Thehrconsultants.co.uk. Available at: </w:t>
      </w:r>
      <w:hyperlink r:id="rId63" w:history="1">
        <w:r w:rsidRPr="00BE5F28">
          <w:rPr>
            <w:rStyle w:val="Hyperlink"/>
            <w:i/>
            <w:iCs/>
          </w:rPr>
          <w:t>https://www.thehrconsultants.co.uk/what-is-employment-law-why-is-it-important/</w:t>
        </w:r>
      </w:hyperlink>
      <w:r w:rsidRPr="00BE5F28">
        <w:rPr>
          <w:i/>
          <w:iCs/>
        </w:rPr>
        <w:t xml:space="preserve">. </w:t>
      </w:r>
      <w:r>
        <w:rPr>
          <w:i/>
          <w:iCs/>
        </w:rPr>
        <w:t>[Accessed 20</w:t>
      </w:r>
      <w:r w:rsidRPr="00E3392C">
        <w:rPr>
          <w:i/>
          <w:iCs/>
          <w:vertAlign w:val="superscript"/>
        </w:rPr>
        <w:t>th</w:t>
      </w:r>
      <w:r>
        <w:rPr>
          <w:i/>
          <w:iCs/>
        </w:rPr>
        <w:t xml:space="preserve"> February 2025]</w:t>
      </w:r>
    </w:p>
    <w:p w14:paraId="68AAFEB1" w14:textId="77777777" w:rsidR="00FA23FD" w:rsidRPr="006E11F7" w:rsidRDefault="00FA23FD" w:rsidP="00FA23FD">
      <w:pPr>
        <w:rPr>
          <w:i/>
          <w:iCs/>
        </w:rPr>
      </w:pPr>
      <w:r w:rsidRPr="006E11F7">
        <w:rPr>
          <w:i/>
          <w:iCs/>
        </w:rPr>
        <w:t>Polkey v AE Dayton Services Ltd [1987] IRLR 503</w:t>
      </w:r>
      <w:r>
        <w:rPr>
          <w:i/>
          <w:iCs/>
        </w:rPr>
        <w:t xml:space="preserve"> </w:t>
      </w:r>
      <w:r w:rsidRPr="006E11F7">
        <w:rPr>
          <w:i/>
          <w:iCs/>
        </w:rPr>
        <w:t xml:space="preserve">Available at: </w:t>
      </w:r>
      <w:hyperlink r:id="rId64" w:history="1">
        <w:r w:rsidRPr="008144CD">
          <w:rPr>
            <w:rStyle w:val="Hyperlink"/>
            <w:i/>
            <w:iCs/>
          </w:rPr>
          <w:t>https://uk.practicallaw.thomsonreuters.com/7-201-7057?comp=pluk&amp;transitionType=Default&amp;contextData=(sc.Default)&amp;firstPage=true&amp;OWSessionId=3adffb1113e549bf82e382e9a293c5e4&amp;skipAnonymous=true</w:t>
        </w:r>
      </w:hyperlink>
      <w:r>
        <w:rPr>
          <w:i/>
          <w:iCs/>
        </w:rPr>
        <w:t xml:space="preserve"> </w:t>
      </w:r>
      <w:r w:rsidRPr="006E11F7">
        <w:rPr>
          <w:i/>
          <w:iCs/>
        </w:rPr>
        <w:t xml:space="preserve"> [Accessed 2 Mar. 2025].</w:t>
      </w:r>
      <w:r>
        <w:rPr>
          <w:i/>
          <w:iCs/>
        </w:rPr>
        <w:t xml:space="preserve"> </w:t>
      </w:r>
    </w:p>
    <w:p w14:paraId="02F9A911" w14:textId="77777777" w:rsidR="00FA23FD" w:rsidRDefault="00FA23FD" w:rsidP="00FA23FD">
      <w:pPr>
        <w:rPr>
          <w:i/>
          <w:iCs/>
        </w:rPr>
      </w:pPr>
      <w:r w:rsidRPr="003801D5">
        <w:rPr>
          <w:i/>
          <w:iCs/>
        </w:rPr>
        <w:t xml:space="preserve">Pollard, D. (1996). Insolvent Companies and TUPE. Industrial Law Journal (London), 25(3), 191–210. </w:t>
      </w:r>
      <w:hyperlink r:id="rId65" w:history="1">
        <w:r w:rsidRPr="003801D5">
          <w:rPr>
            <w:rStyle w:val="Hyperlink"/>
            <w:i/>
            <w:iCs/>
          </w:rPr>
          <w:t>https://doi.org/10.1093/ilj/25.3.191</w:t>
        </w:r>
      </w:hyperlink>
      <w:r>
        <w:rPr>
          <w:i/>
          <w:iCs/>
        </w:rPr>
        <w:t xml:space="preserve"> </w:t>
      </w:r>
    </w:p>
    <w:p w14:paraId="3ED79FB5" w14:textId="77777777" w:rsidR="00FA23FD" w:rsidRPr="003104AD" w:rsidRDefault="00FA23FD" w:rsidP="00FA23FD">
      <w:pPr>
        <w:rPr>
          <w:i/>
          <w:iCs/>
        </w:rPr>
      </w:pPr>
      <w:r w:rsidRPr="003104AD">
        <w:rPr>
          <w:i/>
          <w:iCs/>
        </w:rPr>
        <w:lastRenderedPageBreak/>
        <w:t>Practice Briefing: Dealing with flexible working requests. (2015). GP, 38-.</w:t>
      </w:r>
    </w:p>
    <w:p w14:paraId="7116B4E0" w14:textId="77777777" w:rsidR="00FA23FD" w:rsidRDefault="00FA23FD" w:rsidP="00FA23FD">
      <w:pPr>
        <w:rPr>
          <w:i/>
          <w:iCs/>
        </w:rPr>
      </w:pPr>
      <w:r w:rsidRPr="0087723E">
        <w:rPr>
          <w:i/>
          <w:iCs/>
        </w:rPr>
        <w:t>PRACTICE DILEMMAS: How should I deal with a flexible working request? (2009). In Pulse (pp. 46-). UBM Information Ltd.</w:t>
      </w:r>
      <w:r>
        <w:rPr>
          <w:i/>
          <w:iCs/>
        </w:rPr>
        <w:t xml:space="preserve"> </w:t>
      </w:r>
    </w:p>
    <w:p w14:paraId="0F25E938" w14:textId="77777777" w:rsidR="00FA23FD" w:rsidRPr="00BE5F28" w:rsidRDefault="00FA23FD" w:rsidP="00FA23FD">
      <w:pPr>
        <w:rPr>
          <w:i/>
          <w:iCs/>
        </w:rPr>
      </w:pPr>
      <w:r w:rsidRPr="00BE0F8E">
        <w:rPr>
          <w:i/>
          <w:iCs/>
        </w:rPr>
        <w:t>‌</w:t>
      </w:r>
      <w:r w:rsidRPr="00BE5F28">
        <w:rPr>
          <w:i/>
          <w:iCs/>
        </w:rPr>
        <w:t xml:space="preserve">R. (on the application of British Telecommunications Plc) v Secretary of State for Business, Innovation and Skills [2012] EWCA </w:t>
      </w:r>
      <w:proofErr w:type="spellStart"/>
      <w:r w:rsidRPr="00BE5F28">
        <w:rPr>
          <w:i/>
          <w:iCs/>
        </w:rPr>
        <w:t>Civ</w:t>
      </w:r>
      <w:proofErr w:type="spellEnd"/>
      <w:r w:rsidRPr="00BE5F28">
        <w:rPr>
          <w:i/>
          <w:iCs/>
        </w:rPr>
        <w:t xml:space="preserve"> 232 (06 March 2012) Available at: </w:t>
      </w:r>
      <w:hyperlink r:id="rId66" w:history="1">
        <w:r w:rsidRPr="00BE5F28">
          <w:rPr>
            <w:rStyle w:val="Hyperlink"/>
            <w:i/>
            <w:iCs/>
          </w:rPr>
          <w:t>R. (on the application of British Telecommunications Plc) v Secretary of State for Business, Innovation and Skills [2012] EWCA Civ 232 (06 March 2012) | Practical Law</w:t>
        </w:r>
      </w:hyperlink>
      <w:r w:rsidRPr="00BE5F28">
        <w:rPr>
          <w:i/>
          <w:iCs/>
        </w:rPr>
        <w:t xml:space="preserve"> &amp; Bailii.org. (2025). British Telecommunications </w:t>
      </w:r>
      <w:proofErr w:type="gramStart"/>
      <w:r w:rsidRPr="00BE5F28">
        <w:rPr>
          <w:i/>
          <w:iCs/>
        </w:rPr>
        <w:t>Plc ,</w:t>
      </w:r>
      <w:proofErr w:type="gramEnd"/>
      <w:r w:rsidRPr="00BE5F28">
        <w:rPr>
          <w:i/>
          <w:iCs/>
        </w:rPr>
        <w:t xml:space="preserve"> R (on the application of) v Secretary of State for Culture, Olympics, Media and Sport [2012] EWCA </w:t>
      </w:r>
      <w:proofErr w:type="spellStart"/>
      <w:r w:rsidRPr="00BE5F28">
        <w:rPr>
          <w:i/>
          <w:iCs/>
        </w:rPr>
        <w:t>Civ</w:t>
      </w:r>
      <w:proofErr w:type="spellEnd"/>
      <w:r w:rsidRPr="00BE5F28">
        <w:rPr>
          <w:i/>
          <w:iCs/>
        </w:rPr>
        <w:t xml:space="preserve"> 232 (06 March 2012). [online] Available at: </w:t>
      </w:r>
      <w:hyperlink r:id="rId67" w:history="1">
        <w:r w:rsidRPr="00BE5F28">
          <w:rPr>
            <w:rStyle w:val="Hyperlink"/>
            <w:i/>
            <w:iCs/>
          </w:rPr>
          <w:t>https://www.bailii.org/ew/cases/EWCA/Civ/2012/232.html</w:t>
        </w:r>
      </w:hyperlink>
      <w:r w:rsidRPr="00BE5F28">
        <w:rPr>
          <w:i/>
          <w:iCs/>
        </w:rPr>
        <w:t xml:space="preserve"> [Accessed 2 Mar. 2025]. </w:t>
      </w:r>
    </w:p>
    <w:p w14:paraId="3C70B5ED" w14:textId="77777777" w:rsidR="00FA23FD" w:rsidRPr="00757A71" w:rsidRDefault="00FA23FD" w:rsidP="00FA23FD">
      <w:pPr>
        <w:rPr>
          <w:i/>
          <w:iCs/>
        </w:rPr>
      </w:pPr>
      <w:r w:rsidRPr="00757A71">
        <w:rPr>
          <w:i/>
          <w:iCs/>
        </w:rPr>
        <w:t xml:space="preserve">Raile, A. N. W., Austin, C. G., &amp; Bratton, V. K. (2023). Can We Talk About Pay Discrimination/Equal Pay/Strategic Compensation Practices? An Exploratory Study on Framing Gender Pay Inequity. Business and Politics, 25(1), 17–33. </w:t>
      </w:r>
      <w:hyperlink r:id="rId68" w:history="1">
        <w:r w:rsidRPr="00757A71">
          <w:rPr>
            <w:rStyle w:val="Hyperlink"/>
            <w:i/>
            <w:iCs/>
          </w:rPr>
          <w:t>https://doi.org/10.1017/bap.2022.21</w:t>
        </w:r>
      </w:hyperlink>
      <w:r>
        <w:rPr>
          <w:i/>
          <w:iCs/>
        </w:rPr>
        <w:t xml:space="preserve"> </w:t>
      </w:r>
    </w:p>
    <w:p w14:paraId="4B0021DC" w14:textId="77777777" w:rsidR="00FA23FD" w:rsidRDefault="00FA23FD" w:rsidP="00FA23FD">
      <w:pPr>
        <w:rPr>
          <w:i/>
          <w:iCs/>
        </w:rPr>
      </w:pPr>
      <w:r w:rsidRPr="00366BA9">
        <w:rPr>
          <w:i/>
          <w:iCs/>
        </w:rPr>
        <w:t xml:space="preserve">Reynold, F., &amp; Palmer, A. (2005). Proving Constructive Dismissal: Should One Be Concerned </w:t>
      </w:r>
      <w:proofErr w:type="gramStart"/>
      <w:r w:rsidRPr="00366BA9">
        <w:rPr>
          <w:i/>
          <w:iCs/>
        </w:rPr>
        <w:t>With</w:t>
      </w:r>
      <w:proofErr w:type="gramEnd"/>
      <w:r w:rsidRPr="00366BA9">
        <w:rPr>
          <w:i/>
          <w:iCs/>
        </w:rPr>
        <w:t xml:space="preserve"> What Was in the Employer’s Mind? Industrial Law Journal (London), 34(1), 96–102. </w:t>
      </w:r>
      <w:hyperlink r:id="rId69" w:history="1">
        <w:r w:rsidRPr="00366BA9">
          <w:rPr>
            <w:rStyle w:val="Hyperlink"/>
            <w:i/>
            <w:iCs/>
          </w:rPr>
          <w:t>https://doi.org/10.1093/ilj/34.1.96</w:t>
        </w:r>
      </w:hyperlink>
      <w:r>
        <w:rPr>
          <w:i/>
          <w:iCs/>
        </w:rPr>
        <w:t xml:space="preserve"> </w:t>
      </w:r>
    </w:p>
    <w:p w14:paraId="5F1FC9D0" w14:textId="77777777" w:rsidR="00FA23FD" w:rsidRDefault="00FA23FD" w:rsidP="00FA23FD">
      <w:pPr>
        <w:rPr>
          <w:i/>
          <w:iCs/>
        </w:rPr>
      </w:pPr>
      <w:r w:rsidRPr="006A765A">
        <w:rPr>
          <w:i/>
          <w:iCs/>
        </w:rPr>
        <w:t xml:space="preserve">Robinson-Steele v. Royal Bank of Scotland (2006) EWCA </w:t>
      </w:r>
      <w:proofErr w:type="spellStart"/>
      <w:r w:rsidRPr="006A765A">
        <w:rPr>
          <w:i/>
          <w:iCs/>
        </w:rPr>
        <w:t>Civ</w:t>
      </w:r>
      <w:proofErr w:type="spellEnd"/>
      <w:r w:rsidRPr="006A765A">
        <w:rPr>
          <w:i/>
          <w:iCs/>
        </w:rPr>
        <w:t xml:space="preserve"> 228.</w:t>
      </w:r>
      <w:r w:rsidRPr="006A765A">
        <w:rPr>
          <w:rFonts w:ascii="Calibri" w:hAnsi="Calibri" w:cs="Calibri"/>
          <w:color w:val="2C3E50"/>
          <w:sz w:val="27"/>
          <w:szCs w:val="27"/>
          <w:shd w:val="clear" w:color="auto" w:fill="FEF1C4"/>
        </w:rPr>
        <w:t xml:space="preserve"> </w:t>
      </w:r>
      <w:r w:rsidRPr="006A765A">
        <w:rPr>
          <w:i/>
          <w:iCs/>
        </w:rPr>
        <w:t xml:space="preserve">[online] Available at: </w:t>
      </w:r>
      <w:hyperlink r:id="rId70" w:history="1">
        <w:r w:rsidRPr="008144CD">
          <w:rPr>
            <w:rStyle w:val="Hyperlink"/>
            <w:i/>
            <w:iCs/>
          </w:rPr>
          <w:t>https://www.bailii.org/eu/cases/EUECJ/2006/C13104.html</w:t>
        </w:r>
      </w:hyperlink>
      <w:r w:rsidRPr="006A765A">
        <w:rPr>
          <w:i/>
          <w:iCs/>
        </w:rPr>
        <w:t>.</w:t>
      </w:r>
      <w:r>
        <w:rPr>
          <w:i/>
          <w:iCs/>
        </w:rPr>
        <w:t xml:space="preserve">  [Accessed 4</w:t>
      </w:r>
      <w:r w:rsidRPr="006A765A">
        <w:rPr>
          <w:i/>
          <w:iCs/>
          <w:vertAlign w:val="superscript"/>
        </w:rPr>
        <w:t>th</w:t>
      </w:r>
      <w:r>
        <w:rPr>
          <w:i/>
          <w:iCs/>
        </w:rPr>
        <w:t xml:space="preserve"> March 2025]</w:t>
      </w:r>
    </w:p>
    <w:p w14:paraId="618E290C" w14:textId="77777777" w:rsidR="00FA23FD" w:rsidRDefault="00FA23FD" w:rsidP="00FA23FD">
      <w:pPr>
        <w:rPr>
          <w:i/>
          <w:iCs/>
        </w:rPr>
      </w:pPr>
      <w:r w:rsidRPr="00840AED">
        <w:rPr>
          <w:i/>
          <w:iCs/>
        </w:rPr>
        <w:t xml:space="preserve">Royal Mail Group Ltd v </w:t>
      </w:r>
      <w:proofErr w:type="spellStart"/>
      <w:r w:rsidRPr="00840AED">
        <w:rPr>
          <w:i/>
          <w:iCs/>
        </w:rPr>
        <w:t>Jhuti</w:t>
      </w:r>
      <w:proofErr w:type="spellEnd"/>
      <w:r w:rsidRPr="00840AED">
        <w:rPr>
          <w:i/>
          <w:iCs/>
        </w:rPr>
        <w:t xml:space="preserve"> [2019] UKSC 55, UK Supreme Court</w:t>
      </w:r>
      <w:r>
        <w:rPr>
          <w:i/>
          <w:iCs/>
        </w:rPr>
        <w:t xml:space="preserve"> </w:t>
      </w:r>
      <w:r w:rsidRPr="00840AED">
        <w:rPr>
          <w:i/>
          <w:iCs/>
        </w:rPr>
        <w:t xml:space="preserve">Available at: </w:t>
      </w:r>
      <w:hyperlink r:id="rId71" w:history="1">
        <w:r w:rsidRPr="008144CD">
          <w:rPr>
            <w:rStyle w:val="Hyperlink"/>
            <w:i/>
            <w:iCs/>
          </w:rPr>
          <w:t>https://assets.publishing.service.gov.uk/media/634e5243d3bf7f618c35e558/Ms_K_Jhuti__vs_Royal_Mail_Group_ltd.pdf</w:t>
        </w:r>
      </w:hyperlink>
      <w:r w:rsidRPr="00840AED">
        <w:rPr>
          <w:i/>
          <w:iCs/>
        </w:rPr>
        <w:t>.</w:t>
      </w:r>
      <w:r>
        <w:rPr>
          <w:i/>
          <w:iCs/>
        </w:rPr>
        <w:t xml:space="preserve"> [Accessed 25</w:t>
      </w:r>
      <w:r w:rsidRPr="00E3392C">
        <w:rPr>
          <w:i/>
          <w:iCs/>
          <w:vertAlign w:val="superscript"/>
        </w:rPr>
        <w:t>th</w:t>
      </w:r>
      <w:r>
        <w:rPr>
          <w:i/>
          <w:iCs/>
        </w:rPr>
        <w:t xml:space="preserve"> February 2025]</w:t>
      </w:r>
    </w:p>
    <w:p w14:paraId="25C98E33" w14:textId="77777777" w:rsidR="00FA23FD" w:rsidRDefault="00FA23FD" w:rsidP="00FA23FD">
      <w:pPr>
        <w:rPr>
          <w:i/>
          <w:iCs/>
        </w:rPr>
      </w:pPr>
      <w:r w:rsidRPr="00590928">
        <w:rPr>
          <w:i/>
          <w:iCs/>
        </w:rPr>
        <w:t xml:space="preserve">Rupp, D. E., &amp; Vodanovich, S. J. (Eds.). (2022). Employment </w:t>
      </w:r>
      <w:proofErr w:type="gramStart"/>
      <w:r w:rsidRPr="00590928">
        <w:rPr>
          <w:i/>
          <w:iCs/>
        </w:rPr>
        <w:t>discrimination :</w:t>
      </w:r>
      <w:proofErr w:type="gramEnd"/>
      <w:r w:rsidRPr="00590928">
        <w:rPr>
          <w:i/>
          <w:iCs/>
        </w:rPr>
        <w:t xml:space="preserve"> a concise review of the legal landscape. Oxford University Press.</w:t>
      </w:r>
      <w:r>
        <w:rPr>
          <w:i/>
          <w:iCs/>
        </w:rPr>
        <w:t xml:space="preserve"> </w:t>
      </w:r>
    </w:p>
    <w:p w14:paraId="4060F007" w14:textId="77777777" w:rsidR="00FA23FD" w:rsidRPr="00007F5B" w:rsidRDefault="00FA23FD" w:rsidP="00FA23FD">
      <w:pPr>
        <w:rPr>
          <w:i/>
          <w:iCs/>
        </w:rPr>
      </w:pPr>
      <w:bookmarkStart w:id="4" w:name="_Hlk191928511"/>
      <w:r w:rsidRPr="007D541C">
        <w:rPr>
          <w:i/>
          <w:iCs/>
        </w:rPr>
        <w:t>‌</w:t>
      </w:r>
      <w:r w:rsidRPr="00007F5B">
        <w:rPr>
          <w:i/>
          <w:iCs/>
        </w:rPr>
        <w:t xml:space="preserve">Shellaker, </w:t>
      </w:r>
      <w:bookmarkEnd w:id="4"/>
      <w:r w:rsidRPr="00007F5B">
        <w:rPr>
          <w:i/>
          <w:iCs/>
        </w:rPr>
        <w:t xml:space="preserve">M., Tong, S., &amp; Swallow, P. (2024). UK–EU law enforcement cooperation post-Brexit: A UK law enforcement practitioner perspective. Criminology &amp; Criminal Justice, 24(4), 841–861. </w:t>
      </w:r>
      <w:hyperlink r:id="rId72" w:history="1">
        <w:r w:rsidRPr="008144CD">
          <w:rPr>
            <w:rStyle w:val="Hyperlink"/>
            <w:i/>
            <w:iCs/>
          </w:rPr>
          <w:t>https://doi.org/10.1177/17488958231162520</w:t>
        </w:r>
      </w:hyperlink>
      <w:r>
        <w:rPr>
          <w:i/>
          <w:iCs/>
        </w:rPr>
        <w:t xml:space="preserve"> [Accessed 3</w:t>
      </w:r>
      <w:r w:rsidRPr="006A765A">
        <w:rPr>
          <w:i/>
          <w:iCs/>
          <w:vertAlign w:val="superscript"/>
        </w:rPr>
        <w:t>rd</w:t>
      </w:r>
      <w:r>
        <w:rPr>
          <w:i/>
          <w:iCs/>
        </w:rPr>
        <w:t xml:space="preserve"> March 2025]</w:t>
      </w:r>
    </w:p>
    <w:p w14:paraId="61E50A8B" w14:textId="77777777" w:rsidR="00FA23FD" w:rsidRDefault="00FA23FD" w:rsidP="00FA23FD">
      <w:pPr>
        <w:rPr>
          <w:i/>
          <w:iCs/>
        </w:rPr>
      </w:pPr>
      <w:r w:rsidRPr="007D541C">
        <w:rPr>
          <w:i/>
          <w:iCs/>
        </w:rPr>
        <w:t xml:space="preserve">The Law Society (2023). What is the European Court of Justice and why does it matter? [online] www.lawsociety.org.uk. Available at: </w:t>
      </w:r>
      <w:hyperlink r:id="rId73" w:history="1">
        <w:r w:rsidRPr="007D541C">
          <w:rPr>
            <w:rStyle w:val="Hyperlink"/>
            <w:i/>
            <w:iCs/>
          </w:rPr>
          <w:t>https://www.lawsociety.org.uk/topics/brexit/what-is-the-european-court-of-justice-and-why-does-it-matter</w:t>
        </w:r>
      </w:hyperlink>
      <w:r w:rsidRPr="007D541C">
        <w:rPr>
          <w:i/>
          <w:iCs/>
        </w:rPr>
        <w:t>.</w:t>
      </w:r>
      <w:r>
        <w:rPr>
          <w:i/>
          <w:iCs/>
        </w:rPr>
        <w:t xml:space="preserve"> [Accessed on 03</w:t>
      </w:r>
      <w:r w:rsidRPr="007D541C">
        <w:rPr>
          <w:i/>
          <w:iCs/>
          <w:vertAlign w:val="superscript"/>
        </w:rPr>
        <w:t>rd</w:t>
      </w:r>
      <w:r>
        <w:rPr>
          <w:i/>
          <w:iCs/>
        </w:rPr>
        <w:t xml:space="preserve"> March 2025]. </w:t>
      </w:r>
    </w:p>
    <w:p w14:paraId="2AD253B5" w14:textId="77777777" w:rsidR="00FA23FD" w:rsidRDefault="00FA23FD" w:rsidP="00FA23FD">
      <w:pPr>
        <w:rPr>
          <w:i/>
          <w:iCs/>
        </w:rPr>
      </w:pPr>
      <w:r w:rsidRPr="00DE1A2E">
        <w:rPr>
          <w:i/>
          <w:iCs/>
        </w:rPr>
        <w:t>‌</w:t>
      </w:r>
      <w:r w:rsidRPr="008659E7">
        <w:rPr>
          <w:i/>
          <w:iCs/>
        </w:rPr>
        <w:t xml:space="preserve">The Transfer of Undertakings (Protection of Employment) Regulations 2006. SI 2006/246. Available at: </w:t>
      </w:r>
      <w:hyperlink r:id="rId74" w:history="1">
        <w:r w:rsidRPr="00AF23C7">
          <w:rPr>
            <w:rStyle w:val="Hyperlink"/>
            <w:i/>
            <w:iCs/>
          </w:rPr>
          <w:t>https://www.legislation.gov.uk/uksi/2006/246/contents/made</w:t>
        </w:r>
      </w:hyperlink>
      <w:r>
        <w:rPr>
          <w:i/>
          <w:iCs/>
        </w:rPr>
        <w:t xml:space="preserve"> </w:t>
      </w:r>
      <w:r w:rsidRPr="008659E7">
        <w:rPr>
          <w:i/>
          <w:iCs/>
        </w:rPr>
        <w:t xml:space="preserve"> [Accessed 8 March 2025].</w:t>
      </w:r>
      <w:r>
        <w:rPr>
          <w:i/>
          <w:iCs/>
        </w:rPr>
        <w:t xml:space="preserve"> </w:t>
      </w:r>
    </w:p>
    <w:p w14:paraId="61E21F18" w14:textId="77777777" w:rsidR="00FA23FD" w:rsidRPr="003801D5" w:rsidRDefault="00FA23FD" w:rsidP="00FA23FD">
      <w:pPr>
        <w:rPr>
          <w:i/>
          <w:iCs/>
        </w:rPr>
      </w:pPr>
      <w:r w:rsidRPr="00E67E86">
        <w:rPr>
          <w:b/>
          <w:bCs/>
          <w:i/>
          <w:iCs/>
        </w:rPr>
        <w:t>The Working Time Regulations 1998</w:t>
      </w:r>
      <w:r w:rsidRPr="00E67E86">
        <w:rPr>
          <w:i/>
          <w:iCs/>
        </w:rPr>
        <w:t xml:space="preserve">. SI 1998/1833. Available at: </w:t>
      </w:r>
      <w:hyperlink r:id="rId75" w:history="1">
        <w:r w:rsidRPr="00AF23C7">
          <w:rPr>
            <w:rStyle w:val="Hyperlink"/>
            <w:i/>
            <w:iCs/>
          </w:rPr>
          <w:t>https://www.legislation.gov.uk/uksi/1998/1833/contents/made</w:t>
        </w:r>
      </w:hyperlink>
      <w:r>
        <w:rPr>
          <w:i/>
          <w:iCs/>
        </w:rPr>
        <w:t xml:space="preserve"> </w:t>
      </w:r>
      <w:r w:rsidRPr="00E67E86">
        <w:rPr>
          <w:i/>
          <w:iCs/>
        </w:rPr>
        <w:t>[Accessed 8 March 2025].</w:t>
      </w:r>
      <w:r>
        <w:rPr>
          <w:i/>
          <w:iCs/>
        </w:rPr>
        <w:t xml:space="preserve"> </w:t>
      </w:r>
    </w:p>
    <w:p w14:paraId="3ACFBB7A" w14:textId="77777777" w:rsidR="00FA23FD" w:rsidRDefault="00FA23FD" w:rsidP="00FA23FD">
      <w:pPr>
        <w:rPr>
          <w:i/>
          <w:iCs/>
        </w:rPr>
      </w:pPr>
      <w:r>
        <w:rPr>
          <w:i/>
          <w:iCs/>
        </w:rPr>
        <w:t xml:space="preserve">Thomson Reuters, Practical Law (2025) </w:t>
      </w:r>
      <w:r w:rsidRPr="00B32649">
        <w:rPr>
          <w:b/>
          <w:bCs/>
          <w:i/>
          <w:iCs/>
        </w:rPr>
        <w:t>Discrimination in employment: exceptions</w:t>
      </w:r>
      <w:r>
        <w:rPr>
          <w:b/>
          <w:bCs/>
          <w:i/>
          <w:iCs/>
        </w:rPr>
        <w:t xml:space="preserve"> </w:t>
      </w:r>
      <w:r w:rsidRPr="00B32649">
        <w:rPr>
          <w:b/>
          <w:bCs/>
          <w:i/>
          <w:iCs/>
        </w:rPr>
        <w:t>by Practical Law Employment</w:t>
      </w:r>
      <w:r>
        <w:rPr>
          <w:b/>
          <w:bCs/>
          <w:i/>
          <w:iCs/>
        </w:rPr>
        <w:t xml:space="preserve">. Available at: </w:t>
      </w:r>
      <w:hyperlink r:id="rId76" w:history="1">
        <w:r w:rsidRPr="00CE62D4">
          <w:rPr>
            <w:rStyle w:val="Hyperlink"/>
            <w:i/>
            <w:iCs/>
          </w:rPr>
          <w:t>https://uk.practicallaw.thomsonreuters.com/9-502-3493</w:t>
        </w:r>
      </w:hyperlink>
      <w:r>
        <w:rPr>
          <w:i/>
          <w:iCs/>
        </w:rPr>
        <w:t xml:space="preserve"> [Accessed 29th February 2025]</w:t>
      </w:r>
    </w:p>
    <w:p w14:paraId="4E581667" w14:textId="77777777" w:rsidR="00FA23FD" w:rsidRPr="0087723E" w:rsidRDefault="00FA23FD" w:rsidP="00FA23FD">
      <w:pPr>
        <w:rPr>
          <w:i/>
          <w:iCs/>
        </w:rPr>
      </w:pPr>
      <w:r w:rsidRPr="0087723E">
        <w:rPr>
          <w:i/>
          <w:iCs/>
        </w:rPr>
        <w:t>Towner, N. (2005). HOW TO REQUEST FLEXIBLE WORKING. In Community care (Haywards Heath, England) (Number 1564, pp. 49-). Mark Allen Group Ltd.</w:t>
      </w:r>
    </w:p>
    <w:p w14:paraId="24605A84" w14:textId="77777777" w:rsidR="00FA23FD" w:rsidRPr="00664E21" w:rsidRDefault="00FA23FD" w:rsidP="00FA23FD">
      <w:pPr>
        <w:rPr>
          <w:i/>
          <w:iCs/>
        </w:rPr>
      </w:pPr>
      <w:r w:rsidRPr="00664E21">
        <w:rPr>
          <w:i/>
          <w:iCs/>
        </w:rPr>
        <w:t>Tynan, R. (2008). Weekly dilemma TUPE and redundancies. Personnel Today, 167, 10-.</w:t>
      </w:r>
    </w:p>
    <w:p w14:paraId="1F7D3F6A" w14:textId="77777777" w:rsidR="00FA23FD" w:rsidRPr="007D541C" w:rsidRDefault="00FA23FD" w:rsidP="00FA23FD">
      <w:pPr>
        <w:rPr>
          <w:i/>
          <w:iCs/>
        </w:rPr>
      </w:pPr>
      <w:r w:rsidRPr="007D541C">
        <w:rPr>
          <w:b/>
          <w:bCs/>
          <w:i/>
          <w:iCs/>
        </w:rPr>
        <w:lastRenderedPageBreak/>
        <w:t>UK Government. (2018).</w:t>
      </w:r>
      <w:r w:rsidRPr="007D541C">
        <w:rPr>
          <w:i/>
          <w:iCs/>
        </w:rPr>
        <w:t xml:space="preserve"> European Union (Withdrawal) Act 2018. [online] Available at: </w:t>
      </w:r>
      <w:hyperlink r:id="rId77" w:history="1">
        <w:r w:rsidRPr="008144CD">
          <w:rPr>
            <w:rStyle w:val="Hyperlink"/>
            <w:i/>
            <w:iCs/>
          </w:rPr>
          <w:t>https://www.legislation.gov.uk/ukpga/2018/16/contents/enacted</w:t>
        </w:r>
      </w:hyperlink>
      <w:r>
        <w:rPr>
          <w:i/>
          <w:iCs/>
        </w:rPr>
        <w:t xml:space="preserve"> </w:t>
      </w:r>
      <w:r w:rsidRPr="007D541C">
        <w:rPr>
          <w:i/>
          <w:iCs/>
        </w:rPr>
        <w:t>[Accessed 3</w:t>
      </w:r>
      <w:r w:rsidRPr="006A765A">
        <w:rPr>
          <w:i/>
          <w:iCs/>
          <w:vertAlign w:val="superscript"/>
        </w:rPr>
        <w:t>rd</w:t>
      </w:r>
      <w:r w:rsidRPr="007D541C">
        <w:rPr>
          <w:i/>
          <w:iCs/>
        </w:rPr>
        <w:t xml:space="preserve"> March 2025].</w:t>
      </w:r>
    </w:p>
    <w:p w14:paraId="22F68799" w14:textId="77777777" w:rsidR="00FA23FD" w:rsidRDefault="00FA23FD" w:rsidP="00FA23FD">
      <w:pPr>
        <w:rPr>
          <w:i/>
          <w:iCs/>
        </w:rPr>
      </w:pPr>
      <w:r w:rsidRPr="00C13CBC">
        <w:rPr>
          <w:i/>
          <w:iCs/>
        </w:rPr>
        <w:t xml:space="preserve">UNISON (2019). UNISON. [online] UNISON National. Available at: </w:t>
      </w:r>
      <w:hyperlink r:id="rId78" w:history="1">
        <w:r w:rsidRPr="00C13CBC">
          <w:rPr>
            <w:rStyle w:val="Hyperlink"/>
            <w:i/>
            <w:iCs/>
          </w:rPr>
          <w:t>https://www.unison.org.uk/get-help/knowledge/pay/equal-pay/</w:t>
        </w:r>
      </w:hyperlink>
      <w:r w:rsidRPr="00C13CBC">
        <w:rPr>
          <w:i/>
          <w:iCs/>
        </w:rPr>
        <w:t>.</w:t>
      </w:r>
      <w:r>
        <w:rPr>
          <w:i/>
          <w:iCs/>
        </w:rPr>
        <w:t xml:space="preserve"> [Accessed: 7</w:t>
      </w:r>
      <w:r w:rsidRPr="00C13CBC">
        <w:rPr>
          <w:i/>
          <w:iCs/>
          <w:vertAlign w:val="superscript"/>
        </w:rPr>
        <w:t>th</w:t>
      </w:r>
      <w:r>
        <w:rPr>
          <w:i/>
          <w:iCs/>
        </w:rPr>
        <w:t xml:space="preserve"> March 2025]</w:t>
      </w:r>
    </w:p>
    <w:p w14:paraId="66BCB400" w14:textId="77777777" w:rsidR="00FA23FD" w:rsidRPr="00041863" w:rsidRDefault="00FA23FD" w:rsidP="00FA23FD">
      <w:pPr>
        <w:rPr>
          <w:i/>
          <w:iCs/>
        </w:rPr>
      </w:pPr>
      <w:bookmarkStart w:id="5" w:name="_Hlk192103684"/>
      <w:r w:rsidRPr="00041863">
        <w:rPr>
          <w:i/>
          <w:iCs/>
        </w:rPr>
        <w:t xml:space="preserve">Vickers, L. (2017). </w:t>
      </w:r>
      <w:bookmarkEnd w:id="5"/>
      <w:r w:rsidRPr="00041863">
        <w:rPr>
          <w:i/>
          <w:iCs/>
        </w:rPr>
        <w:t xml:space="preserve">Headscarves and the Court of Justice of the </w:t>
      </w:r>
      <w:proofErr w:type="spellStart"/>
      <w:r w:rsidRPr="00041863">
        <w:rPr>
          <w:i/>
          <w:iCs/>
        </w:rPr>
        <w:t>eu</w:t>
      </w:r>
      <w:proofErr w:type="spellEnd"/>
      <w:r w:rsidRPr="00041863">
        <w:rPr>
          <w:i/>
          <w:iCs/>
        </w:rPr>
        <w:t xml:space="preserve">: Discrimination and Genuine Occupational Requirements. International Labor Rights Case Law, 3(3), 413–418. </w:t>
      </w:r>
      <w:hyperlink r:id="rId79" w:history="1">
        <w:r w:rsidRPr="00041863">
          <w:rPr>
            <w:rStyle w:val="Hyperlink"/>
            <w:i/>
            <w:iCs/>
          </w:rPr>
          <w:t>https://doi.org/10.1163/24056901-00303018</w:t>
        </w:r>
      </w:hyperlink>
      <w:r>
        <w:rPr>
          <w:i/>
          <w:iCs/>
        </w:rPr>
        <w:t xml:space="preserve"> </w:t>
      </w:r>
    </w:p>
    <w:p w14:paraId="70523F69" w14:textId="77777777" w:rsidR="00FA23FD" w:rsidRPr="00C21BEE" w:rsidRDefault="00FA23FD" w:rsidP="00FA23FD">
      <w:pPr>
        <w:rPr>
          <w:i/>
          <w:iCs/>
        </w:rPr>
      </w:pPr>
      <w:r w:rsidRPr="00C21BEE">
        <w:rPr>
          <w:i/>
          <w:iCs/>
        </w:rPr>
        <w:t xml:space="preserve">Walker, C. (2023). Holiday Pay for Casual Workers: Your Entitlement - Cintra. [online] Cintra. Available at: </w:t>
      </w:r>
      <w:hyperlink r:id="rId80" w:history="1">
        <w:r w:rsidRPr="00C21BEE">
          <w:rPr>
            <w:rStyle w:val="Hyperlink"/>
            <w:i/>
            <w:iCs/>
          </w:rPr>
          <w:t>https://cintra.co.uk/blog/holiday-pay-for-casual-workers/</w:t>
        </w:r>
      </w:hyperlink>
      <w:r>
        <w:rPr>
          <w:i/>
          <w:iCs/>
        </w:rPr>
        <w:t xml:space="preserve"> </w:t>
      </w:r>
      <w:proofErr w:type="gramStart"/>
      <w:r>
        <w:rPr>
          <w:i/>
          <w:iCs/>
        </w:rPr>
        <w:t>Lew</w:t>
      </w:r>
      <w:r w:rsidRPr="00C21BEE">
        <w:rPr>
          <w:i/>
          <w:iCs/>
        </w:rPr>
        <w:t>[</w:t>
      </w:r>
      <w:proofErr w:type="gramEnd"/>
      <w:r w:rsidRPr="00C21BEE">
        <w:rPr>
          <w:i/>
          <w:iCs/>
        </w:rPr>
        <w:t>Accessed 9 Mar. 2025].</w:t>
      </w:r>
    </w:p>
    <w:p w14:paraId="1E579010" w14:textId="77777777" w:rsidR="00FA23FD" w:rsidRPr="006553AA" w:rsidRDefault="00FA23FD" w:rsidP="00FA23FD">
      <w:pPr>
        <w:rPr>
          <w:i/>
          <w:iCs/>
        </w:rPr>
      </w:pPr>
      <w:r w:rsidRPr="00B17859">
        <w:rPr>
          <w:i/>
          <w:iCs/>
        </w:rPr>
        <w:t>Western Excavating (ECC) Ltd v. Sharp [1978] ICR 221 (HL).</w:t>
      </w:r>
      <w:r>
        <w:rPr>
          <w:i/>
          <w:iCs/>
        </w:rPr>
        <w:t xml:space="preserve"> Available at: </w:t>
      </w:r>
      <w:hyperlink r:id="rId81" w:history="1">
        <w:r w:rsidRPr="00867BF9">
          <w:rPr>
            <w:rStyle w:val="Hyperlink"/>
            <w:i/>
            <w:iCs/>
          </w:rPr>
          <w:t>https://assets.publishing.service.gov.uk/media/5a969f59ed915d57d4d0f11d/Mrs_T_Button_v_Birmingham_Community_Healthcare_NHS_Foundation_Trust_1301461_2017.pdf</w:t>
        </w:r>
      </w:hyperlink>
      <w:r>
        <w:rPr>
          <w:i/>
          <w:iCs/>
        </w:rPr>
        <w:t xml:space="preserve"> [Accessed: 7</w:t>
      </w:r>
      <w:r w:rsidRPr="00B31B34">
        <w:rPr>
          <w:i/>
          <w:iCs/>
          <w:vertAlign w:val="superscript"/>
        </w:rPr>
        <w:t>th</w:t>
      </w:r>
      <w:r>
        <w:rPr>
          <w:i/>
          <w:iCs/>
        </w:rPr>
        <w:t xml:space="preserve"> March 2025]. </w:t>
      </w:r>
    </w:p>
    <w:p w14:paraId="203E8577" w14:textId="77777777" w:rsidR="00FA23FD" w:rsidRPr="00F519DA" w:rsidRDefault="00FA23FD" w:rsidP="00FA23FD">
      <w:pPr>
        <w:rPr>
          <w:i/>
          <w:iCs/>
        </w:rPr>
      </w:pPr>
      <w:bookmarkStart w:id="6" w:name="_Hlk192342854"/>
      <w:proofErr w:type="spellStart"/>
      <w:r w:rsidRPr="00F519DA">
        <w:rPr>
          <w:i/>
          <w:iCs/>
        </w:rPr>
        <w:t>Whitear</w:t>
      </w:r>
      <w:proofErr w:type="spellEnd"/>
      <w:r w:rsidRPr="00F519DA">
        <w:rPr>
          <w:i/>
          <w:iCs/>
        </w:rPr>
        <w:t>-Nel,</w:t>
      </w:r>
      <w:bookmarkEnd w:id="6"/>
      <w:r w:rsidRPr="00F519DA">
        <w:rPr>
          <w:i/>
          <w:iCs/>
        </w:rPr>
        <w:t xml:space="preserve"> N., &amp; </w:t>
      </w:r>
      <w:proofErr w:type="spellStart"/>
      <w:r w:rsidRPr="00F519DA">
        <w:rPr>
          <w:i/>
          <w:iCs/>
        </w:rPr>
        <w:t>Rudling</w:t>
      </w:r>
      <w:proofErr w:type="spellEnd"/>
      <w:r w:rsidRPr="00F519DA">
        <w:rPr>
          <w:i/>
          <w:iCs/>
        </w:rPr>
        <w:t xml:space="preserve">, M. (2012). Constructive </w:t>
      </w:r>
      <w:proofErr w:type="gramStart"/>
      <w:r w:rsidRPr="00F519DA">
        <w:rPr>
          <w:i/>
          <w:iCs/>
        </w:rPr>
        <w:t>dismissal :</w:t>
      </w:r>
      <w:proofErr w:type="gramEnd"/>
      <w:r w:rsidRPr="00F519DA">
        <w:rPr>
          <w:i/>
          <w:iCs/>
        </w:rPr>
        <w:t xml:space="preserve"> a tricky horse to ride. Obiter, 33(1), 193–201. </w:t>
      </w:r>
      <w:hyperlink r:id="rId82" w:history="1">
        <w:r w:rsidRPr="00F519DA">
          <w:rPr>
            <w:rStyle w:val="Hyperlink"/>
            <w:i/>
            <w:iCs/>
          </w:rPr>
          <w:t>https://doi.org/10.10520/EJC125377</w:t>
        </w:r>
      </w:hyperlink>
      <w:r>
        <w:rPr>
          <w:i/>
          <w:iCs/>
        </w:rPr>
        <w:t xml:space="preserve"> </w:t>
      </w:r>
    </w:p>
    <w:p w14:paraId="1992DCEE" w14:textId="77777777" w:rsidR="00FA23FD" w:rsidRDefault="00FA23FD" w:rsidP="00FA23FD">
      <w:pPr>
        <w:rPr>
          <w:i/>
          <w:iCs/>
        </w:rPr>
      </w:pPr>
      <w:r w:rsidRPr="00B31B34">
        <w:rPr>
          <w:i/>
          <w:iCs/>
        </w:rPr>
        <w:t xml:space="preserve">Wynn-Evans, C. (2002). Constructive Dismissal, TUPE and Subsidiarity. Industrial Law Journal (London), 31(3), 282–285. </w:t>
      </w:r>
      <w:hyperlink r:id="rId83" w:history="1">
        <w:r w:rsidRPr="00B31B34">
          <w:rPr>
            <w:rStyle w:val="Hyperlink"/>
            <w:i/>
            <w:iCs/>
          </w:rPr>
          <w:t>https://doi.org/10.1093/ilj/31.3.282</w:t>
        </w:r>
      </w:hyperlink>
      <w:r>
        <w:rPr>
          <w:i/>
          <w:iCs/>
        </w:rPr>
        <w:t xml:space="preserve"> </w:t>
      </w:r>
    </w:p>
    <w:p w14:paraId="323260DE" w14:textId="77777777" w:rsidR="00FA23FD" w:rsidRDefault="00FA23FD" w:rsidP="00FA23FD">
      <w:pPr>
        <w:rPr>
          <w:i/>
          <w:iCs/>
        </w:rPr>
      </w:pPr>
      <w:r w:rsidRPr="008659E7">
        <w:rPr>
          <w:i/>
          <w:iCs/>
        </w:rPr>
        <w:t xml:space="preserve">Wynn-Evans, C. (2020). The Use and Abuse of TUPE. Industrial Law Journal (London), 49(3), 459–476. </w:t>
      </w:r>
      <w:hyperlink r:id="rId84" w:history="1">
        <w:r w:rsidRPr="008659E7">
          <w:rPr>
            <w:rStyle w:val="Hyperlink"/>
            <w:i/>
            <w:iCs/>
          </w:rPr>
          <w:t>https://doi.org/10.1093/indlaw/dwaa014</w:t>
        </w:r>
      </w:hyperlink>
      <w:r>
        <w:rPr>
          <w:i/>
          <w:iCs/>
        </w:rPr>
        <w:t xml:space="preserve"> </w:t>
      </w:r>
    </w:p>
    <w:p w14:paraId="0DCEFDB1" w14:textId="77777777" w:rsidR="00FA23FD" w:rsidRPr="00693926" w:rsidRDefault="00FA23FD" w:rsidP="0072672E"/>
    <w:sectPr w:rsidR="00FA23FD" w:rsidRPr="006939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F76"/>
    <w:rsid w:val="000174DC"/>
    <w:rsid w:val="0002078E"/>
    <w:rsid w:val="00025E59"/>
    <w:rsid w:val="0018658A"/>
    <w:rsid w:val="00250F26"/>
    <w:rsid w:val="00305103"/>
    <w:rsid w:val="003E3150"/>
    <w:rsid w:val="00466E37"/>
    <w:rsid w:val="004F63E0"/>
    <w:rsid w:val="00593E3C"/>
    <w:rsid w:val="006135E4"/>
    <w:rsid w:val="00693926"/>
    <w:rsid w:val="006D2F86"/>
    <w:rsid w:val="00700D3F"/>
    <w:rsid w:val="0072672E"/>
    <w:rsid w:val="00775505"/>
    <w:rsid w:val="00865060"/>
    <w:rsid w:val="008D3BF8"/>
    <w:rsid w:val="00AA1722"/>
    <w:rsid w:val="00AA6BD5"/>
    <w:rsid w:val="00AC5044"/>
    <w:rsid w:val="00C6797C"/>
    <w:rsid w:val="00CA3AE9"/>
    <w:rsid w:val="00CC588B"/>
    <w:rsid w:val="00DF0F76"/>
    <w:rsid w:val="00E04298"/>
    <w:rsid w:val="00FA2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3620"/>
  <w15:chartTrackingRefBased/>
  <w15:docId w15:val="{0A74125D-BFA5-4A2B-820F-92C9ED87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F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0F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0F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0F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0F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0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F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0F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0F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0F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0F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0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F76"/>
    <w:rPr>
      <w:rFonts w:eastAsiaTheme="majorEastAsia" w:cstheme="majorBidi"/>
      <w:color w:val="272727" w:themeColor="text1" w:themeTint="D8"/>
    </w:rPr>
  </w:style>
  <w:style w:type="paragraph" w:styleId="Title">
    <w:name w:val="Title"/>
    <w:basedOn w:val="Normal"/>
    <w:next w:val="Normal"/>
    <w:link w:val="TitleChar"/>
    <w:uiPriority w:val="10"/>
    <w:qFormat/>
    <w:rsid w:val="00DF0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F76"/>
    <w:pPr>
      <w:spacing w:before="160"/>
      <w:jc w:val="center"/>
    </w:pPr>
    <w:rPr>
      <w:i/>
      <w:iCs/>
      <w:color w:val="404040" w:themeColor="text1" w:themeTint="BF"/>
    </w:rPr>
  </w:style>
  <w:style w:type="character" w:customStyle="1" w:styleId="QuoteChar">
    <w:name w:val="Quote Char"/>
    <w:basedOn w:val="DefaultParagraphFont"/>
    <w:link w:val="Quote"/>
    <w:uiPriority w:val="29"/>
    <w:rsid w:val="00DF0F76"/>
    <w:rPr>
      <w:i/>
      <w:iCs/>
      <w:color w:val="404040" w:themeColor="text1" w:themeTint="BF"/>
    </w:rPr>
  </w:style>
  <w:style w:type="paragraph" w:styleId="ListParagraph">
    <w:name w:val="List Paragraph"/>
    <w:basedOn w:val="Normal"/>
    <w:uiPriority w:val="34"/>
    <w:qFormat/>
    <w:rsid w:val="00DF0F76"/>
    <w:pPr>
      <w:ind w:left="720"/>
      <w:contextualSpacing/>
    </w:pPr>
  </w:style>
  <w:style w:type="character" w:styleId="IntenseEmphasis">
    <w:name w:val="Intense Emphasis"/>
    <w:basedOn w:val="DefaultParagraphFont"/>
    <w:uiPriority w:val="21"/>
    <w:qFormat/>
    <w:rsid w:val="00DF0F76"/>
    <w:rPr>
      <w:i/>
      <w:iCs/>
      <w:color w:val="2F5496" w:themeColor="accent1" w:themeShade="BF"/>
    </w:rPr>
  </w:style>
  <w:style w:type="paragraph" w:styleId="IntenseQuote">
    <w:name w:val="Intense Quote"/>
    <w:basedOn w:val="Normal"/>
    <w:next w:val="Normal"/>
    <w:link w:val="IntenseQuoteChar"/>
    <w:uiPriority w:val="30"/>
    <w:qFormat/>
    <w:rsid w:val="00DF0F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0F76"/>
    <w:rPr>
      <w:i/>
      <w:iCs/>
      <w:color w:val="2F5496" w:themeColor="accent1" w:themeShade="BF"/>
    </w:rPr>
  </w:style>
  <w:style w:type="character" w:styleId="IntenseReference">
    <w:name w:val="Intense Reference"/>
    <w:basedOn w:val="DefaultParagraphFont"/>
    <w:uiPriority w:val="32"/>
    <w:qFormat/>
    <w:rsid w:val="00DF0F76"/>
    <w:rPr>
      <w:b/>
      <w:bCs/>
      <w:smallCaps/>
      <w:color w:val="2F5496" w:themeColor="accent1" w:themeShade="BF"/>
      <w:spacing w:val="5"/>
    </w:rPr>
  </w:style>
  <w:style w:type="character" w:styleId="Hyperlink">
    <w:name w:val="Hyperlink"/>
    <w:basedOn w:val="DefaultParagraphFont"/>
    <w:uiPriority w:val="99"/>
    <w:unhideWhenUsed/>
    <w:rsid w:val="00FA23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7076">
      <w:bodyDiv w:val="1"/>
      <w:marLeft w:val="0"/>
      <w:marRight w:val="0"/>
      <w:marTop w:val="0"/>
      <w:marBottom w:val="0"/>
      <w:divBdr>
        <w:top w:val="none" w:sz="0" w:space="0" w:color="auto"/>
        <w:left w:val="none" w:sz="0" w:space="0" w:color="auto"/>
        <w:bottom w:val="none" w:sz="0" w:space="0" w:color="auto"/>
        <w:right w:val="none" w:sz="0" w:space="0" w:color="auto"/>
      </w:divBdr>
      <w:divsChild>
        <w:div w:id="73864420">
          <w:marLeft w:val="0"/>
          <w:marRight w:val="0"/>
          <w:marTop w:val="0"/>
          <w:marBottom w:val="0"/>
          <w:divBdr>
            <w:top w:val="none" w:sz="0" w:space="0" w:color="auto"/>
            <w:left w:val="none" w:sz="0" w:space="0" w:color="auto"/>
            <w:bottom w:val="none" w:sz="0" w:space="0" w:color="auto"/>
            <w:right w:val="none" w:sz="0" w:space="0" w:color="auto"/>
          </w:divBdr>
          <w:divsChild>
            <w:div w:id="1204370059">
              <w:marLeft w:val="0"/>
              <w:marRight w:val="0"/>
              <w:marTop w:val="0"/>
              <w:marBottom w:val="0"/>
              <w:divBdr>
                <w:top w:val="none" w:sz="0" w:space="0" w:color="auto"/>
                <w:left w:val="none" w:sz="0" w:space="0" w:color="auto"/>
                <w:bottom w:val="none" w:sz="0" w:space="0" w:color="auto"/>
                <w:right w:val="none" w:sz="0" w:space="0" w:color="auto"/>
              </w:divBdr>
              <w:divsChild>
                <w:div w:id="1452092174">
                  <w:marLeft w:val="0"/>
                  <w:marRight w:val="0"/>
                  <w:marTop w:val="0"/>
                  <w:marBottom w:val="0"/>
                  <w:divBdr>
                    <w:top w:val="none" w:sz="0" w:space="0" w:color="auto"/>
                    <w:left w:val="none" w:sz="0" w:space="0" w:color="auto"/>
                    <w:bottom w:val="none" w:sz="0" w:space="0" w:color="auto"/>
                    <w:right w:val="none" w:sz="0" w:space="0" w:color="auto"/>
                  </w:divBdr>
                  <w:divsChild>
                    <w:div w:id="1582332885">
                      <w:marLeft w:val="0"/>
                      <w:marRight w:val="0"/>
                      <w:marTop w:val="0"/>
                      <w:marBottom w:val="0"/>
                      <w:divBdr>
                        <w:top w:val="none" w:sz="0" w:space="0" w:color="auto"/>
                        <w:left w:val="none" w:sz="0" w:space="0" w:color="auto"/>
                        <w:bottom w:val="none" w:sz="0" w:space="0" w:color="auto"/>
                        <w:right w:val="none" w:sz="0" w:space="0" w:color="auto"/>
                      </w:divBdr>
                      <w:divsChild>
                        <w:div w:id="1678313795">
                          <w:marLeft w:val="0"/>
                          <w:marRight w:val="0"/>
                          <w:marTop w:val="0"/>
                          <w:marBottom w:val="0"/>
                          <w:divBdr>
                            <w:top w:val="none" w:sz="0" w:space="0" w:color="auto"/>
                            <w:left w:val="none" w:sz="0" w:space="0" w:color="auto"/>
                            <w:bottom w:val="none" w:sz="0" w:space="0" w:color="auto"/>
                            <w:right w:val="none" w:sz="0" w:space="0" w:color="auto"/>
                          </w:divBdr>
                          <w:divsChild>
                            <w:div w:id="364327175">
                              <w:marLeft w:val="0"/>
                              <w:marRight w:val="0"/>
                              <w:marTop w:val="0"/>
                              <w:marBottom w:val="0"/>
                              <w:divBdr>
                                <w:top w:val="none" w:sz="0" w:space="0" w:color="auto"/>
                                <w:left w:val="none" w:sz="0" w:space="0" w:color="auto"/>
                                <w:bottom w:val="none" w:sz="0" w:space="0" w:color="auto"/>
                                <w:right w:val="none" w:sz="0" w:space="0" w:color="auto"/>
                              </w:divBdr>
                              <w:divsChild>
                                <w:div w:id="1187135493">
                                  <w:marLeft w:val="0"/>
                                  <w:marRight w:val="0"/>
                                  <w:marTop w:val="0"/>
                                  <w:marBottom w:val="0"/>
                                  <w:divBdr>
                                    <w:top w:val="none" w:sz="0" w:space="0" w:color="auto"/>
                                    <w:left w:val="none" w:sz="0" w:space="0" w:color="auto"/>
                                    <w:bottom w:val="none" w:sz="0" w:space="0" w:color="auto"/>
                                    <w:right w:val="none" w:sz="0" w:space="0" w:color="auto"/>
                                  </w:divBdr>
                                  <w:divsChild>
                                    <w:div w:id="5752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62809">
      <w:bodyDiv w:val="1"/>
      <w:marLeft w:val="0"/>
      <w:marRight w:val="0"/>
      <w:marTop w:val="0"/>
      <w:marBottom w:val="0"/>
      <w:divBdr>
        <w:top w:val="none" w:sz="0" w:space="0" w:color="auto"/>
        <w:left w:val="none" w:sz="0" w:space="0" w:color="auto"/>
        <w:bottom w:val="none" w:sz="0" w:space="0" w:color="auto"/>
        <w:right w:val="none" w:sz="0" w:space="0" w:color="auto"/>
      </w:divBdr>
    </w:div>
    <w:div w:id="321351638">
      <w:bodyDiv w:val="1"/>
      <w:marLeft w:val="0"/>
      <w:marRight w:val="0"/>
      <w:marTop w:val="0"/>
      <w:marBottom w:val="0"/>
      <w:divBdr>
        <w:top w:val="none" w:sz="0" w:space="0" w:color="auto"/>
        <w:left w:val="none" w:sz="0" w:space="0" w:color="auto"/>
        <w:bottom w:val="none" w:sz="0" w:space="0" w:color="auto"/>
        <w:right w:val="none" w:sz="0" w:space="0" w:color="auto"/>
      </w:divBdr>
    </w:div>
    <w:div w:id="410735471">
      <w:bodyDiv w:val="1"/>
      <w:marLeft w:val="0"/>
      <w:marRight w:val="0"/>
      <w:marTop w:val="0"/>
      <w:marBottom w:val="0"/>
      <w:divBdr>
        <w:top w:val="none" w:sz="0" w:space="0" w:color="auto"/>
        <w:left w:val="none" w:sz="0" w:space="0" w:color="auto"/>
        <w:bottom w:val="none" w:sz="0" w:space="0" w:color="auto"/>
        <w:right w:val="none" w:sz="0" w:space="0" w:color="auto"/>
      </w:divBdr>
    </w:div>
    <w:div w:id="467011363">
      <w:bodyDiv w:val="1"/>
      <w:marLeft w:val="0"/>
      <w:marRight w:val="0"/>
      <w:marTop w:val="0"/>
      <w:marBottom w:val="0"/>
      <w:divBdr>
        <w:top w:val="none" w:sz="0" w:space="0" w:color="auto"/>
        <w:left w:val="none" w:sz="0" w:space="0" w:color="auto"/>
        <w:bottom w:val="none" w:sz="0" w:space="0" w:color="auto"/>
        <w:right w:val="none" w:sz="0" w:space="0" w:color="auto"/>
      </w:divBdr>
    </w:div>
    <w:div w:id="642733265">
      <w:bodyDiv w:val="1"/>
      <w:marLeft w:val="0"/>
      <w:marRight w:val="0"/>
      <w:marTop w:val="0"/>
      <w:marBottom w:val="0"/>
      <w:divBdr>
        <w:top w:val="none" w:sz="0" w:space="0" w:color="auto"/>
        <w:left w:val="none" w:sz="0" w:space="0" w:color="auto"/>
        <w:bottom w:val="none" w:sz="0" w:space="0" w:color="auto"/>
        <w:right w:val="none" w:sz="0" w:space="0" w:color="auto"/>
      </w:divBdr>
    </w:div>
    <w:div w:id="659891047">
      <w:bodyDiv w:val="1"/>
      <w:marLeft w:val="0"/>
      <w:marRight w:val="0"/>
      <w:marTop w:val="0"/>
      <w:marBottom w:val="0"/>
      <w:divBdr>
        <w:top w:val="none" w:sz="0" w:space="0" w:color="auto"/>
        <w:left w:val="none" w:sz="0" w:space="0" w:color="auto"/>
        <w:bottom w:val="none" w:sz="0" w:space="0" w:color="auto"/>
        <w:right w:val="none" w:sz="0" w:space="0" w:color="auto"/>
      </w:divBdr>
      <w:divsChild>
        <w:div w:id="1329870075">
          <w:marLeft w:val="0"/>
          <w:marRight w:val="0"/>
          <w:marTop w:val="0"/>
          <w:marBottom w:val="0"/>
          <w:divBdr>
            <w:top w:val="none" w:sz="0" w:space="0" w:color="auto"/>
            <w:left w:val="none" w:sz="0" w:space="0" w:color="auto"/>
            <w:bottom w:val="none" w:sz="0" w:space="0" w:color="auto"/>
            <w:right w:val="none" w:sz="0" w:space="0" w:color="auto"/>
          </w:divBdr>
          <w:divsChild>
            <w:div w:id="1268150929">
              <w:marLeft w:val="0"/>
              <w:marRight w:val="0"/>
              <w:marTop w:val="0"/>
              <w:marBottom w:val="0"/>
              <w:divBdr>
                <w:top w:val="none" w:sz="0" w:space="0" w:color="auto"/>
                <w:left w:val="none" w:sz="0" w:space="0" w:color="auto"/>
                <w:bottom w:val="none" w:sz="0" w:space="0" w:color="auto"/>
                <w:right w:val="none" w:sz="0" w:space="0" w:color="auto"/>
              </w:divBdr>
              <w:divsChild>
                <w:div w:id="508064748">
                  <w:marLeft w:val="0"/>
                  <w:marRight w:val="0"/>
                  <w:marTop w:val="0"/>
                  <w:marBottom w:val="0"/>
                  <w:divBdr>
                    <w:top w:val="none" w:sz="0" w:space="0" w:color="auto"/>
                    <w:left w:val="none" w:sz="0" w:space="0" w:color="auto"/>
                    <w:bottom w:val="none" w:sz="0" w:space="0" w:color="auto"/>
                    <w:right w:val="none" w:sz="0" w:space="0" w:color="auto"/>
                  </w:divBdr>
                  <w:divsChild>
                    <w:div w:id="1573925605">
                      <w:marLeft w:val="0"/>
                      <w:marRight w:val="0"/>
                      <w:marTop w:val="0"/>
                      <w:marBottom w:val="0"/>
                      <w:divBdr>
                        <w:top w:val="none" w:sz="0" w:space="0" w:color="auto"/>
                        <w:left w:val="none" w:sz="0" w:space="0" w:color="auto"/>
                        <w:bottom w:val="none" w:sz="0" w:space="0" w:color="auto"/>
                        <w:right w:val="none" w:sz="0" w:space="0" w:color="auto"/>
                      </w:divBdr>
                      <w:divsChild>
                        <w:div w:id="184831537">
                          <w:marLeft w:val="0"/>
                          <w:marRight w:val="0"/>
                          <w:marTop w:val="0"/>
                          <w:marBottom w:val="0"/>
                          <w:divBdr>
                            <w:top w:val="none" w:sz="0" w:space="0" w:color="auto"/>
                            <w:left w:val="none" w:sz="0" w:space="0" w:color="auto"/>
                            <w:bottom w:val="none" w:sz="0" w:space="0" w:color="auto"/>
                            <w:right w:val="none" w:sz="0" w:space="0" w:color="auto"/>
                          </w:divBdr>
                          <w:divsChild>
                            <w:div w:id="736516179">
                              <w:marLeft w:val="0"/>
                              <w:marRight w:val="0"/>
                              <w:marTop w:val="0"/>
                              <w:marBottom w:val="0"/>
                              <w:divBdr>
                                <w:top w:val="none" w:sz="0" w:space="0" w:color="auto"/>
                                <w:left w:val="none" w:sz="0" w:space="0" w:color="auto"/>
                                <w:bottom w:val="none" w:sz="0" w:space="0" w:color="auto"/>
                                <w:right w:val="none" w:sz="0" w:space="0" w:color="auto"/>
                              </w:divBdr>
                              <w:divsChild>
                                <w:div w:id="87235684">
                                  <w:marLeft w:val="0"/>
                                  <w:marRight w:val="0"/>
                                  <w:marTop w:val="0"/>
                                  <w:marBottom w:val="0"/>
                                  <w:divBdr>
                                    <w:top w:val="none" w:sz="0" w:space="0" w:color="auto"/>
                                    <w:left w:val="none" w:sz="0" w:space="0" w:color="auto"/>
                                    <w:bottom w:val="none" w:sz="0" w:space="0" w:color="auto"/>
                                    <w:right w:val="none" w:sz="0" w:space="0" w:color="auto"/>
                                  </w:divBdr>
                                  <w:divsChild>
                                    <w:div w:id="158448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680666">
      <w:bodyDiv w:val="1"/>
      <w:marLeft w:val="0"/>
      <w:marRight w:val="0"/>
      <w:marTop w:val="0"/>
      <w:marBottom w:val="0"/>
      <w:divBdr>
        <w:top w:val="none" w:sz="0" w:space="0" w:color="auto"/>
        <w:left w:val="none" w:sz="0" w:space="0" w:color="auto"/>
        <w:bottom w:val="none" w:sz="0" w:space="0" w:color="auto"/>
        <w:right w:val="none" w:sz="0" w:space="0" w:color="auto"/>
      </w:divBdr>
    </w:div>
    <w:div w:id="819465675">
      <w:bodyDiv w:val="1"/>
      <w:marLeft w:val="0"/>
      <w:marRight w:val="0"/>
      <w:marTop w:val="0"/>
      <w:marBottom w:val="0"/>
      <w:divBdr>
        <w:top w:val="none" w:sz="0" w:space="0" w:color="auto"/>
        <w:left w:val="none" w:sz="0" w:space="0" w:color="auto"/>
        <w:bottom w:val="none" w:sz="0" w:space="0" w:color="auto"/>
        <w:right w:val="none" w:sz="0" w:space="0" w:color="auto"/>
      </w:divBdr>
    </w:div>
    <w:div w:id="904528631">
      <w:bodyDiv w:val="1"/>
      <w:marLeft w:val="0"/>
      <w:marRight w:val="0"/>
      <w:marTop w:val="0"/>
      <w:marBottom w:val="0"/>
      <w:divBdr>
        <w:top w:val="none" w:sz="0" w:space="0" w:color="auto"/>
        <w:left w:val="none" w:sz="0" w:space="0" w:color="auto"/>
        <w:bottom w:val="none" w:sz="0" w:space="0" w:color="auto"/>
        <w:right w:val="none" w:sz="0" w:space="0" w:color="auto"/>
      </w:divBdr>
    </w:div>
    <w:div w:id="904755969">
      <w:bodyDiv w:val="1"/>
      <w:marLeft w:val="0"/>
      <w:marRight w:val="0"/>
      <w:marTop w:val="0"/>
      <w:marBottom w:val="0"/>
      <w:divBdr>
        <w:top w:val="none" w:sz="0" w:space="0" w:color="auto"/>
        <w:left w:val="none" w:sz="0" w:space="0" w:color="auto"/>
        <w:bottom w:val="none" w:sz="0" w:space="0" w:color="auto"/>
        <w:right w:val="none" w:sz="0" w:space="0" w:color="auto"/>
      </w:divBdr>
    </w:div>
    <w:div w:id="917786092">
      <w:bodyDiv w:val="1"/>
      <w:marLeft w:val="0"/>
      <w:marRight w:val="0"/>
      <w:marTop w:val="0"/>
      <w:marBottom w:val="0"/>
      <w:divBdr>
        <w:top w:val="none" w:sz="0" w:space="0" w:color="auto"/>
        <w:left w:val="none" w:sz="0" w:space="0" w:color="auto"/>
        <w:bottom w:val="none" w:sz="0" w:space="0" w:color="auto"/>
        <w:right w:val="none" w:sz="0" w:space="0" w:color="auto"/>
      </w:divBdr>
    </w:div>
    <w:div w:id="951790853">
      <w:bodyDiv w:val="1"/>
      <w:marLeft w:val="0"/>
      <w:marRight w:val="0"/>
      <w:marTop w:val="0"/>
      <w:marBottom w:val="0"/>
      <w:divBdr>
        <w:top w:val="none" w:sz="0" w:space="0" w:color="auto"/>
        <w:left w:val="none" w:sz="0" w:space="0" w:color="auto"/>
        <w:bottom w:val="none" w:sz="0" w:space="0" w:color="auto"/>
        <w:right w:val="none" w:sz="0" w:space="0" w:color="auto"/>
      </w:divBdr>
    </w:div>
    <w:div w:id="1044063585">
      <w:bodyDiv w:val="1"/>
      <w:marLeft w:val="0"/>
      <w:marRight w:val="0"/>
      <w:marTop w:val="0"/>
      <w:marBottom w:val="0"/>
      <w:divBdr>
        <w:top w:val="none" w:sz="0" w:space="0" w:color="auto"/>
        <w:left w:val="none" w:sz="0" w:space="0" w:color="auto"/>
        <w:bottom w:val="none" w:sz="0" w:space="0" w:color="auto"/>
        <w:right w:val="none" w:sz="0" w:space="0" w:color="auto"/>
      </w:divBdr>
    </w:div>
    <w:div w:id="1057045928">
      <w:bodyDiv w:val="1"/>
      <w:marLeft w:val="0"/>
      <w:marRight w:val="0"/>
      <w:marTop w:val="0"/>
      <w:marBottom w:val="0"/>
      <w:divBdr>
        <w:top w:val="none" w:sz="0" w:space="0" w:color="auto"/>
        <w:left w:val="none" w:sz="0" w:space="0" w:color="auto"/>
        <w:bottom w:val="none" w:sz="0" w:space="0" w:color="auto"/>
        <w:right w:val="none" w:sz="0" w:space="0" w:color="auto"/>
      </w:divBdr>
    </w:div>
    <w:div w:id="1057895002">
      <w:bodyDiv w:val="1"/>
      <w:marLeft w:val="0"/>
      <w:marRight w:val="0"/>
      <w:marTop w:val="0"/>
      <w:marBottom w:val="0"/>
      <w:divBdr>
        <w:top w:val="none" w:sz="0" w:space="0" w:color="auto"/>
        <w:left w:val="none" w:sz="0" w:space="0" w:color="auto"/>
        <w:bottom w:val="none" w:sz="0" w:space="0" w:color="auto"/>
        <w:right w:val="none" w:sz="0" w:space="0" w:color="auto"/>
      </w:divBdr>
    </w:div>
    <w:div w:id="1209024481">
      <w:bodyDiv w:val="1"/>
      <w:marLeft w:val="0"/>
      <w:marRight w:val="0"/>
      <w:marTop w:val="0"/>
      <w:marBottom w:val="0"/>
      <w:divBdr>
        <w:top w:val="none" w:sz="0" w:space="0" w:color="auto"/>
        <w:left w:val="none" w:sz="0" w:space="0" w:color="auto"/>
        <w:bottom w:val="none" w:sz="0" w:space="0" w:color="auto"/>
        <w:right w:val="none" w:sz="0" w:space="0" w:color="auto"/>
      </w:divBdr>
    </w:div>
    <w:div w:id="1278374283">
      <w:bodyDiv w:val="1"/>
      <w:marLeft w:val="0"/>
      <w:marRight w:val="0"/>
      <w:marTop w:val="0"/>
      <w:marBottom w:val="0"/>
      <w:divBdr>
        <w:top w:val="none" w:sz="0" w:space="0" w:color="auto"/>
        <w:left w:val="none" w:sz="0" w:space="0" w:color="auto"/>
        <w:bottom w:val="none" w:sz="0" w:space="0" w:color="auto"/>
        <w:right w:val="none" w:sz="0" w:space="0" w:color="auto"/>
      </w:divBdr>
    </w:div>
    <w:div w:id="1300573939">
      <w:bodyDiv w:val="1"/>
      <w:marLeft w:val="0"/>
      <w:marRight w:val="0"/>
      <w:marTop w:val="0"/>
      <w:marBottom w:val="0"/>
      <w:divBdr>
        <w:top w:val="none" w:sz="0" w:space="0" w:color="auto"/>
        <w:left w:val="none" w:sz="0" w:space="0" w:color="auto"/>
        <w:bottom w:val="none" w:sz="0" w:space="0" w:color="auto"/>
        <w:right w:val="none" w:sz="0" w:space="0" w:color="auto"/>
      </w:divBdr>
      <w:divsChild>
        <w:div w:id="147864949">
          <w:marLeft w:val="0"/>
          <w:marRight w:val="0"/>
          <w:marTop w:val="0"/>
          <w:marBottom w:val="0"/>
          <w:divBdr>
            <w:top w:val="none" w:sz="0" w:space="0" w:color="auto"/>
            <w:left w:val="none" w:sz="0" w:space="0" w:color="auto"/>
            <w:bottom w:val="none" w:sz="0" w:space="0" w:color="auto"/>
            <w:right w:val="none" w:sz="0" w:space="0" w:color="auto"/>
          </w:divBdr>
          <w:divsChild>
            <w:div w:id="1435899445">
              <w:marLeft w:val="0"/>
              <w:marRight w:val="0"/>
              <w:marTop w:val="0"/>
              <w:marBottom w:val="0"/>
              <w:divBdr>
                <w:top w:val="none" w:sz="0" w:space="0" w:color="auto"/>
                <w:left w:val="none" w:sz="0" w:space="0" w:color="auto"/>
                <w:bottom w:val="none" w:sz="0" w:space="0" w:color="auto"/>
                <w:right w:val="none" w:sz="0" w:space="0" w:color="auto"/>
              </w:divBdr>
              <w:divsChild>
                <w:div w:id="2013991319">
                  <w:marLeft w:val="0"/>
                  <w:marRight w:val="0"/>
                  <w:marTop w:val="0"/>
                  <w:marBottom w:val="0"/>
                  <w:divBdr>
                    <w:top w:val="none" w:sz="0" w:space="0" w:color="auto"/>
                    <w:left w:val="none" w:sz="0" w:space="0" w:color="auto"/>
                    <w:bottom w:val="none" w:sz="0" w:space="0" w:color="auto"/>
                    <w:right w:val="none" w:sz="0" w:space="0" w:color="auto"/>
                  </w:divBdr>
                  <w:divsChild>
                    <w:div w:id="1802649494">
                      <w:marLeft w:val="0"/>
                      <w:marRight w:val="0"/>
                      <w:marTop w:val="0"/>
                      <w:marBottom w:val="0"/>
                      <w:divBdr>
                        <w:top w:val="none" w:sz="0" w:space="0" w:color="auto"/>
                        <w:left w:val="none" w:sz="0" w:space="0" w:color="auto"/>
                        <w:bottom w:val="none" w:sz="0" w:space="0" w:color="auto"/>
                        <w:right w:val="none" w:sz="0" w:space="0" w:color="auto"/>
                      </w:divBdr>
                      <w:divsChild>
                        <w:div w:id="652829352">
                          <w:marLeft w:val="0"/>
                          <w:marRight w:val="0"/>
                          <w:marTop w:val="0"/>
                          <w:marBottom w:val="0"/>
                          <w:divBdr>
                            <w:top w:val="none" w:sz="0" w:space="0" w:color="auto"/>
                            <w:left w:val="none" w:sz="0" w:space="0" w:color="auto"/>
                            <w:bottom w:val="none" w:sz="0" w:space="0" w:color="auto"/>
                            <w:right w:val="none" w:sz="0" w:space="0" w:color="auto"/>
                          </w:divBdr>
                          <w:divsChild>
                            <w:div w:id="3217327">
                              <w:marLeft w:val="0"/>
                              <w:marRight w:val="0"/>
                              <w:marTop w:val="0"/>
                              <w:marBottom w:val="0"/>
                              <w:divBdr>
                                <w:top w:val="none" w:sz="0" w:space="0" w:color="auto"/>
                                <w:left w:val="none" w:sz="0" w:space="0" w:color="auto"/>
                                <w:bottom w:val="none" w:sz="0" w:space="0" w:color="auto"/>
                                <w:right w:val="none" w:sz="0" w:space="0" w:color="auto"/>
                              </w:divBdr>
                              <w:divsChild>
                                <w:div w:id="267124863">
                                  <w:marLeft w:val="0"/>
                                  <w:marRight w:val="0"/>
                                  <w:marTop w:val="0"/>
                                  <w:marBottom w:val="0"/>
                                  <w:divBdr>
                                    <w:top w:val="none" w:sz="0" w:space="0" w:color="auto"/>
                                    <w:left w:val="none" w:sz="0" w:space="0" w:color="auto"/>
                                    <w:bottom w:val="none" w:sz="0" w:space="0" w:color="auto"/>
                                    <w:right w:val="none" w:sz="0" w:space="0" w:color="auto"/>
                                  </w:divBdr>
                                  <w:divsChild>
                                    <w:div w:id="63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121673">
      <w:bodyDiv w:val="1"/>
      <w:marLeft w:val="0"/>
      <w:marRight w:val="0"/>
      <w:marTop w:val="0"/>
      <w:marBottom w:val="0"/>
      <w:divBdr>
        <w:top w:val="none" w:sz="0" w:space="0" w:color="auto"/>
        <w:left w:val="none" w:sz="0" w:space="0" w:color="auto"/>
        <w:bottom w:val="none" w:sz="0" w:space="0" w:color="auto"/>
        <w:right w:val="none" w:sz="0" w:space="0" w:color="auto"/>
      </w:divBdr>
    </w:div>
    <w:div w:id="1463766233">
      <w:bodyDiv w:val="1"/>
      <w:marLeft w:val="0"/>
      <w:marRight w:val="0"/>
      <w:marTop w:val="0"/>
      <w:marBottom w:val="0"/>
      <w:divBdr>
        <w:top w:val="none" w:sz="0" w:space="0" w:color="auto"/>
        <w:left w:val="none" w:sz="0" w:space="0" w:color="auto"/>
        <w:bottom w:val="none" w:sz="0" w:space="0" w:color="auto"/>
        <w:right w:val="none" w:sz="0" w:space="0" w:color="auto"/>
      </w:divBdr>
    </w:div>
    <w:div w:id="1475563188">
      <w:bodyDiv w:val="1"/>
      <w:marLeft w:val="0"/>
      <w:marRight w:val="0"/>
      <w:marTop w:val="0"/>
      <w:marBottom w:val="0"/>
      <w:divBdr>
        <w:top w:val="none" w:sz="0" w:space="0" w:color="auto"/>
        <w:left w:val="none" w:sz="0" w:space="0" w:color="auto"/>
        <w:bottom w:val="none" w:sz="0" w:space="0" w:color="auto"/>
        <w:right w:val="none" w:sz="0" w:space="0" w:color="auto"/>
      </w:divBdr>
    </w:div>
    <w:div w:id="1535262930">
      <w:bodyDiv w:val="1"/>
      <w:marLeft w:val="0"/>
      <w:marRight w:val="0"/>
      <w:marTop w:val="0"/>
      <w:marBottom w:val="0"/>
      <w:divBdr>
        <w:top w:val="none" w:sz="0" w:space="0" w:color="auto"/>
        <w:left w:val="none" w:sz="0" w:space="0" w:color="auto"/>
        <w:bottom w:val="none" w:sz="0" w:space="0" w:color="auto"/>
        <w:right w:val="none" w:sz="0" w:space="0" w:color="auto"/>
      </w:divBdr>
    </w:div>
    <w:div w:id="1566602387">
      <w:bodyDiv w:val="1"/>
      <w:marLeft w:val="0"/>
      <w:marRight w:val="0"/>
      <w:marTop w:val="0"/>
      <w:marBottom w:val="0"/>
      <w:divBdr>
        <w:top w:val="none" w:sz="0" w:space="0" w:color="auto"/>
        <w:left w:val="none" w:sz="0" w:space="0" w:color="auto"/>
        <w:bottom w:val="none" w:sz="0" w:space="0" w:color="auto"/>
        <w:right w:val="none" w:sz="0" w:space="0" w:color="auto"/>
      </w:divBdr>
    </w:div>
    <w:div w:id="1570581539">
      <w:bodyDiv w:val="1"/>
      <w:marLeft w:val="0"/>
      <w:marRight w:val="0"/>
      <w:marTop w:val="0"/>
      <w:marBottom w:val="0"/>
      <w:divBdr>
        <w:top w:val="none" w:sz="0" w:space="0" w:color="auto"/>
        <w:left w:val="none" w:sz="0" w:space="0" w:color="auto"/>
        <w:bottom w:val="none" w:sz="0" w:space="0" w:color="auto"/>
        <w:right w:val="none" w:sz="0" w:space="0" w:color="auto"/>
      </w:divBdr>
    </w:div>
    <w:div w:id="1605111683">
      <w:bodyDiv w:val="1"/>
      <w:marLeft w:val="0"/>
      <w:marRight w:val="0"/>
      <w:marTop w:val="0"/>
      <w:marBottom w:val="0"/>
      <w:divBdr>
        <w:top w:val="none" w:sz="0" w:space="0" w:color="auto"/>
        <w:left w:val="none" w:sz="0" w:space="0" w:color="auto"/>
        <w:bottom w:val="none" w:sz="0" w:space="0" w:color="auto"/>
        <w:right w:val="none" w:sz="0" w:space="0" w:color="auto"/>
      </w:divBdr>
      <w:divsChild>
        <w:div w:id="1705712574">
          <w:marLeft w:val="0"/>
          <w:marRight w:val="0"/>
          <w:marTop w:val="0"/>
          <w:marBottom w:val="0"/>
          <w:divBdr>
            <w:top w:val="none" w:sz="0" w:space="0" w:color="auto"/>
            <w:left w:val="none" w:sz="0" w:space="0" w:color="auto"/>
            <w:bottom w:val="none" w:sz="0" w:space="0" w:color="auto"/>
            <w:right w:val="none" w:sz="0" w:space="0" w:color="auto"/>
          </w:divBdr>
          <w:divsChild>
            <w:div w:id="481772661">
              <w:marLeft w:val="0"/>
              <w:marRight w:val="0"/>
              <w:marTop w:val="0"/>
              <w:marBottom w:val="0"/>
              <w:divBdr>
                <w:top w:val="none" w:sz="0" w:space="0" w:color="auto"/>
                <w:left w:val="none" w:sz="0" w:space="0" w:color="auto"/>
                <w:bottom w:val="none" w:sz="0" w:space="0" w:color="auto"/>
                <w:right w:val="none" w:sz="0" w:space="0" w:color="auto"/>
              </w:divBdr>
              <w:divsChild>
                <w:div w:id="345207510">
                  <w:marLeft w:val="0"/>
                  <w:marRight w:val="0"/>
                  <w:marTop w:val="0"/>
                  <w:marBottom w:val="0"/>
                  <w:divBdr>
                    <w:top w:val="none" w:sz="0" w:space="0" w:color="auto"/>
                    <w:left w:val="none" w:sz="0" w:space="0" w:color="auto"/>
                    <w:bottom w:val="none" w:sz="0" w:space="0" w:color="auto"/>
                    <w:right w:val="none" w:sz="0" w:space="0" w:color="auto"/>
                  </w:divBdr>
                  <w:divsChild>
                    <w:div w:id="171532615">
                      <w:marLeft w:val="0"/>
                      <w:marRight w:val="0"/>
                      <w:marTop w:val="0"/>
                      <w:marBottom w:val="0"/>
                      <w:divBdr>
                        <w:top w:val="none" w:sz="0" w:space="0" w:color="auto"/>
                        <w:left w:val="none" w:sz="0" w:space="0" w:color="auto"/>
                        <w:bottom w:val="none" w:sz="0" w:space="0" w:color="auto"/>
                        <w:right w:val="none" w:sz="0" w:space="0" w:color="auto"/>
                      </w:divBdr>
                      <w:divsChild>
                        <w:div w:id="999507099">
                          <w:marLeft w:val="0"/>
                          <w:marRight w:val="0"/>
                          <w:marTop w:val="0"/>
                          <w:marBottom w:val="0"/>
                          <w:divBdr>
                            <w:top w:val="none" w:sz="0" w:space="0" w:color="auto"/>
                            <w:left w:val="none" w:sz="0" w:space="0" w:color="auto"/>
                            <w:bottom w:val="none" w:sz="0" w:space="0" w:color="auto"/>
                            <w:right w:val="none" w:sz="0" w:space="0" w:color="auto"/>
                          </w:divBdr>
                          <w:divsChild>
                            <w:div w:id="417948287">
                              <w:marLeft w:val="0"/>
                              <w:marRight w:val="0"/>
                              <w:marTop w:val="0"/>
                              <w:marBottom w:val="0"/>
                              <w:divBdr>
                                <w:top w:val="none" w:sz="0" w:space="0" w:color="auto"/>
                                <w:left w:val="none" w:sz="0" w:space="0" w:color="auto"/>
                                <w:bottom w:val="none" w:sz="0" w:space="0" w:color="auto"/>
                                <w:right w:val="none" w:sz="0" w:space="0" w:color="auto"/>
                              </w:divBdr>
                              <w:divsChild>
                                <w:div w:id="803079746">
                                  <w:marLeft w:val="0"/>
                                  <w:marRight w:val="0"/>
                                  <w:marTop w:val="0"/>
                                  <w:marBottom w:val="0"/>
                                  <w:divBdr>
                                    <w:top w:val="none" w:sz="0" w:space="0" w:color="auto"/>
                                    <w:left w:val="none" w:sz="0" w:space="0" w:color="auto"/>
                                    <w:bottom w:val="none" w:sz="0" w:space="0" w:color="auto"/>
                                    <w:right w:val="none" w:sz="0" w:space="0" w:color="auto"/>
                                  </w:divBdr>
                                  <w:divsChild>
                                    <w:div w:id="1399787746">
                                      <w:marLeft w:val="0"/>
                                      <w:marRight w:val="0"/>
                                      <w:marTop w:val="0"/>
                                      <w:marBottom w:val="0"/>
                                      <w:divBdr>
                                        <w:top w:val="none" w:sz="0" w:space="0" w:color="auto"/>
                                        <w:left w:val="none" w:sz="0" w:space="0" w:color="auto"/>
                                        <w:bottom w:val="none" w:sz="0" w:space="0" w:color="auto"/>
                                        <w:right w:val="none" w:sz="0" w:space="0" w:color="auto"/>
                                      </w:divBdr>
                                      <w:divsChild>
                                        <w:div w:id="680670427">
                                          <w:marLeft w:val="0"/>
                                          <w:marRight w:val="0"/>
                                          <w:marTop w:val="0"/>
                                          <w:marBottom w:val="0"/>
                                          <w:divBdr>
                                            <w:top w:val="none" w:sz="0" w:space="0" w:color="auto"/>
                                            <w:left w:val="none" w:sz="0" w:space="0" w:color="auto"/>
                                            <w:bottom w:val="none" w:sz="0" w:space="0" w:color="auto"/>
                                            <w:right w:val="none" w:sz="0" w:space="0" w:color="auto"/>
                                          </w:divBdr>
                                          <w:divsChild>
                                            <w:div w:id="527377051">
                                              <w:marLeft w:val="0"/>
                                              <w:marRight w:val="0"/>
                                              <w:marTop w:val="0"/>
                                              <w:marBottom w:val="0"/>
                                              <w:divBdr>
                                                <w:top w:val="none" w:sz="0" w:space="0" w:color="auto"/>
                                                <w:left w:val="none" w:sz="0" w:space="0" w:color="auto"/>
                                                <w:bottom w:val="none" w:sz="0" w:space="0" w:color="auto"/>
                                                <w:right w:val="none" w:sz="0" w:space="0" w:color="auto"/>
                                              </w:divBdr>
                                              <w:divsChild>
                                                <w:div w:id="1442140960">
                                                  <w:marLeft w:val="0"/>
                                                  <w:marRight w:val="0"/>
                                                  <w:marTop w:val="0"/>
                                                  <w:marBottom w:val="0"/>
                                                  <w:divBdr>
                                                    <w:top w:val="none" w:sz="0" w:space="0" w:color="auto"/>
                                                    <w:left w:val="none" w:sz="0" w:space="0" w:color="auto"/>
                                                    <w:bottom w:val="none" w:sz="0" w:space="0" w:color="auto"/>
                                                    <w:right w:val="none" w:sz="0" w:space="0" w:color="auto"/>
                                                  </w:divBdr>
                                                  <w:divsChild>
                                                    <w:div w:id="154386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8038717">
          <w:marLeft w:val="0"/>
          <w:marRight w:val="0"/>
          <w:marTop w:val="0"/>
          <w:marBottom w:val="0"/>
          <w:divBdr>
            <w:top w:val="none" w:sz="0" w:space="0" w:color="auto"/>
            <w:left w:val="none" w:sz="0" w:space="0" w:color="auto"/>
            <w:bottom w:val="none" w:sz="0" w:space="0" w:color="auto"/>
            <w:right w:val="none" w:sz="0" w:space="0" w:color="auto"/>
          </w:divBdr>
          <w:divsChild>
            <w:div w:id="100875903">
              <w:marLeft w:val="0"/>
              <w:marRight w:val="0"/>
              <w:marTop w:val="0"/>
              <w:marBottom w:val="0"/>
              <w:divBdr>
                <w:top w:val="none" w:sz="0" w:space="0" w:color="auto"/>
                <w:left w:val="none" w:sz="0" w:space="0" w:color="auto"/>
                <w:bottom w:val="none" w:sz="0" w:space="0" w:color="auto"/>
                <w:right w:val="none" w:sz="0" w:space="0" w:color="auto"/>
              </w:divBdr>
              <w:divsChild>
                <w:div w:id="1808014815">
                  <w:marLeft w:val="0"/>
                  <w:marRight w:val="0"/>
                  <w:marTop w:val="0"/>
                  <w:marBottom w:val="0"/>
                  <w:divBdr>
                    <w:top w:val="none" w:sz="0" w:space="0" w:color="auto"/>
                    <w:left w:val="none" w:sz="0" w:space="0" w:color="auto"/>
                    <w:bottom w:val="none" w:sz="0" w:space="0" w:color="auto"/>
                    <w:right w:val="none" w:sz="0" w:space="0" w:color="auto"/>
                  </w:divBdr>
                  <w:divsChild>
                    <w:div w:id="1113138515">
                      <w:marLeft w:val="0"/>
                      <w:marRight w:val="0"/>
                      <w:marTop w:val="0"/>
                      <w:marBottom w:val="0"/>
                      <w:divBdr>
                        <w:top w:val="none" w:sz="0" w:space="0" w:color="auto"/>
                        <w:left w:val="none" w:sz="0" w:space="0" w:color="auto"/>
                        <w:bottom w:val="none" w:sz="0" w:space="0" w:color="auto"/>
                        <w:right w:val="none" w:sz="0" w:space="0" w:color="auto"/>
                      </w:divBdr>
                      <w:divsChild>
                        <w:div w:id="2006932234">
                          <w:marLeft w:val="0"/>
                          <w:marRight w:val="0"/>
                          <w:marTop w:val="0"/>
                          <w:marBottom w:val="0"/>
                          <w:divBdr>
                            <w:top w:val="none" w:sz="0" w:space="0" w:color="auto"/>
                            <w:left w:val="none" w:sz="0" w:space="0" w:color="auto"/>
                            <w:bottom w:val="none" w:sz="0" w:space="0" w:color="auto"/>
                            <w:right w:val="none" w:sz="0" w:space="0" w:color="auto"/>
                          </w:divBdr>
                          <w:divsChild>
                            <w:div w:id="1072656672">
                              <w:marLeft w:val="0"/>
                              <w:marRight w:val="0"/>
                              <w:marTop w:val="0"/>
                              <w:marBottom w:val="0"/>
                              <w:divBdr>
                                <w:top w:val="none" w:sz="0" w:space="0" w:color="auto"/>
                                <w:left w:val="none" w:sz="0" w:space="0" w:color="auto"/>
                                <w:bottom w:val="none" w:sz="0" w:space="0" w:color="auto"/>
                                <w:right w:val="none" w:sz="0" w:space="0" w:color="auto"/>
                              </w:divBdr>
                              <w:divsChild>
                                <w:div w:id="34083509">
                                  <w:marLeft w:val="0"/>
                                  <w:marRight w:val="0"/>
                                  <w:marTop w:val="0"/>
                                  <w:marBottom w:val="0"/>
                                  <w:divBdr>
                                    <w:top w:val="none" w:sz="0" w:space="0" w:color="auto"/>
                                    <w:left w:val="none" w:sz="0" w:space="0" w:color="auto"/>
                                    <w:bottom w:val="none" w:sz="0" w:space="0" w:color="auto"/>
                                    <w:right w:val="none" w:sz="0" w:space="0" w:color="auto"/>
                                  </w:divBdr>
                                  <w:divsChild>
                                    <w:div w:id="497773142">
                                      <w:marLeft w:val="0"/>
                                      <w:marRight w:val="0"/>
                                      <w:marTop w:val="0"/>
                                      <w:marBottom w:val="0"/>
                                      <w:divBdr>
                                        <w:top w:val="none" w:sz="0" w:space="0" w:color="auto"/>
                                        <w:left w:val="none" w:sz="0" w:space="0" w:color="auto"/>
                                        <w:bottom w:val="none" w:sz="0" w:space="0" w:color="auto"/>
                                        <w:right w:val="none" w:sz="0" w:space="0" w:color="auto"/>
                                      </w:divBdr>
                                      <w:divsChild>
                                        <w:div w:id="632826920">
                                          <w:marLeft w:val="0"/>
                                          <w:marRight w:val="0"/>
                                          <w:marTop w:val="0"/>
                                          <w:marBottom w:val="0"/>
                                          <w:divBdr>
                                            <w:top w:val="none" w:sz="0" w:space="0" w:color="auto"/>
                                            <w:left w:val="none" w:sz="0" w:space="0" w:color="auto"/>
                                            <w:bottom w:val="none" w:sz="0" w:space="0" w:color="auto"/>
                                            <w:right w:val="none" w:sz="0" w:space="0" w:color="auto"/>
                                          </w:divBdr>
                                          <w:divsChild>
                                            <w:div w:id="445737942">
                                              <w:marLeft w:val="0"/>
                                              <w:marRight w:val="0"/>
                                              <w:marTop w:val="0"/>
                                              <w:marBottom w:val="0"/>
                                              <w:divBdr>
                                                <w:top w:val="none" w:sz="0" w:space="0" w:color="auto"/>
                                                <w:left w:val="none" w:sz="0" w:space="0" w:color="auto"/>
                                                <w:bottom w:val="none" w:sz="0" w:space="0" w:color="auto"/>
                                                <w:right w:val="none" w:sz="0" w:space="0" w:color="auto"/>
                                              </w:divBdr>
                                              <w:divsChild>
                                                <w:div w:id="552429556">
                                                  <w:marLeft w:val="0"/>
                                                  <w:marRight w:val="0"/>
                                                  <w:marTop w:val="0"/>
                                                  <w:marBottom w:val="0"/>
                                                  <w:divBdr>
                                                    <w:top w:val="none" w:sz="0" w:space="0" w:color="auto"/>
                                                    <w:left w:val="none" w:sz="0" w:space="0" w:color="auto"/>
                                                    <w:bottom w:val="none" w:sz="0" w:space="0" w:color="auto"/>
                                                    <w:right w:val="none" w:sz="0" w:space="0" w:color="auto"/>
                                                  </w:divBdr>
                                                  <w:divsChild>
                                                    <w:div w:id="171141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313236">
                                      <w:marLeft w:val="0"/>
                                      <w:marRight w:val="0"/>
                                      <w:marTop w:val="0"/>
                                      <w:marBottom w:val="0"/>
                                      <w:divBdr>
                                        <w:top w:val="none" w:sz="0" w:space="0" w:color="auto"/>
                                        <w:left w:val="none" w:sz="0" w:space="0" w:color="auto"/>
                                        <w:bottom w:val="none" w:sz="0" w:space="0" w:color="auto"/>
                                        <w:right w:val="none" w:sz="0" w:space="0" w:color="auto"/>
                                      </w:divBdr>
                                      <w:divsChild>
                                        <w:div w:id="1654066638">
                                          <w:marLeft w:val="0"/>
                                          <w:marRight w:val="0"/>
                                          <w:marTop w:val="0"/>
                                          <w:marBottom w:val="0"/>
                                          <w:divBdr>
                                            <w:top w:val="none" w:sz="0" w:space="0" w:color="auto"/>
                                            <w:left w:val="none" w:sz="0" w:space="0" w:color="auto"/>
                                            <w:bottom w:val="none" w:sz="0" w:space="0" w:color="auto"/>
                                            <w:right w:val="none" w:sz="0" w:space="0" w:color="auto"/>
                                          </w:divBdr>
                                          <w:divsChild>
                                            <w:div w:id="1524399343">
                                              <w:marLeft w:val="0"/>
                                              <w:marRight w:val="0"/>
                                              <w:marTop w:val="0"/>
                                              <w:marBottom w:val="0"/>
                                              <w:divBdr>
                                                <w:top w:val="none" w:sz="0" w:space="0" w:color="auto"/>
                                                <w:left w:val="none" w:sz="0" w:space="0" w:color="auto"/>
                                                <w:bottom w:val="none" w:sz="0" w:space="0" w:color="auto"/>
                                                <w:right w:val="none" w:sz="0" w:space="0" w:color="auto"/>
                                              </w:divBdr>
                                              <w:divsChild>
                                                <w:div w:id="1537818257">
                                                  <w:marLeft w:val="0"/>
                                                  <w:marRight w:val="0"/>
                                                  <w:marTop w:val="0"/>
                                                  <w:marBottom w:val="0"/>
                                                  <w:divBdr>
                                                    <w:top w:val="none" w:sz="0" w:space="0" w:color="auto"/>
                                                    <w:left w:val="none" w:sz="0" w:space="0" w:color="auto"/>
                                                    <w:bottom w:val="none" w:sz="0" w:space="0" w:color="auto"/>
                                                    <w:right w:val="none" w:sz="0" w:space="0" w:color="auto"/>
                                                  </w:divBdr>
                                                  <w:divsChild>
                                                    <w:div w:id="1858616126">
                                                      <w:marLeft w:val="0"/>
                                                      <w:marRight w:val="0"/>
                                                      <w:marTop w:val="0"/>
                                                      <w:marBottom w:val="0"/>
                                                      <w:divBdr>
                                                        <w:top w:val="none" w:sz="0" w:space="0" w:color="auto"/>
                                                        <w:left w:val="none" w:sz="0" w:space="0" w:color="auto"/>
                                                        <w:bottom w:val="none" w:sz="0" w:space="0" w:color="auto"/>
                                                        <w:right w:val="none" w:sz="0" w:space="0" w:color="auto"/>
                                                      </w:divBdr>
                                                      <w:divsChild>
                                                        <w:div w:id="14038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91558">
                                              <w:marLeft w:val="0"/>
                                              <w:marRight w:val="0"/>
                                              <w:marTop w:val="0"/>
                                              <w:marBottom w:val="0"/>
                                              <w:divBdr>
                                                <w:top w:val="none" w:sz="0" w:space="0" w:color="auto"/>
                                                <w:left w:val="none" w:sz="0" w:space="0" w:color="auto"/>
                                                <w:bottom w:val="none" w:sz="0" w:space="0" w:color="auto"/>
                                                <w:right w:val="none" w:sz="0" w:space="0" w:color="auto"/>
                                              </w:divBdr>
                                              <w:divsChild>
                                                <w:div w:id="1368220880">
                                                  <w:marLeft w:val="0"/>
                                                  <w:marRight w:val="0"/>
                                                  <w:marTop w:val="0"/>
                                                  <w:marBottom w:val="0"/>
                                                  <w:divBdr>
                                                    <w:top w:val="none" w:sz="0" w:space="0" w:color="auto"/>
                                                    <w:left w:val="none" w:sz="0" w:space="0" w:color="auto"/>
                                                    <w:bottom w:val="none" w:sz="0" w:space="0" w:color="auto"/>
                                                    <w:right w:val="none" w:sz="0" w:space="0" w:color="auto"/>
                                                  </w:divBdr>
                                                  <w:divsChild>
                                                    <w:div w:id="349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29857">
                                              <w:marLeft w:val="0"/>
                                              <w:marRight w:val="0"/>
                                              <w:marTop w:val="0"/>
                                              <w:marBottom w:val="0"/>
                                              <w:divBdr>
                                                <w:top w:val="none" w:sz="0" w:space="0" w:color="auto"/>
                                                <w:left w:val="none" w:sz="0" w:space="0" w:color="auto"/>
                                                <w:bottom w:val="none" w:sz="0" w:space="0" w:color="auto"/>
                                                <w:right w:val="none" w:sz="0" w:space="0" w:color="auto"/>
                                              </w:divBdr>
                                              <w:divsChild>
                                                <w:div w:id="391124663">
                                                  <w:marLeft w:val="0"/>
                                                  <w:marRight w:val="0"/>
                                                  <w:marTop w:val="0"/>
                                                  <w:marBottom w:val="0"/>
                                                  <w:divBdr>
                                                    <w:top w:val="none" w:sz="0" w:space="0" w:color="auto"/>
                                                    <w:left w:val="none" w:sz="0" w:space="0" w:color="auto"/>
                                                    <w:bottom w:val="none" w:sz="0" w:space="0" w:color="auto"/>
                                                    <w:right w:val="none" w:sz="0" w:space="0" w:color="auto"/>
                                                  </w:divBdr>
                                                  <w:divsChild>
                                                    <w:div w:id="7315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2149946">
      <w:bodyDiv w:val="1"/>
      <w:marLeft w:val="0"/>
      <w:marRight w:val="0"/>
      <w:marTop w:val="0"/>
      <w:marBottom w:val="0"/>
      <w:divBdr>
        <w:top w:val="none" w:sz="0" w:space="0" w:color="auto"/>
        <w:left w:val="none" w:sz="0" w:space="0" w:color="auto"/>
        <w:bottom w:val="none" w:sz="0" w:space="0" w:color="auto"/>
        <w:right w:val="none" w:sz="0" w:space="0" w:color="auto"/>
      </w:divBdr>
    </w:div>
    <w:div w:id="1626815553">
      <w:bodyDiv w:val="1"/>
      <w:marLeft w:val="0"/>
      <w:marRight w:val="0"/>
      <w:marTop w:val="0"/>
      <w:marBottom w:val="0"/>
      <w:divBdr>
        <w:top w:val="none" w:sz="0" w:space="0" w:color="auto"/>
        <w:left w:val="none" w:sz="0" w:space="0" w:color="auto"/>
        <w:bottom w:val="none" w:sz="0" w:space="0" w:color="auto"/>
        <w:right w:val="none" w:sz="0" w:space="0" w:color="auto"/>
      </w:divBdr>
      <w:divsChild>
        <w:div w:id="1042754702">
          <w:marLeft w:val="0"/>
          <w:marRight w:val="0"/>
          <w:marTop w:val="0"/>
          <w:marBottom w:val="0"/>
          <w:divBdr>
            <w:top w:val="none" w:sz="0" w:space="0" w:color="auto"/>
            <w:left w:val="none" w:sz="0" w:space="0" w:color="auto"/>
            <w:bottom w:val="none" w:sz="0" w:space="0" w:color="auto"/>
            <w:right w:val="none" w:sz="0" w:space="0" w:color="auto"/>
          </w:divBdr>
          <w:divsChild>
            <w:div w:id="163130583">
              <w:marLeft w:val="0"/>
              <w:marRight w:val="0"/>
              <w:marTop w:val="0"/>
              <w:marBottom w:val="0"/>
              <w:divBdr>
                <w:top w:val="none" w:sz="0" w:space="0" w:color="auto"/>
                <w:left w:val="none" w:sz="0" w:space="0" w:color="auto"/>
                <w:bottom w:val="none" w:sz="0" w:space="0" w:color="auto"/>
                <w:right w:val="none" w:sz="0" w:space="0" w:color="auto"/>
              </w:divBdr>
              <w:divsChild>
                <w:div w:id="1954284908">
                  <w:marLeft w:val="0"/>
                  <w:marRight w:val="0"/>
                  <w:marTop w:val="0"/>
                  <w:marBottom w:val="0"/>
                  <w:divBdr>
                    <w:top w:val="none" w:sz="0" w:space="0" w:color="auto"/>
                    <w:left w:val="none" w:sz="0" w:space="0" w:color="auto"/>
                    <w:bottom w:val="none" w:sz="0" w:space="0" w:color="auto"/>
                    <w:right w:val="none" w:sz="0" w:space="0" w:color="auto"/>
                  </w:divBdr>
                  <w:divsChild>
                    <w:div w:id="841629793">
                      <w:marLeft w:val="0"/>
                      <w:marRight w:val="0"/>
                      <w:marTop w:val="0"/>
                      <w:marBottom w:val="0"/>
                      <w:divBdr>
                        <w:top w:val="none" w:sz="0" w:space="0" w:color="auto"/>
                        <w:left w:val="none" w:sz="0" w:space="0" w:color="auto"/>
                        <w:bottom w:val="none" w:sz="0" w:space="0" w:color="auto"/>
                        <w:right w:val="none" w:sz="0" w:space="0" w:color="auto"/>
                      </w:divBdr>
                      <w:divsChild>
                        <w:div w:id="888960576">
                          <w:marLeft w:val="0"/>
                          <w:marRight w:val="0"/>
                          <w:marTop w:val="0"/>
                          <w:marBottom w:val="0"/>
                          <w:divBdr>
                            <w:top w:val="none" w:sz="0" w:space="0" w:color="auto"/>
                            <w:left w:val="none" w:sz="0" w:space="0" w:color="auto"/>
                            <w:bottom w:val="none" w:sz="0" w:space="0" w:color="auto"/>
                            <w:right w:val="none" w:sz="0" w:space="0" w:color="auto"/>
                          </w:divBdr>
                          <w:divsChild>
                            <w:div w:id="1345671829">
                              <w:marLeft w:val="0"/>
                              <w:marRight w:val="0"/>
                              <w:marTop w:val="0"/>
                              <w:marBottom w:val="0"/>
                              <w:divBdr>
                                <w:top w:val="none" w:sz="0" w:space="0" w:color="auto"/>
                                <w:left w:val="none" w:sz="0" w:space="0" w:color="auto"/>
                                <w:bottom w:val="none" w:sz="0" w:space="0" w:color="auto"/>
                                <w:right w:val="none" w:sz="0" w:space="0" w:color="auto"/>
                              </w:divBdr>
                              <w:divsChild>
                                <w:div w:id="1358890033">
                                  <w:marLeft w:val="0"/>
                                  <w:marRight w:val="0"/>
                                  <w:marTop w:val="0"/>
                                  <w:marBottom w:val="0"/>
                                  <w:divBdr>
                                    <w:top w:val="none" w:sz="0" w:space="0" w:color="auto"/>
                                    <w:left w:val="none" w:sz="0" w:space="0" w:color="auto"/>
                                    <w:bottom w:val="none" w:sz="0" w:space="0" w:color="auto"/>
                                    <w:right w:val="none" w:sz="0" w:space="0" w:color="auto"/>
                                  </w:divBdr>
                                  <w:divsChild>
                                    <w:div w:id="213139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721933">
      <w:bodyDiv w:val="1"/>
      <w:marLeft w:val="0"/>
      <w:marRight w:val="0"/>
      <w:marTop w:val="0"/>
      <w:marBottom w:val="0"/>
      <w:divBdr>
        <w:top w:val="none" w:sz="0" w:space="0" w:color="auto"/>
        <w:left w:val="none" w:sz="0" w:space="0" w:color="auto"/>
        <w:bottom w:val="none" w:sz="0" w:space="0" w:color="auto"/>
        <w:right w:val="none" w:sz="0" w:space="0" w:color="auto"/>
      </w:divBdr>
    </w:div>
    <w:div w:id="1694191092">
      <w:bodyDiv w:val="1"/>
      <w:marLeft w:val="0"/>
      <w:marRight w:val="0"/>
      <w:marTop w:val="0"/>
      <w:marBottom w:val="0"/>
      <w:divBdr>
        <w:top w:val="none" w:sz="0" w:space="0" w:color="auto"/>
        <w:left w:val="none" w:sz="0" w:space="0" w:color="auto"/>
        <w:bottom w:val="none" w:sz="0" w:space="0" w:color="auto"/>
        <w:right w:val="none" w:sz="0" w:space="0" w:color="auto"/>
      </w:divBdr>
      <w:divsChild>
        <w:div w:id="559708860">
          <w:marLeft w:val="0"/>
          <w:marRight w:val="0"/>
          <w:marTop w:val="0"/>
          <w:marBottom w:val="0"/>
          <w:divBdr>
            <w:top w:val="none" w:sz="0" w:space="0" w:color="auto"/>
            <w:left w:val="none" w:sz="0" w:space="0" w:color="auto"/>
            <w:bottom w:val="none" w:sz="0" w:space="0" w:color="auto"/>
            <w:right w:val="none" w:sz="0" w:space="0" w:color="auto"/>
          </w:divBdr>
          <w:divsChild>
            <w:div w:id="641619034">
              <w:marLeft w:val="0"/>
              <w:marRight w:val="0"/>
              <w:marTop w:val="0"/>
              <w:marBottom w:val="0"/>
              <w:divBdr>
                <w:top w:val="none" w:sz="0" w:space="0" w:color="auto"/>
                <w:left w:val="none" w:sz="0" w:space="0" w:color="auto"/>
                <w:bottom w:val="none" w:sz="0" w:space="0" w:color="auto"/>
                <w:right w:val="none" w:sz="0" w:space="0" w:color="auto"/>
              </w:divBdr>
              <w:divsChild>
                <w:div w:id="2043555574">
                  <w:marLeft w:val="0"/>
                  <w:marRight w:val="0"/>
                  <w:marTop w:val="0"/>
                  <w:marBottom w:val="0"/>
                  <w:divBdr>
                    <w:top w:val="none" w:sz="0" w:space="0" w:color="auto"/>
                    <w:left w:val="none" w:sz="0" w:space="0" w:color="auto"/>
                    <w:bottom w:val="none" w:sz="0" w:space="0" w:color="auto"/>
                    <w:right w:val="none" w:sz="0" w:space="0" w:color="auto"/>
                  </w:divBdr>
                  <w:divsChild>
                    <w:div w:id="1697462743">
                      <w:marLeft w:val="0"/>
                      <w:marRight w:val="0"/>
                      <w:marTop w:val="0"/>
                      <w:marBottom w:val="0"/>
                      <w:divBdr>
                        <w:top w:val="none" w:sz="0" w:space="0" w:color="auto"/>
                        <w:left w:val="none" w:sz="0" w:space="0" w:color="auto"/>
                        <w:bottom w:val="none" w:sz="0" w:space="0" w:color="auto"/>
                        <w:right w:val="none" w:sz="0" w:space="0" w:color="auto"/>
                      </w:divBdr>
                      <w:divsChild>
                        <w:div w:id="898249968">
                          <w:marLeft w:val="0"/>
                          <w:marRight w:val="0"/>
                          <w:marTop w:val="0"/>
                          <w:marBottom w:val="0"/>
                          <w:divBdr>
                            <w:top w:val="none" w:sz="0" w:space="0" w:color="auto"/>
                            <w:left w:val="none" w:sz="0" w:space="0" w:color="auto"/>
                            <w:bottom w:val="none" w:sz="0" w:space="0" w:color="auto"/>
                            <w:right w:val="none" w:sz="0" w:space="0" w:color="auto"/>
                          </w:divBdr>
                          <w:divsChild>
                            <w:div w:id="1637835961">
                              <w:marLeft w:val="0"/>
                              <w:marRight w:val="0"/>
                              <w:marTop w:val="0"/>
                              <w:marBottom w:val="0"/>
                              <w:divBdr>
                                <w:top w:val="none" w:sz="0" w:space="0" w:color="auto"/>
                                <w:left w:val="none" w:sz="0" w:space="0" w:color="auto"/>
                                <w:bottom w:val="none" w:sz="0" w:space="0" w:color="auto"/>
                                <w:right w:val="none" w:sz="0" w:space="0" w:color="auto"/>
                              </w:divBdr>
                              <w:divsChild>
                                <w:div w:id="126358138">
                                  <w:marLeft w:val="0"/>
                                  <w:marRight w:val="0"/>
                                  <w:marTop w:val="0"/>
                                  <w:marBottom w:val="0"/>
                                  <w:divBdr>
                                    <w:top w:val="none" w:sz="0" w:space="0" w:color="auto"/>
                                    <w:left w:val="none" w:sz="0" w:space="0" w:color="auto"/>
                                    <w:bottom w:val="none" w:sz="0" w:space="0" w:color="auto"/>
                                    <w:right w:val="none" w:sz="0" w:space="0" w:color="auto"/>
                                  </w:divBdr>
                                  <w:divsChild>
                                    <w:div w:id="559947528">
                                      <w:marLeft w:val="0"/>
                                      <w:marRight w:val="0"/>
                                      <w:marTop w:val="0"/>
                                      <w:marBottom w:val="0"/>
                                      <w:divBdr>
                                        <w:top w:val="none" w:sz="0" w:space="0" w:color="auto"/>
                                        <w:left w:val="none" w:sz="0" w:space="0" w:color="auto"/>
                                        <w:bottom w:val="none" w:sz="0" w:space="0" w:color="auto"/>
                                        <w:right w:val="none" w:sz="0" w:space="0" w:color="auto"/>
                                      </w:divBdr>
                                      <w:divsChild>
                                        <w:div w:id="1003052159">
                                          <w:marLeft w:val="0"/>
                                          <w:marRight w:val="0"/>
                                          <w:marTop w:val="0"/>
                                          <w:marBottom w:val="0"/>
                                          <w:divBdr>
                                            <w:top w:val="none" w:sz="0" w:space="0" w:color="auto"/>
                                            <w:left w:val="none" w:sz="0" w:space="0" w:color="auto"/>
                                            <w:bottom w:val="none" w:sz="0" w:space="0" w:color="auto"/>
                                            <w:right w:val="none" w:sz="0" w:space="0" w:color="auto"/>
                                          </w:divBdr>
                                          <w:divsChild>
                                            <w:div w:id="925115009">
                                              <w:marLeft w:val="0"/>
                                              <w:marRight w:val="0"/>
                                              <w:marTop w:val="0"/>
                                              <w:marBottom w:val="0"/>
                                              <w:divBdr>
                                                <w:top w:val="none" w:sz="0" w:space="0" w:color="auto"/>
                                                <w:left w:val="none" w:sz="0" w:space="0" w:color="auto"/>
                                                <w:bottom w:val="none" w:sz="0" w:space="0" w:color="auto"/>
                                                <w:right w:val="none" w:sz="0" w:space="0" w:color="auto"/>
                                              </w:divBdr>
                                              <w:divsChild>
                                                <w:div w:id="955016117">
                                                  <w:marLeft w:val="0"/>
                                                  <w:marRight w:val="0"/>
                                                  <w:marTop w:val="0"/>
                                                  <w:marBottom w:val="0"/>
                                                  <w:divBdr>
                                                    <w:top w:val="none" w:sz="0" w:space="0" w:color="auto"/>
                                                    <w:left w:val="none" w:sz="0" w:space="0" w:color="auto"/>
                                                    <w:bottom w:val="none" w:sz="0" w:space="0" w:color="auto"/>
                                                    <w:right w:val="none" w:sz="0" w:space="0" w:color="auto"/>
                                                  </w:divBdr>
                                                  <w:divsChild>
                                                    <w:div w:id="1758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1384761">
          <w:marLeft w:val="0"/>
          <w:marRight w:val="0"/>
          <w:marTop w:val="0"/>
          <w:marBottom w:val="0"/>
          <w:divBdr>
            <w:top w:val="none" w:sz="0" w:space="0" w:color="auto"/>
            <w:left w:val="none" w:sz="0" w:space="0" w:color="auto"/>
            <w:bottom w:val="none" w:sz="0" w:space="0" w:color="auto"/>
            <w:right w:val="none" w:sz="0" w:space="0" w:color="auto"/>
          </w:divBdr>
          <w:divsChild>
            <w:div w:id="2056998359">
              <w:marLeft w:val="0"/>
              <w:marRight w:val="0"/>
              <w:marTop w:val="0"/>
              <w:marBottom w:val="0"/>
              <w:divBdr>
                <w:top w:val="none" w:sz="0" w:space="0" w:color="auto"/>
                <w:left w:val="none" w:sz="0" w:space="0" w:color="auto"/>
                <w:bottom w:val="none" w:sz="0" w:space="0" w:color="auto"/>
                <w:right w:val="none" w:sz="0" w:space="0" w:color="auto"/>
              </w:divBdr>
              <w:divsChild>
                <w:div w:id="197549569">
                  <w:marLeft w:val="0"/>
                  <w:marRight w:val="0"/>
                  <w:marTop w:val="0"/>
                  <w:marBottom w:val="0"/>
                  <w:divBdr>
                    <w:top w:val="none" w:sz="0" w:space="0" w:color="auto"/>
                    <w:left w:val="none" w:sz="0" w:space="0" w:color="auto"/>
                    <w:bottom w:val="none" w:sz="0" w:space="0" w:color="auto"/>
                    <w:right w:val="none" w:sz="0" w:space="0" w:color="auto"/>
                  </w:divBdr>
                  <w:divsChild>
                    <w:div w:id="1728407376">
                      <w:marLeft w:val="0"/>
                      <w:marRight w:val="0"/>
                      <w:marTop w:val="0"/>
                      <w:marBottom w:val="0"/>
                      <w:divBdr>
                        <w:top w:val="none" w:sz="0" w:space="0" w:color="auto"/>
                        <w:left w:val="none" w:sz="0" w:space="0" w:color="auto"/>
                        <w:bottom w:val="none" w:sz="0" w:space="0" w:color="auto"/>
                        <w:right w:val="none" w:sz="0" w:space="0" w:color="auto"/>
                      </w:divBdr>
                      <w:divsChild>
                        <w:div w:id="1116144693">
                          <w:marLeft w:val="0"/>
                          <w:marRight w:val="0"/>
                          <w:marTop w:val="0"/>
                          <w:marBottom w:val="0"/>
                          <w:divBdr>
                            <w:top w:val="none" w:sz="0" w:space="0" w:color="auto"/>
                            <w:left w:val="none" w:sz="0" w:space="0" w:color="auto"/>
                            <w:bottom w:val="none" w:sz="0" w:space="0" w:color="auto"/>
                            <w:right w:val="none" w:sz="0" w:space="0" w:color="auto"/>
                          </w:divBdr>
                          <w:divsChild>
                            <w:div w:id="1650594849">
                              <w:marLeft w:val="0"/>
                              <w:marRight w:val="0"/>
                              <w:marTop w:val="0"/>
                              <w:marBottom w:val="0"/>
                              <w:divBdr>
                                <w:top w:val="none" w:sz="0" w:space="0" w:color="auto"/>
                                <w:left w:val="none" w:sz="0" w:space="0" w:color="auto"/>
                                <w:bottom w:val="none" w:sz="0" w:space="0" w:color="auto"/>
                                <w:right w:val="none" w:sz="0" w:space="0" w:color="auto"/>
                              </w:divBdr>
                              <w:divsChild>
                                <w:div w:id="1471939086">
                                  <w:marLeft w:val="0"/>
                                  <w:marRight w:val="0"/>
                                  <w:marTop w:val="0"/>
                                  <w:marBottom w:val="0"/>
                                  <w:divBdr>
                                    <w:top w:val="none" w:sz="0" w:space="0" w:color="auto"/>
                                    <w:left w:val="none" w:sz="0" w:space="0" w:color="auto"/>
                                    <w:bottom w:val="none" w:sz="0" w:space="0" w:color="auto"/>
                                    <w:right w:val="none" w:sz="0" w:space="0" w:color="auto"/>
                                  </w:divBdr>
                                  <w:divsChild>
                                    <w:div w:id="823158781">
                                      <w:marLeft w:val="0"/>
                                      <w:marRight w:val="0"/>
                                      <w:marTop w:val="0"/>
                                      <w:marBottom w:val="0"/>
                                      <w:divBdr>
                                        <w:top w:val="none" w:sz="0" w:space="0" w:color="auto"/>
                                        <w:left w:val="none" w:sz="0" w:space="0" w:color="auto"/>
                                        <w:bottom w:val="none" w:sz="0" w:space="0" w:color="auto"/>
                                        <w:right w:val="none" w:sz="0" w:space="0" w:color="auto"/>
                                      </w:divBdr>
                                      <w:divsChild>
                                        <w:div w:id="635260121">
                                          <w:marLeft w:val="0"/>
                                          <w:marRight w:val="0"/>
                                          <w:marTop w:val="0"/>
                                          <w:marBottom w:val="0"/>
                                          <w:divBdr>
                                            <w:top w:val="none" w:sz="0" w:space="0" w:color="auto"/>
                                            <w:left w:val="none" w:sz="0" w:space="0" w:color="auto"/>
                                            <w:bottom w:val="none" w:sz="0" w:space="0" w:color="auto"/>
                                            <w:right w:val="none" w:sz="0" w:space="0" w:color="auto"/>
                                          </w:divBdr>
                                          <w:divsChild>
                                            <w:div w:id="1245065110">
                                              <w:marLeft w:val="0"/>
                                              <w:marRight w:val="0"/>
                                              <w:marTop w:val="0"/>
                                              <w:marBottom w:val="0"/>
                                              <w:divBdr>
                                                <w:top w:val="none" w:sz="0" w:space="0" w:color="auto"/>
                                                <w:left w:val="none" w:sz="0" w:space="0" w:color="auto"/>
                                                <w:bottom w:val="none" w:sz="0" w:space="0" w:color="auto"/>
                                                <w:right w:val="none" w:sz="0" w:space="0" w:color="auto"/>
                                              </w:divBdr>
                                              <w:divsChild>
                                                <w:div w:id="1433435013">
                                                  <w:marLeft w:val="0"/>
                                                  <w:marRight w:val="0"/>
                                                  <w:marTop w:val="0"/>
                                                  <w:marBottom w:val="0"/>
                                                  <w:divBdr>
                                                    <w:top w:val="none" w:sz="0" w:space="0" w:color="auto"/>
                                                    <w:left w:val="none" w:sz="0" w:space="0" w:color="auto"/>
                                                    <w:bottom w:val="none" w:sz="0" w:space="0" w:color="auto"/>
                                                    <w:right w:val="none" w:sz="0" w:space="0" w:color="auto"/>
                                                  </w:divBdr>
                                                  <w:divsChild>
                                                    <w:div w:id="72838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43028">
                                      <w:marLeft w:val="0"/>
                                      <w:marRight w:val="0"/>
                                      <w:marTop w:val="0"/>
                                      <w:marBottom w:val="0"/>
                                      <w:divBdr>
                                        <w:top w:val="none" w:sz="0" w:space="0" w:color="auto"/>
                                        <w:left w:val="none" w:sz="0" w:space="0" w:color="auto"/>
                                        <w:bottom w:val="none" w:sz="0" w:space="0" w:color="auto"/>
                                        <w:right w:val="none" w:sz="0" w:space="0" w:color="auto"/>
                                      </w:divBdr>
                                      <w:divsChild>
                                        <w:div w:id="772210786">
                                          <w:marLeft w:val="0"/>
                                          <w:marRight w:val="0"/>
                                          <w:marTop w:val="0"/>
                                          <w:marBottom w:val="0"/>
                                          <w:divBdr>
                                            <w:top w:val="none" w:sz="0" w:space="0" w:color="auto"/>
                                            <w:left w:val="none" w:sz="0" w:space="0" w:color="auto"/>
                                            <w:bottom w:val="none" w:sz="0" w:space="0" w:color="auto"/>
                                            <w:right w:val="none" w:sz="0" w:space="0" w:color="auto"/>
                                          </w:divBdr>
                                          <w:divsChild>
                                            <w:div w:id="688065896">
                                              <w:marLeft w:val="0"/>
                                              <w:marRight w:val="0"/>
                                              <w:marTop w:val="0"/>
                                              <w:marBottom w:val="0"/>
                                              <w:divBdr>
                                                <w:top w:val="none" w:sz="0" w:space="0" w:color="auto"/>
                                                <w:left w:val="none" w:sz="0" w:space="0" w:color="auto"/>
                                                <w:bottom w:val="none" w:sz="0" w:space="0" w:color="auto"/>
                                                <w:right w:val="none" w:sz="0" w:space="0" w:color="auto"/>
                                              </w:divBdr>
                                              <w:divsChild>
                                                <w:div w:id="1626695411">
                                                  <w:marLeft w:val="0"/>
                                                  <w:marRight w:val="0"/>
                                                  <w:marTop w:val="0"/>
                                                  <w:marBottom w:val="0"/>
                                                  <w:divBdr>
                                                    <w:top w:val="none" w:sz="0" w:space="0" w:color="auto"/>
                                                    <w:left w:val="none" w:sz="0" w:space="0" w:color="auto"/>
                                                    <w:bottom w:val="none" w:sz="0" w:space="0" w:color="auto"/>
                                                    <w:right w:val="none" w:sz="0" w:space="0" w:color="auto"/>
                                                  </w:divBdr>
                                                  <w:divsChild>
                                                    <w:div w:id="435827151">
                                                      <w:marLeft w:val="0"/>
                                                      <w:marRight w:val="0"/>
                                                      <w:marTop w:val="0"/>
                                                      <w:marBottom w:val="0"/>
                                                      <w:divBdr>
                                                        <w:top w:val="none" w:sz="0" w:space="0" w:color="auto"/>
                                                        <w:left w:val="none" w:sz="0" w:space="0" w:color="auto"/>
                                                        <w:bottom w:val="none" w:sz="0" w:space="0" w:color="auto"/>
                                                        <w:right w:val="none" w:sz="0" w:space="0" w:color="auto"/>
                                                      </w:divBdr>
                                                      <w:divsChild>
                                                        <w:div w:id="176221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03587">
                                              <w:marLeft w:val="0"/>
                                              <w:marRight w:val="0"/>
                                              <w:marTop w:val="0"/>
                                              <w:marBottom w:val="0"/>
                                              <w:divBdr>
                                                <w:top w:val="none" w:sz="0" w:space="0" w:color="auto"/>
                                                <w:left w:val="none" w:sz="0" w:space="0" w:color="auto"/>
                                                <w:bottom w:val="none" w:sz="0" w:space="0" w:color="auto"/>
                                                <w:right w:val="none" w:sz="0" w:space="0" w:color="auto"/>
                                              </w:divBdr>
                                              <w:divsChild>
                                                <w:div w:id="1345594068">
                                                  <w:marLeft w:val="0"/>
                                                  <w:marRight w:val="0"/>
                                                  <w:marTop w:val="0"/>
                                                  <w:marBottom w:val="0"/>
                                                  <w:divBdr>
                                                    <w:top w:val="none" w:sz="0" w:space="0" w:color="auto"/>
                                                    <w:left w:val="none" w:sz="0" w:space="0" w:color="auto"/>
                                                    <w:bottom w:val="none" w:sz="0" w:space="0" w:color="auto"/>
                                                    <w:right w:val="none" w:sz="0" w:space="0" w:color="auto"/>
                                                  </w:divBdr>
                                                  <w:divsChild>
                                                    <w:div w:id="16508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70876">
                                              <w:marLeft w:val="0"/>
                                              <w:marRight w:val="0"/>
                                              <w:marTop w:val="0"/>
                                              <w:marBottom w:val="0"/>
                                              <w:divBdr>
                                                <w:top w:val="none" w:sz="0" w:space="0" w:color="auto"/>
                                                <w:left w:val="none" w:sz="0" w:space="0" w:color="auto"/>
                                                <w:bottom w:val="none" w:sz="0" w:space="0" w:color="auto"/>
                                                <w:right w:val="none" w:sz="0" w:space="0" w:color="auto"/>
                                              </w:divBdr>
                                              <w:divsChild>
                                                <w:div w:id="1933931772">
                                                  <w:marLeft w:val="0"/>
                                                  <w:marRight w:val="0"/>
                                                  <w:marTop w:val="0"/>
                                                  <w:marBottom w:val="0"/>
                                                  <w:divBdr>
                                                    <w:top w:val="none" w:sz="0" w:space="0" w:color="auto"/>
                                                    <w:left w:val="none" w:sz="0" w:space="0" w:color="auto"/>
                                                    <w:bottom w:val="none" w:sz="0" w:space="0" w:color="auto"/>
                                                    <w:right w:val="none" w:sz="0" w:space="0" w:color="auto"/>
                                                  </w:divBdr>
                                                  <w:divsChild>
                                                    <w:div w:id="56167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3675898">
      <w:bodyDiv w:val="1"/>
      <w:marLeft w:val="0"/>
      <w:marRight w:val="0"/>
      <w:marTop w:val="0"/>
      <w:marBottom w:val="0"/>
      <w:divBdr>
        <w:top w:val="none" w:sz="0" w:space="0" w:color="auto"/>
        <w:left w:val="none" w:sz="0" w:space="0" w:color="auto"/>
        <w:bottom w:val="none" w:sz="0" w:space="0" w:color="auto"/>
        <w:right w:val="none" w:sz="0" w:space="0" w:color="auto"/>
      </w:divBdr>
      <w:divsChild>
        <w:div w:id="1725253047">
          <w:marLeft w:val="0"/>
          <w:marRight w:val="0"/>
          <w:marTop w:val="0"/>
          <w:marBottom w:val="0"/>
          <w:divBdr>
            <w:top w:val="none" w:sz="0" w:space="0" w:color="auto"/>
            <w:left w:val="none" w:sz="0" w:space="0" w:color="auto"/>
            <w:bottom w:val="none" w:sz="0" w:space="0" w:color="auto"/>
            <w:right w:val="none" w:sz="0" w:space="0" w:color="auto"/>
          </w:divBdr>
          <w:divsChild>
            <w:div w:id="816336517">
              <w:marLeft w:val="0"/>
              <w:marRight w:val="0"/>
              <w:marTop w:val="0"/>
              <w:marBottom w:val="0"/>
              <w:divBdr>
                <w:top w:val="none" w:sz="0" w:space="0" w:color="auto"/>
                <w:left w:val="none" w:sz="0" w:space="0" w:color="auto"/>
                <w:bottom w:val="none" w:sz="0" w:space="0" w:color="auto"/>
                <w:right w:val="none" w:sz="0" w:space="0" w:color="auto"/>
              </w:divBdr>
              <w:divsChild>
                <w:div w:id="882712526">
                  <w:marLeft w:val="0"/>
                  <w:marRight w:val="0"/>
                  <w:marTop w:val="0"/>
                  <w:marBottom w:val="0"/>
                  <w:divBdr>
                    <w:top w:val="none" w:sz="0" w:space="0" w:color="auto"/>
                    <w:left w:val="none" w:sz="0" w:space="0" w:color="auto"/>
                    <w:bottom w:val="none" w:sz="0" w:space="0" w:color="auto"/>
                    <w:right w:val="none" w:sz="0" w:space="0" w:color="auto"/>
                  </w:divBdr>
                  <w:divsChild>
                    <w:div w:id="761025360">
                      <w:marLeft w:val="0"/>
                      <w:marRight w:val="0"/>
                      <w:marTop w:val="0"/>
                      <w:marBottom w:val="0"/>
                      <w:divBdr>
                        <w:top w:val="none" w:sz="0" w:space="0" w:color="auto"/>
                        <w:left w:val="none" w:sz="0" w:space="0" w:color="auto"/>
                        <w:bottom w:val="none" w:sz="0" w:space="0" w:color="auto"/>
                        <w:right w:val="none" w:sz="0" w:space="0" w:color="auto"/>
                      </w:divBdr>
                      <w:divsChild>
                        <w:div w:id="1869754389">
                          <w:marLeft w:val="0"/>
                          <w:marRight w:val="0"/>
                          <w:marTop w:val="0"/>
                          <w:marBottom w:val="0"/>
                          <w:divBdr>
                            <w:top w:val="none" w:sz="0" w:space="0" w:color="auto"/>
                            <w:left w:val="none" w:sz="0" w:space="0" w:color="auto"/>
                            <w:bottom w:val="none" w:sz="0" w:space="0" w:color="auto"/>
                            <w:right w:val="none" w:sz="0" w:space="0" w:color="auto"/>
                          </w:divBdr>
                          <w:divsChild>
                            <w:div w:id="1821651771">
                              <w:marLeft w:val="0"/>
                              <w:marRight w:val="0"/>
                              <w:marTop w:val="0"/>
                              <w:marBottom w:val="0"/>
                              <w:divBdr>
                                <w:top w:val="none" w:sz="0" w:space="0" w:color="auto"/>
                                <w:left w:val="none" w:sz="0" w:space="0" w:color="auto"/>
                                <w:bottom w:val="none" w:sz="0" w:space="0" w:color="auto"/>
                                <w:right w:val="none" w:sz="0" w:space="0" w:color="auto"/>
                              </w:divBdr>
                              <w:divsChild>
                                <w:div w:id="916788228">
                                  <w:marLeft w:val="0"/>
                                  <w:marRight w:val="0"/>
                                  <w:marTop w:val="0"/>
                                  <w:marBottom w:val="0"/>
                                  <w:divBdr>
                                    <w:top w:val="none" w:sz="0" w:space="0" w:color="auto"/>
                                    <w:left w:val="none" w:sz="0" w:space="0" w:color="auto"/>
                                    <w:bottom w:val="none" w:sz="0" w:space="0" w:color="auto"/>
                                    <w:right w:val="none" w:sz="0" w:space="0" w:color="auto"/>
                                  </w:divBdr>
                                  <w:divsChild>
                                    <w:div w:id="660154609">
                                      <w:marLeft w:val="0"/>
                                      <w:marRight w:val="0"/>
                                      <w:marTop w:val="0"/>
                                      <w:marBottom w:val="0"/>
                                      <w:divBdr>
                                        <w:top w:val="none" w:sz="0" w:space="0" w:color="auto"/>
                                        <w:left w:val="none" w:sz="0" w:space="0" w:color="auto"/>
                                        <w:bottom w:val="none" w:sz="0" w:space="0" w:color="auto"/>
                                        <w:right w:val="none" w:sz="0" w:space="0" w:color="auto"/>
                                      </w:divBdr>
                                      <w:divsChild>
                                        <w:div w:id="279382755">
                                          <w:marLeft w:val="0"/>
                                          <w:marRight w:val="0"/>
                                          <w:marTop w:val="0"/>
                                          <w:marBottom w:val="0"/>
                                          <w:divBdr>
                                            <w:top w:val="none" w:sz="0" w:space="0" w:color="auto"/>
                                            <w:left w:val="none" w:sz="0" w:space="0" w:color="auto"/>
                                            <w:bottom w:val="none" w:sz="0" w:space="0" w:color="auto"/>
                                            <w:right w:val="none" w:sz="0" w:space="0" w:color="auto"/>
                                          </w:divBdr>
                                          <w:divsChild>
                                            <w:div w:id="693846191">
                                              <w:marLeft w:val="0"/>
                                              <w:marRight w:val="0"/>
                                              <w:marTop w:val="0"/>
                                              <w:marBottom w:val="0"/>
                                              <w:divBdr>
                                                <w:top w:val="none" w:sz="0" w:space="0" w:color="auto"/>
                                                <w:left w:val="none" w:sz="0" w:space="0" w:color="auto"/>
                                                <w:bottom w:val="none" w:sz="0" w:space="0" w:color="auto"/>
                                                <w:right w:val="none" w:sz="0" w:space="0" w:color="auto"/>
                                              </w:divBdr>
                                              <w:divsChild>
                                                <w:div w:id="1730415978">
                                                  <w:marLeft w:val="0"/>
                                                  <w:marRight w:val="0"/>
                                                  <w:marTop w:val="0"/>
                                                  <w:marBottom w:val="0"/>
                                                  <w:divBdr>
                                                    <w:top w:val="none" w:sz="0" w:space="0" w:color="auto"/>
                                                    <w:left w:val="none" w:sz="0" w:space="0" w:color="auto"/>
                                                    <w:bottom w:val="none" w:sz="0" w:space="0" w:color="auto"/>
                                                    <w:right w:val="none" w:sz="0" w:space="0" w:color="auto"/>
                                                  </w:divBdr>
                                                  <w:divsChild>
                                                    <w:div w:id="42345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6009373">
          <w:marLeft w:val="0"/>
          <w:marRight w:val="0"/>
          <w:marTop w:val="0"/>
          <w:marBottom w:val="0"/>
          <w:divBdr>
            <w:top w:val="none" w:sz="0" w:space="0" w:color="auto"/>
            <w:left w:val="none" w:sz="0" w:space="0" w:color="auto"/>
            <w:bottom w:val="none" w:sz="0" w:space="0" w:color="auto"/>
            <w:right w:val="none" w:sz="0" w:space="0" w:color="auto"/>
          </w:divBdr>
          <w:divsChild>
            <w:div w:id="1248467231">
              <w:marLeft w:val="0"/>
              <w:marRight w:val="0"/>
              <w:marTop w:val="0"/>
              <w:marBottom w:val="0"/>
              <w:divBdr>
                <w:top w:val="none" w:sz="0" w:space="0" w:color="auto"/>
                <w:left w:val="none" w:sz="0" w:space="0" w:color="auto"/>
                <w:bottom w:val="none" w:sz="0" w:space="0" w:color="auto"/>
                <w:right w:val="none" w:sz="0" w:space="0" w:color="auto"/>
              </w:divBdr>
              <w:divsChild>
                <w:div w:id="1878812731">
                  <w:marLeft w:val="0"/>
                  <w:marRight w:val="0"/>
                  <w:marTop w:val="0"/>
                  <w:marBottom w:val="0"/>
                  <w:divBdr>
                    <w:top w:val="none" w:sz="0" w:space="0" w:color="auto"/>
                    <w:left w:val="none" w:sz="0" w:space="0" w:color="auto"/>
                    <w:bottom w:val="none" w:sz="0" w:space="0" w:color="auto"/>
                    <w:right w:val="none" w:sz="0" w:space="0" w:color="auto"/>
                  </w:divBdr>
                  <w:divsChild>
                    <w:div w:id="891696278">
                      <w:marLeft w:val="0"/>
                      <w:marRight w:val="0"/>
                      <w:marTop w:val="0"/>
                      <w:marBottom w:val="0"/>
                      <w:divBdr>
                        <w:top w:val="none" w:sz="0" w:space="0" w:color="auto"/>
                        <w:left w:val="none" w:sz="0" w:space="0" w:color="auto"/>
                        <w:bottom w:val="none" w:sz="0" w:space="0" w:color="auto"/>
                        <w:right w:val="none" w:sz="0" w:space="0" w:color="auto"/>
                      </w:divBdr>
                      <w:divsChild>
                        <w:div w:id="81339769">
                          <w:marLeft w:val="0"/>
                          <w:marRight w:val="0"/>
                          <w:marTop w:val="0"/>
                          <w:marBottom w:val="0"/>
                          <w:divBdr>
                            <w:top w:val="none" w:sz="0" w:space="0" w:color="auto"/>
                            <w:left w:val="none" w:sz="0" w:space="0" w:color="auto"/>
                            <w:bottom w:val="none" w:sz="0" w:space="0" w:color="auto"/>
                            <w:right w:val="none" w:sz="0" w:space="0" w:color="auto"/>
                          </w:divBdr>
                          <w:divsChild>
                            <w:div w:id="141125259">
                              <w:marLeft w:val="0"/>
                              <w:marRight w:val="0"/>
                              <w:marTop w:val="0"/>
                              <w:marBottom w:val="0"/>
                              <w:divBdr>
                                <w:top w:val="none" w:sz="0" w:space="0" w:color="auto"/>
                                <w:left w:val="none" w:sz="0" w:space="0" w:color="auto"/>
                                <w:bottom w:val="none" w:sz="0" w:space="0" w:color="auto"/>
                                <w:right w:val="none" w:sz="0" w:space="0" w:color="auto"/>
                              </w:divBdr>
                              <w:divsChild>
                                <w:div w:id="270548509">
                                  <w:marLeft w:val="0"/>
                                  <w:marRight w:val="0"/>
                                  <w:marTop w:val="0"/>
                                  <w:marBottom w:val="0"/>
                                  <w:divBdr>
                                    <w:top w:val="none" w:sz="0" w:space="0" w:color="auto"/>
                                    <w:left w:val="none" w:sz="0" w:space="0" w:color="auto"/>
                                    <w:bottom w:val="none" w:sz="0" w:space="0" w:color="auto"/>
                                    <w:right w:val="none" w:sz="0" w:space="0" w:color="auto"/>
                                  </w:divBdr>
                                  <w:divsChild>
                                    <w:div w:id="622344018">
                                      <w:marLeft w:val="0"/>
                                      <w:marRight w:val="0"/>
                                      <w:marTop w:val="0"/>
                                      <w:marBottom w:val="0"/>
                                      <w:divBdr>
                                        <w:top w:val="none" w:sz="0" w:space="0" w:color="auto"/>
                                        <w:left w:val="none" w:sz="0" w:space="0" w:color="auto"/>
                                        <w:bottom w:val="none" w:sz="0" w:space="0" w:color="auto"/>
                                        <w:right w:val="none" w:sz="0" w:space="0" w:color="auto"/>
                                      </w:divBdr>
                                      <w:divsChild>
                                        <w:div w:id="1877352197">
                                          <w:marLeft w:val="0"/>
                                          <w:marRight w:val="0"/>
                                          <w:marTop w:val="0"/>
                                          <w:marBottom w:val="0"/>
                                          <w:divBdr>
                                            <w:top w:val="none" w:sz="0" w:space="0" w:color="auto"/>
                                            <w:left w:val="none" w:sz="0" w:space="0" w:color="auto"/>
                                            <w:bottom w:val="none" w:sz="0" w:space="0" w:color="auto"/>
                                            <w:right w:val="none" w:sz="0" w:space="0" w:color="auto"/>
                                          </w:divBdr>
                                          <w:divsChild>
                                            <w:div w:id="2083527902">
                                              <w:marLeft w:val="0"/>
                                              <w:marRight w:val="0"/>
                                              <w:marTop w:val="0"/>
                                              <w:marBottom w:val="0"/>
                                              <w:divBdr>
                                                <w:top w:val="none" w:sz="0" w:space="0" w:color="auto"/>
                                                <w:left w:val="none" w:sz="0" w:space="0" w:color="auto"/>
                                                <w:bottom w:val="none" w:sz="0" w:space="0" w:color="auto"/>
                                                <w:right w:val="none" w:sz="0" w:space="0" w:color="auto"/>
                                              </w:divBdr>
                                              <w:divsChild>
                                                <w:div w:id="1162281063">
                                                  <w:marLeft w:val="0"/>
                                                  <w:marRight w:val="0"/>
                                                  <w:marTop w:val="0"/>
                                                  <w:marBottom w:val="0"/>
                                                  <w:divBdr>
                                                    <w:top w:val="none" w:sz="0" w:space="0" w:color="auto"/>
                                                    <w:left w:val="none" w:sz="0" w:space="0" w:color="auto"/>
                                                    <w:bottom w:val="none" w:sz="0" w:space="0" w:color="auto"/>
                                                    <w:right w:val="none" w:sz="0" w:space="0" w:color="auto"/>
                                                  </w:divBdr>
                                                  <w:divsChild>
                                                    <w:div w:id="58426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790266">
                                      <w:marLeft w:val="0"/>
                                      <w:marRight w:val="0"/>
                                      <w:marTop w:val="0"/>
                                      <w:marBottom w:val="0"/>
                                      <w:divBdr>
                                        <w:top w:val="none" w:sz="0" w:space="0" w:color="auto"/>
                                        <w:left w:val="none" w:sz="0" w:space="0" w:color="auto"/>
                                        <w:bottom w:val="none" w:sz="0" w:space="0" w:color="auto"/>
                                        <w:right w:val="none" w:sz="0" w:space="0" w:color="auto"/>
                                      </w:divBdr>
                                      <w:divsChild>
                                        <w:div w:id="924194709">
                                          <w:marLeft w:val="0"/>
                                          <w:marRight w:val="0"/>
                                          <w:marTop w:val="0"/>
                                          <w:marBottom w:val="0"/>
                                          <w:divBdr>
                                            <w:top w:val="none" w:sz="0" w:space="0" w:color="auto"/>
                                            <w:left w:val="none" w:sz="0" w:space="0" w:color="auto"/>
                                            <w:bottom w:val="none" w:sz="0" w:space="0" w:color="auto"/>
                                            <w:right w:val="none" w:sz="0" w:space="0" w:color="auto"/>
                                          </w:divBdr>
                                          <w:divsChild>
                                            <w:div w:id="536820381">
                                              <w:marLeft w:val="0"/>
                                              <w:marRight w:val="0"/>
                                              <w:marTop w:val="0"/>
                                              <w:marBottom w:val="0"/>
                                              <w:divBdr>
                                                <w:top w:val="none" w:sz="0" w:space="0" w:color="auto"/>
                                                <w:left w:val="none" w:sz="0" w:space="0" w:color="auto"/>
                                                <w:bottom w:val="none" w:sz="0" w:space="0" w:color="auto"/>
                                                <w:right w:val="none" w:sz="0" w:space="0" w:color="auto"/>
                                              </w:divBdr>
                                              <w:divsChild>
                                                <w:div w:id="1098867239">
                                                  <w:marLeft w:val="0"/>
                                                  <w:marRight w:val="0"/>
                                                  <w:marTop w:val="0"/>
                                                  <w:marBottom w:val="0"/>
                                                  <w:divBdr>
                                                    <w:top w:val="none" w:sz="0" w:space="0" w:color="auto"/>
                                                    <w:left w:val="none" w:sz="0" w:space="0" w:color="auto"/>
                                                    <w:bottom w:val="none" w:sz="0" w:space="0" w:color="auto"/>
                                                    <w:right w:val="none" w:sz="0" w:space="0" w:color="auto"/>
                                                  </w:divBdr>
                                                  <w:divsChild>
                                                    <w:div w:id="1092776769">
                                                      <w:marLeft w:val="0"/>
                                                      <w:marRight w:val="0"/>
                                                      <w:marTop w:val="0"/>
                                                      <w:marBottom w:val="0"/>
                                                      <w:divBdr>
                                                        <w:top w:val="none" w:sz="0" w:space="0" w:color="auto"/>
                                                        <w:left w:val="none" w:sz="0" w:space="0" w:color="auto"/>
                                                        <w:bottom w:val="none" w:sz="0" w:space="0" w:color="auto"/>
                                                        <w:right w:val="none" w:sz="0" w:space="0" w:color="auto"/>
                                                      </w:divBdr>
                                                      <w:divsChild>
                                                        <w:div w:id="140641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438073">
                                              <w:marLeft w:val="0"/>
                                              <w:marRight w:val="0"/>
                                              <w:marTop w:val="0"/>
                                              <w:marBottom w:val="0"/>
                                              <w:divBdr>
                                                <w:top w:val="none" w:sz="0" w:space="0" w:color="auto"/>
                                                <w:left w:val="none" w:sz="0" w:space="0" w:color="auto"/>
                                                <w:bottom w:val="none" w:sz="0" w:space="0" w:color="auto"/>
                                                <w:right w:val="none" w:sz="0" w:space="0" w:color="auto"/>
                                              </w:divBdr>
                                              <w:divsChild>
                                                <w:div w:id="1798839868">
                                                  <w:marLeft w:val="0"/>
                                                  <w:marRight w:val="0"/>
                                                  <w:marTop w:val="0"/>
                                                  <w:marBottom w:val="0"/>
                                                  <w:divBdr>
                                                    <w:top w:val="none" w:sz="0" w:space="0" w:color="auto"/>
                                                    <w:left w:val="none" w:sz="0" w:space="0" w:color="auto"/>
                                                    <w:bottom w:val="none" w:sz="0" w:space="0" w:color="auto"/>
                                                    <w:right w:val="none" w:sz="0" w:space="0" w:color="auto"/>
                                                  </w:divBdr>
                                                  <w:divsChild>
                                                    <w:div w:id="114546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86730">
                                              <w:marLeft w:val="0"/>
                                              <w:marRight w:val="0"/>
                                              <w:marTop w:val="0"/>
                                              <w:marBottom w:val="0"/>
                                              <w:divBdr>
                                                <w:top w:val="none" w:sz="0" w:space="0" w:color="auto"/>
                                                <w:left w:val="none" w:sz="0" w:space="0" w:color="auto"/>
                                                <w:bottom w:val="none" w:sz="0" w:space="0" w:color="auto"/>
                                                <w:right w:val="none" w:sz="0" w:space="0" w:color="auto"/>
                                              </w:divBdr>
                                              <w:divsChild>
                                                <w:div w:id="1623611934">
                                                  <w:marLeft w:val="0"/>
                                                  <w:marRight w:val="0"/>
                                                  <w:marTop w:val="0"/>
                                                  <w:marBottom w:val="0"/>
                                                  <w:divBdr>
                                                    <w:top w:val="none" w:sz="0" w:space="0" w:color="auto"/>
                                                    <w:left w:val="none" w:sz="0" w:space="0" w:color="auto"/>
                                                    <w:bottom w:val="none" w:sz="0" w:space="0" w:color="auto"/>
                                                    <w:right w:val="none" w:sz="0" w:space="0" w:color="auto"/>
                                                  </w:divBdr>
                                                  <w:divsChild>
                                                    <w:div w:id="144861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3620656">
      <w:bodyDiv w:val="1"/>
      <w:marLeft w:val="0"/>
      <w:marRight w:val="0"/>
      <w:marTop w:val="0"/>
      <w:marBottom w:val="0"/>
      <w:divBdr>
        <w:top w:val="none" w:sz="0" w:space="0" w:color="auto"/>
        <w:left w:val="none" w:sz="0" w:space="0" w:color="auto"/>
        <w:bottom w:val="none" w:sz="0" w:space="0" w:color="auto"/>
        <w:right w:val="none" w:sz="0" w:space="0" w:color="auto"/>
      </w:divBdr>
    </w:div>
    <w:div w:id="1822428580">
      <w:bodyDiv w:val="1"/>
      <w:marLeft w:val="0"/>
      <w:marRight w:val="0"/>
      <w:marTop w:val="0"/>
      <w:marBottom w:val="0"/>
      <w:divBdr>
        <w:top w:val="none" w:sz="0" w:space="0" w:color="auto"/>
        <w:left w:val="none" w:sz="0" w:space="0" w:color="auto"/>
        <w:bottom w:val="none" w:sz="0" w:space="0" w:color="auto"/>
        <w:right w:val="none" w:sz="0" w:space="0" w:color="auto"/>
      </w:divBdr>
    </w:div>
    <w:div w:id="1858037391">
      <w:bodyDiv w:val="1"/>
      <w:marLeft w:val="0"/>
      <w:marRight w:val="0"/>
      <w:marTop w:val="0"/>
      <w:marBottom w:val="0"/>
      <w:divBdr>
        <w:top w:val="none" w:sz="0" w:space="0" w:color="auto"/>
        <w:left w:val="none" w:sz="0" w:space="0" w:color="auto"/>
        <w:bottom w:val="none" w:sz="0" w:space="0" w:color="auto"/>
        <w:right w:val="none" w:sz="0" w:space="0" w:color="auto"/>
      </w:divBdr>
    </w:div>
    <w:div w:id="1976909704">
      <w:bodyDiv w:val="1"/>
      <w:marLeft w:val="0"/>
      <w:marRight w:val="0"/>
      <w:marTop w:val="0"/>
      <w:marBottom w:val="0"/>
      <w:divBdr>
        <w:top w:val="none" w:sz="0" w:space="0" w:color="auto"/>
        <w:left w:val="none" w:sz="0" w:space="0" w:color="auto"/>
        <w:bottom w:val="none" w:sz="0" w:space="0" w:color="auto"/>
        <w:right w:val="none" w:sz="0" w:space="0" w:color="auto"/>
      </w:divBdr>
      <w:divsChild>
        <w:div w:id="1322732570">
          <w:marLeft w:val="0"/>
          <w:marRight w:val="0"/>
          <w:marTop w:val="0"/>
          <w:marBottom w:val="0"/>
          <w:divBdr>
            <w:top w:val="none" w:sz="0" w:space="0" w:color="auto"/>
            <w:left w:val="none" w:sz="0" w:space="0" w:color="auto"/>
            <w:bottom w:val="none" w:sz="0" w:space="0" w:color="auto"/>
            <w:right w:val="none" w:sz="0" w:space="0" w:color="auto"/>
          </w:divBdr>
          <w:divsChild>
            <w:div w:id="241984881">
              <w:marLeft w:val="0"/>
              <w:marRight w:val="0"/>
              <w:marTop w:val="0"/>
              <w:marBottom w:val="0"/>
              <w:divBdr>
                <w:top w:val="none" w:sz="0" w:space="0" w:color="auto"/>
                <w:left w:val="none" w:sz="0" w:space="0" w:color="auto"/>
                <w:bottom w:val="none" w:sz="0" w:space="0" w:color="auto"/>
                <w:right w:val="none" w:sz="0" w:space="0" w:color="auto"/>
              </w:divBdr>
              <w:divsChild>
                <w:div w:id="1893105390">
                  <w:marLeft w:val="0"/>
                  <w:marRight w:val="0"/>
                  <w:marTop w:val="0"/>
                  <w:marBottom w:val="0"/>
                  <w:divBdr>
                    <w:top w:val="none" w:sz="0" w:space="0" w:color="auto"/>
                    <w:left w:val="none" w:sz="0" w:space="0" w:color="auto"/>
                    <w:bottom w:val="none" w:sz="0" w:space="0" w:color="auto"/>
                    <w:right w:val="none" w:sz="0" w:space="0" w:color="auto"/>
                  </w:divBdr>
                  <w:divsChild>
                    <w:div w:id="2028604453">
                      <w:marLeft w:val="0"/>
                      <w:marRight w:val="0"/>
                      <w:marTop w:val="0"/>
                      <w:marBottom w:val="0"/>
                      <w:divBdr>
                        <w:top w:val="none" w:sz="0" w:space="0" w:color="auto"/>
                        <w:left w:val="none" w:sz="0" w:space="0" w:color="auto"/>
                        <w:bottom w:val="none" w:sz="0" w:space="0" w:color="auto"/>
                        <w:right w:val="none" w:sz="0" w:space="0" w:color="auto"/>
                      </w:divBdr>
                      <w:divsChild>
                        <w:div w:id="499740539">
                          <w:marLeft w:val="0"/>
                          <w:marRight w:val="0"/>
                          <w:marTop w:val="0"/>
                          <w:marBottom w:val="0"/>
                          <w:divBdr>
                            <w:top w:val="none" w:sz="0" w:space="0" w:color="auto"/>
                            <w:left w:val="none" w:sz="0" w:space="0" w:color="auto"/>
                            <w:bottom w:val="none" w:sz="0" w:space="0" w:color="auto"/>
                            <w:right w:val="none" w:sz="0" w:space="0" w:color="auto"/>
                          </w:divBdr>
                          <w:divsChild>
                            <w:div w:id="150874726">
                              <w:marLeft w:val="0"/>
                              <w:marRight w:val="0"/>
                              <w:marTop w:val="0"/>
                              <w:marBottom w:val="0"/>
                              <w:divBdr>
                                <w:top w:val="none" w:sz="0" w:space="0" w:color="auto"/>
                                <w:left w:val="none" w:sz="0" w:space="0" w:color="auto"/>
                                <w:bottom w:val="none" w:sz="0" w:space="0" w:color="auto"/>
                                <w:right w:val="none" w:sz="0" w:space="0" w:color="auto"/>
                              </w:divBdr>
                              <w:divsChild>
                                <w:div w:id="1816407327">
                                  <w:marLeft w:val="0"/>
                                  <w:marRight w:val="0"/>
                                  <w:marTop w:val="0"/>
                                  <w:marBottom w:val="0"/>
                                  <w:divBdr>
                                    <w:top w:val="none" w:sz="0" w:space="0" w:color="auto"/>
                                    <w:left w:val="none" w:sz="0" w:space="0" w:color="auto"/>
                                    <w:bottom w:val="none" w:sz="0" w:space="0" w:color="auto"/>
                                    <w:right w:val="none" w:sz="0" w:space="0" w:color="auto"/>
                                  </w:divBdr>
                                  <w:divsChild>
                                    <w:div w:id="553345931">
                                      <w:marLeft w:val="0"/>
                                      <w:marRight w:val="0"/>
                                      <w:marTop w:val="0"/>
                                      <w:marBottom w:val="0"/>
                                      <w:divBdr>
                                        <w:top w:val="none" w:sz="0" w:space="0" w:color="auto"/>
                                        <w:left w:val="none" w:sz="0" w:space="0" w:color="auto"/>
                                        <w:bottom w:val="none" w:sz="0" w:space="0" w:color="auto"/>
                                        <w:right w:val="none" w:sz="0" w:space="0" w:color="auto"/>
                                      </w:divBdr>
                                      <w:divsChild>
                                        <w:div w:id="417602940">
                                          <w:marLeft w:val="0"/>
                                          <w:marRight w:val="0"/>
                                          <w:marTop w:val="0"/>
                                          <w:marBottom w:val="0"/>
                                          <w:divBdr>
                                            <w:top w:val="none" w:sz="0" w:space="0" w:color="auto"/>
                                            <w:left w:val="none" w:sz="0" w:space="0" w:color="auto"/>
                                            <w:bottom w:val="none" w:sz="0" w:space="0" w:color="auto"/>
                                            <w:right w:val="none" w:sz="0" w:space="0" w:color="auto"/>
                                          </w:divBdr>
                                          <w:divsChild>
                                            <w:div w:id="219482844">
                                              <w:marLeft w:val="0"/>
                                              <w:marRight w:val="0"/>
                                              <w:marTop w:val="0"/>
                                              <w:marBottom w:val="0"/>
                                              <w:divBdr>
                                                <w:top w:val="none" w:sz="0" w:space="0" w:color="auto"/>
                                                <w:left w:val="none" w:sz="0" w:space="0" w:color="auto"/>
                                                <w:bottom w:val="none" w:sz="0" w:space="0" w:color="auto"/>
                                                <w:right w:val="none" w:sz="0" w:space="0" w:color="auto"/>
                                              </w:divBdr>
                                              <w:divsChild>
                                                <w:div w:id="1171993657">
                                                  <w:marLeft w:val="0"/>
                                                  <w:marRight w:val="0"/>
                                                  <w:marTop w:val="0"/>
                                                  <w:marBottom w:val="0"/>
                                                  <w:divBdr>
                                                    <w:top w:val="none" w:sz="0" w:space="0" w:color="auto"/>
                                                    <w:left w:val="none" w:sz="0" w:space="0" w:color="auto"/>
                                                    <w:bottom w:val="none" w:sz="0" w:space="0" w:color="auto"/>
                                                    <w:right w:val="none" w:sz="0" w:space="0" w:color="auto"/>
                                                  </w:divBdr>
                                                  <w:divsChild>
                                                    <w:div w:id="173894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9045839">
          <w:marLeft w:val="0"/>
          <w:marRight w:val="0"/>
          <w:marTop w:val="0"/>
          <w:marBottom w:val="0"/>
          <w:divBdr>
            <w:top w:val="none" w:sz="0" w:space="0" w:color="auto"/>
            <w:left w:val="none" w:sz="0" w:space="0" w:color="auto"/>
            <w:bottom w:val="none" w:sz="0" w:space="0" w:color="auto"/>
            <w:right w:val="none" w:sz="0" w:space="0" w:color="auto"/>
          </w:divBdr>
          <w:divsChild>
            <w:div w:id="245001131">
              <w:marLeft w:val="0"/>
              <w:marRight w:val="0"/>
              <w:marTop w:val="0"/>
              <w:marBottom w:val="0"/>
              <w:divBdr>
                <w:top w:val="none" w:sz="0" w:space="0" w:color="auto"/>
                <w:left w:val="none" w:sz="0" w:space="0" w:color="auto"/>
                <w:bottom w:val="none" w:sz="0" w:space="0" w:color="auto"/>
                <w:right w:val="none" w:sz="0" w:space="0" w:color="auto"/>
              </w:divBdr>
              <w:divsChild>
                <w:div w:id="865411345">
                  <w:marLeft w:val="0"/>
                  <w:marRight w:val="0"/>
                  <w:marTop w:val="0"/>
                  <w:marBottom w:val="0"/>
                  <w:divBdr>
                    <w:top w:val="none" w:sz="0" w:space="0" w:color="auto"/>
                    <w:left w:val="none" w:sz="0" w:space="0" w:color="auto"/>
                    <w:bottom w:val="none" w:sz="0" w:space="0" w:color="auto"/>
                    <w:right w:val="none" w:sz="0" w:space="0" w:color="auto"/>
                  </w:divBdr>
                  <w:divsChild>
                    <w:div w:id="2049336111">
                      <w:marLeft w:val="0"/>
                      <w:marRight w:val="0"/>
                      <w:marTop w:val="0"/>
                      <w:marBottom w:val="0"/>
                      <w:divBdr>
                        <w:top w:val="none" w:sz="0" w:space="0" w:color="auto"/>
                        <w:left w:val="none" w:sz="0" w:space="0" w:color="auto"/>
                        <w:bottom w:val="none" w:sz="0" w:space="0" w:color="auto"/>
                        <w:right w:val="none" w:sz="0" w:space="0" w:color="auto"/>
                      </w:divBdr>
                      <w:divsChild>
                        <w:div w:id="181096283">
                          <w:marLeft w:val="0"/>
                          <w:marRight w:val="0"/>
                          <w:marTop w:val="0"/>
                          <w:marBottom w:val="0"/>
                          <w:divBdr>
                            <w:top w:val="none" w:sz="0" w:space="0" w:color="auto"/>
                            <w:left w:val="none" w:sz="0" w:space="0" w:color="auto"/>
                            <w:bottom w:val="none" w:sz="0" w:space="0" w:color="auto"/>
                            <w:right w:val="none" w:sz="0" w:space="0" w:color="auto"/>
                          </w:divBdr>
                          <w:divsChild>
                            <w:div w:id="1891262908">
                              <w:marLeft w:val="0"/>
                              <w:marRight w:val="0"/>
                              <w:marTop w:val="0"/>
                              <w:marBottom w:val="0"/>
                              <w:divBdr>
                                <w:top w:val="none" w:sz="0" w:space="0" w:color="auto"/>
                                <w:left w:val="none" w:sz="0" w:space="0" w:color="auto"/>
                                <w:bottom w:val="none" w:sz="0" w:space="0" w:color="auto"/>
                                <w:right w:val="none" w:sz="0" w:space="0" w:color="auto"/>
                              </w:divBdr>
                              <w:divsChild>
                                <w:div w:id="10910701">
                                  <w:marLeft w:val="0"/>
                                  <w:marRight w:val="0"/>
                                  <w:marTop w:val="0"/>
                                  <w:marBottom w:val="0"/>
                                  <w:divBdr>
                                    <w:top w:val="none" w:sz="0" w:space="0" w:color="auto"/>
                                    <w:left w:val="none" w:sz="0" w:space="0" w:color="auto"/>
                                    <w:bottom w:val="none" w:sz="0" w:space="0" w:color="auto"/>
                                    <w:right w:val="none" w:sz="0" w:space="0" w:color="auto"/>
                                  </w:divBdr>
                                  <w:divsChild>
                                    <w:div w:id="462967373">
                                      <w:marLeft w:val="0"/>
                                      <w:marRight w:val="0"/>
                                      <w:marTop w:val="0"/>
                                      <w:marBottom w:val="0"/>
                                      <w:divBdr>
                                        <w:top w:val="none" w:sz="0" w:space="0" w:color="auto"/>
                                        <w:left w:val="none" w:sz="0" w:space="0" w:color="auto"/>
                                        <w:bottom w:val="none" w:sz="0" w:space="0" w:color="auto"/>
                                        <w:right w:val="none" w:sz="0" w:space="0" w:color="auto"/>
                                      </w:divBdr>
                                      <w:divsChild>
                                        <w:div w:id="1723286764">
                                          <w:marLeft w:val="0"/>
                                          <w:marRight w:val="0"/>
                                          <w:marTop w:val="0"/>
                                          <w:marBottom w:val="0"/>
                                          <w:divBdr>
                                            <w:top w:val="none" w:sz="0" w:space="0" w:color="auto"/>
                                            <w:left w:val="none" w:sz="0" w:space="0" w:color="auto"/>
                                            <w:bottom w:val="none" w:sz="0" w:space="0" w:color="auto"/>
                                            <w:right w:val="none" w:sz="0" w:space="0" w:color="auto"/>
                                          </w:divBdr>
                                          <w:divsChild>
                                            <w:div w:id="352461509">
                                              <w:marLeft w:val="0"/>
                                              <w:marRight w:val="0"/>
                                              <w:marTop w:val="0"/>
                                              <w:marBottom w:val="0"/>
                                              <w:divBdr>
                                                <w:top w:val="none" w:sz="0" w:space="0" w:color="auto"/>
                                                <w:left w:val="none" w:sz="0" w:space="0" w:color="auto"/>
                                                <w:bottom w:val="none" w:sz="0" w:space="0" w:color="auto"/>
                                                <w:right w:val="none" w:sz="0" w:space="0" w:color="auto"/>
                                              </w:divBdr>
                                              <w:divsChild>
                                                <w:div w:id="69890203">
                                                  <w:marLeft w:val="0"/>
                                                  <w:marRight w:val="0"/>
                                                  <w:marTop w:val="0"/>
                                                  <w:marBottom w:val="0"/>
                                                  <w:divBdr>
                                                    <w:top w:val="none" w:sz="0" w:space="0" w:color="auto"/>
                                                    <w:left w:val="none" w:sz="0" w:space="0" w:color="auto"/>
                                                    <w:bottom w:val="none" w:sz="0" w:space="0" w:color="auto"/>
                                                    <w:right w:val="none" w:sz="0" w:space="0" w:color="auto"/>
                                                  </w:divBdr>
                                                  <w:divsChild>
                                                    <w:div w:id="2922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226313">
                                      <w:marLeft w:val="0"/>
                                      <w:marRight w:val="0"/>
                                      <w:marTop w:val="0"/>
                                      <w:marBottom w:val="0"/>
                                      <w:divBdr>
                                        <w:top w:val="none" w:sz="0" w:space="0" w:color="auto"/>
                                        <w:left w:val="none" w:sz="0" w:space="0" w:color="auto"/>
                                        <w:bottom w:val="none" w:sz="0" w:space="0" w:color="auto"/>
                                        <w:right w:val="none" w:sz="0" w:space="0" w:color="auto"/>
                                      </w:divBdr>
                                      <w:divsChild>
                                        <w:div w:id="922639881">
                                          <w:marLeft w:val="0"/>
                                          <w:marRight w:val="0"/>
                                          <w:marTop w:val="0"/>
                                          <w:marBottom w:val="0"/>
                                          <w:divBdr>
                                            <w:top w:val="none" w:sz="0" w:space="0" w:color="auto"/>
                                            <w:left w:val="none" w:sz="0" w:space="0" w:color="auto"/>
                                            <w:bottom w:val="none" w:sz="0" w:space="0" w:color="auto"/>
                                            <w:right w:val="none" w:sz="0" w:space="0" w:color="auto"/>
                                          </w:divBdr>
                                          <w:divsChild>
                                            <w:div w:id="341708877">
                                              <w:marLeft w:val="0"/>
                                              <w:marRight w:val="0"/>
                                              <w:marTop w:val="0"/>
                                              <w:marBottom w:val="0"/>
                                              <w:divBdr>
                                                <w:top w:val="none" w:sz="0" w:space="0" w:color="auto"/>
                                                <w:left w:val="none" w:sz="0" w:space="0" w:color="auto"/>
                                                <w:bottom w:val="none" w:sz="0" w:space="0" w:color="auto"/>
                                                <w:right w:val="none" w:sz="0" w:space="0" w:color="auto"/>
                                              </w:divBdr>
                                              <w:divsChild>
                                                <w:div w:id="860512290">
                                                  <w:marLeft w:val="0"/>
                                                  <w:marRight w:val="0"/>
                                                  <w:marTop w:val="0"/>
                                                  <w:marBottom w:val="0"/>
                                                  <w:divBdr>
                                                    <w:top w:val="none" w:sz="0" w:space="0" w:color="auto"/>
                                                    <w:left w:val="none" w:sz="0" w:space="0" w:color="auto"/>
                                                    <w:bottom w:val="none" w:sz="0" w:space="0" w:color="auto"/>
                                                    <w:right w:val="none" w:sz="0" w:space="0" w:color="auto"/>
                                                  </w:divBdr>
                                                  <w:divsChild>
                                                    <w:div w:id="208567636">
                                                      <w:marLeft w:val="0"/>
                                                      <w:marRight w:val="0"/>
                                                      <w:marTop w:val="0"/>
                                                      <w:marBottom w:val="0"/>
                                                      <w:divBdr>
                                                        <w:top w:val="none" w:sz="0" w:space="0" w:color="auto"/>
                                                        <w:left w:val="none" w:sz="0" w:space="0" w:color="auto"/>
                                                        <w:bottom w:val="none" w:sz="0" w:space="0" w:color="auto"/>
                                                        <w:right w:val="none" w:sz="0" w:space="0" w:color="auto"/>
                                                      </w:divBdr>
                                                      <w:divsChild>
                                                        <w:div w:id="193154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90492">
                                              <w:marLeft w:val="0"/>
                                              <w:marRight w:val="0"/>
                                              <w:marTop w:val="0"/>
                                              <w:marBottom w:val="0"/>
                                              <w:divBdr>
                                                <w:top w:val="none" w:sz="0" w:space="0" w:color="auto"/>
                                                <w:left w:val="none" w:sz="0" w:space="0" w:color="auto"/>
                                                <w:bottom w:val="none" w:sz="0" w:space="0" w:color="auto"/>
                                                <w:right w:val="none" w:sz="0" w:space="0" w:color="auto"/>
                                              </w:divBdr>
                                              <w:divsChild>
                                                <w:div w:id="1620334913">
                                                  <w:marLeft w:val="0"/>
                                                  <w:marRight w:val="0"/>
                                                  <w:marTop w:val="0"/>
                                                  <w:marBottom w:val="0"/>
                                                  <w:divBdr>
                                                    <w:top w:val="none" w:sz="0" w:space="0" w:color="auto"/>
                                                    <w:left w:val="none" w:sz="0" w:space="0" w:color="auto"/>
                                                    <w:bottom w:val="none" w:sz="0" w:space="0" w:color="auto"/>
                                                    <w:right w:val="none" w:sz="0" w:space="0" w:color="auto"/>
                                                  </w:divBdr>
                                                  <w:divsChild>
                                                    <w:div w:id="144700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3429">
                                              <w:marLeft w:val="0"/>
                                              <w:marRight w:val="0"/>
                                              <w:marTop w:val="0"/>
                                              <w:marBottom w:val="0"/>
                                              <w:divBdr>
                                                <w:top w:val="none" w:sz="0" w:space="0" w:color="auto"/>
                                                <w:left w:val="none" w:sz="0" w:space="0" w:color="auto"/>
                                                <w:bottom w:val="none" w:sz="0" w:space="0" w:color="auto"/>
                                                <w:right w:val="none" w:sz="0" w:space="0" w:color="auto"/>
                                              </w:divBdr>
                                              <w:divsChild>
                                                <w:div w:id="975837616">
                                                  <w:marLeft w:val="0"/>
                                                  <w:marRight w:val="0"/>
                                                  <w:marTop w:val="0"/>
                                                  <w:marBottom w:val="0"/>
                                                  <w:divBdr>
                                                    <w:top w:val="none" w:sz="0" w:space="0" w:color="auto"/>
                                                    <w:left w:val="none" w:sz="0" w:space="0" w:color="auto"/>
                                                    <w:bottom w:val="none" w:sz="0" w:space="0" w:color="auto"/>
                                                    <w:right w:val="none" w:sz="0" w:space="0" w:color="auto"/>
                                                  </w:divBdr>
                                                  <w:divsChild>
                                                    <w:div w:id="102702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03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upremecourt.uk/cases/uksc-2009-0042" TargetMode="External"/><Relationship Id="rId21" Type="http://schemas.openxmlformats.org/officeDocument/2006/relationships/hyperlink" Target="https://www.acas.org.uk/discrimination-and-the-law" TargetMode="External"/><Relationship Id="rId42" Type="http://schemas.openxmlformats.org/officeDocument/2006/relationships/hyperlink" Target="https://www.gov.uk/maternity-pay-leave" TargetMode="External"/><Relationship Id="rId47" Type="http://schemas.openxmlformats.org/officeDocument/2006/relationships/hyperlink" Target="https://www.bailii.org/ew/cases/EWCA/Civ/2005/245.html" TargetMode="External"/><Relationship Id="rId63" Type="http://schemas.openxmlformats.org/officeDocument/2006/relationships/hyperlink" Target="https://www.thehrconsultants.co.uk/what-is-employment-law-why-is-it-important/" TargetMode="External"/><Relationship Id="rId68" Type="http://schemas.openxmlformats.org/officeDocument/2006/relationships/hyperlink" Target="https://doi.org/10.1017/bap.2022.21" TargetMode="External"/><Relationship Id="rId84" Type="http://schemas.openxmlformats.org/officeDocument/2006/relationships/hyperlink" Target="https://doi.org/10.1093/indlaw/dwaa014" TargetMode="External"/><Relationship Id="rId16" Type="http://schemas.openxmlformats.org/officeDocument/2006/relationships/hyperlink" Target="https://www.acas.org.uk/statutory-flexible-working-requests" TargetMode="External"/><Relationship Id="rId11" Type="http://schemas.openxmlformats.org/officeDocument/2006/relationships/hyperlink" Target="https://www.acas.org.uk/index.aspx?articleid=1655" TargetMode="External"/><Relationship Id="rId32" Type="http://schemas.openxmlformats.org/officeDocument/2006/relationships/hyperlink" Target="https://www.cipd.org/uk/knowledge/guides/managing-the-redundancy-process/" TargetMode="External"/><Relationship Id="rId37" Type="http://schemas.openxmlformats.org/officeDocument/2006/relationships/hyperlink" Target="https://www.legislation.gov.uk/ukpga/2010/15/contents/enacted" TargetMode="External"/><Relationship Id="rId53" Type="http://schemas.openxmlformats.org/officeDocument/2006/relationships/hyperlink" Target="https://doi.org/10.1093/indlaw/dws025" TargetMode="External"/><Relationship Id="rId58" Type="http://schemas.openxmlformats.org/officeDocument/2006/relationships/hyperlink" Target="https://curia.europa.eu/juris/document/document.jsf?text=&amp;docid=124504&amp;pageIndex=0&amp;doclang=EN&amp;mode=req&amp;dir=&amp;occ=first&amp;part=1" TargetMode="External"/><Relationship Id="rId74" Type="http://schemas.openxmlformats.org/officeDocument/2006/relationships/hyperlink" Target="https://www.legislation.gov.uk/uksi/2006/246/contents/made" TargetMode="External"/><Relationship Id="rId79" Type="http://schemas.openxmlformats.org/officeDocument/2006/relationships/hyperlink" Target="https://doi.org/10.1163/24056901-00303018" TargetMode="External"/><Relationship Id="rId5" Type="http://schemas.openxmlformats.org/officeDocument/2006/relationships/hyperlink" Target="https://www.gov.uk/government/publications/regulatory-judgement-golden-lane-housing-limited/golden-lane-housing-limited-4803-regulatory-judgement-15-january-2025" TargetMode="External"/><Relationship Id="rId19" Type="http://schemas.openxmlformats.org/officeDocument/2006/relationships/hyperlink" Target="https://www.acas.org.uk/equal-pay/equal-pay-law" TargetMode="External"/><Relationship Id="rId14" Type="http://schemas.openxmlformats.org/officeDocument/2006/relationships/hyperlink" Target="https://www.acas.org.uk/checking-holiday-entitlement/calculating-holiday-pay" TargetMode="External"/><Relationship Id="rId22" Type="http://schemas.openxmlformats.org/officeDocument/2006/relationships/hyperlink" Target="https://www.acas.org.uk/final-pay-when-someone-leaves-a-job/pay-during-the-notice-period" TargetMode="External"/><Relationship Id="rId27" Type="http://schemas.openxmlformats.org/officeDocument/2006/relationships/hyperlink" Target="https://doi.org/10.1080/09615768.2022.2093620" TargetMode="External"/><Relationship Id="rId30" Type="http://schemas.openxmlformats.org/officeDocument/2006/relationships/hyperlink" Target="https://www.cipd.org/uk/knowledge/factsheets/tupe-factsheet/" TargetMode="External"/><Relationship Id="rId35" Type="http://schemas.openxmlformats.org/officeDocument/2006/relationships/hyperlink" Target="https://uk.practicallaw.thomsonreuters.com/w-009-5540?transitionType=Default&amp;contextData=(sc.Default)" TargetMode="External"/><Relationship Id="rId43" Type="http://schemas.openxmlformats.org/officeDocument/2006/relationships/hyperlink" Target="https://www.gov.uk/government/publications/calculating-holiday-pay-for-workers-without-fixed-hours-or-pay/calculating-holiday-pay-for-workers-without-fixed-hours-or-pay--2" TargetMode="External"/><Relationship Id="rId48" Type="http://schemas.openxmlformats.org/officeDocument/2006/relationships/hyperlink" Target="https://www.gov.uk/employment-appeal-tribunal-decisions/k-v-l-ukeats-0014-18-jw" TargetMode="External"/><Relationship Id="rId56" Type="http://schemas.openxmlformats.org/officeDocument/2006/relationships/hyperlink" Target="https://neu.org.uk/advice/your-rights-work/family-rights/shared-parental-leave-and-pay" TargetMode="External"/><Relationship Id="rId64" Type="http://schemas.openxmlformats.org/officeDocument/2006/relationships/hyperlink" Target="https://uk.practicallaw.thomsonreuters.com/7-201-7057?comp=pluk&amp;transitionType=Default&amp;contextData=(sc.Default)&amp;firstPage=true&amp;OWSessionId=3adffb1113e549bf82e382e9a293c5e4&amp;skipAnonymous=true" TargetMode="External"/><Relationship Id="rId69" Type="http://schemas.openxmlformats.org/officeDocument/2006/relationships/hyperlink" Target="https://doi.org/10.1093/ilj/34.1.96" TargetMode="External"/><Relationship Id="rId77" Type="http://schemas.openxmlformats.org/officeDocument/2006/relationships/hyperlink" Target="https://www.legislation.gov.uk/ukpga/2018/16/contents/enacted" TargetMode="External"/><Relationship Id="rId8" Type="http://schemas.openxmlformats.org/officeDocument/2006/relationships/hyperlink" Target="https://www.legislation.gov.uk/ukpga/2010/15/contents/enacted" TargetMode="External"/><Relationship Id="rId51" Type="http://schemas.openxmlformats.org/officeDocument/2006/relationships/hyperlink" Target="https://publications.parliament.uk/pa/ld199899/ldjudgmt/jd990715/mann.htm" TargetMode="External"/><Relationship Id="rId72" Type="http://schemas.openxmlformats.org/officeDocument/2006/relationships/hyperlink" Target="https://doi.org/10.1177/17488958231162520" TargetMode="External"/><Relationship Id="rId80" Type="http://schemas.openxmlformats.org/officeDocument/2006/relationships/hyperlink" Target="https://cintra.co.uk/blog/holiday-pay-for-casual-workers/"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acas.org.uk/collective-consultation-redundancy" TargetMode="External"/><Relationship Id="rId17" Type="http://schemas.openxmlformats.org/officeDocument/2006/relationships/hyperlink" Target="https://www.acas.org.uk/acas-code-of-practice-on-flexible-working-requests/html" TargetMode="External"/><Relationship Id="rId25" Type="http://schemas.openxmlformats.org/officeDocument/2006/relationships/hyperlink" Target="https://doi.org/10.1177/0038026118809002" TargetMode="External"/><Relationship Id="rId33" Type="http://schemas.openxmlformats.org/officeDocument/2006/relationships/hyperlink" Target="https://www.cipd.org/uk/knowledge/employment-law/equal-pay/" TargetMode="External"/><Relationship Id="rId38" Type="http://schemas.openxmlformats.org/officeDocument/2006/relationships/hyperlink" Target="https://www.legislation.gov.uk/ukpga/2010/15/contents/enacted" TargetMode="External"/><Relationship Id="rId46" Type="http://schemas.openxmlformats.org/officeDocument/2006/relationships/hyperlink" Target="https://www.peoplemanagement.co.uk/article/1856168/new-flexible-working-laws-employers-guide" TargetMode="External"/><Relationship Id="rId59" Type="http://schemas.openxmlformats.org/officeDocument/2006/relationships/hyperlink" Target="https://doi.org/10.1007/s10940-021-09498-6" TargetMode="External"/><Relationship Id="rId67" Type="http://schemas.openxmlformats.org/officeDocument/2006/relationships/hyperlink" Target="https://www.bailii.org/ew/cases/EWCA/Civ/2012/232.html" TargetMode="External"/><Relationship Id="rId20" Type="http://schemas.openxmlformats.org/officeDocument/2006/relationships/hyperlink" Target="https://www.acas.org.uk/tupe/advice-for-employers-and-employees" TargetMode="External"/><Relationship Id="rId41" Type="http://schemas.openxmlformats.org/officeDocument/2006/relationships/hyperlink" Target="https://www.gov.uk/redundancy-your-rights/redundancy-pay" TargetMode="External"/><Relationship Id="rId54" Type="http://schemas.openxmlformats.org/officeDocument/2006/relationships/hyperlink" Target="https://doi.org/10.1093/indlaw/dwab019" TargetMode="External"/><Relationship Id="rId62" Type="http://schemas.openxmlformats.org/officeDocument/2006/relationships/hyperlink" Target="https://eur-lex.europa.eu/legal-content/EN/TXT/?uri=CELEX%3A61994CJ0013" TargetMode="External"/><Relationship Id="rId70" Type="http://schemas.openxmlformats.org/officeDocument/2006/relationships/hyperlink" Target="https://www.bailii.org/eu/cases/EUECJ/2006/C13104.html" TargetMode="External"/><Relationship Id="rId75" Type="http://schemas.openxmlformats.org/officeDocument/2006/relationships/hyperlink" Target="https://www.legislation.gov.uk/uksi/1998/1833/contents/made" TargetMode="External"/><Relationship Id="rId83" Type="http://schemas.openxmlformats.org/officeDocument/2006/relationships/hyperlink" Target="https://doi.org/10.1093/ilj/31.3.282" TargetMode="External"/><Relationship Id="rId1" Type="http://schemas.openxmlformats.org/officeDocument/2006/relationships/styles" Target="styles.xml"/><Relationship Id="rId6" Type="http://schemas.openxmlformats.org/officeDocument/2006/relationships/hyperlink" Target="https://doi.org/10.1108/ER-07-2014-0085" TargetMode="External"/><Relationship Id="rId15" Type="http://schemas.openxmlformats.org/officeDocument/2006/relationships/hyperlink" Target="https://www.acas.org.uk/your-maternity-leave-pay-and-other-rights/working-out-maternity-pay" TargetMode="External"/><Relationship Id="rId23" Type="http://schemas.openxmlformats.org/officeDocument/2006/relationships/hyperlink" Target="https://www.youtube.com/watch?v=x5yMEG_01R8" TargetMode="External"/><Relationship Id="rId28" Type="http://schemas.openxmlformats.org/officeDocument/2006/relationships/hyperlink" Target="https://doi.org/10.1038/d41586-019-03019-z" TargetMode="External"/><Relationship Id="rId36" Type="http://schemas.openxmlformats.org/officeDocument/2006/relationships/hyperlink" Target="https://www.legislation.gov.uk/ukpga/1970/41/contents/enacted" TargetMode="External"/><Relationship Id="rId49" Type="http://schemas.openxmlformats.org/officeDocument/2006/relationships/hyperlink" Target="https://doi.org/10.1177/0265407520961841" TargetMode="External"/><Relationship Id="rId57" Type="http://schemas.openxmlformats.org/officeDocument/2006/relationships/hyperlink" Target="https://doi.org/10.1108/IJLMA-07-2017-0160" TargetMode="External"/><Relationship Id="rId10" Type="http://schemas.openxmlformats.org/officeDocument/2006/relationships/hyperlink" Target="https://doi.org/10.1177/0143831X11425542" TargetMode="External"/><Relationship Id="rId31" Type="http://schemas.openxmlformats.org/officeDocument/2006/relationships/hyperlink" Target="https://www.cipd.org/uk/knowledge/guides/requesting-flexible-working-guide/" TargetMode="External"/><Relationship Id="rId44" Type="http://schemas.openxmlformats.org/officeDocument/2006/relationships/hyperlink" Target="https://www.gov.uk/transfers-takeovers" TargetMode="External"/><Relationship Id="rId52" Type="http://schemas.openxmlformats.org/officeDocument/2006/relationships/hyperlink" Target="https://commonslibrary.parliament.uk/brexit-next-steps-the-court-of-justice-of-the-eu-and-the-uk/" TargetMode="External"/><Relationship Id="rId60" Type="http://schemas.openxmlformats.org/officeDocument/2006/relationships/hyperlink" Target="https://employmentcasesupdate.co.uk/content/nhs-leeds-v-larner-2012-ewca-civ-1034.6bb8dd8300cb4777af65c8cec3878760.htm" TargetMode="External"/><Relationship Id="rId65" Type="http://schemas.openxmlformats.org/officeDocument/2006/relationships/hyperlink" Target="https://doi.org/10.1093/ilj/25.3.191" TargetMode="External"/><Relationship Id="rId73" Type="http://schemas.openxmlformats.org/officeDocument/2006/relationships/hyperlink" Target="https://www.lawsociety.org.uk/topics/brexit/what-is-the-european-court-of-justice-and-why-does-it-matter" TargetMode="External"/><Relationship Id="rId78" Type="http://schemas.openxmlformats.org/officeDocument/2006/relationships/hyperlink" Target="https://www.unison.org.uk/get-help/knowledge/pay/equal-pay/" TargetMode="External"/><Relationship Id="rId81" Type="http://schemas.openxmlformats.org/officeDocument/2006/relationships/hyperlink" Target="https://assets.publishing.service.gov.uk/media/5a969f59ed915d57d4d0f11d/Mrs_T_Button_v_Birmingham_Community_Healthcare_NHS_Foundation_Trust_1301461_2017.pdf" TargetMode="External"/><Relationship Id="rId86" Type="http://schemas.openxmlformats.org/officeDocument/2006/relationships/theme" Target="theme/theme1.xml"/><Relationship Id="rId4" Type="http://schemas.openxmlformats.org/officeDocument/2006/relationships/hyperlink" Target="https://www.acas.org.uk/" TargetMode="External"/><Relationship Id="rId9" Type="http://schemas.openxmlformats.org/officeDocument/2006/relationships/hyperlink" Target="https://doi.org/10.1177/2031952520911063" TargetMode="External"/><Relationship Id="rId13" Type="http://schemas.openxmlformats.org/officeDocument/2006/relationships/hyperlink" Target="https://www.acas.org.uk/7-out-of-10-employees-are-unaware-of-new-day-one-right-to-request-flexible-working" TargetMode="External"/><Relationship Id="rId18" Type="http://schemas.openxmlformats.org/officeDocument/2006/relationships/hyperlink" Target="https://www.acas.org.uk/dismissals/constructive-dismissal" TargetMode="External"/><Relationship Id="rId39" Type="http://schemas.openxmlformats.org/officeDocument/2006/relationships/hyperlink" Target="https://www.gov.uk/dismissal/what-to-do-if-youre-dismissed" TargetMode="External"/><Relationship Id="rId34" Type="http://schemas.openxmlformats.org/officeDocument/2006/relationships/hyperlink" Target="https://www.supremecourt.uk/cases/uksc-2023-0068" TargetMode="External"/><Relationship Id="rId50" Type="http://schemas.openxmlformats.org/officeDocument/2006/relationships/hyperlink" Target="https://employmentcasesupdate.co.uk/content/lock-v-british-gas-trading-limited-2014-cjeu-c-539-12.efbd568708f447779b7ebfde08881d8d.htm" TargetMode="External"/><Relationship Id="rId55" Type="http://schemas.openxmlformats.org/officeDocument/2006/relationships/hyperlink" Target="https://doi.org/10.1093/indlaw/dwac015" TargetMode="External"/><Relationship Id="rId76" Type="http://schemas.openxmlformats.org/officeDocument/2006/relationships/hyperlink" Target="https://uk.practicallaw.thomsonreuters.com/9-502-3493" TargetMode="External"/><Relationship Id="rId7" Type="http://schemas.openxmlformats.org/officeDocument/2006/relationships/hyperlink" Target="https://www.equalityhumanrights.com/guidance/equal-pay" TargetMode="External"/><Relationship Id="rId71" Type="http://schemas.openxmlformats.org/officeDocument/2006/relationships/hyperlink" Target="https://assets.publishing.service.gov.uk/media/634e5243d3bf7f618c35e558/Ms_K_Jhuti__vs_Royal_Mail_Group_ltd.pdf" TargetMode="External"/><Relationship Id="rId2" Type="http://schemas.openxmlformats.org/officeDocument/2006/relationships/settings" Target="settings.xml"/><Relationship Id="rId29" Type="http://schemas.openxmlformats.org/officeDocument/2006/relationships/hyperlink" Target="https://doi.org/10.1093/indlaw/dwy008" TargetMode="External"/><Relationship Id="rId24" Type="http://schemas.openxmlformats.org/officeDocument/2006/relationships/hyperlink" Target="https://employmentcasesupdate.co.uk/content/asda-stores-ltd-v-brierley-ors-2021-uksc-10.1fc99372b9fe479ebf392fbe139a4351.htm" TargetMode="External"/><Relationship Id="rId40" Type="http://schemas.openxmlformats.org/officeDocument/2006/relationships/hyperlink" Target="https://www.gov.uk/staff-redundant/redundancy-consultations" TargetMode="External"/><Relationship Id="rId45" Type="http://schemas.openxmlformats.org/officeDocument/2006/relationships/hyperlink" Target="https://doi.org/10.1308/rcsbull.TB2021.12" TargetMode="External"/><Relationship Id="rId66" Type="http://schemas.openxmlformats.org/officeDocument/2006/relationships/hyperlink" Target="https://uk.practicallaw.thomsonreuters.com/D-011-7548?transitionType=Default&amp;contextData=(sc.Default)" TargetMode="External"/><Relationship Id="rId61" Type="http://schemas.openxmlformats.org/officeDocument/2006/relationships/hyperlink" Target="https://doi.org/10.1093/ilj/33.1.1" TargetMode="External"/><Relationship Id="rId82" Type="http://schemas.openxmlformats.org/officeDocument/2006/relationships/hyperlink" Target="https://doi.org/10.10520/EJC125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15</Pages>
  <Words>7866</Words>
  <Characters>44838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Test</dc:creator>
  <cp:keywords/>
  <dc:description/>
  <cp:lastModifiedBy>Kamil Test</cp:lastModifiedBy>
  <cp:revision>15</cp:revision>
  <dcterms:created xsi:type="dcterms:W3CDTF">2025-03-14T15:29:00Z</dcterms:created>
  <dcterms:modified xsi:type="dcterms:W3CDTF">2025-03-14T17:57:00Z</dcterms:modified>
</cp:coreProperties>
</file>