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91DBF" w14:textId="77777777" w:rsidR="00106DB8" w:rsidRDefault="00106DB8" w:rsidP="00D6048F">
      <w:pPr>
        <w:pStyle w:val="p1"/>
        <w:spacing w:line="360" w:lineRule="auto"/>
        <w:rPr>
          <w:rStyle w:val="s1"/>
          <w:rFonts w:ascii="Calibri" w:hAnsi="Calibri"/>
          <w:color w:val="000000" w:themeColor="text1"/>
          <w:sz w:val="24"/>
          <w:szCs w:val="24"/>
        </w:rPr>
      </w:pPr>
    </w:p>
    <w:p w14:paraId="61120B6A" w14:textId="77777777" w:rsidR="007D4E6B" w:rsidRDefault="007D4E6B" w:rsidP="007D4E6B">
      <w:pPr>
        <w:pStyle w:val="p1"/>
        <w:spacing w:line="360" w:lineRule="auto"/>
        <w:jc w:val="center"/>
        <w:rPr>
          <w:rStyle w:val="s1"/>
          <w:rFonts w:ascii="Calibri" w:hAnsi="Calibri"/>
          <w:color w:val="000000" w:themeColor="text1"/>
          <w:sz w:val="24"/>
          <w:szCs w:val="24"/>
        </w:rPr>
      </w:pPr>
    </w:p>
    <w:p w14:paraId="7ABE48D5" w14:textId="77777777" w:rsidR="007D4E6B" w:rsidRDefault="007D4E6B" w:rsidP="007D4E6B">
      <w:pPr>
        <w:pStyle w:val="p1"/>
        <w:spacing w:line="360" w:lineRule="auto"/>
        <w:jc w:val="center"/>
        <w:rPr>
          <w:rStyle w:val="s1"/>
          <w:rFonts w:ascii="Calibri" w:hAnsi="Calibri"/>
          <w:color w:val="000000" w:themeColor="text1"/>
          <w:sz w:val="24"/>
          <w:szCs w:val="24"/>
        </w:rPr>
      </w:pPr>
    </w:p>
    <w:p w14:paraId="35D144BA" w14:textId="77777777" w:rsidR="007D4E6B" w:rsidRDefault="007D4E6B" w:rsidP="007D4E6B">
      <w:pPr>
        <w:pStyle w:val="p1"/>
        <w:spacing w:line="360" w:lineRule="auto"/>
        <w:jc w:val="center"/>
        <w:rPr>
          <w:rStyle w:val="s1"/>
          <w:rFonts w:ascii="Calibri" w:hAnsi="Calibri"/>
          <w:color w:val="000000" w:themeColor="text1"/>
          <w:sz w:val="24"/>
          <w:szCs w:val="24"/>
        </w:rPr>
      </w:pPr>
    </w:p>
    <w:p w14:paraId="0016EFE0" w14:textId="77777777" w:rsidR="007D4E6B" w:rsidRDefault="007D4E6B" w:rsidP="007D4E6B">
      <w:pPr>
        <w:pStyle w:val="p1"/>
        <w:spacing w:line="360" w:lineRule="auto"/>
        <w:jc w:val="center"/>
        <w:rPr>
          <w:rStyle w:val="s1"/>
          <w:rFonts w:ascii="Calibri" w:hAnsi="Calibri"/>
          <w:color w:val="000000" w:themeColor="text1"/>
          <w:sz w:val="24"/>
          <w:szCs w:val="24"/>
        </w:rPr>
      </w:pPr>
    </w:p>
    <w:p w14:paraId="27B47876" w14:textId="77777777" w:rsidR="007D4E6B" w:rsidRDefault="007D4E6B" w:rsidP="007D4E6B">
      <w:pPr>
        <w:pStyle w:val="p1"/>
        <w:spacing w:line="360" w:lineRule="auto"/>
        <w:jc w:val="center"/>
        <w:rPr>
          <w:rStyle w:val="s1"/>
          <w:rFonts w:ascii="Calibri" w:hAnsi="Calibri"/>
          <w:color w:val="000000" w:themeColor="text1"/>
          <w:sz w:val="24"/>
          <w:szCs w:val="24"/>
        </w:rPr>
      </w:pPr>
    </w:p>
    <w:p w14:paraId="6B5BF035" w14:textId="77777777" w:rsidR="007D4E6B" w:rsidRDefault="007D4E6B" w:rsidP="007D4E6B">
      <w:pPr>
        <w:pStyle w:val="p1"/>
        <w:spacing w:line="360" w:lineRule="auto"/>
        <w:jc w:val="center"/>
        <w:rPr>
          <w:rStyle w:val="s1"/>
          <w:rFonts w:ascii="Calibri" w:hAnsi="Calibri"/>
          <w:color w:val="000000" w:themeColor="text1"/>
          <w:sz w:val="24"/>
          <w:szCs w:val="24"/>
        </w:rPr>
      </w:pPr>
    </w:p>
    <w:p w14:paraId="475868D7" w14:textId="77777777" w:rsidR="007D4E6B" w:rsidRDefault="007D4E6B" w:rsidP="007D4E6B">
      <w:pPr>
        <w:pStyle w:val="p1"/>
        <w:spacing w:line="360" w:lineRule="auto"/>
        <w:jc w:val="center"/>
        <w:rPr>
          <w:rStyle w:val="s1"/>
          <w:rFonts w:ascii="Calibri" w:hAnsi="Calibri"/>
          <w:color w:val="000000" w:themeColor="text1"/>
          <w:sz w:val="24"/>
          <w:szCs w:val="24"/>
        </w:rPr>
      </w:pPr>
    </w:p>
    <w:p w14:paraId="0B031934" w14:textId="77777777" w:rsidR="007D4E6B" w:rsidRDefault="007D4E6B" w:rsidP="007D4E6B">
      <w:pPr>
        <w:pStyle w:val="p1"/>
        <w:spacing w:line="360" w:lineRule="auto"/>
        <w:jc w:val="center"/>
        <w:rPr>
          <w:rStyle w:val="s1"/>
          <w:rFonts w:ascii="Calibri" w:hAnsi="Calibri"/>
          <w:color w:val="000000" w:themeColor="text1"/>
          <w:sz w:val="24"/>
          <w:szCs w:val="24"/>
        </w:rPr>
      </w:pPr>
    </w:p>
    <w:p w14:paraId="12DF266B" w14:textId="77777777" w:rsidR="007D4E6B" w:rsidRDefault="007D4E6B" w:rsidP="007D4E6B">
      <w:pPr>
        <w:pStyle w:val="p1"/>
        <w:spacing w:line="360" w:lineRule="auto"/>
        <w:jc w:val="center"/>
        <w:rPr>
          <w:rStyle w:val="s1"/>
          <w:rFonts w:ascii="Calibri" w:hAnsi="Calibri"/>
          <w:color w:val="000000" w:themeColor="text1"/>
          <w:sz w:val="24"/>
          <w:szCs w:val="24"/>
        </w:rPr>
      </w:pPr>
    </w:p>
    <w:p w14:paraId="22BDE99E" w14:textId="77777777" w:rsidR="007D4E6B" w:rsidRDefault="007D4E6B" w:rsidP="007D4E6B">
      <w:pPr>
        <w:pStyle w:val="p1"/>
        <w:spacing w:line="360" w:lineRule="auto"/>
        <w:jc w:val="center"/>
        <w:rPr>
          <w:rStyle w:val="s1"/>
          <w:rFonts w:ascii="Calibri" w:hAnsi="Calibri"/>
          <w:color w:val="000000" w:themeColor="text1"/>
          <w:sz w:val="24"/>
          <w:szCs w:val="24"/>
        </w:rPr>
      </w:pPr>
    </w:p>
    <w:p w14:paraId="7D0AA381" w14:textId="15D18A93" w:rsidR="00106DB8" w:rsidRDefault="00106DB8" w:rsidP="007D4E6B">
      <w:pPr>
        <w:pStyle w:val="p1"/>
        <w:spacing w:line="360" w:lineRule="auto"/>
        <w:jc w:val="center"/>
        <w:rPr>
          <w:rStyle w:val="s1"/>
          <w:rFonts w:ascii="Calibri" w:hAnsi="Calibri"/>
          <w:color w:val="000000" w:themeColor="text1"/>
          <w:sz w:val="24"/>
          <w:szCs w:val="24"/>
        </w:rPr>
      </w:pPr>
      <w:r>
        <w:rPr>
          <w:rStyle w:val="s1"/>
          <w:rFonts w:ascii="Calibri" w:hAnsi="Calibri"/>
          <w:color w:val="000000" w:themeColor="text1"/>
          <w:sz w:val="24"/>
          <w:szCs w:val="24"/>
        </w:rPr>
        <w:t xml:space="preserve">Zartasha </w:t>
      </w:r>
      <w:r w:rsidR="00E22174">
        <w:rPr>
          <w:rStyle w:val="s1"/>
          <w:rFonts w:ascii="Calibri" w:hAnsi="Calibri"/>
          <w:color w:val="000000" w:themeColor="text1"/>
          <w:sz w:val="24"/>
          <w:szCs w:val="24"/>
        </w:rPr>
        <w:t>Z</w:t>
      </w:r>
      <w:r>
        <w:rPr>
          <w:rStyle w:val="s1"/>
          <w:rFonts w:ascii="Calibri" w:hAnsi="Calibri"/>
          <w:color w:val="000000" w:themeColor="text1"/>
          <w:sz w:val="24"/>
          <w:szCs w:val="24"/>
        </w:rPr>
        <w:t>ahied – 2015319</w:t>
      </w:r>
    </w:p>
    <w:p w14:paraId="71AFB0CB" w14:textId="40762F67" w:rsidR="00E22174" w:rsidRDefault="00E22174" w:rsidP="007D4E6B">
      <w:pPr>
        <w:pStyle w:val="p1"/>
        <w:spacing w:line="360" w:lineRule="auto"/>
        <w:jc w:val="center"/>
        <w:rPr>
          <w:rStyle w:val="s1"/>
          <w:rFonts w:ascii="Calibri" w:hAnsi="Calibri"/>
          <w:color w:val="000000" w:themeColor="text1"/>
          <w:sz w:val="24"/>
          <w:szCs w:val="24"/>
        </w:rPr>
      </w:pPr>
      <w:r>
        <w:rPr>
          <w:rStyle w:val="s1"/>
          <w:rFonts w:ascii="Calibri" w:hAnsi="Calibri"/>
          <w:color w:val="000000" w:themeColor="text1"/>
          <w:sz w:val="24"/>
          <w:szCs w:val="24"/>
        </w:rPr>
        <w:t>Lecturer – Joanne Davies</w:t>
      </w:r>
    </w:p>
    <w:p w14:paraId="655B9EA7" w14:textId="2A22AB19" w:rsidR="00E22174" w:rsidRDefault="00D322E5" w:rsidP="007D4E6B">
      <w:pPr>
        <w:pStyle w:val="p1"/>
        <w:spacing w:line="360" w:lineRule="auto"/>
        <w:jc w:val="center"/>
        <w:rPr>
          <w:rStyle w:val="s1"/>
          <w:rFonts w:ascii="Calibri" w:hAnsi="Calibri"/>
          <w:color w:val="000000" w:themeColor="text1"/>
          <w:sz w:val="24"/>
          <w:szCs w:val="24"/>
        </w:rPr>
      </w:pPr>
      <w:r>
        <w:rPr>
          <w:rStyle w:val="s1"/>
          <w:rFonts w:ascii="Calibri" w:hAnsi="Calibri"/>
          <w:color w:val="000000" w:themeColor="text1"/>
          <w:sz w:val="24"/>
          <w:szCs w:val="24"/>
        </w:rPr>
        <w:t xml:space="preserve">Living with care – the older person </w:t>
      </w:r>
      <w:r w:rsidR="007D4E6B">
        <w:rPr>
          <w:rStyle w:val="s1"/>
          <w:rFonts w:ascii="Calibri" w:hAnsi="Calibri"/>
          <w:color w:val="000000" w:themeColor="text1"/>
          <w:sz w:val="24"/>
          <w:szCs w:val="24"/>
        </w:rPr>
        <w:t>–</w:t>
      </w:r>
      <w:r>
        <w:rPr>
          <w:rStyle w:val="s1"/>
          <w:rFonts w:ascii="Calibri" w:hAnsi="Calibri"/>
          <w:color w:val="000000" w:themeColor="text1"/>
          <w:sz w:val="24"/>
          <w:szCs w:val="24"/>
        </w:rPr>
        <w:t xml:space="preserve"> </w:t>
      </w:r>
      <w:r w:rsidR="007D4E6B">
        <w:rPr>
          <w:rStyle w:val="s1"/>
          <w:rFonts w:ascii="Calibri" w:hAnsi="Calibri"/>
          <w:color w:val="000000" w:themeColor="text1"/>
          <w:sz w:val="24"/>
          <w:szCs w:val="24"/>
        </w:rPr>
        <w:t>BMHP6009</w:t>
      </w:r>
    </w:p>
    <w:p w14:paraId="77A97414" w14:textId="1BED6364" w:rsidR="00A3267A" w:rsidRPr="00D6048F" w:rsidRDefault="00A3267A" w:rsidP="007D4E6B">
      <w:pPr>
        <w:pStyle w:val="p1"/>
        <w:spacing w:line="360" w:lineRule="auto"/>
        <w:jc w:val="center"/>
        <w:rPr>
          <w:rFonts w:ascii="Calibri" w:hAnsi="Calibri"/>
          <w:color w:val="000000" w:themeColor="text1"/>
          <w:sz w:val="24"/>
          <w:szCs w:val="24"/>
        </w:rPr>
      </w:pPr>
      <w:r w:rsidRPr="00D6048F">
        <w:rPr>
          <w:rStyle w:val="s1"/>
          <w:rFonts w:ascii="Calibri" w:hAnsi="Calibri"/>
          <w:color w:val="000000" w:themeColor="text1"/>
          <w:sz w:val="24"/>
          <w:szCs w:val="24"/>
        </w:rPr>
        <w:t xml:space="preserve">Critical Evaluation of the Health and Social Care Needs of </w:t>
      </w:r>
      <w:r w:rsidR="00746691" w:rsidRPr="00D6048F">
        <w:rPr>
          <w:rStyle w:val="s1"/>
          <w:rFonts w:ascii="Calibri" w:hAnsi="Calibri"/>
          <w:color w:val="000000" w:themeColor="text1"/>
          <w:sz w:val="24"/>
          <w:szCs w:val="24"/>
        </w:rPr>
        <w:t>Sadie Evans</w:t>
      </w:r>
    </w:p>
    <w:p w14:paraId="00492C34" w14:textId="2A9C3F72" w:rsidR="00A3267A" w:rsidRPr="00D6048F" w:rsidRDefault="00A3267A" w:rsidP="00D6048F">
      <w:pPr>
        <w:pStyle w:val="p1"/>
        <w:spacing w:line="360" w:lineRule="auto"/>
        <w:rPr>
          <w:rFonts w:ascii="Calibri" w:hAnsi="Calibri"/>
          <w:color w:val="000000" w:themeColor="text1"/>
          <w:sz w:val="24"/>
          <w:szCs w:val="24"/>
        </w:rPr>
      </w:pPr>
    </w:p>
    <w:p w14:paraId="3B8196C6" w14:textId="77777777" w:rsidR="001A7F77" w:rsidRDefault="001A7F77" w:rsidP="00D6048F">
      <w:pPr>
        <w:pStyle w:val="p1"/>
        <w:spacing w:line="360" w:lineRule="auto"/>
        <w:rPr>
          <w:rStyle w:val="s1"/>
          <w:rFonts w:ascii="Calibri" w:hAnsi="Calibri"/>
          <w:color w:val="000000" w:themeColor="text1"/>
          <w:sz w:val="24"/>
          <w:szCs w:val="24"/>
        </w:rPr>
      </w:pPr>
    </w:p>
    <w:p w14:paraId="24D4FD3C" w14:textId="77777777" w:rsidR="007D4E6B" w:rsidRDefault="007D4E6B" w:rsidP="00D6048F">
      <w:pPr>
        <w:pStyle w:val="p1"/>
        <w:spacing w:line="360" w:lineRule="auto"/>
        <w:rPr>
          <w:rStyle w:val="s1"/>
          <w:rFonts w:ascii="Calibri" w:hAnsi="Calibri"/>
          <w:color w:val="000000" w:themeColor="text1"/>
          <w:sz w:val="24"/>
          <w:szCs w:val="24"/>
        </w:rPr>
      </w:pPr>
    </w:p>
    <w:p w14:paraId="18701386" w14:textId="77777777" w:rsidR="007D4E6B" w:rsidRDefault="007D4E6B" w:rsidP="00D6048F">
      <w:pPr>
        <w:pStyle w:val="p1"/>
        <w:spacing w:line="360" w:lineRule="auto"/>
        <w:rPr>
          <w:rStyle w:val="s1"/>
          <w:rFonts w:ascii="Calibri" w:hAnsi="Calibri"/>
          <w:color w:val="000000" w:themeColor="text1"/>
          <w:sz w:val="24"/>
          <w:szCs w:val="24"/>
        </w:rPr>
      </w:pPr>
    </w:p>
    <w:p w14:paraId="72C4D441" w14:textId="77777777" w:rsidR="007D4E6B" w:rsidRDefault="007D4E6B" w:rsidP="00D6048F">
      <w:pPr>
        <w:pStyle w:val="p1"/>
        <w:spacing w:line="360" w:lineRule="auto"/>
        <w:rPr>
          <w:rStyle w:val="s1"/>
          <w:rFonts w:ascii="Calibri" w:hAnsi="Calibri"/>
          <w:color w:val="000000" w:themeColor="text1"/>
          <w:sz w:val="24"/>
          <w:szCs w:val="24"/>
        </w:rPr>
      </w:pPr>
    </w:p>
    <w:p w14:paraId="6B82A0FC" w14:textId="77777777" w:rsidR="007D4E6B" w:rsidRDefault="007D4E6B" w:rsidP="00D6048F">
      <w:pPr>
        <w:pStyle w:val="p1"/>
        <w:spacing w:line="360" w:lineRule="auto"/>
        <w:rPr>
          <w:rStyle w:val="s1"/>
          <w:rFonts w:ascii="Calibri" w:hAnsi="Calibri"/>
          <w:color w:val="000000" w:themeColor="text1"/>
          <w:sz w:val="24"/>
          <w:szCs w:val="24"/>
        </w:rPr>
      </w:pPr>
    </w:p>
    <w:p w14:paraId="3B455C13" w14:textId="77777777" w:rsidR="007D4E6B" w:rsidRDefault="007D4E6B" w:rsidP="00D6048F">
      <w:pPr>
        <w:pStyle w:val="p1"/>
        <w:spacing w:line="360" w:lineRule="auto"/>
        <w:rPr>
          <w:rStyle w:val="s1"/>
          <w:rFonts w:ascii="Calibri" w:hAnsi="Calibri"/>
          <w:color w:val="000000" w:themeColor="text1"/>
          <w:sz w:val="24"/>
          <w:szCs w:val="24"/>
        </w:rPr>
      </w:pPr>
    </w:p>
    <w:p w14:paraId="262316C7" w14:textId="77777777" w:rsidR="007D4E6B" w:rsidRDefault="007D4E6B" w:rsidP="00D6048F">
      <w:pPr>
        <w:pStyle w:val="p1"/>
        <w:spacing w:line="360" w:lineRule="auto"/>
        <w:rPr>
          <w:rStyle w:val="s1"/>
          <w:rFonts w:ascii="Calibri" w:hAnsi="Calibri"/>
          <w:color w:val="000000" w:themeColor="text1"/>
          <w:sz w:val="24"/>
          <w:szCs w:val="24"/>
        </w:rPr>
      </w:pPr>
    </w:p>
    <w:p w14:paraId="0C5E6BA8" w14:textId="77777777" w:rsidR="007D4E6B" w:rsidRDefault="007D4E6B" w:rsidP="00D6048F">
      <w:pPr>
        <w:pStyle w:val="p1"/>
        <w:spacing w:line="360" w:lineRule="auto"/>
        <w:rPr>
          <w:rStyle w:val="s1"/>
          <w:rFonts w:ascii="Calibri" w:hAnsi="Calibri"/>
          <w:color w:val="000000" w:themeColor="text1"/>
          <w:sz w:val="24"/>
          <w:szCs w:val="24"/>
        </w:rPr>
      </w:pPr>
    </w:p>
    <w:p w14:paraId="5657FA81" w14:textId="77777777" w:rsidR="007D4E6B" w:rsidRDefault="007D4E6B" w:rsidP="00D6048F">
      <w:pPr>
        <w:pStyle w:val="p1"/>
        <w:spacing w:line="360" w:lineRule="auto"/>
        <w:rPr>
          <w:rStyle w:val="s1"/>
          <w:rFonts w:ascii="Calibri" w:hAnsi="Calibri"/>
          <w:color w:val="000000" w:themeColor="text1"/>
          <w:sz w:val="24"/>
          <w:szCs w:val="24"/>
        </w:rPr>
      </w:pPr>
    </w:p>
    <w:p w14:paraId="0026D884" w14:textId="77777777" w:rsidR="007D4E6B" w:rsidRDefault="007D4E6B" w:rsidP="00D6048F">
      <w:pPr>
        <w:pStyle w:val="p1"/>
        <w:spacing w:line="360" w:lineRule="auto"/>
        <w:rPr>
          <w:rStyle w:val="s1"/>
          <w:rFonts w:ascii="Calibri" w:hAnsi="Calibri"/>
          <w:color w:val="000000" w:themeColor="text1"/>
          <w:sz w:val="24"/>
          <w:szCs w:val="24"/>
        </w:rPr>
      </w:pPr>
    </w:p>
    <w:p w14:paraId="3D0F4A08" w14:textId="77777777" w:rsidR="007D4E6B" w:rsidRDefault="007D4E6B" w:rsidP="00D6048F">
      <w:pPr>
        <w:pStyle w:val="p1"/>
        <w:spacing w:line="360" w:lineRule="auto"/>
        <w:rPr>
          <w:rStyle w:val="s1"/>
          <w:rFonts w:ascii="Calibri" w:hAnsi="Calibri"/>
          <w:color w:val="000000" w:themeColor="text1"/>
          <w:sz w:val="24"/>
          <w:szCs w:val="24"/>
        </w:rPr>
      </w:pPr>
    </w:p>
    <w:p w14:paraId="731F848B" w14:textId="77777777" w:rsidR="007D4E6B" w:rsidRDefault="007D4E6B" w:rsidP="00D6048F">
      <w:pPr>
        <w:pStyle w:val="p1"/>
        <w:spacing w:line="360" w:lineRule="auto"/>
        <w:rPr>
          <w:rStyle w:val="s1"/>
          <w:rFonts w:ascii="Calibri" w:hAnsi="Calibri"/>
          <w:color w:val="000000" w:themeColor="text1"/>
          <w:sz w:val="24"/>
          <w:szCs w:val="24"/>
        </w:rPr>
      </w:pPr>
    </w:p>
    <w:p w14:paraId="1D1FAF2D" w14:textId="77777777" w:rsidR="007D4E6B" w:rsidRDefault="007D4E6B" w:rsidP="00D6048F">
      <w:pPr>
        <w:pStyle w:val="p1"/>
        <w:spacing w:line="360" w:lineRule="auto"/>
        <w:rPr>
          <w:rStyle w:val="s1"/>
          <w:rFonts w:ascii="Calibri" w:hAnsi="Calibri"/>
          <w:color w:val="000000" w:themeColor="text1"/>
          <w:sz w:val="24"/>
          <w:szCs w:val="24"/>
        </w:rPr>
      </w:pPr>
    </w:p>
    <w:p w14:paraId="2B5D130D" w14:textId="77777777" w:rsidR="007D4E6B" w:rsidRDefault="007D4E6B" w:rsidP="00D6048F">
      <w:pPr>
        <w:pStyle w:val="p1"/>
        <w:spacing w:line="360" w:lineRule="auto"/>
        <w:rPr>
          <w:rStyle w:val="s1"/>
          <w:rFonts w:ascii="Calibri" w:hAnsi="Calibri"/>
          <w:color w:val="000000" w:themeColor="text1"/>
          <w:sz w:val="24"/>
          <w:szCs w:val="24"/>
        </w:rPr>
      </w:pPr>
    </w:p>
    <w:p w14:paraId="123E88FA" w14:textId="77777777" w:rsidR="007D4E6B" w:rsidRDefault="007D4E6B" w:rsidP="00D6048F">
      <w:pPr>
        <w:pStyle w:val="p1"/>
        <w:spacing w:line="360" w:lineRule="auto"/>
        <w:rPr>
          <w:rStyle w:val="s1"/>
          <w:rFonts w:ascii="Calibri" w:hAnsi="Calibri"/>
          <w:color w:val="000000" w:themeColor="text1"/>
          <w:sz w:val="24"/>
          <w:szCs w:val="24"/>
        </w:rPr>
      </w:pPr>
    </w:p>
    <w:p w14:paraId="67D6F3B2" w14:textId="77777777" w:rsidR="007D4E6B" w:rsidRPr="00D6048F" w:rsidRDefault="007D4E6B" w:rsidP="00D6048F">
      <w:pPr>
        <w:pStyle w:val="p1"/>
        <w:spacing w:line="360" w:lineRule="auto"/>
        <w:rPr>
          <w:rStyle w:val="s1"/>
          <w:rFonts w:ascii="Calibri" w:hAnsi="Calibri"/>
          <w:color w:val="000000" w:themeColor="text1"/>
          <w:sz w:val="24"/>
          <w:szCs w:val="24"/>
        </w:rPr>
      </w:pPr>
    </w:p>
    <w:p w14:paraId="2E9DC1E5" w14:textId="77777777" w:rsidR="00BF2A83" w:rsidRPr="00D6048F" w:rsidRDefault="00A3267A" w:rsidP="00D6048F">
      <w:pPr>
        <w:pStyle w:val="p1"/>
        <w:spacing w:line="360" w:lineRule="auto"/>
        <w:rPr>
          <w:rStyle w:val="s1"/>
          <w:rFonts w:ascii="Calibri" w:hAnsi="Calibri"/>
          <w:color w:val="000000" w:themeColor="text1"/>
          <w:sz w:val="24"/>
          <w:szCs w:val="24"/>
        </w:rPr>
      </w:pPr>
      <w:r w:rsidRPr="00D6048F">
        <w:rPr>
          <w:rStyle w:val="s1"/>
          <w:rFonts w:ascii="Calibri" w:hAnsi="Calibri"/>
          <w:color w:val="000000" w:themeColor="text1"/>
          <w:sz w:val="24"/>
          <w:szCs w:val="24"/>
        </w:rPr>
        <w:lastRenderedPageBreak/>
        <w:t>Case Study: Sadie Evans</w:t>
      </w:r>
    </w:p>
    <w:p w14:paraId="09CA0527" w14:textId="2B89A788" w:rsidR="00BF2A83" w:rsidRPr="00D6048F" w:rsidRDefault="00AF21EB" w:rsidP="00D6048F">
      <w:pPr>
        <w:pStyle w:val="p1"/>
        <w:spacing w:line="360" w:lineRule="auto"/>
        <w:rPr>
          <w:rFonts w:ascii="Calibri" w:eastAsia="Times New Roman" w:hAnsi="Calibri"/>
          <w:color w:val="000000" w:themeColor="text1"/>
          <w:sz w:val="24"/>
          <w:szCs w:val="24"/>
        </w:rPr>
      </w:pPr>
      <w:r w:rsidRPr="00D6048F">
        <w:rPr>
          <w:rFonts w:ascii="Calibri" w:eastAsia="Times New Roman" w:hAnsi="Calibri"/>
          <w:color w:val="000000" w:themeColor="text1"/>
          <w:sz w:val="24"/>
          <w:szCs w:val="24"/>
        </w:rPr>
        <w:t>Sadie, an 82-year-old widow, lives alone in a three-bedroom detached house in a rural area with no public transport links. She has limited mobility due to a hip replacement and is unable to drive. Sadie owns the house and has some savings but does not use it as her children's legacy. She has three children, Ben, Richard, and Hannah. Sadie's relationship with Hannah has become strained due to friction between mother and daughter.</w:t>
      </w:r>
      <w:r w:rsidRPr="00D6048F">
        <w:rPr>
          <w:rFonts w:ascii="Calibri" w:eastAsia="Times New Roman" w:hAnsi="Calibri"/>
          <w:color w:val="000000" w:themeColor="text1"/>
          <w:sz w:val="24"/>
          <w:szCs w:val="24"/>
        </w:rPr>
        <w:br/>
        <w:t>Sadie has poor eyesight, wears glasses, is hard of hearing, and is becoming overweight due to her hip replacement and age. Her diet is nutritionally poor, and she eats convenience foods, sweets, and chocolate. Her daughter has tried to encourage healthy eating, but Sadie is upset when she tries to limit her sweet treats.</w:t>
      </w:r>
      <w:r w:rsidR="00746691" w:rsidRPr="00D6048F">
        <w:rPr>
          <w:rFonts w:ascii="Calibri" w:eastAsia="Times New Roman" w:hAnsi="Calibri"/>
          <w:color w:val="000000" w:themeColor="text1"/>
          <w:sz w:val="24"/>
          <w:szCs w:val="24"/>
        </w:rPr>
        <w:t xml:space="preserve"> </w:t>
      </w:r>
      <w:r w:rsidRPr="00D6048F">
        <w:rPr>
          <w:rFonts w:ascii="Calibri" w:eastAsia="Times New Roman" w:hAnsi="Calibri"/>
          <w:color w:val="000000" w:themeColor="text1"/>
          <w:sz w:val="24"/>
          <w:szCs w:val="24"/>
        </w:rPr>
        <w:t xml:space="preserve">Sadie's weight is affecting her </w:t>
      </w:r>
      <w:r w:rsidR="002B41AA" w:rsidRPr="00D6048F">
        <w:rPr>
          <w:rFonts w:ascii="Calibri" w:eastAsia="Times New Roman" w:hAnsi="Calibri"/>
          <w:color w:val="000000" w:themeColor="text1"/>
          <w:sz w:val="24"/>
          <w:szCs w:val="24"/>
        </w:rPr>
        <w:t>mobility,</w:t>
      </w:r>
      <w:r w:rsidRPr="00D6048F">
        <w:rPr>
          <w:rFonts w:ascii="Calibri" w:eastAsia="Times New Roman" w:hAnsi="Calibri"/>
          <w:color w:val="000000" w:themeColor="text1"/>
          <w:sz w:val="24"/>
          <w:szCs w:val="24"/>
        </w:rPr>
        <w:t xml:space="preserve"> and she is also a smoker, which is causing chest infections. Doctors and Hannah have tried to encourage her to quit, but Sadie insists it is her choice.</w:t>
      </w:r>
    </w:p>
    <w:p w14:paraId="3B01C5CA" w14:textId="77777777" w:rsidR="00AF21EB" w:rsidRPr="00D6048F" w:rsidRDefault="00AF21EB" w:rsidP="00D6048F">
      <w:pPr>
        <w:pStyle w:val="p1"/>
        <w:spacing w:line="360" w:lineRule="auto"/>
        <w:rPr>
          <w:rStyle w:val="s1"/>
          <w:rFonts w:ascii="Calibri" w:hAnsi="Calibri"/>
          <w:color w:val="000000" w:themeColor="text1"/>
          <w:sz w:val="24"/>
          <w:szCs w:val="24"/>
        </w:rPr>
      </w:pPr>
    </w:p>
    <w:p w14:paraId="69BC9A7D" w14:textId="752439CB"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Health and Social Care Needs</w:t>
      </w:r>
    </w:p>
    <w:p w14:paraId="35C951F1" w14:textId="349A67F3"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Sadie Evans's needs span across multiple domains-medical, psychological, personal care, mobility, and</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social. A holistic assessment is essential to ensure her safety, independence, and wellbeing.</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Medically, Sadie's arthritis requires regular monitoring, pain management, and mobility support. </w:t>
      </w:r>
      <w:r w:rsidR="007D4E6B" w:rsidRPr="00D6048F">
        <w:rPr>
          <w:rStyle w:val="s1"/>
          <w:rFonts w:ascii="Calibri" w:hAnsi="Calibri"/>
          <w:color w:val="000000" w:themeColor="text1"/>
          <w:sz w:val="24"/>
          <w:szCs w:val="24"/>
        </w:rPr>
        <w:t>Early-stage</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dementia demands cognitive assessments and future care planning. Her GP should coordinate with</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specialists, including a geriatrician and</w:t>
      </w:r>
      <w:r w:rsidR="002B41AA"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physiotherapist.</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Her mental health is of concern. The emotional toll of isolation during the pandemic has heightened her</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anxiety and contributed to signs of depression. A referral to community mental health services for older adults</w:t>
      </w:r>
      <w:r w:rsidR="002B41AA" w:rsidRPr="00D6048F">
        <w:rPr>
          <w:rFonts w:ascii="Calibri" w:hAnsi="Calibri"/>
          <w:color w:val="000000" w:themeColor="text1"/>
          <w:sz w:val="24"/>
          <w:szCs w:val="24"/>
        </w:rPr>
        <w:t xml:space="preserve"> </w:t>
      </w:r>
      <w:bookmarkStart w:id="0" w:name="_Int_7gfcGjsm"/>
      <w:r w:rsidRPr="00D6048F">
        <w:rPr>
          <w:rStyle w:val="s1"/>
          <w:rFonts w:ascii="Calibri" w:hAnsi="Calibri"/>
          <w:color w:val="000000" w:themeColor="text1"/>
          <w:sz w:val="24"/>
          <w:szCs w:val="24"/>
        </w:rPr>
        <w:t>is recommended</w:t>
      </w:r>
      <w:bookmarkEnd w:id="0"/>
      <w:r w:rsidRPr="00D6048F">
        <w:rPr>
          <w:rStyle w:val="s1"/>
          <w:rFonts w:ascii="Calibri" w:hAnsi="Calibri"/>
          <w:color w:val="000000" w:themeColor="text1"/>
          <w:sz w:val="24"/>
          <w:szCs w:val="24"/>
        </w:rPr>
        <w:t>. Access to counselling or therapy can provide emotional support and coping strategies.</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In terms of personal care, Sadie struggles with bathing, dressing, cooking, and managing her medication.</w:t>
      </w:r>
      <w:r w:rsidR="002B41AA"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She is at risk of malnutrition and accidental overdose or underuse of prescribed drugs. Daily domiciliary care</w:t>
      </w:r>
    </w:p>
    <w:p w14:paraId="54BDDF88" w14:textId="3E9F41EF"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visits would address these needs, with care workers </w:t>
      </w:r>
      <w:r w:rsidR="00E44DE5" w:rsidRPr="00D6048F">
        <w:rPr>
          <w:rStyle w:val="s1"/>
          <w:rFonts w:ascii="Calibri" w:hAnsi="Calibri"/>
          <w:color w:val="000000" w:themeColor="text1"/>
          <w:sz w:val="24"/>
          <w:szCs w:val="24"/>
        </w:rPr>
        <w:t>aiding</w:t>
      </w:r>
      <w:r w:rsidRPr="00D6048F">
        <w:rPr>
          <w:rStyle w:val="s1"/>
          <w:rFonts w:ascii="Calibri" w:hAnsi="Calibri"/>
          <w:color w:val="000000" w:themeColor="text1"/>
          <w:sz w:val="24"/>
          <w:szCs w:val="24"/>
        </w:rPr>
        <w:t xml:space="preserve"> her morning and evening routines.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Mobility issues due to arthritis increase her risk of falls. Her flat should </w:t>
      </w:r>
      <w:bookmarkStart w:id="1" w:name="_Int_6Gb6QXRa"/>
      <w:r w:rsidRPr="00D6048F">
        <w:rPr>
          <w:rStyle w:val="s1"/>
          <w:rFonts w:ascii="Calibri" w:hAnsi="Calibri"/>
          <w:color w:val="000000" w:themeColor="text1"/>
          <w:sz w:val="24"/>
          <w:szCs w:val="24"/>
        </w:rPr>
        <w:t>be assessed</w:t>
      </w:r>
      <w:bookmarkEnd w:id="1"/>
      <w:r w:rsidRPr="00D6048F">
        <w:rPr>
          <w:rStyle w:val="s1"/>
          <w:rFonts w:ascii="Calibri" w:hAnsi="Calibri"/>
          <w:color w:val="000000" w:themeColor="text1"/>
          <w:sz w:val="24"/>
          <w:szCs w:val="24"/>
        </w:rPr>
        <w:t xml:space="preserve"> for hazards. The</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installation of grab rails, non-slip mats, a stair lift, and </w:t>
      </w:r>
      <w:r w:rsidR="00BA25A3" w:rsidRPr="00D6048F">
        <w:rPr>
          <w:rStyle w:val="s1"/>
          <w:rFonts w:ascii="Calibri" w:hAnsi="Calibri"/>
          <w:color w:val="000000" w:themeColor="text1"/>
          <w:sz w:val="24"/>
          <w:szCs w:val="24"/>
        </w:rPr>
        <w:t>a</w:t>
      </w:r>
      <w:r w:rsidRPr="00D6048F">
        <w:rPr>
          <w:rStyle w:val="s1"/>
          <w:rFonts w:ascii="Calibri" w:hAnsi="Calibri"/>
          <w:color w:val="000000" w:themeColor="text1"/>
          <w:sz w:val="24"/>
          <w:szCs w:val="24"/>
        </w:rPr>
        <w:t xml:space="preserve"> walk-in shower would enhance her</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independence and safety. Referral to occupational therapy for a home assessment is </w:t>
      </w:r>
      <w:r w:rsidR="00A26E74" w:rsidRPr="00D6048F">
        <w:rPr>
          <w:rStyle w:val="s1"/>
          <w:rFonts w:ascii="Calibri" w:hAnsi="Calibri"/>
          <w:color w:val="000000" w:themeColor="text1"/>
          <w:sz w:val="24"/>
          <w:szCs w:val="24"/>
        </w:rPr>
        <w:t>advisable. Socially</w:t>
      </w:r>
      <w:r w:rsidRPr="00D6048F">
        <w:rPr>
          <w:rStyle w:val="s1"/>
          <w:rFonts w:ascii="Calibri" w:hAnsi="Calibri"/>
          <w:color w:val="000000" w:themeColor="text1"/>
          <w:sz w:val="24"/>
          <w:szCs w:val="24"/>
        </w:rPr>
        <w:t>, Sadie is extremely isolated. Reconnection with her community is crucial for her emotional and</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mental wellbeing. She would </w:t>
      </w:r>
      <w:r w:rsidR="00E44DE5" w:rsidRPr="00D6048F">
        <w:rPr>
          <w:rStyle w:val="s1"/>
          <w:rFonts w:ascii="Calibri" w:hAnsi="Calibri"/>
          <w:color w:val="000000" w:themeColor="text1"/>
          <w:sz w:val="24"/>
          <w:szCs w:val="24"/>
        </w:rPr>
        <w:t>receive help</w:t>
      </w:r>
      <w:r w:rsidRPr="00D6048F">
        <w:rPr>
          <w:rStyle w:val="s1"/>
          <w:rFonts w:ascii="Calibri" w:hAnsi="Calibri"/>
          <w:color w:val="000000" w:themeColor="text1"/>
          <w:sz w:val="24"/>
          <w:szCs w:val="24"/>
        </w:rPr>
        <w:t xml:space="preserve"> from </w:t>
      </w:r>
      <w:r w:rsidRPr="00D6048F">
        <w:rPr>
          <w:rStyle w:val="s1"/>
          <w:rFonts w:ascii="Calibri" w:hAnsi="Calibri"/>
          <w:color w:val="000000" w:themeColor="text1"/>
          <w:sz w:val="24"/>
          <w:szCs w:val="24"/>
        </w:rPr>
        <w:lastRenderedPageBreak/>
        <w:t>befriending services and access to day centres or virtual social</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activities. If physical</w:t>
      </w:r>
      <w:r w:rsidR="000038F5"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attendance is difficult, technology could </w:t>
      </w:r>
      <w:bookmarkStart w:id="2" w:name="_Int_kOiDmsky"/>
      <w:r w:rsidRPr="00D6048F">
        <w:rPr>
          <w:rStyle w:val="s1"/>
          <w:rFonts w:ascii="Calibri" w:hAnsi="Calibri"/>
          <w:color w:val="000000" w:themeColor="text1"/>
          <w:sz w:val="24"/>
          <w:szCs w:val="24"/>
        </w:rPr>
        <w:t>facilitate</w:t>
      </w:r>
      <w:bookmarkEnd w:id="2"/>
      <w:r w:rsidRPr="00D6048F">
        <w:rPr>
          <w:rStyle w:val="s1"/>
          <w:rFonts w:ascii="Calibri" w:hAnsi="Calibri"/>
          <w:color w:val="000000" w:themeColor="text1"/>
          <w:sz w:val="24"/>
          <w:szCs w:val="24"/>
        </w:rPr>
        <w:t xml:space="preserve"> remote interaction.</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If these needs </w:t>
      </w:r>
      <w:bookmarkStart w:id="3" w:name="_Int_x3SSU4TY"/>
      <w:r w:rsidRPr="00D6048F">
        <w:rPr>
          <w:rStyle w:val="s1"/>
          <w:rFonts w:ascii="Calibri" w:hAnsi="Calibri"/>
          <w:color w:val="000000" w:themeColor="text1"/>
          <w:sz w:val="24"/>
          <w:szCs w:val="24"/>
        </w:rPr>
        <w:t>remain</w:t>
      </w:r>
      <w:bookmarkEnd w:id="3"/>
      <w:r w:rsidRPr="00D6048F">
        <w:rPr>
          <w:rStyle w:val="s1"/>
          <w:rFonts w:ascii="Calibri" w:hAnsi="Calibri"/>
          <w:color w:val="000000" w:themeColor="text1"/>
          <w:sz w:val="24"/>
          <w:szCs w:val="24"/>
        </w:rPr>
        <w:t xml:space="preserve"> unmet, Sadie faces an increasing risk of rapid physical and cognitive decline,</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avoidable hospitalisation, and a diminished quality of life. A person-centred, multi-agency approach is</w:t>
      </w:r>
    </w:p>
    <w:p w14:paraId="7F054A21" w14:textId="47A220D1" w:rsidR="00387227"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essential to manage her complex health and social needs effectively.</w:t>
      </w:r>
    </w:p>
    <w:p w14:paraId="7EF4CDC9" w14:textId="2A259943" w:rsidR="00A3267A" w:rsidRPr="00D6048F" w:rsidRDefault="00A3267A" w:rsidP="00D6048F">
      <w:pPr>
        <w:pStyle w:val="Heading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Support and Interventions</w:t>
      </w:r>
    </w:p>
    <w:p w14:paraId="66459E83" w14:textId="6ACC9D4E"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Sadie Evans requires a coordinated package of support to meet her current and emerging needs. Given her</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physical limitations, mental health concerns, and social isolation, a person-centred, multidisciplinary approach</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is necessary.</w:t>
      </w:r>
    </w:p>
    <w:p w14:paraId="5EDE1021" w14:textId="2932BFF1"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Firstly, domiciliary care is essential. Scheduled visits by trained care workers can </w:t>
      </w:r>
      <w:bookmarkStart w:id="4" w:name="_Int_HENunmcK"/>
      <w:r w:rsidRPr="00D6048F">
        <w:rPr>
          <w:rStyle w:val="s1"/>
          <w:rFonts w:ascii="Calibri" w:hAnsi="Calibri"/>
          <w:color w:val="000000" w:themeColor="text1"/>
          <w:sz w:val="24"/>
          <w:szCs w:val="24"/>
        </w:rPr>
        <w:t>assist</w:t>
      </w:r>
      <w:bookmarkEnd w:id="4"/>
      <w:r w:rsidRPr="00D6048F">
        <w:rPr>
          <w:rStyle w:val="s1"/>
          <w:rFonts w:ascii="Calibri" w:hAnsi="Calibri"/>
          <w:color w:val="000000" w:themeColor="text1"/>
          <w:sz w:val="24"/>
          <w:szCs w:val="24"/>
        </w:rPr>
        <w:t xml:space="preserve"> with personal</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hygiene, meal preparation, medication management, and basic household tasks. This would reduce Sadie's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risk of injury and help </w:t>
      </w:r>
      <w:bookmarkStart w:id="5" w:name="_Int_cLeIoT4E"/>
      <w:r w:rsidRPr="00D6048F">
        <w:rPr>
          <w:rStyle w:val="s1"/>
          <w:rFonts w:ascii="Calibri" w:hAnsi="Calibri"/>
          <w:color w:val="000000" w:themeColor="text1"/>
          <w:sz w:val="24"/>
          <w:szCs w:val="24"/>
        </w:rPr>
        <w:t>maintain</w:t>
      </w:r>
      <w:bookmarkEnd w:id="5"/>
      <w:r w:rsidRPr="00D6048F">
        <w:rPr>
          <w:rStyle w:val="s1"/>
          <w:rFonts w:ascii="Calibri" w:hAnsi="Calibri"/>
          <w:color w:val="000000" w:themeColor="text1"/>
          <w:sz w:val="24"/>
          <w:szCs w:val="24"/>
        </w:rPr>
        <w:t xml:space="preserve"> her dignity and independence. Depending on the local authority's assessment,</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she may be eligible for funded care under the Care Act 2014.</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Secondly, mental health support is critical. Sadie should </w:t>
      </w:r>
      <w:bookmarkStart w:id="6" w:name="_Int_8JbkBAc0"/>
      <w:r w:rsidRPr="00D6048F">
        <w:rPr>
          <w:rStyle w:val="s1"/>
          <w:rFonts w:ascii="Calibri" w:hAnsi="Calibri"/>
          <w:color w:val="000000" w:themeColor="text1"/>
          <w:sz w:val="24"/>
          <w:szCs w:val="24"/>
        </w:rPr>
        <w:t>be referred</w:t>
      </w:r>
      <w:bookmarkEnd w:id="6"/>
      <w:r w:rsidRPr="00D6048F">
        <w:rPr>
          <w:rStyle w:val="s1"/>
          <w:rFonts w:ascii="Calibri" w:hAnsi="Calibri"/>
          <w:color w:val="000000" w:themeColor="text1"/>
          <w:sz w:val="24"/>
          <w:szCs w:val="24"/>
        </w:rPr>
        <w:t xml:space="preserve"> to community mental health services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tailored to older adults. A social prescribing link worker could connect her to local counselling, mindfulness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programs, or therapy. Given her reluctance to leave home, telephone or video-based mental health services</w:t>
      </w:r>
    </w:p>
    <w:p w14:paraId="081DAD84" w14:textId="77777777"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might be more accessible.</w:t>
      </w:r>
    </w:p>
    <w:p w14:paraId="3E88A305" w14:textId="68877ECA"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Thirdly, social isolation must </w:t>
      </w:r>
      <w:bookmarkStart w:id="7" w:name="_Int_tV4zwlHz"/>
      <w:r w:rsidRPr="00D6048F">
        <w:rPr>
          <w:rStyle w:val="s1"/>
          <w:rFonts w:ascii="Calibri" w:hAnsi="Calibri"/>
          <w:color w:val="000000" w:themeColor="text1"/>
          <w:sz w:val="24"/>
          <w:szCs w:val="24"/>
        </w:rPr>
        <w:t>be addressed</w:t>
      </w:r>
      <w:bookmarkEnd w:id="7"/>
      <w:r w:rsidRPr="00D6048F">
        <w:rPr>
          <w:rStyle w:val="s1"/>
          <w:rFonts w:ascii="Calibri" w:hAnsi="Calibri"/>
          <w:color w:val="000000" w:themeColor="text1"/>
          <w:sz w:val="24"/>
          <w:szCs w:val="24"/>
        </w:rPr>
        <w:t>. Organisations such as Age UK and Re-engage offer befriending</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schemes-either in-person or virtual. Engagement in social groups or community activities can improve</w:t>
      </w:r>
      <w:r w:rsidR="000038F5"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Sadie's emotional resilience and reduce anxiety. If needed, advocacy services could </w:t>
      </w:r>
      <w:bookmarkStart w:id="8" w:name="_Int_i2Qlw2GZ"/>
      <w:r w:rsidRPr="00D6048F">
        <w:rPr>
          <w:rStyle w:val="s1"/>
          <w:rFonts w:ascii="Calibri" w:hAnsi="Calibri"/>
          <w:color w:val="000000" w:themeColor="text1"/>
          <w:sz w:val="24"/>
          <w:szCs w:val="24"/>
        </w:rPr>
        <w:t>represent</w:t>
      </w:r>
      <w:bookmarkEnd w:id="8"/>
      <w:r w:rsidRPr="00D6048F">
        <w:rPr>
          <w:rStyle w:val="s1"/>
          <w:rFonts w:ascii="Calibri" w:hAnsi="Calibri"/>
          <w:color w:val="000000" w:themeColor="text1"/>
          <w:sz w:val="24"/>
          <w:szCs w:val="24"/>
        </w:rPr>
        <w:t xml:space="preserve"> her interests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and help her access community-based </w:t>
      </w:r>
      <w:r w:rsidR="00A26E74" w:rsidRPr="00D6048F">
        <w:rPr>
          <w:rStyle w:val="s1"/>
          <w:rFonts w:ascii="Calibri" w:hAnsi="Calibri"/>
          <w:color w:val="000000" w:themeColor="text1"/>
          <w:sz w:val="24"/>
          <w:szCs w:val="24"/>
        </w:rPr>
        <w:t>support. Environmental</w:t>
      </w:r>
      <w:r w:rsidRPr="00D6048F">
        <w:rPr>
          <w:rStyle w:val="s1"/>
          <w:rFonts w:ascii="Calibri" w:hAnsi="Calibri"/>
          <w:color w:val="000000" w:themeColor="text1"/>
          <w:sz w:val="24"/>
          <w:szCs w:val="24"/>
        </w:rPr>
        <w:t xml:space="preserve"> adaptations are another key intervention. An occupational therapist can assess her home and</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recommend changes such as stair lifts, walk-in showers, grab rails, or improved lighting. These modifications</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would reduce the likelihood of falls and improve Sadie's confidence in moving around.</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In terms of long-term support, a care coordinator-such as a social worker-should oversee Sadie's care plan</w:t>
      </w:r>
    </w:p>
    <w:p w14:paraId="3BAE3866" w14:textId="0B788681" w:rsidR="00A3267A" w:rsidRPr="00D6048F" w:rsidRDefault="00A3267A" w:rsidP="00D6048F">
      <w:pPr>
        <w:pStyle w:val="p1"/>
        <w:spacing w:line="360" w:lineRule="auto"/>
        <w:rPr>
          <w:rStyle w:val="s1"/>
          <w:rFonts w:ascii="Calibri" w:hAnsi="Calibri"/>
          <w:color w:val="000000" w:themeColor="text1"/>
          <w:sz w:val="24"/>
          <w:szCs w:val="24"/>
        </w:rPr>
      </w:pPr>
      <w:r w:rsidRPr="00D6048F">
        <w:rPr>
          <w:rStyle w:val="s1"/>
          <w:rFonts w:ascii="Calibri" w:hAnsi="Calibri"/>
          <w:color w:val="000000" w:themeColor="text1"/>
          <w:sz w:val="24"/>
          <w:szCs w:val="24"/>
        </w:rPr>
        <w:t>and ensure continuity. Communication between her GP, district nurses, and social care providers is essential</w:t>
      </w:r>
      <w:r w:rsidR="000038F5"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to avoid gaps in care.</w:t>
      </w:r>
      <w:r w:rsidR="00B72FC4"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Although these services are theoretically available, gaps </w:t>
      </w:r>
      <w:bookmarkStart w:id="9" w:name="_Int_GcMnxoky"/>
      <w:r w:rsidRPr="00D6048F">
        <w:rPr>
          <w:rStyle w:val="s1"/>
          <w:rFonts w:ascii="Calibri" w:hAnsi="Calibri"/>
          <w:color w:val="000000" w:themeColor="text1"/>
          <w:sz w:val="24"/>
          <w:szCs w:val="24"/>
        </w:rPr>
        <w:t>remain</w:t>
      </w:r>
      <w:bookmarkEnd w:id="9"/>
      <w:r w:rsidRPr="00D6048F">
        <w:rPr>
          <w:rStyle w:val="s1"/>
          <w:rFonts w:ascii="Calibri" w:hAnsi="Calibri"/>
          <w:color w:val="000000" w:themeColor="text1"/>
          <w:sz w:val="24"/>
          <w:szCs w:val="24"/>
        </w:rPr>
        <w:t>. Many local authorities face staffing</w:t>
      </w:r>
      <w:r w:rsidR="000038F5"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shortages, waiting lists, and underfunding. This can delay service delivery and reduce quality. Navigating</w:t>
      </w:r>
      <w:r w:rsidR="000038F5"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these services </w:t>
      </w:r>
      <w:r w:rsidRPr="00D6048F">
        <w:rPr>
          <w:rStyle w:val="s1"/>
          <w:rFonts w:ascii="Calibri" w:hAnsi="Calibri"/>
          <w:color w:val="000000" w:themeColor="text1"/>
          <w:sz w:val="24"/>
          <w:szCs w:val="24"/>
        </w:rPr>
        <w:lastRenderedPageBreak/>
        <w:t xml:space="preserve">also </w:t>
      </w:r>
      <w:r w:rsidR="00A26E74" w:rsidRPr="00D6048F">
        <w:rPr>
          <w:rStyle w:val="s1"/>
          <w:rFonts w:ascii="Calibri" w:hAnsi="Calibri"/>
          <w:color w:val="000000" w:themeColor="text1"/>
          <w:sz w:val="24"/>
          <w:szCs w:val="24"/>
        </w:rPr>
        <w:t>require</w:t>
      </w:r>
      <w:r w:rsidRPr="00D6048F">
        <w:rPr>
          <w:rStyle w:val="s1"/>
          <w:rFonts w:ascii="Calibri" w:hAnsi="Calibri"/>
          <w:color w:val="000000" w:themeColor="text1"/>
          <w:sz w:val="24"/>
          <w:szCs w:val="24"/>
        </w:rPr>
        <w:t xml:space="preserve"> confidence and digital literacy-areas where Sadie may need help. Thus, ongoing</w:t>
      </w:r>
      <w:r w:rsidR="000038F5"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advocacy and person-centred planning are crucial to ensure her voice </w:t>
      </w:r>
      <w:bookmarkStart w:id="10" w:name="_Int_KtGPpNDA"/>
      <w:r w:rsidRPr="00D6048F">
        <w:rPr>
          <w:rStyle w:val="s1"/>
          <w:rFonts w:ascii="Calibri" w:hAnsi="Calibri"/>
          <w:color w:val="000000" w:themeColor="text1"/>
          <w:sz w:val="24"/>
          <w:szCs w:val="24"/>
        </w:rPr>
        <w:t>is heard</w:t>
      </w:r>
      <w:bookmarkEnd w:id="10"/>
      <w:r w:rsidRPr="00D6048F">
        <w:rPr>
          <w:rStyle w:val="s1"/>
          <w:rFonts w:ascii="Calibri" w:hAnsi="Calibri"/>
          <w:color w:val="000000" w:themeColor="text1"/>
          <w:sz w:val="24"/>
          <w:szCs w:val="24"/>
        </w:rPr>
        <w:t xml:space="preserve"> and her care is responsive.</w:t>
      </w:r>
    </w:p>
    <w:p w14:paraId="43783F8D" w14:textId="77777777" w:rsidR="00387227" w:rsidRPr="00D6048F" w:rsidRDefault="00387227" w:rsidP="00D6048F">
      <w:pPr>
        <w:pStyle w:val="p1"/>
        <w:spacing w:line="360" w:lineRule="auto"/>
        <w:rPr>
          <w:rFonts w:ascii="Calibri" w:hAnsi="Calibri"/>
          <w:color w:val="000000" w:themeColor="text1"/>
          <w:sz w:val="24"/>
          <w:szCs w:val="24"/>
        </w:rPr>
      </w:pPr>
    </w:p>
    <w:p w14:paraId="25B68636" w14:textId="3D840956" w:rsidR="00A3267A" w:rsidRPr="00D6048F" w:rsidRDefault="00A3267A" w:rsidP="00D6048F">
      <w:pPr>
        <w:pStyle w:val="Heading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Policy and Legislation</w:t>
      </w:r>
    </w:p>
    <w:p w14:paraId="132A3A83" w14:textId="7570EB2E"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t xml:space="preserve">Health and social care provision for elderly individuals in the UK </w:t>
      </w:r>
      <w:bookmarkStart w:id="11" w:name="_Int_aIZe168j"/>
      <w:r w:rsidRPr="00D6048F">
        <w:rPr>
          <w:rFonts w:ascii="Calibri" w:hAnsi="Calibri" w:cs="Times New Roman"/>
          <w:kern w:val="0"/>
          <w14:ligatures w14:val="none"/>
        </w:rPr>
        <w:t>is framed</w:t>
      </w:r>
      <w:bookmarkEnd w:id="11"/>
      <w:r w:rsidRPr="00D6048F">
        <w:rPr>
          <w:rFonts w:ascii="Calibri" w:hAnsi="Calibri" w:cs="Times New Roman"/>
          <w:kern w:val="0"/>
          <w14:ligatures w14:val="none"/>
        </w:rPr>
        <w:t xml:space="preserve"> by several legislative policies designed explicitly to protect dignity, promote independence, and ensure </w:t>
      </w:r>
      <w:bookmarkStart w:id="12" w:name="_Int_yRJBO6l3"/>
      <w:r w:rsidRPr="00D6048F">
        <w:rPr>
          <w:rFonts w:ascii="Calibri" w:hAnsi="Calibri" w:cs="Times New Roman"/>
          <w:kern w:val="0"/>
          <w14:ligatures w14:val="none"/>
        </w:rPr>
        <w:t>equitable</w:t>
      </w:r>
      <w:bookmarkEnd w:id="12"/>
      <w:r w:rsidRPr="00D6048F">
        <w:rPr>
          <w:rFonts w:ascii="Calibri" w:hAnsi="Calibri" w:cs="Times New Roman"/>
          <w:kern w:val="0"/>
          <w14:ligatures w14:val="none"/>
        </w:rPr>
        <w:t xml:space="preserve"> access to comprehensive support services. These policies serve as essential safeguards, ensuring individuals like Sadie Evans receive </w:t>
      </w:r>
      <w:bookmarkStart w:id="13" w:name="_Int_tnEVAi92"/>
      <w:r w:rsidRPr="00D6048F">
        <w:rPr>
          <w:rFonts w:ascii="Calibri" w:hAnsi="Calibri" w:cs="Times New Roman"/>
          <w:kern w:val="0"/>
          <w14:ligatures w14:val="none"/>
        </w:rPr>
        <w:t>appropriate</w:t>
      </w:r>
      <w:bookmarkEnd w:id="13"/>
      <w:r w:rsidRPr="00D6048F">
        <w:rPr>
          <w:rFonts w:ascii="Calibri" w:hAnsi="Calibri" w:cs="Times New Roman"/>
          <w:kern w:val="0"/>
          <w14:ligatures w14:val="none"/>
        </w:rPr>
        <w:t>, respectful, and tailored care.</w:t>
      </w:r>
    </w:p>
    <w:p w14:paraId="4525DDA7" w14:textId="71218F85"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t xml:space="preserve">The Care Act 2014 </w:t>
      </w:r>
      <w:bookmarkStart w:id="14" w:name="_Int_mOMXUjWh"/>
      <w:r w:rsidRPr="00D6048F">
        <w:rPr>
          <w:rFonts w:ascii="Calibri" w:hAnsi="Calibri" w:cs="Times New Roman"/>
          <w:kern w:val="0"/>
          <w14:ligatures w14:val="none"/>
        </w:rPr>
        <w:t>represents</w:t>
      </w:r>
      <w:bookmarkEnd w:id="14"/>
      <w:r w:rsidRPr="00D6048F">
        <w:rPr>
          <w:rFonts w:ascii="Calibri" w:hAnsi="Calibri" w:cs="Times New Roman"/>
          <w:kern w:val="0"/>
          <w14:ligatures w14:val="none"/>
        </w:rPr>
        <w:t xml:space="preserve"> the cornerstone of adult social care legislation in the UK. It </w:t>
      </w:r>
      <w:bookmarkStart w:id="15" w:name="_Int_VwdQzMt2"/>
      <w:r w:rsidRPr="00D6048F">
        <w:rPr>
          <w:rFonts w:ascii="Calibri" w:hAnsi="Calibri" w:cs="Times New Roman"/>
          <w:kern w:val="0"/>
          <w14:ligatures w14:val="none"/>
        </w:rPr>
        <w:t>obligates</w:t>
      </w:r>
      <w:bookmarkEnd w:id="15"/>
      <w:r w:rsidRPr="00D6048F">
        <w:rPr>
          <w:rFonts w:ascii="Calibri" w:hAnsi="Calibri" w:cs="Times New Roman"/>
          <w:kern w:val="0"/>
          <w14:ligatures w14:val="none"/>
        </w:rPr>
        <w:t xml:space="preserve"> local authorities to proactively promote the well-being of individuals, with an emphasis on preventing the escalation of care needs through early intervention, personalised support, and community-based resources. The Act provides a structured framework for assessing individual care requirements, coordinating support planning, and implementing safeguarding measures for vulnerable adults. In Sadie’s context, this act ensures her entitlement to a thorough assessment of her needs and a detailed, personalised care and support plan, tailored to her specific circumstances and preferences, </w:t>
      </w:r>
      <w:bookmarkStart w:id="16" w:name="_Int_5kSUZdyF"/>
      <w:r w:rsidRPr="00D6048F">
        <w:rPr>
          <w:rFonts w:ascii="Calibri" w:hAnsi="Calibri" w:cs="Times New Roman"/>
          <w:kern w:val="0"/>
          <w14:ligatures w14:val="none"/>
        </w:rPr>
        <w:t>facilitating</w:t>
      </w:r>
      <w:bookmarkEnd w:id="16"/>
      <w:r w:rsidRPr="00D6048F">
        <w:rPr>
          <w:rFonts w:ascii="Calibri" w:hAnsi="Calibri" w:cs="Times New Roman"/>
          <w:kern w:val="0"/>
          <w14:ligatures w14:val="none"/>
        </w:rPr>
        <w:t xml:space="preserve"> her ability to </w:t>
      </w:r>
      <w:bookmarkStart w:id="17" w:name="_Int_g50XEOjM"/>
      <w:r w:rsidRPr="00D6048F">
        <w:rPr>
          <w:rFonts w:ascii="Calibri" w:hAnsi="Calibri" w:cs="Times New Roman"/>
          <w:kern w:val="0"/>
          <w14:ligatures w14:val="none"/>
        </w:rPr>
        <w:t>maintain</w:t>
      </w:r>
      <w:bookmarkEnd w:id="17"/>
      <w:r w:rsidRPr="00D6048F">
        <w:rPr>
          <w:rFonts w:ascii="Calibri" w:hAnsi="Calibri" w:cs="Times New Roman"/>
          <w:kern w:val="0"/>
          <w14:ligatures w14:val="none"/>
        </w:rPr>
        <w:t xml:space="preserve"> independence for as long as possible.</w:t>
      </w:r>
    </w:p>
    <w:p w14:paraId="39A72AA8" w14:textId="7586706F"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t xml:space="preserve">Complementing this, the Mental Capacity Act 2005 is crucial, especially as Sadie’s dementia advances, potentially </w:t>
      </w:r>
      <w:bookmarkStart w:id="18" w:name="_Int_wz2ggRAN"/>
      <w:r w:rsidRPr="00D6048F">
        <w:rPr>
          <w:rFonts w:ascii="Calibri" w:hAnsi="Calibri" w:cs="Times New Roman"/>
          <w:kern w:val="0"/>
          <w14:ligatures w14:val="none"/>
        </w:rPr>
        <w:t>impacting</w:t>
      </w:r>
      <w:bookmarkEnd w:id="18"/>
      <w:r w:rsidRPr="00D6048F">
        <w:rPr>
          <w:rFonts w:ascii="Calibri" w:hAnsi="Calibri" w:cs="Times New Roman"/>
          <w:kern w:val="0"/>
          <w14:ligatures w14:val="none"/>
        </w:rPr>
        <w:t xml:space="preserve"> her decision-making capacity. This legislation provides a clear legal basis for decisions made on behalf of individuals lacking the necessary mental </w:t>
      </w:r>
      <w:bookmarkStart w:id="19" w:name="_Int_PJgZTkw6"/>
      <w:r w:rsidRPr="00D6048F">
        <w:rPr>
          <w:rFonts w:ascii="Calibri" w:hAnsi="Calibri" w:cs="Times New Roman"/>
          <w:kern w:val="0"/>
          <w14:ligatures w14:val="none"/>
        </w:rPr>
        <w:t>capacity</w:t>
      </w:r>
      <w:bookmarkEnd w:id="19"/>
      <w:r w:rsidRPr="00D6048F">
        <w:rPr>
          <w:rFonts w:ascii="Calibri" w:hAnsi="Calibri" w:cs="Times New Roman"/>
          <w:kern w:val="0"/>
          <w14:ligatures w14:val="none"/>
        </w:rPr>
        <w:t xml:space="preserve"> to make informed decisions independently. The Act emphasises that all decisions made must prioritise Sadie’s best interests, preserving her autonomy and preferences wherever </w:t>
      </w:r>
      <w:bookmarkStart w:id="20" w:name="_Int_bDThBytv"/>
      <w:r w:rsidRPr="00D6048F">
        <w:rPr>
          <w:rFonts w:ascii="Calibri" w:hAnsi="Calibri" w:cs="Times New Roman"/>
          <w:kern w:val="0"/>
          <w14:ligatures w14:val="none"/>
        </w:rPr>
        <w:t>feasible</w:t>
      </w:r>
      <w:bookmarkEnd w:id="20"/>
      <w:r w:rsidRPr="00D6048F">
        <w:rPr>
          <w:rFonts w:ascii="Calibri" w:hAnsi="Calibri" w:cs="Times New Roman"/>
          <w:kern w:val="0"/>
          <w14:ligatures w14:val="none"/>
        </w:rPr>
        <w:t>. It also allows for the appointment of a Lasting Power of Attorney, empowering a trusted person to make critical decisions concerning health, welfare, and finances on Sadie’s behalf, thereby protecting her interests.</w:t>
      </w:r>
    </w:p>
    <w:p w14:paraId="20FC267F" w14:textId="1A22ED1C"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lastRenderedPageBreak/>
        <w:t xml:space="preserve">Further safeguarding Sadie’s rights, the Equality Act 2010 ensures protection against discrimination across various sectors, explicitly including age-related discrimination. This guarantees that Sadie receives </w:t>
      </w:r>
      <w:bookmarkStart w:id="21" w:name="_Int_UrSfA7sk"/>
      <w:r w:rsidRPr="00D6048F">
        <w:rPr>
          <w:rFonts w:ascii="Calibri" w:hAnsi="Calibri" w:cs="Times New Roman"/>
          <w:kern w:val="0"/>
          <w14:ligatures w14:val="none"/>
        </w:rPr>
        <w:t>equitable</w:t>
      </w:r>
      <w:bookmarkEnd w:id="21"/>
      <w:r w:rsidRPr="00D6048F">
        <w:rPr>
          <w:rFonts w:ascii="Calibri" w:hAnsi="Calibri" w:cs="Times New Roman"/>
          <w:kern w:val="0"/>
          <w14:ligatures w14:val="none"/>
        </w:rPr>
        <w:t xml:space="preserve"> and fair treatment in all aspects of healthcare, housing, and social services. This protection is critical in promoting a dignified and inclusive approach to care provision, ensuring Sadie’s equal participation and access to resources.</w:t>
      </w:r>
    </w:p>
    <w:p w14:paraId="16497D1F" w14:textId="48FDB50F"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t xml:space="preserve">The Human Rights Act 1998 underpins these legislative frameworks, enshrining fundamental rights such as privacy, dignity, and respect for family life. It reinforces the importance of aligning all interventions and care practices with Sadie’s personal rights, including respecting her wish to </w:t>
      </w:r>
      <w:bookmarkStart w:id="22" w:name="_Int_GFZppR3h"/>
      <w:r w:rsidRPr="00D6048F">
        <w:rPr>
          <w:rFonts w:ascii="Calibri" w:hAnsi="Calibri" w:cs="Times New Roman"/>
          <w:kern w:val="0"/>
          <w14:ligatures w14:val="none"/>
        </w:rPr>
        <w:t>reside</w:t>
      </w:r>
      <w:bookmarkEnd w:id="22"/>
      <w:r w:rsidRPr="00D6048F">
        <w:rPr>
          <w:rFonts w:ascii="Calibri" w:hAnsi="Calibri" w:cs="Times New Roman"/>
          <w:kern w:val="0"/>
          <w14:ligatures w14:val="none"/>
        </w:rPr>
        <w:t xml:space="preserve"> in her own home for as long as safely possible. Any support provided must adhere strictly to these rights, ensuring that her personal choices, values, and dignity remain central to care decisions.</w:t>
      </w:r>
    </w:p>
    <w:p w14:paraId="1C51BE98" w14:textId="77777777" w:rsidR="00D6048F" w:rsidRPr="00D6048F" w:rsidRDefault="00D6048F" w:rsidP="00D6048F">
      <w:pPr>
        <w:spacing w:before="100" w:beforeAutospacing="1" w:after="100" w:afterAutospacing="1" w:line="360" w:lineRule="auto"/>
        <w:divId w:val="431245906"/>
        <w:rPr>
          <w:rFonts w:ascii="Calibri" w:hAnsi="Calibri" w:cs="Times New Roman"/>
          <w:kern w:val="0"/>
          <w14:ligatures w14:val="none"/>
        </w:rPr>
      </w:pPr>
      <w:r w:rsidRPr="00D6048F">
        <w:rPr>
          <w:rFonts w:ascii="Calibri" w:hAnsi="Calibri" w:cs="Times New Roman"/>
          <w:kern w:val="0"/>
          <w14:ligatures w14:val="none"/>
        </w:rPr>
        <w:t xml:space="preserve">From a policy perspective, broader government initiatives such as the ‘Ageing Society Grand Challenge’ and the NHS Long Term Plan aim explicitly at enhancing the health and quality of life of older adults. These policies prioritise promoting independence, improving health outcomes, and expanding the scope of personalised, patient-centred care models. Despite these ambitious </w:t>
      </w:r>
      <w:bookmarkStart w:id="23" w:name="_Int_6Ry4PHCj"/>
      <w:r w:rsidRPr="00D6048F">
        <w:rPr>
          <w:rFonts w:ascii="Calibri" w:hAnsi="Calibri" w:cs="Times New Roman"/>
          <w:kern w:val="0"/>
          <w14:ligatures w14:val="none"/>
        </w:rPr>
        <w:t>objectives</w:t>
      </w:r>
      <w:bookmarkEnd w:id="23"/>
      <w:r w:rsidRPr="00D6048F">
        <w:rPr>
          <w:rFonts w:ascii="Calibri" w:hAnsi="Calibri" w:cs="Times New Roman"/>
          <w:kern w:val="0"/>
          <w14:ligatures w14:val="none"/>
        </w:rPr>
        <w:t>, practical challenges, including ongoing funding constraints, workforce shortages, and systemic issues, continue to significantly impede consistent and widespread implementation. Consequently, variability persists in the quality and accessibility of care services across different regions of the UK, highlighting the need for continued investment, strategic reform, and improved coordination among healthcare and social service providers.</w:t>
      </w:r>
    </w:p>
    <w:p w14:paraId="0CE47AAB" w14:textId="77777777" w:rsidR="00B62E95" w:rsidRPr="00D6048F" w:rsidRDefault="00B62E95" w:rsidP="00D6048F">
      <w:pPr>
        <w:pStyle w:val="p1"/>
        <w:spacing w:line="360" w:lineRule="auto"/>
        <w:rPr>
          <w:rStyle w:val="s1"/>
          <w:rFonts w:ascii="Calibri" w:hAnsi="Calibri"/>
          <w:color w:val="000000" w:themeColor="text1"/>
          <w:sz w:val="24"/>
          <w:szCs w:val="24"/>
        </w:rPr>
      </w:pPr>
    </w:p>
    <w:p w14:paraId="5CDF7028" w14:textId="60D529E2"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Theories of Ageing</w:t>
      </w:r>
    </w:p>
    <w:p w14:paraId="015E3EDE" w14:textId="4B3D3E8D"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t xml:space="preserve">Understanding ageing through theoretical frameworks can significantly enhance the effectiveness of care strategies for individuals like Sadie Evans, by providing insights into behaviours and changes associated with the ageing process and suggesting </w:t>
      </w:r>
      <w:bookmarkStart w:id="24" w:name="_Int_OiIwydXv"/>
      <w:r w:rsidRPr="00A178BF">
        <w:rPr>
          <w:rFonts w:ascii="Calibri" w:hAnsi="Calibri" w:cs="Times New Roman"/>
          <w:kern w:val="0"/>
          <w14:ligatures w14:val="none"/>
        </w:rPr>
        <w:t>appropriate interventions</w:t>
      </w:r>
      <w:bookmarkEnd w:id="24"/>
      <w:r w:rsidRPr="00A178BF">
        <w:rPr>
          <w:rFonts w:ascii="Calibri" w:hAnsi="Calibri" w:cs="Times New Roman"/>
          <w:kern w:val="0"/>
          <w14:ligatures w14:val="none"/>
        </w:rPr>
        <w:t xml:space="preserve"> tailored to her unique needs.</w:t>
      </w:r>
    </w:p>
    <w:p w14:paraId="380B6FC5" w14:textId="1E6CF84E"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lastRenderedPageBreak/>
        <w:t xml:space="preserve">The Disengagement Theory, proposed by Cumming and Henry (1961), suggests that older adults naturally and gradually withdraw from social roles, relationships, and community involvement as a normal part of ageing. According to this perspective, disengagement can be mutually beneficial, enabling society to adjust smoothly to the inevitable loss of older members and allowing older adults to reflect and rest. For Sadie, her noticeable withdrawal from the community following the COVID-19 pandemic could initially </w:t>
      </w:r>
      <w:bookmarkStart w:id="25" w:name="_Int_9IN4OdBk"/>
      <w:r w:rsidRPr="00A178BF">
        <w:rPr>
          <w:rFonts w:ascii="Calibri" w:hAnsi="Calibri" w:cs="Times New Roman"/>
          <w:kern w:val="0"/>
          <w14:ligatures w14:val="none"/>
        </w:rPr>
        <w:t>be interpreted</w:t>
      </w:r>
      <w:bookmarkEnd w:id="25"/>
      <w:r w:rsidRPr="00A178BF">
        <w:rPr>
          <w:rFonts w:ascii="Calibri" w:hAnsi="Calibri" w:cs="Times New Roman"/>
          <w:kern w:val="0"/>
          <w14:ligatures w14:val="none"/>
        </w:rPr>
        <w:t xml:space="preserve"> through this lens. However, upon closer inspection, it becomes clear that her withdrawal is primarily situational, driven by external factors such as pandemic restrictions, health concerns, and limited access to social networks rather than an intrinsic or voluntary desire to disengage. This observation highlights significant limitations within the theory when applied universally, suggesting the need for a more nuanced understanding of individual circumstances.</w:t>
      </w:r>
    </w:p>
    <w:p w14:paraId="29CBB4FE" w14:textId="77777777"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t xml:space="preserve">Alternatively, the Activity Theory, proposed by Havighurst (1961), posits that ongoing physical, mental, and social activity is vital for </w:t>
      </w:r>
      <w:bookmarkStart w:id="26" w:name="_Int_Kfaz6IHa"/>
      <w:r w:rsidRPr="00A178BF">
        <w:rPr>
          <w:rFonts w:ascii="Calibri" w:hAnsi="Calibri" w:cs="Times New Roman"/>
          <w:kern w:val="0"/>
          <w14:ligatures w14:val="none"/>
        </w:rPr>
        <w:t>maintaining</w:t>
      </w:r>
      <w:bookmarkEnd w:id="26"/>
      <w:r w:rsidRPr="00A178BF">
        <w:rPr>
          <w:rFonts w:ascii="Calibri" w:hAnsi="Calibri" w:cs="Times New Roman"/>
          <w:kern w:val="0"/>
          <w14:ligatures w14:val="none"/>
        </w:rPr>
        <w:t xml:space="preserve"> satisfaction and quality of life in older adulthood. According to this framework, encouraging Sadie to engage actively in social and community activities can significantly enhance her psychological well-being, reduce feelings of isolation, and slow cognitive decline. For Sadie, structured community programs, hobby groups, or social clubs that align with her interests and past experiences may </w:t>
      </w:r>
      <w:bookmarkStart w:id="27" w:name="_Int_XDs2uTpm"/>
      <w:r w:rsidRPr="00A178BF">
        <w:rPr>
          <w:rFonts w:ascii="Calibri" w:hAnsi="Calibri" w:cs="Times New Roman"/>
          <w:kern w:val="0"/>
          <w14:ligatures w14:val="none"/>
        </w:rPr>
        <w:t>provide</w:t>
      </w:r>
      <w:bookmarkEnd w:id="27"/>
      <w:r w:rsidRPr="00A178BF">
        <w:rPr>
          <w:rFonts w:ascii="Calibri" w:hAnsi="Calibri" w:cs="Times New Roman"/>
          <w:kern w:val="0"/>
          <w14:ligatures w14:val="none"/>
        </w:rPr>
        <w:t xml:space="preserve"> meaningful opportunities for interaction and purposeful engagement. This approach directly challenges assumptions inherent in Disengagement Theory by prioritising proactive interventions to foster continued social integration.</w:t>
      </w:r>
    </w:p>
    <w:p w14:paraId="06EB3D08" w14:textId="77777777"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p>
    <w:p w14:paraId="1F2CFB93" w14:textId="6687EB87"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t xml:space="preserve">Continuity Theory, introduced by Atchley (1989), emphasises the importance of </w:t>
      </w:r>
      <w:bookmarkStart w:id="28" w:name="_Int_LMgFVt1k"/>
      <w:r w:rsidRPr="00A178BF">
        <w:rPr>
          <w:rFonts w:ascii="Calibri" w:hAnsi="Calibri" w:cs="Times New Roman"/>
          <w:kern w:val="0"/>
          <w14:ligatures w14:val="none"/>
        </w:rPr>
        <w:t>maintaining</w:t>
      </w:r>
      <w:bookmarkEnd w:id="28"/>
      <w:r w:rsidRPr="00A178BF">
        <w:rPr>
          <w:rFonts w:ascii="Calibri" w:hAnsi="Calibri" w:cs="Times New Roman"/>
          <w:kern w:val="0"/>
          <w14:ligatures w14:val="none"/>
        </w:rPr>
        <w:t xml:space="preserve"> consistency in personal activities, behaviours, social connections, and life roles over time. This theory suggests that older adults adapt more effectively to ageing by preserving a coherent sense of identity and personal history. For Sadie, care strategies might focus on supporting familiar routines, hobbies, and community connections that reflect her lifelong interests and values. Reinforcing continuity can enhance her sense of identity, emotional security, and resilience, which in turn positively influences her mental health and overall well-being.</w:t>
      </w:r>
    </w:p>
    <w:p w14:paraId="15BCEF3F" w14:textId="1DF2E7EC"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lastRenderedPageBreak/>
        <w:t xml:space="preserve">Maslow’s Hierarchy of Needs (1943) provides another critical theoretical perspective relevant to ageing and care provision. This model stresses the importance of addressing basic physiological and psychological needs, such as safety, health, belonging, and self-esteem, before individuals can achieve higher levels of emotional fulfilment and self-actualisation. For Sadie, meeting her fundamental needs—ensuring physical safety, adequate healthcare, social interaction, and emotional support—is a necessary precursor to achieving greater emotional and psychological well-being. The </w:t>
      </w:r>
      <w:bookmarkStart w:id="29" w:name="_Int_63SANLwO"/>
      <w:r w:rsidRPr="00A178BF">
        <w:rPr>
          <w:rFonts w:ascii="Calibri" w:hAnsi="Calibri" w:cs="Times New Roman"/>
          <w:kern w:val="0"/>
          <w14:ligatures w14:val="none"/>
        </w:rPr>
        <w:t>evident</w:t>
      </w:r>
      <w:bookmarkEnd w:id="29"/>
      <w:r w:rsidRPr="00A178BF">
        <w:rPr>
          <w:rFonts w:ascii="Calibri" w:hAnsi="Calibri" w:cs="Times New Roman"/>
          <w:kern w:val="0"/>
          <w14:ligatures w14:val="none"/>
        </w:rPr>
        <w:t xml:space="preserve"> unmet needs in Sadie’s current situation, particularly </w:t>
      </w:r>
      <w:bookmarkStart w:id="30" w:name="_Int_NJpcEx5X"/>
      <w:r w:rsidRPr="00A178BF">
        <w:rPr>
          <w:rFonts w:ascii="Calibri" w:hAnsi="Calibri" w:cs="Times New Roman"/>
          <w:kern w:val="0"/>
          <w14:ligatures w14:val="none"/>
        </w:rPr>
        <w:t>regarding</w:t>
      </w:r>
      <w:bookmarkEnd w:id="30"/>
      <w:r w:rsidRPr="00A178BF">
        <w:rPr>
          <w:rFonts w:ascii="Calibri" w:hAnsi="Calibri" w:cs="Times New Roman"/>
          <w:kern w:val="0"/>
          <w14:ligatures w14:val="none"/>
        </w:rPr>
        <w:t xml:space="preserve"> social connections and esteem, significantly affect her mental health and quality of life.</w:t>
      </w:r>
    </w:p>
    <w:p w14:paraId="0C32FB30" w14:textId="70BE25F2" w:rsidR="00A178BF" w:rsidRPr="00A178BF" w:rsidRDefault="00A178BF" w:rsidP="00D6048F">
      <w:pPr>
        <w:spacing w:before="100" w:beforeAutospacing="1" w:after="100" w:afterAutospacing="1" w:line="360" w:lineRule="auto"/>
        <w:divId w:val="32772358"/>
        <w:rPr>
          <w:rFonts w:ascii="Calibri" w:hAnsi="Calibri" w:cs="Times New Roman"/>
          <w:kern w:val="0"/>
          <w14:ligatures w14:val="none"/>
        </w:rPr>
      </w:pPr>
      <w:r w:rsidRPr="00A178BF">
        <w:rPr>
          <w:rFonts w:ascii="Calibri" w:hAnsi="Calibri" w:cs="Times New Roman"/>
          <w:kern w:val="0"/>
          <w14:ligatures w14:val="none"/>
        </w:rPr>
        <w:t xml:space="preserve">Incorporating these theoretical frameworks into Sadie’s care plan ensures interventions are not only practical but deeply informed by psychological and social understanding. They underline the critical importance of personalised care strategies that reflect individual preferences, strengths, experiences, and aspirations. By carefully blending insights from Disengagement, Activity, Continuity theories, and Maslow’s Hierarchy, practitioners can develop a comprehensive, empathetic, and effective approach to supporting Sadie, </w:t>
      </w:r>
      <w:r w:rsidR="00BA25A3" w:rsidRPr="00A178BF">
        <w:rPr>
          <w:rFonts w:ascii="Calibri" w:hAnsi="Calibri" w:cs="Times New Roman"/>
          <w:kern w:val="0"/>
          <w14:ligatures w14:val="none"/>
        </w:rPr>
        <w:t>improving</w:t>
      </w:r>
      <w:r w:rsidRPr="00A178BF">
        <w:rPr>
          <w:rFonts w:ascii="Calibri" w:hAnsi="Calibri" w:cs="Times New Roman"/>
          <w:kern w:val="0"/>
          <w14:ligatures w14:val="none"/>
        </w:rPr>
        <w:t xml:space="preserve"> her quality of life, fostering greater independence, and enhancing her emotional and social well-being.</w:t>
      </w:r>
    </w:p>
    <w:p w14:paraId="5CFD62E6" w14:textId="77777777" w:rsidR="00A85299" w:rsidRPr="00D6048F" w:rsidRDefault="00A85299" w:rsidP="00D6048F">
      <w:pPr>
        <w:pStyle w:val="p1"/>
        <w:spacing w:line="360" w:lineRule="auto"/>
        <w:rPr>
          <w:rFonts w:ascii="Calibri" w:hAnsi="Calibri"/>
          <w:color w:val="000000" w:themeColor="text1"/>
          <w:sz w:val="24"/>
          <w:szCs w:val="24"/>
        </w:rPr>
      </w:pPr>
    </w:p>
    <w:p w14:paraId="0D81DEC4" w14:textId="1CA627FF" w:rsidR="00A3267A" w:rsidRPr="00D6048F" w:rsidRDefault="00A3267A" w:rsidP="00D6048F">
      <w:pPr>
        <w:pStyle w:val="Heading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Conclusion</w:t>
      </w:r>
    </w:p>
    <w:p w14:paraId="2EDF589F" w14:textId="42F9A66B"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Sadie Evans's case highlights the complex interplay between physical health, mental well-being, social</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connection, and the living environment in older age. Her circumstances-living alone, dealing with chronic</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conditions like arthritis and dementia, and enduring social</w:t>
      </w:r>
      <w:r w:rsidR="0065130B"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isolation-are </w:t>
      </w:r>
      <w:bookmarkStart w:id="31" w:name="_Int_hokEVX4W"/>
      <w:r w:rsidRPr="00D6048F">
        <w:rPr>
          <w:rStyle w:val="s1"/>
          <w:rFonts w:ascii="Calibri" w:hAnsi="Calibri"/>
          <w:color w:val="000000" w:themeColor="text1"/>
          <w:sz w:val="24"/>
          <w:szCs w:val="24"/>
        </w:rPr>
        <w:t>not uncommon</w:t>
      </w:r>
      <w:bookmarkEnd w:id="31"/>
      <w:r w:rsidRPr="00D6048F">
        <w:rPr>
          <w:rStyle w:val="s1"/>
          <w:rFonts w:ascii="Calibri" w:hAnsi="Calibri"/>
          <w:color w:val="000000" w:themeColor="text1"/>
          <w:sz w:val="24"/>
          <w:szCs w:val="24"/>
        </w:rPr>
        <w:t xml:space="preserve"> among the elderly in</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the UK, particularly following the COVID-19 pandemic.</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Comprehensive care for Sadie must include not only medical management but also support with daily living,</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mental health services, and opportunities for social reintegration. Existing legislation, including the Care Act</w:t>
      </w:r>
    </w:p>
    <w:p w14:paraId="3DF54A9B" w14:textId="4CF8D9AA"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2014 and Mental Capacity Act 2005, provides a strong framework for person-centred care, but</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implementation often </w:t>
      </w:r>
      <w:r w:rsidR="00BA25A3" w:rsidRPr="00D6048F">
        <w:rPr>
          <w:rStyle w:val="s1"/>
          <w:rFonts w:ascii="Calibri" w:hAnsi="Calibri"/>
          <w:color w:val="000000" w:themeColor="text1"/>
          <w:sz w:val="24"/>
          <w:szCs w:val="24"/>
        </w:rPr>
        <w:t>lags</w:t>
      </w:r>
      <w:r w:rsidRPr="00D6048F">
        <w:rPr>
          <w:rStyle w:val="s1"/>
          <w:rFonts w:ascii="Calibri" w:hAnsi="Calibri"/>
          <w:color w:val="000000" w:themeColor="text1"/>
          <w:sz w:val="24"/>
          <w:szCs w:val="24"/>
        </w:rPr>
        <w:t xml:space="preserve"> due to funding and staffing pressures.</w:t>
      </w:r>
    </w:p>
    <w:p w14:paraId="1973DD08" w14:textId="77777777" w:rsidR="00305B00" w:rsidRPr="00D6048F" w:rsidRDefault="00A3267A" w:rsidP="00D6048F">
      <w:pPr>
        <w:pStyle w:val="p1"/>
        <w:spacing w:line="360" w:lineRule="auto"/>
        <w:rPr>
          <w:rStyle w:val="s1"/>
          <w:rFonts w:ascii="Calibri" w:hAnsi="Calibri"/>
          <w:color w:val="000000" w:themeColor="text1"/>
          <w:sz w:val="24"/>
          <w:szCs w:val="24"/>
        </w:rPr>
      </w:pPr>
      <w:r w:rsidRPr="00D6048F">
        <w:rPr>
          <w:rStyle w:val="s1"/>
          <w:rFonts w:ascii="Calibri" w:hAnsi="Calibri"/>
          <w:color w:val="000000" w:themeColor="text1"/>
          <w:sz w:val="24"/>
          <w:szCs w:val="24"/>
        </w:rPr>
        <w:lastRenderedPageBreak/>
        <w:t>Theories of ageing reinforce the value of promoting engagement, continuity, and autonomy. They offer a</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foundation for care strategies that are respectful and empowering. </w:t>
      </w:r>
    </w:p>
    <w:p w14:paraId="1B1378B9" w14:textId="33FA03E3" w:rsidR="0065130B" w:rsidRPr="00D6048F" w:rsidRDefault="00A3267A" w:rsidP="00D6048F">
      <w:pPr>
        <w:pStyle w:val="p1"/>
        <w:spacing w:line="360" w:lineRule="auto"/>
        <w:rPr>
          <w:rStyle w:val="s1"/>
          <w:rFonts w:ascii="Calibri" w:hAnsi="Calibri"/>
          <w:color w:val="000000" w:themeColor="text1"/>
          <w:sz w:val="24"/>
          <w:szCs w:val="24"/>
        </w:rPr>
      </w:pPr>
      <w:r w:rsidRPr="00D6048F">
        <w:rPr>
          <w:rStyle w:val="s1"/>
          <w:rFonts w:ascii="Calibri" w:hAnsi="Calibri"/>
          <w:color w:val="000000" w:themeColor="text1"/>
          <w:sz w:val="24"/>
          <w:szCs w:val="24"/>
        </w:rPr>
        <w:t xml:space="preserve">Without </w:t>
      </w:r>
      <w:bookmarkStart w:id="32" w:name="_Int_GgwXcb8P"/>
      <w:r w:rsidRPr="00D6048F">
        <w:rPr>
          <w:rStyle w:val="s1"/>
          <w:rFonts w:ascii="Calibri" w:hAnsi="Calibri"/>
          <w:color w:val="000000" w:themeColor="text1"/>
          <w:sz w:val="24"/>
          <w:szCs w:val="24"/>
        </w:rPr>
        <w:t>timely</w:t>
      </w:r>
      <w:bookmarkEnd w:id="32"/>
      <w:r w:rsidRPr="00D6048F">
        <w:rPr>
          <w:rStyle w:val="s1"/>
          <w:rFonts w:ascii="Calibri" w:hAnsi="Calibri"/>
          <w:color w:val="000000" w:themeColor="text1"/>
          <w:sz w:val="24"/>
          <w:szCs w:val="24"/>
        </w:rPr>
        <w:t xml:space="preserve"> and coordinated</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intervention, Sadie's condition could deteriorate further, increasing her risk of hospitalisation and reducing her</w:t>
      </w:r>
      <w:r w:rsidR="0065130B"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quality of </w:t>
      </w:r>
      <w:r w:rsidR="006446A1" w:rsidRPr="00D6048F">
        <w:rPr>
          <w:rStyle w:val="s1"/>
          <w:rFonts w:ascii="Calibri" w:hAnsi="Calibri"/>
          <w:color w:val="000000" w:themeColor="text1"/>
          <w:sz w:val="24"/>
          <w:szCs w:val="24"/>
        </w:rPr>
        <w:t>life.</w:t>
      </w:r>
    </w:p>
    <w:p w14:paraId="0062C757" w14:textId="5F478B7D" w:rsidR="006446A1" w:rsidRPr="00D6048F" w:rsidRDefault="006446A1" w:rsidP="00D6048F">
      <w:pPr>
        <w:pStyle w:val="p1"/>
        <w:spacing w:line="360" w:lineRule="auto"/>
        <w:rPr>
          <w:rStyle w:val="s1"/>
          <w:rFonts w:ascii="Calibri" w:hAnsi="Calibri"/>
          <w:color w:val="000000" w:themeColor="text1"/>
          <w:sz w:val="24"/>
          <w:szCs w:val="24"/>
        </w:rPr>
      </w:pPr>
      <w:r w:rsidRPr="00D6048F">
        <w:rPr>
          <w:rStyle w:val="s1"/>
          <w:rFonts w:ascii="Calibri" w:hAnsi="Calibri"/>
          <w:color w:val="000000" w:themeColor="text1"/>
          <w:sz w:val="24"/>
          <w:szCs w:val="24"/>
        </w:rPr>
        <w:t>Addressing</w:t>
      </w:r>
      <w:r w:rsidR="00A3267A" w:rsidRPr="00D6048F">
        <w:rPr>
          <w:rStyle w:val="s1"/>
          <w:rFonts w:ascii="Calibri" w:hAnsi="Calibri"/>
          <w:color w:val="000000" w:themeColor="text1"/>
          <w:sz w:val="24"/>
          <w:szCs w:val="24"/>
        </w:rPr>
        <w:t xml:space="preserve"> her needs now through tailored, compassionate care will not only improve her day-to-day living</w:t>
      </w:r>
      <w:r w:rsidR="00305B00" w:rsidRPr="00D6048F">
        <w:rPr>
          <w:rFonts w:ascii="Calibri" w:hAnsi="Calibri"/>
          <w:color w:val="000000" w:themeColor="text1"/>
          <w:sz w:val="24"/>
          <w:szCs w:val="24"/>
        </w:rPr>
        <w:t xml:space="preserve"> </w:t>
      </w:r>
      <w:r w:rsidR="00A3267A" w:rsidRPr="00D6048F">
        <w:rPr>
          <w:rStyle w:val="s1"/>
          <w:rFonts w:ascii="Calibri" w:hAnsi="Calibri"/>
          <w:color w:val="000000" w:themeColor="text1"/>
          <w:sz w:val="24"/>
          <w:szCs w:val="24"/>
        </w:rPr>
        <w:t xml:space="preserve">but could also help her age with dignity and </w:t>
      </w:r>
      <w:bookmarkStart w:id="33" w:name="_Int_9kTMq5to"/>
      <w:r w:rsidR="00A3267A" w:rsidRPr="00D6048F">
        <w:rPr>
          <w:rStyle w:val="s1"/>
          <w:rFonts w:ascii="Calibri" w:hAnsi="Calibri"/>
          <w:color w:val="000000" w:themeColor="text1"/>
          <w:sz w:val="24"/>
          <w:szCs w:val="24"/>
        </w:rPr>
        <w:t>maintain</w:t>
      </w:r>
      <w:bookmarkEnd w:id="33"/>
      <w:r w:rsidR="00A3267A" w:rsidRPr="00D6048F">
        <w:rPr>
          <w:rStyle w:val="s1"/>
          <w:rFonts w:ascii="Calibri" w:hAnsi="Calibri"/>
          <w:color w:val="000000" w:themeColor="text1"/>
          <w:sz w:val="24"/>
          <w:szCs w:val="24"/>
        </w:rPr>
        <w:t xml:space="preserve"> as much independence as possible.</w:t>
      </w:r>
    </w:p>
    <w:p w14:paraId="7F809E7E" w14:textId="77777777" w:rsidR="00115FAE" w:rsidRPr="00D6048F" w:rsidRDefault="00115FAE" w:rsidP="00D6048F">
      <w:pPr>
        <w:pStyle w:val="p1"/>
        <w:spacing w:line="360" w:lineRule="auto"/>
        <w:rPr>
          <w:rFonts w:ascii="Calibri" w:hAnsi="Calibri"/>
          <w:color w:val="000000" w:themeColor="text1"/>
          <w:sz w:val="24"/>
          <w:szCs w:val="24"/>
        </w:rPr>
      </w:pPr>
    </w:p>
    <w:p w14:paraId="029DBDF5" w14:textId="71D4174A" w:rsidR="00A3267A" w:rsidRPr="00D6048F" w:rsidRDefault="00A3267A" w:rsidP="00D6048F">
      <w:pPr>
        <w:pStyle w:val="Heading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Recommendations</w:t>
      </w:r>
    </w:p>
    <w:p w14:paraId="788CFF8C" w14:textId="77777777"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Based on the evaluation of Sadie Evans's circumstances, the following recommendations aim to support her</w:t>
      </w:r>
    </w:p>
    <w:p w14:paraId="34880A71" w14:textId="77777777" w:rsidR="004B4129"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ageing process effectively and sustainably:</w:t>
      </w:r>
    </w:p>
    <w:p w14:paraId="758B57A4" w14:textId="77777777" w:rsidR="00BF2A83" w:rsidRPr="00D6048F" w:rsidRDefault="00A3267A" w:rsidP="00D6048F">
      <w:pPr>
        <w:pStyle w:val="p1"/>
        <w:numPr>
          <w:ilvl w:val="0"/>
          <w:numId w:val="3"/>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Initiate a Multidisciplinary Care Plan:</w:t>
      </w:r>
    </w:p>
    <w:p w14:paraId="41D5AACF" w14:textId="062959F5"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A care plan should </w:t>
      </w:r>
      <w:bookmarkStart w:id="34" w:name="_Int_Wn1fMFsX"/>
      <w:r w:rsidRPr="00D6048F">
        <w:rPr>
          <w:rStyle w:val="s1"/>
          <w:rFonts w:ascii="Calibri" w:hAnsi="Calibri"/>
          <w:color w:val="000000" w:themeColor="text1"/>
          <w:sz w:val="24"/>
          <w:szCs w:val="24"/>
        </w:rPr>
        <w:t>be developed</w:t>
      </w:r>
      <w:bookmarkEnd w:id="34"/>
      <w:r w:rsidRPr="00D6048F">
        <w:rPr>
          <w:rStyle w:val="s1"/>
          <w:rFonts w:ascii="Calibri" w:hAnsi="Calibri"/>
          <w:color w:val="000000" w:themeColor="text1"/>
          <w:sz w:val="24"/>
          <w:szCs w:val="24"/>
        </w:rPr>
        <w:t xml:space="preserve"> and </w:t>
      </w:r>
      <w:bookmarkStart w:id="35" w:name="_Int_FM5Vimmf"/>
      <w:r w:rsidRPr="00D6048F">
        <w:rPr>
          <w:rStyle w:val="s1"/>
          <w:rFonts w:ascii="Calibri" w:hAnsi="Calibri"/>
          <w:color w:val="000000" w:themeColor="text1"/>
          <w:sz w:val="24"/>
          <w:szCs w:val="24"/>
        </w:rPr>
        <w:t>monitored</w:t>
      </w:r>
      <w:bookmarkEnd w:id="35"/>
      <w:r w:rsidRPr="00D6048F">
        <w:rPr>
          <w:rStyle w:val="s1"/>
          <w:rFonts w:ascii="Calibri" w:hAnsi="Calibri"/>
          <w:color w:val="000000" w:themeColor="text1"/>
          <w:sz w:val="24"/>
          <w:szCs w:val="24"/>
        </w:rPr>
        <w:t xml:space="preserve"> by a team including her GP, social worker, occupational</w:t>
      </w:r>
      <w:r w:rsidR="00305B0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therapist, and mental health professionals. This ensures that her medical, psychological, and social needs</w:t>
      </w:r>
      <w:r w:rsidR="00305B00" w:rsidRPr="00D6048F">
        <w:rPr>
          <w:rFonts w:ascii="Calibri" w:hAnsi="Calibri"/>
          <w:color w:val="000000" w:themeColor="text1"/>
          <w:sz w:val="24"/>
          <w:szCs w:val="24"/>
        </w:rPr>
        <w:t xml:space="preserve"> </w:t>
      </w:r>
      <w:bookmarkStart w:id="36" w:name="_Int_9O7Dg3U1"/>
      <w:r w:rsidRPr="00D6048F">
        <w:rPr>
          <w:rStyle w:val="s1"/>
          <w:rFonts w:ascii="Calibri" w:hAnsi="Calibri"/>
          <w:color w:val="000000" w:themeColor="text1"/>
          <w:sz w:val="24"/>
          <w:szCs w:val="24"/>
        </w:rPr>
        <w:t>are holistically addressed</w:t>
      </w:r>
      <w:bookmarkEnd w:id="36"/>
      <w:r w:rsidRPr="00D6048F">
        <w:rPr>
          <w:rStyle w:val="s1"/>
          <w:rFonts w:ascii="Calibri" w:hAnsi="Calibri"/>
          <w:color w:val="000000" w:themeColor="text1"/>
          <w:sz w:val="24"/>
          <w:szCs w:val="24"/>
        </w:rPr>
        <w:t>.</w:t>
      </w:r>
    </w:p>
    <w:p w14:paraId="3D06A516" w14:textId="0B693423" w:rsidR="00A3267A" w:rsidRPr="00D6048F" w:rsidRDefault="00A3267A" w:rsidP="00D6048F">
      <w:pPr>
        <w:pStyle w:val="p1"/>
        <w:numPr>
          <w:ilvl w:val="0"/>
          <w:numId w:val="3"/>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Enhance Domiciliary Care Access:</w:t>
      </w:r>
    </w:p>
    <w:p w14:paraId="42F80752"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Local authorities should prioritise domiciliary care funding to reduce wait times and ensure reliable daily</w:t>
      </w:r>
    </w:p>
    <w:p w14:paraId="403DB5D2"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support for personal care, medication, and nutrition.</w:t>
      </w:r>
    </w:p>
    <w:p w14:paraId="1A751BBF" w14:textId="2F680BF8" w:rsidR="00A3267A" w:rsidRPr="00D6048F" w:rsidRDefault="00A85299" w:rsidP="00D6048F">
      <w:pPr>
        <w:pStyle w:val="p1"/>
        <w:numPr>
          <w:ilvl w:val="0"/>
          <w:numId w:val="3"/>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i</w:t>
      </w:r>
      <w:r w:rsidR="00A3267A" w:rsidRPr="00D6048F">
        <w:rPr>
          <w:rStyle w:val="s1"/>
          <w:rFonts w:ascii="Calibri" w:hAnsi="Calibri"/>
          <w:color w:val="000000" w:themeColor="text1"/>
          <w:sz w:val="24"/>
          <w:szCs w:val="24"/>
        </w:rPr>
        <w:t>nvest in Social Connection Programs:</w:t>
      </w:r>
    </w:p>
    <w:p w14:paraId="19B63BCA"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Sadie should </w:t>
      </w:r>
      <w:bookmarkStart w:id="37" w:name="_Int_HgVaIZFr"/>
      <w:r w:rsidRPr="00D6048F">
        <w:rPr>
          <w:rStyle w:val="s1"/>
          <w:rFonts w:ascii="Calibri" w:hAnsi="Calibri"/>
          <w:color w:val="000000" w:themeColor="text1"/>
          <w:sz w:val="24"/>
          <w:szCs w:val="24"/>
        </w:rPr>
        <w:t>be connected</w:t>
      </w:r>
      <w:bookmarkEnd w:id="37"/>
      <w:r w:rsidRPr="00D6048F">
        <w:rPr>
          <w:rStyle w:val="s1"/>
          <w:rFonts w:ascii="Calibri" w:hAnsi="Calibri"/>
          <w:color w:val="000000" w:themeColor="text1"/>
          <w:sz w:val="24"/>
          <w:szCs w:val="24"/>
        </w:rPr>
        <w:t xml:space="preserve"> to local and digital befriending schemes and activity groups, supported through</w:t>
      </w:r>
    </w:p>
    <w:p w14:paraId="7F208035" w14:textId="35FF3282"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outreach and </w:t>
      </w:r>
      <w:r w:rsidR="00BA25A3" w:rsidRPr="00D6048F">
        <w:rPr>
          <w:rStyle w:val="s1"/>
          <w:rFonts w:ascii="Calibri" w:hAnsi="Calibri"/>
          <w:color w:val="000000" w:themeColor="text1"/>
          <w:sz w:val="24"/>
          <w:szCs w:val="24"/>
        </w:rPr>
        <w:t>transport</w:t>
      </w:r>
      <w:r w:rsidRPr="00D6048F">
        <w:rPr>
          <w:rStyle w:val="s1"/>
          <w:rFonts w:ascii="Calibri" w:hAnsi="Calibri"/>
          <w:color w:val="000000" w:themeColor="text1"/>
          <w:sz w:val="24"/>
          <w:szCs w:val="24"/>
        </w:rPr>
        <w:t xml:space="preserve"> </w:t>
      </w:r>
      <w:bookmarkStart w:id="38" w:name="_Int_0sqTibjU"/>
      <w:r w:rsidRPr="00D6048F">
        <w:rPr>
          <w:rStyle w:val="s1"/>
          <w:rFonts w:ascii="Calibri" w:hAnsi="Calibri"/>
          <w:color w:val="000000" w:themeColor="text1"/>
          <w:sz w:val="24"/>
          <w:szCs w:val="24"/>
        </w:rPr>
        <w:t>assistance</w:t>
      </w:r>
      <w:bookmarkEnd w:id="38"/>
      <w:r w:rsidRPr="00D6048F">
        <w:rPr>
          <w:rStyle w:val="s1"/>
          <w:rFonts w:ascii="Calibri" w:hAnsi="Calibri"/>
          <w:color w:val="000000" w:themeColor="text1"/>
          <w:sz w:val="24"/>
          <w:szCs w:val="24"/>
        </w:rPr>
        <w:t>.</w:t>
      </w:r>
    </w:p>
    <w:p w14:paraId="1CE36A91" w14:textId="2C063D2A" w:rsidR="00A3267A" w:rsidRPr="00D6048F" w:rsidRDefault="004B4129" w:rsidP="00D6048F">
      <w:pPr>
        <w:pStyle w:val="p1"/>
        <w:numPr>
          <w:ilvl w:val="0"/>
          <w:numId w:val="3"/>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Increase</w:t>
      </w:r>
      <w:r w:rsidR="00A3267A" w:rsidRPr="00D6048F">
        <w:rPr>
          <w:rStyle w:val="s1"/>
          <w:rFonts w:ascii="Calibri" w:hAnsi="Calibri"/>
          <w:color w:val="000000" w:themeColor="text1"/>
          <w:sz w:val="24"/>
          <w:szCs w:val="24"/>
        </w:rPr>
        <w:t xml:space="preserve"> Funding and Workforce Capacity:</w:t>
      </w:r>
    </w:p>
    <w:p w14:paraId="5B7BF326"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Address systemic barriers by advocating for greater government investment in care services and professional</w:t>
      </w:r>
    </w:p>
    <w:p w14:paraId="3D2BD4AB"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training, especially in dementia and elder mental health.</w:t>
      </w:r>
    </w:p>
    <w:p w14:paraId="558A721F" w14:textId="46C9AA5C" w:rsidR="00A3267A" w:rsidRPr="00D6048F" w:rsidRDefault="00A3267A" w:rsidP="00D6048F">
      <w:pPr>
        <w:pStyle w:val="p1"/>
        <w:numPr>
          <w:ilvl w:val="0"/>
          <w:numId w:val="3"/>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Use Technology to Support Engagement:</w:t>
      </w:r>
    </w:p>
    <w:p w14:paraId="3B48EC79" w14:textId="77777777"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Introduce Sadie to user-friendly devices or apps that allow her to access health consultations, connect</w:t>
      </w:r>
    </w:p>
    <w:p w14:paraId="77A4B64B" w14:textId="77777777" w:rsidR="00A3267A" w:rsidRPr="00D6048F" w:rsidRDefault="00A3267A" w:rsidP="00D6048F">
      <w:pPr>
        <w:pStyle w:val="p1"/>
        <w:spacing w:line="360" w:lineRule="auto"/>
        <w:ind w:left="720"/>
        <w:rPr>
          <w:rStyle w:val="s1"/>
          <w:rFonts w:ascii="Calibri" w:hAnsi="Calibri"/>
          <w:color w:val="000000" w:themeColor="text1"/>
          <w:sz w:val="24"/>
          <w:szCs w:val="24"/>
        </w:rPr>
      </w:pPr>
      <w:r w:rsidRPr="00D6048F">
        <w:rPr>
          <w:rStyle w:val="s1"/>
          <w:rFonts w:ascii="Calibri" w:hAnsi="Calibri"/>
          <w:color w:val="000000" w:themeColor="text1"/>
          <w:sz w:val="24"/>
          <w:szCs w:val="24"/>
        </w:rPr>
        <w:lastRenderedPageBreak/>
        <w:t>socially, and receive reminders for daily tasks.</w:t>
      </w:r>
    </w:p>
    <w:p w14:paraId="0C9A02A7" w14:textId="77777777" w:rsidR="008336ED" w:rsidRPr="00D6048F" w:rsidRDefault="008336ED" w:rsidP="00D6048F">
      <w:pPr>
        <w:pStyle w:val="p1"/>
        <w:spacing w:line="360" w:lineRule="auto"/>
        <w:ind w:left="720"/>
        <w:rPr>
          <w:rFonts w:ascii="Calibri" w:hAnsi="Calibri"/>
          <w:color w:val="000000" w:themeColor="text1"/>
          <w:sz w:val="24"/>
          <w:szCs w:val="24"/>
        </w:rPr>
      </w:pPr>
    </w:p>
    <w:p w14:paraId="04F2615F" w14:textId="2F29639F" w:rsidR="00A3267A" w:rsidRPr="00D6048F" w:rsidRDefault="00A3267A" w:rsidP="00D6048F">
      <w:pPr>
        <w:pStyle w:val="p1"/>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Barriers and Solutions:</w:t>
      </w:r>
    </w:p>
    <w:p w14:paraId="739596DC" w14:textId="48DBBF41" w:rsidR="003C284D" w:rsidRPr="003C284D" w:rsidRDefault="003C284D" w:rsidP="00D6048F">
      <w:pPr>
        <w:spacing w:before="100" w:beforeAutospacing="1" w:after="100" w:afterAutospacing="1" w:line="360" w:lineRule="auto"/>
        <w:divId w:val="1342774361"/>
        <w:rPr>
          <w:rFonts w:ascii="Calibri" w:hAnsi="Calibri" w:cs="Times New Roman"/>
          <w:kern w:val="0"/>
          <w14:ligatures w14:val="none"/>
        </w:rPr>
      </w:pPr>
      <w:r w:rsidRPr="003C284D">
        <w:rPr>
          <w:rFonts w:ascii="Calibri" w:hAnsi="Calibri" w:cs="Times New Roman"/>
          <w:kern w:val="0"/>
          <w14:ligatures w14:val="none"/>
        </w:rPr>
        <w:t xml:space="preserve">Barriers such as limited digital skills among care providers and service users, chronic staff shortages in health and social care sectors, and significant budget constraints pose substantial challenges to the effectiveness and reach of care services. Addressing these barriers requires targeted education and training programs aimed at enhancing digital literacy, alongside structured incentives designed to attract and </w:t>
      </w:r>
      <w:bookmarkStart w:id="39" w:name="_Int_V1z4aiek"/>
      <w:r w:rsidRPr="003C284D">
        <w:rPr>
          <w:rFonts w:ascii="Calibri" w:hAnsi="Calibri" w:cs="Times New Roman"/>
          <w:kern w:val="0"/>
          <w14:ligatures w14:val="none"/>
        </w:rPr>
        <w:t>retain</w:t>
      </w:r>
      <w:bookmarkEnd w:id="39"/>
      <w:r w:rsidRPr="003C284D">
        <w:rPr>
          <w:rFonts w:ascii="Calibri" w:hAnsi="Calibri" w:cs="Times New Roman"/>
          <w:kern w:val="0"/>
          <w14:ligatures w14:val="none"/>
        </w:rPr>
        <w:t xml:space="preserve"> skilled professionals in care roles, thereby alleviating workforce shortages. Moreover, investing in robust technological infrastructure and accessible digital support tools is essential to improve service delivery and efficiency. Voluntary organisations, charities, and local community partnerships can significantly contribute to overcoming these obstacles by </w:t>
      </w:r>
      <w:bookmarkStart w:id="40" w:name="_Int_Y1N7Cmhi"/>
      <w:r w:rsidRPr="003C284D">
        <w:rPr>
          <w:rFonts w:ascii="Calibri" w:hAnsi="Calibri" w:cs="Times New Roman"/>
          <w:kern w:val="0"/>
          <w14:ligatures w14:val="none"/>
        </w:rPr>
        <w:t>leveraging</w:t>
      </w:r>
      <w:bookmarkEnd w:id="40"/>
      <w:r w:rsidRPr="003C284D">
        <w:rPr>
          <w:rFonts w:ascii="Calibri" w:hAnsi="Calibri" w:cs="Times New Roman"/>
          <w:kern w:val="0"/>
          <w14:ligatures w14:val="none"/>
        </w:rPr>
        <w:t xml:space="preserve"> their close community ties, offering tailored support, </w:t>
      </w:r>
      <w:bookmarkStart w:id="41" w:name="_Int_lzB7usy2"/>
      <w:r w:rsidRPr="003C284D">
        <w:rPr>
          <w:rFonts w:ascii="Calibri" w:hAnsi="Calibri" w:cs="Times New Roman"/>
          <w:kern w:val="0"/>
          <w14:ligatures w14:val="none"/>
        </w:rPr>
        <w:t>facilitating</w:t>
      </w:r>
      <w:bookmarkEnd w:id="41"/>
      <w:r w:rsidRPr="003C284D">
        <w:rPr>
          <w:rFonts w:ascii="Calibri" w:hAnsi="Calibri" w:cs="Times New Roman"/>
          <w:kern w:val="0"/>
          <w14:ligatures w14:val="none"/>
        </w:rPr>
        <w:t xml:space="preserve"> skill-building initiatives, and mobilising </w:t>
      </w:r>
      <w:bookmarkStart w:id="42" w:name="_Int_VqlTrzkm"/>
      <w:r w:rsidRPr="003C284D">
        <w:rPr>
          <w:rFonts w:ascii="Calibri" w:hAnsi="Calibri" w:cs="Times New Roman"/>
          <w:kern w:val="0"/>
          <w14:ligatures w14:val="none"/>
        </w:rPr>
        <w:t>additional</w:t>
      </w:r>
      <w:bookmarkEnd w:id="42"/>
      <w:r w:rsidRPr="003C284D">
        <w:rPr>
          <w:rFonts w:ascii="Calibri" w:hAnsi="Calibri" w:cs="Times New Roman"/>
          <w:kern w:val="0"/>
          <w14:ligatures w14:val="none"/>
        </w:rPr>
        <w:t xml:space="preserve"> resources. Such collaborative approaches not only bridge gaps in service provision but also extend the reach and responsiveness of support services, </w:t>
      </w:r>
      <w:r w:rsidR="00BA25A3" w:rsidRPr="003C284D">
        <w:rPr>
          <w:rFonts w:ascii="Calibri" w:hAnsi="Calibri" w:cs="Times New Roman"/>
          <w:kern w:val="0"/>
          <w14:ligatures w14:val="none"/>
        </w:rPr>
        <w:t>leading</w:t>
      </w:r>
      <w:r w:rsidRPr="003C284D">
        <w:rPr>
          <w:rFonts w:ascii="Calibri" w:hAnsi="Calibri" w:cs="Times New Roman"/>
          <w:kern w:val="0"/>
          <w14:ligatures w14:val="none"/>
        </w:rPr>
        <w:t xml:space="preserve"> to more inclusive and effective care outcomes.</w:t>
      </w:r>
    </w:p>
    <w:p w14:paraId="34F71ED3" w14:textId="77777777" w:rsidR="008D2739" w:rsidRPr="00D6048F" w:rsidRDefault="008D2739" w:rsidP="00D6048F">
      <w:pPr>
        <w:pStyle w:val="p1"/>
        <w:spacing w:line="360" w:lineRule="auto"/>
        <w:rPr>
          <w:rFonts w:ascii="Calibri" w:hAnsi="Calibri"/>
          <w:color w:val="000000" w:themeColor="text1"/>
          <w:sz w:val="24"/>
          <w:szCs w:val="24"/>
        </w:rPr>
      </w:pPr>
    </w:p>
    <w:p w14:paraId="5AD7603B" w14:textId="00F44A48" w:rsidR="0060563E" w:rsidRPr="00D6048F" w:rsidRDefault="00A3267A" w:rsidP="00D6048F">
      <w:pPr>
        <w:pStyle w:val="Heading1"/>
        <w:spacing w:line="360" w:lineRule="auto"/>
        <w:rPr>
          <w:rStyle w:val="s1"/>
          <w:rFonts w:ascii="Calibri" w:hAnsi="Calibri"/>
          <w:color w:val="000000" w:themeColor="text1"/>
          <w:sz w:val="24"/>
          <w:szCs w:val="24"/>
        </w:rPr>
      </w:pPr>
      <w:r w:rsidRPr="00D6048F">
        <w:rPr>
          <w:rStyle w:val="Heading1Char"/>
          <w:rFonts w:ascii="Calibri" w:hAnsi="Calibri"/>
          <w:color w:val="000000" w:themeColor="text1"/>
          <w:sz w:val="24"/>
          <w:szCs w:val="24"/>
        </w:rPr>
        <w:t xml:space="preserve">Reference </w:t>
      </w:r>
      <w:r w:rsidRPr="00D6048F">
        <w:rPr>
          <w:rStyle w:val="s1"/>
          <w:rFonts w:ascii="Calibri" w:hAnsi="Calibri"/>
          <w:color w:val="000000" w:themeColor="text1"/>
          <w:sz w:val="24"/>
          <w:szCs w:val="24"/>
        </w:rPr>
        <w:t>List</w:t>
      </w:r>
    </w:p>
    <w:p w14:paraId="1F9BB815" w14:textId="59E063F3"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Age UK. (2023). Loneliness and isolation in later life</w:t>
      </w:r>
      <w:r w:rsidR="00BA25A3"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Available at: </w:t>
      </w:r>
      <w:hyperlink r:id="rId7" w:history="1">
        <w:r w:rsidR="005517C8" w:rsidRPr="00D6048F">
          <w:rPr>
            <w:rStyle w:val="Hyperlink"/>
            <w:rFonts w:ascii="Calibri" w:hAnsi="Calibri"/>
            <w:sz w:val="24"/>
            <w:szCs w:val="24"/>
          </w:rPr>
          <w:t>https://www.ageuk.org.uk/</w:t>
        </w:r>
      </w:hyperlink>
      <w:r w:rsidR="005517C8"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[Accessed </w:t>
      </w:r>
      <w:r w:rsidR="00305B00" w:rsidRPr="00D6048F">
        <w:rPr>
          <w:rStyle w:val="s1"/>
          <w:rFonts w:ascii="Calibri" w:hAnsi="Calibri"/>
          <w:color w:val="000000" w:themeColor="text1"/>
          <w:sz w:val="24"/>
          <w:szCs w:val="24"/>
        </w:rPr>
        <w:t xml:space="preserve">8 </w:t>
      </w:r>
      <w:r w:rsidRPr="00D6048F">
        <w:rPr>
          <w:rStyle w:val="s1"/>
          <w:rFonts w:ascii="Calibri" w:hAnsi="Calibri"/>
          <w:color w:val="000000" w:themeColor="text1"/>
          <w:sz w:val="24"/>
          <w:szCs w:val="24"/>
        </w:rPr>
        <w:t>Apr. 2025].</w:t>
      </w:r>
    </w:p>
    <w:p w14:paraId="33F1B2AE" w14:textId="77777777"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Atchley, R.C. (1989). A continuity theory of normal aging. The Gerontologist, 29(2), pp.183-190.</w:t>
      </w:r>
    </w:p>
    <w:p w14:paraId="444539C7" w14:textId="27DC4954"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Cumming, E. and Henry, W.E. (1961). Growing Old: The Process of Disengagement. New York: Basic</w:t>
      </w:r>
      <w:r w:rsidR="005517C8"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Books.</w:t>
      </w:r>
    </w:p>
    <w:p w14:paraId="2EC65D63" w14:textId="158F086C"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Department of Health and Social Care. (2014). Care Act 2014.Available at:</w:t>
      </w:r>
    </w:p>
    <w:p w14:paraId="0AF96D7E" w14:textId="6E887425"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https://www.legislation.gov.uk/ukpga/2014/23/contents/enacted [Accessed </w:t>
      </w:r>
      <w:r w:rsidR="00646FFC" w:rsidRPr="00D6048F">
        <w:rPr>
          <w:rStyle w:val="s1"/>
          <w:rFonts w:ascii="Calibri" w:hAnsi="Calibri"/>
          <w:color w:val="000000" w:themeColor="text1"/>
          <w:sz w:val="24"/>
          <w:szCs w:val="24"/>
        </w:rPr>
        <w:t>8</w:t>
      </w:r>
      <w:r w:rsidRPr="00D6048F">
        <w:rPr>
          <w:rStyle w:val="s1"/>
          <w:rFonts w:ascii="Calibri" w:hAnsi="Calibri"/>
          <w:color w:val="000000" w:themeColor="text1"/>
          <w:sz w:val="24"/>
          <w:szCs w:val="24"/>
        </w:rPr>
        <w:t xml:space="preserve"> Apr. 2025].</w:t>
      </w:r>
    </w:p>
    <w:p w14:paraId="1DEA3C0A" w14:textId="3163F5B6"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Gov.uk. (2005). Mental Capacity Act 2005.</w:t>
      </w:r>
      <w:r w:rsidR="005517C8"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Available at:</w:t>
      </w:r>
    </w:p>
    <w:p w14:paraId="3E0E0720" w14:textId="5A48C925"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https://www.legislation.gov.uk/ukpga/2005/9/contents [Accessed </w:t>
      </w:r>
      <w:r w:rsidR="00646FFC" w:rsidRPr="00D6048F">
        <w:rPr>
          <w:rStyle w:val="s1"/>
          <w:rFonts w:ascii="Calibri" w:hAnsi="Calibri"/>
          <w:color w:val="000000" w:themeColor="text1"/>
          <w:sz w:val="24"/>
          <w:szCs w:val="24"/>
        </w:rPr>
        <w:t xml:space="preserve">8 </w:t>
      </w:r>
      <w:r w:rsidRPr="00D6048F">
        <w:rPr>
          <w:rStyle w:val="s1"/>
          <w:rFonts w:ascii="Calibri" w:hAnsi="Calibri"/>
          <w:color w:val="000000" w:themeColor="text1"/>
          <w:sz w:val="24"/>
          <w:szCs w:val="24"/>
        </w:rPr>
        <w:t>Apr. 2025].</w:t>
      </w:r>
    </w:p>
    <w:p w14:paraId="5D7BC828" w14:textId="642B2C48"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lastRenderedPageBreak/>
        <w:t>Gov.uk. (2010). Equality Act 2010.Available at:</w:t>
      </w:r>
      <w:r w:rsidR="005517C8"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https://www.legislation.gov.uk/ukpga/2010/15/contents [Accessed </w:t>
      </w:r>
      <w:r w:rsidR="00646FFC" w:rsidRPr="00D6048F">
        <w:rPr>
          <w:rStyle w:val="s1"/>
          <w:rFonts w:ascii="Calibri" w:hAnsi="Calibri"/>
          <w:color w:val="000000" w:themeColor="text1"/>
          <w:sz w:val="24"/>
          <w:szCs w:val="24"/>
        </w:rPr>
        <w:t>8</w:t>
      </w:r>
      <w:r w:rsidRPr="00D6048F">
        <w:rPr>
          <w:rStyle w:val="s1"/>
          <w:rFonts w:ascii="Calibri" w:hAnsi="Calibri"/>
          <w:color w:val="000000" w:themeColor="text1"/>
          <w:sz w:val="24"/>
          <w:szCs w:val="24"/>
        </w:rPr>
        <w:t xml:space="preserve"> Apr. 2025].</w:t>
      </w:r>
    </w:p>
    <w:p w14:paraId="421FDD0A" w14:textId="65872638"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Gov.uk. (1998). Human Rights Act 1998</w:t>
      </w:r>
      <w:r w:rsidR="00BA25A3"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Available at:</w:t>
      </w:r>
      <w:r w:rsidR="006B097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https://www.legislation.gov.uk/ukpga/1998/42/contents [Accessed </w:t>
      </w:r>
      <w:r w:rsidR="00646FFC" w:rsidRPr="00D6048F">
        <w:rPr>
          <w:rStyle w:val="s1"/>
          <w:rFonts w:ascii="Calibri" w:hAnsi="Calibri"/>
          <w:color w:val="000000" w:themeColor="text1"/>
          <w:sz w:val="24"/>
          <w:szCs w:val="24"/>
        </w:rPr>
        <w:t xml:space="preserve">8 </w:t>
      </w:r>
      <w:r w:rsidRPr="00D6048F">
        <w:rPr>
          <w:rStyle w:val="s1"/>
          <w:rFonts w:ascii="Calibri" w:hAnsi="Calibri"/>
          <w:color w:val="000000" w:themeColor="text1"/>
          <w:sz w:val="24"/>
          <w:szCs w:val="24"/>
        </w:rPr>
        <w:t>Apr. 2025].</w:t>
      </w:r>
    </w:p>
    <w:p w14:paraId="5B6FA8EA" w14:textId="77777777"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Havighurst, R.J. (1961). Successful Aging. The Gerontologist, 1(1), pp.8-13.</w:t>
      </w:r>
    </w:p>
    <w:p w14:paraId="65B00281" w14:textId="77777777"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Maslow, A.H. (1943). A Theory of Human Motivation. Psychological Review, 50(4), pp.370-396.</w:t>
      </w:r>
    </w:p>
    <w:p w14:paraId="07A7E168" w14:textId="76883AED"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NHS England. (2019). The NHS Long Term Plan</w:t>
      </w:r>
      <w:r w:rsidR="00BA25A3"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Available at: </w:t>
      </w:r>
      <w:hyperlink r:id="rId8" w:history="1">
        <w:r w:rsidR="006B0970" w:rsidRPr="00D6048F">
          <w:rPr>
            <w:rStyle w:val="Hyperlink"/>
            <w:rFonts w:ascii="Calibri" w:hAnsi="Calibri"/>
            <w:sz w:val="24"/>
            <w:szCs w:val="24"/>
          </w:rPr>
          <w:t>https://www.longtermplan.nhs.uk</w:t>
        </w:r>
      </w:hyperlink>
      <w:r w:rsidR="006B097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789EB4FA" w14:textId="0CA6C0DB"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Office for National Statistics (ONS). (2021). Overview of the UK population: January 2021. at: https://www.ons.gov.uk [Accessed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0549AF9E" w14:textId="155D8AF8"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Re-engage. (2023). Ending loneliness for older people.</w:t>
      </w:r>
      <w:r w:rsidR="006B0970"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Available at</w:t>
      </w:r>
      <w:r w:rsidR="006B0970" w:rsidRPr="00D6048F">
        <w:rPr>
          <w:rStyle w:val="s1"/>
          <w:rFonts w:ascii="Calibri" w:hAnsi="Calibri"/>
          <w:color w:val="000000" w:themeColor="text1"/>
          <w:sz w:val="24"/>
          <w:szCs w:val="24"/>
        </w:rPr>
        <w:t xml:space="preserve"> </w:t>
      </w:r>
      <w:hyperlink r:id="rId9" w:history="1">
        <w:r w:rsidR="006B0970" w:rsidRPr="00D6048F">
          <w:rPr>
            <w:rStyle w:val="Hyperlink"/>
            <w:rFonts w:ascii="Calibri" w:hAnsi="Calibri"/>
            <w:sz w:val="24"/>
            <w:szCs w:val="24"/>
          </w:rPr>
          <w:t>https://www.reengage.org.uk</w:t>
        </w:r>
      </w:hyperlink>
      <w:r w:rsidR="006B097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76E3064E" w14:textId="437A7EC5"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Alzheimer's Society. (2023). Dementia support and services.</w:t>
      </w:r>
      <w:r w:rsidR="006B0970"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Available at:</w:t>
      </w:r>
    </w:p>
    <w:p w14:paraId="7E75CA3B" w14:textId="6EFC7B6C" w:rsidR="00A3267A" w:rsidRPr="00D6048F" w:rsidRDefault="00A3267A" w:rsidP="00D6048F">
      <w:pPr>
        <w:pStyle w:val="p1"/>
        <w:spacing w:line="360" w:lineRule="auto"/>
        <w:ind w:left="720"/>
        <w:rPr>
          <w:rFonts w:ascii="Calibri" w:hAnsi="Calibri"/>
          <w:color w:val="000000" w:themeColor="text1"/>
          <w:sz w:val="24"/>
          <w:szCs w:val="24"/>
        </w:rPr>
      </w:pPr>
      <w:r w:rsidRPr="00D6048F">
        <w:rPr>
          <w:rStyle w:val="s1"/>
          <w:rFonts w:ascii="Calibri" w:hAnsi="Calibri"/>
          <w:color w:val="000000" w:themeColor="text1"/>
          <w:sz w:val="24"/>
          <w:szCs w:val="24"/>
        </w:rPr>
        <w:t xml:space="preserve">https://www.alzheimers.org.uk [Accessed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241810EF" w14:textId="153BB5B8"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British Geriatrics Society. (2022). Comprehensive Geriatric Assessment. Available at:</w:t>
      </w:r>
      <w:r w:rsidR="006B097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https://www.bgs.org.uk [Accessed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3B5AF041" w14:textId="16B4AEE9"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Care Quality Commission (CQC). (2023). The state of health care and adult social care in England. Available at: https://www.cqc.org.uk [Accessed </w:t>
      </w:r>
      <w:r w:rsidR="00646FFC"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1B81513C" w14:textId="1706F185"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Local Government Association (LGA). (2021). The future of adult social care</w:t>
      </w:r>
      <w:r w:rsidR="00BA25A3"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Available at:</w:t>
      </w:r>
      <w:r w:rsidR="006B0970"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https://www.local.gov.uk [Accessed </w:t>
      </w:r>
      <w:r w:rsidR="00646FFC" w:rsidRPr="00D6048F">
        <w:rPr>
          <w:rStyle w:val="s1"/>
          <w:rFonts w:ascii="Calibri" w:hAnsi="Calibri"/>
          <w:color w:val="000000" w:themeColor="text1"/>
          <w:sz w:val="24"/>
          <w:szCs w:val="24"/>
        </w:rPr>
        <w:t>9</w:t>
      </w:r>
      <w:r w:rsidRPr="00D6048F">
        <w:rPr>
          <w:rStyle w:val="s1"/>
          <w:rFonts w:ascii="Calibri" w:hAnsi="Calibri"/>
          <w:color w:val="000000" w:themeColor="text1"/>
          <w:sz w:val="24"/>
          <w:szCs w:val="24"/>
        </w:rPr>
        <w:t xml:space="preserve"> Apr. 2025].</w:t>
      </w:r>
    </w:p>
    <w:p w14:paraId="2EA7A628" w14:textId="50ED17AF"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Mind. (2023). Older people and mental health</w:t>
      </w:r>
      <w:r w:rsidR="00BA25A3" w:rsidRPr="00D6048F">
        <w:rPr>
          <w:rStyle w:val="s1"/>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Available at: https://www.mind.org.uk [Accessed </w:t>
      </w:r>
      <w:r w:rsidR="00646FFC" w:rsidRPr="00D6048F">
        <w:rPr>
          <w:rStyle w:val="s1"/>
          <w:rFonts w:ascii="Calibri" w:hAnsi="Calibri"/>
          <w:color w:val="000000" w:themeColor="text1"/>
          <w:sz w:val="24"/>
          <w:szCs w:val="24"/>
        </w:rPr>
        <w:t>9</w:t>
      </w:r>
      <w:r w:rsidR="00646FFC"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Apr. 2025].</w:t>
      </w:r>
    </w:p>
    <w:p w14:paraId="7E2A3C91" w14:textId="6D563876"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National Institute for Health and Care Excellence (NICE). (2018). Dementia: assessment, </w:t>
      </w:r>
      <w:r w:rsidR="00BA25A3" w:rsidRPr="00D6048F">
        <w:rPr>
          <w:rStyle w:val="s1"/>
          <w:rFonts w:ascii="Calibri" w:hAnsi="Calibri"/>
          <w:color w:val="000000" w:themeColor="text1"/>
          <w:sz w:val="24"/>
          <w:szCs w:val="24"/>
        </w:rPr>
        <w:t>management,</w:t>
      </w:r>
      <w:r w:rsidRPr="00D6048F">
        <w:rPr>
          <w:rStyle w:val="s1"/>
          <w:rFonts w:ascii="Calibri" w:hAnsi="Calibri"/>
          <w:color w:val="000000" w:themeColor="text1"/>
          <w:sz w:val="24"/>
          <w:szCs w:val="24"/>
        </w:rPr>
        <w:t xml:space="preserve"> and</w:t>
      </w:r>
      <w:r w:rsidR="009249F1"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support. NG97. Available at: https://www.nice.org.uk/guidance/ng97 [Accessed </w:t>
      </w:r>
      <w:r w:rsidR="009249F1"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356292DE" w14:textId="2DB2958A"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xml:space="preserve">Nuffield Trust. (2020). The social care workforce: An </w:t>
      </w:r>
      <w:r w:rsidR="00E44DE5" w:rsidRPr="00D6048F">
        <w:rPr>
          <w:rStyle w:val="s1"/>
          <w:rFonts w:ascii="Calibri" w:hAnsi="Calibri"/>
          <w:color w:val="000000" w:themeColor="text1"/>
          <w:sz w:val="24"/>
          <w:szCs w:val="24"/>
        </w:rPr>
        <w:t>overview. Available</w:t>
      </w:r>
      <w:r w:rsidRPr="00D6048F">
        <w:rPr>
          <w:rStyle w:val="s1"/>
          <w:rFonts w:ascii="Calibri" w:hAnsi="Calibri"/>
          <w:color w:val="000000" w:themeColor="text1"/>
          <w:sz w:val="24"/>
          <w:szCs w:val="24"/>
        </w:rPr>
        <w:t xml:space="preserve"> at:</w:t>
      </w:r>
    </w:p>
    <w:p w14:paraId="774ED04D" w14:textId="764B858F" w:rsidR="009A7CAC" w:rsidRPr="00D6048F" w:rsidRDefault="00A3267A" w:rsidP="00D6048F">
      <w:pPr>
        <w:pStyle w:val="p1"/>
        <w:spacing w:line="360" w:lineRule="auto"/>
        <w:ind w:left="720"/>
        <w:rPr>
          <w:rStyle w:val="s1"/>
          <w:rFonts w:ascii="Calibri" w:hAnsi="Calibri"/>
          <w:color w:val="000000" w:themeColor="text1"/>
          <w:sz w:val="24"/>
          <w:szCs w:val="24"/>
        </w:rPr>
      </w:pPr>
      <w:r w:rsidRPr="00D6048F">
        <w:rPr>
          <w:rStyle w:val="s1"/>
          <w:rFonts w:ascii="Calibri" w:hAnsi="Calibri"/>
          <w:color w:val="000000" w:themeColor="text1"/>
          <w:sz w:val="24"/>
          <w:szCs w:val="24"/>
        </w:rPr>
        <w:t xml:space="preserve">https://www.nuffieldtrust.org.uk [Accessed </w:t>
      </w:r>
      <w:r w:rsidR="009249F1"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p>
    <w:p w14:paraId="70A89EE8" w14:textId="32FE48B6" w:rsidR="00A3267A" w:rsidRPr="00D6048F" w:rsidRDefault="00E44DE5"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 Public</w:t>
      </w:r>
      <w:r w:rsidR="00A3267A" w:rsidRPr="00D6048F">
        <w:rPr>
          <w:rStyle w:val="s1"/>
          <w:rFonts w:ascii="Calibri" w:hAnsi="Calibri"/>
          <w:color w:val="000000" w:themeColor="text1"/>
          <w:sz w:val="24"/>
          <w:szCs w:val="24"/>
        </w:rPr>
        <w:t xml:space="preserve"> Health England. (2021). Health inequalities in older people. Available at:</w:t>
      </w:r>
      <w:r w:rsidR="009249F1" w:rsidRPr="00D6048F">
        <w:rPr>
          <w:rFonts w:ascii="Calibri" w:hAnsi="Calibri"/>
          <w:color w:val="000000" w:themeColor="text1"/>
          <w:sz w:val="24"/>
          <w:szCs w:val="24"/>
        </w:rPr>
        <w:t xml:space="preserve"> </w:t>
      </w:r>
      <w:r w:rsidR="00A3267A" w:rsidRPr="00D6048F">
        <w:rPr>
          <w:rStyle w:val="s1"/>
          <w:rFonts w:ascii="Calibri" w:hAnsi="Calibri"/>
          <w:color w:val="000000" w:themeColor="text1"/>
          <w:sz w:val="24"/>
          <w:szCs w:val="24"/>
        </w:rPr>
        <w:t xml:space="preserve">https://www.gov.uk/government/publications [Accessed </w:t>
      </w:r>
      <w:r w:rsidR="009249F1" w:rsidRPr="00D6048F">
        <w:rPr>
          <w:rStyle w:val="s1"/>
          <w:rFonts w:ascii="Calibri" w:hAnsi="Calibri"/>
          <w:color w:val="000000" w:themeColor="text1"/>
          <w:sz w:val="24"/>
          <w:szCs w:val="24"/>
        </w:rPr>
        <w:t xml:space="preserve">9 </w:t>
      </w:r>
      <w:r w:rsidR="00A3267A" w:rsidRPr="00D6048F">
        <w:rPr>
          <w:rStyle w:val="s1"/>
          <w:rFonts w:ascii="Calibri" w:hAnsi="Calibri"/>
          <w:color w:val="000000" w:themeColor="text1"/>
          <w:sz w:val="24"/>
          <w:szCs w:val="24"/>
        </w:rPr>
        <w:t>Apr. 2025].</w:t>
      </w:r>
    </w:p>
    <w:p w14:paraId="667BDEB4" w14:textId="2CB45AEB" w:rsidR="00A3267A"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t>Social Care Institute for Excellence (SCIE). (2022). Person-centred care. Available at:</w:t>
      </w:r>
      <w:r w:rsidR="009249F1"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https://www.scie.org.uk/person-centred-care [Accessed </w:t>
      </w:r>
      <w:r w:rsidR="009249F1" w:rsidRPr="00D6048F">
        <w:rPr>
          <w:rStyle w:val="s1"/>
          <w:rFonts w:ascii="Calibri" w:hAnsi="Calibri"/>
          <w:color w:val="000000" w:themeColor="text1"/>
          <w:sz w:val="24"/>
          <w:szCs w:val="24"/>
        </w:rPr>
        <w:t>9</w:t>
      </w:r>
      <w:r w:rsidRPr="00D6048F">
        <w:rPr>
          <w:rStyle w:val="s1"/>
          <w:rFonts w:ascii="Calibri" w:hAnsi="Calibri"/>
          <w:color w:val="000000" w:themeColor="text1"/>
          <w:sz w:val="24"/>
          <w:szCs w:val="24"/>
        </w:rPr>
        <w:t xml:space="preserve"> Apr. 2025].</w:t>
      </w:r>
    </w:p>
    <w:p w14:paraId="79F35A29" w14:textId="42027B37" w:rsidR="008D2739" w:rsidRPr="00D6048F" w:rsidRDefault="00A3267A" w:rsidP="00D6048F">
      <w:pPr>
        <w:pStyle w:val="p1"/>
        <w:numPr>
          <w:ilvl w:val="0"/>
          <w:numId w:val="1"/>
        </w:numPr>
        <w:spacing w:line="360" w:lineRule="auto"/>
        <w:rPr>
          <w:rFonts w:ascii="Calibri" w:hAnsi="Calibri"/>
          <w:color w:val="000000" w:themeColor="text1"/>
          <w:sz w:val="24"/>
          <w:szCs w:val="24"/>
        </w:rPr>
      </w:pPr>
      <w:r w:rsidRPr="00D6048F">
        <w:rPr>
          <w:rStyle w:val="s1"/>
          <w:rFonts w:ascii="Calibri" w:hAnsi="Calibri"/>
          <w:color w:val="000000" w:themeColor="text1"/>
          <w:sz w:val="24"/>
          <w:szCs w:val="24"/>
        </w:rPr>
        <w:lastRenderedPageBreak/>
        <w:t xml:space="preserve">World Health </w:t>
      </w:r>
      <w:r w:rsidR="00245057" w:rsidRPr="00D6048F">
        <w:rPr>
          <w:rStyle w:val="s1"/>
          <w:rFonts w:ascii="Calibri" w:hAnsi="Calibri"/>
          <w:color w:val="000000" w:themeColor="text1"/>
          <w:sz w:val="24"/>
          <w:szCs w:val="24"/>
        </w:rPr>
        <w:t>Organisation</w:t>
      </w:r>
      <w:r w:rsidRPr="00D6048F">
        <w:rPr>
          <w:rStyle w:val="s1"/>
          <w:rFonts w:ascii="Calibri" w:hAnsi="Calibri"/>
          <w:color w:val="000000" w:themeColor="text1"/>
          <w:sz w:val="24"/>
          <w:szCs w:val="24"/>
        </w:rPr>
        <w:t xml:space="preserve"> (WHO). (2020). Decade of Healthy Ageing 2020-2030. Available at:</w:t>
      </w:r>
      <w:r w:rsidR="009249F1" w:rsidRPr="00D6048F">
        <w:rPr>
          <w:rFonts w:ascii="Calibri" w:hAnsi="Calibri"/>
          <w:color w:val="000000" w:themeColor="text1"/>
          <w:sz w:val="24"/>
          <w:szCs w:val="24"/>
        </w:rPr>
        <w:t xml:space="preserve"> </w:t>
      </w:r>
      <w:r w:rsidRPr="00D6048F">
        <w:rPr>
          <w:rStyle w:val="s1"/>
          <w:rFonts w:ascii="Calibri" w:hAnsi="Calibri"/>
          <w:color w:val="000000" w:themeColor="text1"/>
          <w:sz w:val="24"/>
          <w:szCs w:val="24"/>
        </w:rPr>
        <w:t xml:space="preserve">https://www.who.int [Accessed </w:t>
      </w:r>
      <w:r w:rsidR="009249F1" w:rsidRPr="00D6048F">
        <w:rPr>
          <w:rStyle w:val="s1"/>
          <w:rFonts w:ascii="Calibri" w:hAnsi="Calibri"/>
          <w:color w:val="000000" w:themeColor="text1"/>
          <w:sz w:val="24"/>
          <w:szCs w:val="24"/>
        </w:rPr>
        <w:t xml:space="preserve">9 </w:t>
      </w:r>
      <w:r w:rsidRPr="00D6048F">
        <w:rPr>
          <w:rStyle w:val="s1"/>
          <w:rFonts w:ascii="Calibri" w:hAnsi="Calibri"/>
          <w:color w:val="000000" w:themeColor="text1"/>
          <w:sz w:val="24"/>
          <w:szCs w:val="24"/>
        </w:rPr>
        <w:t>Apr. 2025</w:t>
      </w:r>
      <w:r w:rsidR="001A7A28" w:rsidRPr="00D6048F">
        <w:rPr>
          <w:rStyle w:val="s1"/>
          <w:rFonts w:ascii="Calibri" w:hAnsi="Calibri"/>
          <w:color w:val="000000" w:themeColor="text1"/>
          <w:sz w:val="24"/>
          <w:szCs w:val="24"/>
        </w:rPr>
        <w:t>]</w:t>
      </w:r>
    </w:p>
    <w:sectPr w:rsidR="008D2739" w:rsidRPr="00D6048F">
      <w:footerReference w:type="even"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3BD810" w14:textId="77777777" w:rsidR="001A7F77" w:rsidRDefault="001A7F77" w:rsidP="001A7F77">
      <w:pPr>
        <w:spacing w:after="0" w:line="240" w:lineRule="auto"/>
      </w:pPr>
      <w:r>
        <w:separator/>
      </w:r>
    </w:p>
  </w:endnote>
  <w:endnote w:type="continuationSeparator" w:id="0">
    <w:p w14:paraId="09EDA7F3" w14:textId="77777777" w:rsidR="001A7F77" w:rsidRDefault="001A7F77" w:rsidP="001A7F77">
      <w:pPr>
        <w:spacing w:after="0" w:line="240" w:lineRule="auto"/>
      </w:pPr>
      <w:r>
        <w:continuationSeparator/>
      </w:r>
    </w:p>
  </w:endnote>
  <w:endnote w:type="continuationNotice" w:id="1">
    <w:p w14:paraId="026A5285" w14:textId="77777777" w:rsidR="000C2B84" w:rsidRDefault="000C2B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Helvetica">
    <w:panose1 w:val="00000000000000000000"/>
    <w:charset w:val="00"/>
    <w:family w:val="auto"/>
    <w:pitch w:val="variable"/>
    <w:sig w:usb0="E00002FF" w:usb1="5000785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67814771"/>
      <w:docPartObj>
        <w:docPartGallery w:val="Page Numbers (Bottom of Page)"/>
        <w:docPartUnique/>
      </w:docPartObj>
    </w:sdtPr>
    <w:sdtEndPr>
      <w:rPr>
        <w:rStyle w:val="PageNumber"/>
      </w:rPr>
    </w:sdtEndPr>
    <w:sdtContent>
      <w:p w14:paraId="15ACA3E5" w14:textId="0B798383" w:rsidR="00DE539D" w:rsidRDefault="00DE539D" w:rsidP="003B15F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0151F84" w14:textId="77777777" w:rsidR="00DE539D" w:rsidRDefault="00DE53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03634853"/>
      <w:docPartObj>
        <w:docPartGallery w:val="Page Numbers (Bottom of Page)"/>
        <w:docPartUnique/>
      </w:docPartObj>
    </w:sdtPr>
    <w:sdtEndPr>
      <w:rPr>
        <w:rStyle w:val="PageNumber"/>
      </w:rPr>
    </w:sdtEndPr>
    <w:sdtContent>
      <w:p w14:paraId="063C2C2A" w14:textId="5B25F33C" w:rsidR="00DE539D" w:rsidRDefault="00DE539D" w:rsidP="003B15FA">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05F8240" w14:textId="77777777" w:rsidR="00DE539D" w:rsidRDefault="00DE53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106F73" w14:textId="77777777" w:rsidR="001A7F77" w:rsidRDefault="001A7F77" w:rsidP="001A7F77">
      <w:pPr>
        <w:spacing w:after="0" w:line="240" w:lineRule="auto"/>
      </w:pPr>
      <w:r>
        <w:separator/>
      </w:r>
    </w:p>
  </w:footnote>
  <w:footnote w:type="continuationSeparator" w:id="0">
    <w:p w14:paraId="41A76C37" w14:textId="77777777" w:rsidR="001A7F77" w:rsidRDefault="001A7F77" w:rsidP="001A7F77">
      <w:pPr>
        <w:spacing w:after="0" w:line="240" w:lineRule="auto"/>
      </w:pPr>
      <w:r>
        <w:continuationSeparator/>
      </w:r>
    </w:p>
  </w:footnote>
  <w:footnote w:type="continuationNotice" w:id="1">
    <w:p w14:paraId="15122896" w14:textId="77777777" w:rsidR="000C2B84" w:rsidRDefault="000C2B84">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7gfcGjsm" int2:invalidationBookmarkName="" int2:hashCode="HjziFmPIXUgUkA" int2:id="6ha56dka">
      <int2:state int2:value="Rejected" int2:type="style"/>
    </int2:bookmark>
    <int2:bookmark int2:bookmarkName="_Int_6Gb6QXRa" int2:invalidationBookmarkName="" int2:hashCode="VM8FcnRWvSq83H" int2:id="InNfsn2s">
      <int2:state int2:value="Rejected" int2:type="style"/>
    </int2:bookmark>
    <int2:bookmark int2:bookmarkName="_Int_kOiDmsky" int2:invalidationBookmarkName="" int2:hashCode="BP722YIMEjO0Sh" int2:id="Jqm7P47b">
      <int2:state int2:value="Rejected" int2:type="style"/>
    </int2:bookmark>
    <int2:bookmark int2:bookmarkName="_Int_x3SSU4TY" int2:invalidationBookmarkName="" int2:hashCode="dkmkRuVDysnpuX" int2:id="Q8kSEclM">
      <int2:state int2:value="Rejected" int2:type="style"/>
    </int2:bookmark>
    <int2:bookmark int2:bookmarkName="_Int_HENunmcK" int2:invalidationBookmarkName="" int2:hashCode="4bg4dPoZm2pTqD" int2:id="hqedIrO2">
      <int2:state int2:value="Rejected" int2:type="style"/>
    </int2:bookmark>
    <int2:bookmark int2:bookmarkName="_Int_cLeIoT4E" int2:invalidationBookmarkName="" int2:hashCode="6xX40Nbu8SUY24" int2:id="IHUNo0Pj">
      <int2:state int2:value="Rejected" int2:type="style"/>
    </int2:bookmark>
    <int2:bookmark int2:bookmarkName="_Int_8JbkBAc0" int2:invalidationBookmarkName="" int2:hashCode="sf514DK+A+yWIa" int2:id="odHzuGkM">
      <int2:state int2:value="Rejected" int2:type="style"/>
    </int2:bookmark>
    <int2:bookmark int2:bookmarkName="_Int_tV4zwlHz" int2:invalidationBookmarkName="" int2:hashCode="KH/R9eYBhxaRyz" int2:id="oZgJFdlx">
      <int2:state int2:value="Rejected" int2:type="style"/>
    </int2:bookmark>
    <int2:bookmark int2:bookmarkName="_Int_i2Qlw2GZ" int2:invalidationBookmarkName="" int2:hashCode="fmqXxWQsmD6pjn" int2:id="a4XXIYhn">
      <int2:state int2:value="Rejected" int2:type="style"/>
    </int2:bookmark>
    <int2:bookmark int2:bookmarkName="_Int_GcMnxoky" int2:invalidationBookmarkName="" int2:hashCode="dkmkRuVDysnpuX" int2:id="Yy6P4mXp">
      <int2:state int2:value="Rejected" int2:type="style"/>
    </int2:bookmark>
    <int2:bookmark int2:bookmarkName="_Int_KtGPpNDA" int2:invalidationBookmarkName="" int2:hashCode="ETcqwDerIDI6p8" int2:id="Fw3LV1D9">
      <int2:state int2:value="Rejected" int2:type="style"/>
    </int2:bookmark>
    <int2:bookmark int2:bookmarkName="_Int_aIZe168j" int2:invalidationBookmarkName="" int2:hashCode="Hr4KYq11Q+xH0Z" int2:id="Q0rVe4rL">
      <int2:state int2:value="Rejected" int2:type="style"/>
    </int2:bookmark>
    <int2:bookmark int2:bookmarkName="_Int_yRJBO6l3" int2:invalidationBookmarkName="" int2:hashCode="xhKzW50/O76H3Z" int2:id="O1aNqn2N">
      <int2:state int2:value="Rejected" int2:type="style"/>
    </int2:bookmark>
    <int2:bookmark int2:bookmarkName="_Int_tnEVAi92" int2:invalidationBookmarkName="" int2:hashCode="8pD9mhRfnlRI6v" int2:id="k8REspxo">
      <int2:state int2:value="Rejected" int2:type="style"/>
    </int2:bookmark>
    <int2:bookmark int2:bookmarkName="_Int_mOMXUjWh" int2:invalidationBookmarkName="" int2:hashCode="20lmumeNxO0dfa" int2:id="JQDb8e01">
      <int2:state int2:value="Rejected" int2:type="style"/>
    </int2:bookmark>
    <int2:bookmark int2:bookmarkName="_Int_VwdQzMt2" int2:invalidationBookmarkName="" int2:hashCode="1iP/dz7ohP3WhU" int2:id="tJqX7AW8">
      <int2:state int2:value="Rejected" int2:type="style"/>
    </int2:bookmark>
    <int2:bookmark int2:bookmarkName="_Int_5kSUZdyF" int2:invalidationBookmarkName="" int2:hashCode="GZb8SAp2PZ1Wiz" int2:id="G2OIYifZ">
      <int2:state int2:value="Rejected" int2:type="style"/>
    </int2:bookmark>
    <int2:bookmark int2:bookmarkName="_Int_g50XEOjM" int2:invalidationBookmarkName="" int2:hashCode="6xX40Nbu8SUY24" int2:id="2sDbzK4y">
      <int2:state int2:value="Rejected" int2:type="style"/>
    </int2:bookmark>
    <int2:bookmark int2:bookmarkName="_Int_wz2ggRAN" int2:invalidationBookmarkName="" int2:hashCode="lmUxPYJeK+dhwS" int2:id="vCbm4qti">
      <int2:state int2:value="Rejected" int2:type="style"/>
    </int2:bookmark>
    <int2:bookmark int2:bookmarkName="_Int_PJgZTkw6" int2:invalidationBookmarkName="" int2:hashCode="fLH1bT++CegJJE" int2:id="6xDKyQbm">
      <int2:state int2:value="Rejected" int2:type="style"/>
    </int2:bookmark>
    <int2:bookmark int2:bookmarkName="_Int_bDThBytv" int2:invalidationBookmarkName="" int2:hashCode="VzWlPJsi4HLGbj" int2:id="ZJBa0itP">
      <int2:state int2:value="Rejected" int2:type="style"/>
    </int2:bookmark>
    <int2:bookmark int2:bookmarkName="_Int_UrSfA7sk" int2:invalidationBookmarkName="" int2:hashCode="xhKzW50/O76H3Z" int2:id="ccWohZWS">
      <int2:state int2:value="Rejected" int2:type="style"/>
    </int2:bookmark>
    <int2:bookmark int2:bookmarkName="_Int_GFZppR3h" int2:invalidationBookmarkName="" int2:hashCode="1kJt1joOTbIwuD" int2:id="W0nZw9X3">
      <int2:state int2:value="Rejected" int2:type="style"/>
    </int2:bookmark>
    <int2:bookmark int2:bookmarkName="_Int_6Ry4PHCj" int2:invalidationBookmarkName="" int2:hashCode="e3+TZqNgMaC5Vf" int2:id="6m2m1VgY">
      <int2:state int2:value="Rejected" int2:type="style"/>
    </int2:bookmark>
    <int2:bookmark int2:bookmarkName="_Int_OiIwydXv" int2:invalidationBookmarkName="" int2:hashCode="3jTzpO8GtzIGRu" int2:id="J24sTVpC">
      <int2:state int2:value="Rejected" int2:type="style"/>
    </int2:bookmark>
    <int2:bookmark int2:bookmarkName="_Int_9IN4OdBk" int2:invalidationBookmarkName="" int2:hashCode="3Q4yC7V24CHo5R" int2:id="Qz9kYOAO">
      <int2:state int2:value="Rejected" int2:type="style"/>
    </int2:bookmark>
    <int2:bookmark int2:bookmarkName="_Int_Kfaz6IHa" int2:invalidationBookmarkName="" int2:hashCode="051uur3qTsy1Ie" int2:id="muKtFFhH">
      <int2:state int2:value="Rejected" int2:type="style"/>
    </int2:bookmark>
    <int2:bookmark int2:bookmarkName="_Int_XDs2uTpm" int2:invalidationBookmarkName="" int2:hashCode="SradH0SdDJdch8" int2:id="iVFCnowx">
      <int2:state int2:value="Rejected" int2:type="style"/>
    </int2:bookmark>
    <int2:bookmark int2:bookmarkName="_Int_LMgFVt1k" int2:invalidationBookmarkName="" int2:hashCode="051uur3qTsy1Ie" int2:id="SPKpSYwR">
      <int2:state int2:value="Rejected" int2:type="style"/>
    </int2:bookmark>
    <int2:bookmark int2:bookmarkName="_Int_63SANLwO" int2:invalidationBookmarkName="" int2:hashCode="RqhmcRGM7U3nVn" int2:id="M0sm3lt5">
      <int2:state int2:value="Rejected" int2:type="style"/>
    </int2:bookmark>
    <int2:bookmark int2:bookmarkName="_Int_NJpcEx5X" int2:invalidationBookmarkName="" int2:hashCode="43K/JlIt1QZTyM" int2:id="N78os6su">
      <int2:state int2:value="Rejected" int2:type="style"/>
    </int2:bookmark>
    <int2:bookmark int2:bookmarkName="_Int_hokEVX4W" int2:invalidationBookmarkName="" int2:hashCode="AhdOsYPi4Uebg/" int2:id="VMW2BOBy">
      <int2:state int2:value="Rejected" int2:type="style"/>
    </int2:bookmark>
    <int2:bookmark int2:bookmarkName="_Int_GgwXcb8P" int2:invalidationBookmarkName="" int2:hashCode="00lrrL/M8p7RXo" int2:id="t57kqQ0W">
      <int2:state int2:value="Rejected" int2:type="style"/>
    </int2:bookmark>
    <int2:bookmark int2:bookmarkName="_Int_9kTMq5to" int2:invalidationBookmarkName="" int2:hashCode="6xX40Nbu8SUY24" int2:id="bvlNLXX9">
      <int2:state int2:value="Rejected" int2:type="style"/>
    </int2:bookmark>
    <int2:bookmark int2:bookmarkName="_Int_Wn1fMFsX" int2:invalidationBookmarkName="" int2:hashCode="kgHnZd9AyrC3Zr" int2:id="5ohFZndG">
      <int2:state int2:value="Rejected" int2:type="style"/>
    </int2:bookmark>
    <int2:bookmark int2:bookmarkName="_Int_FM5Vimmf" int2:invalidationBookmarkName="" int2:hashCode="J7CxdGo4hvPyDF" int2:id="POihslO6">
      <int2:state int2:value="Rejected" int2:type="style"/>
    </int2:bookmark>
    <int2:bookmark int2:bookmarkName="_Int_9O7Dg3U1" int2:invalidationBookmarkName="" int2:hashCode="Uuriuf83ZzsOR5" int2:id="sbFUDuDa">
      <int2:state int2:value="Rejected" int2:type="style"/>
    </int2:bookmark>
    <int2:bookmark int2:bookmarkName="_Int_HgVaIZFr" int2:invalidationBookmarkName="" int2:hashCode="uNva1dwiKWUfDG" int2:id="pNjAfABa">
      <int2:state int2:value="Rejected" int2:type="style"/>
    </int2:bookmark>
    <int2:bookmark int2:bookmarkName="_Int_0sqTibjU" int2:invalidationBookmarkName="" int2:hashCode="nooB8ljuYJMKIn" int2:id="1NS5IZQy">
      <int2:state int2:value="Rejected" int2:type="style"/>
    </int2:bookmark>
    <int2:bookmark int2:bookmarkName="_Int_V1z4aiek" int2:invalidationBookmarkName="" int2:hashCode="frYFDQUgrITknG" int2:id="NYjpLdFv">
      <int2:state int2:value="Rejected" int2:type="style"/>
    </int2:bookmark>
    <int2:bookmark int2:bookmarkName="_Int_Y1N7Cmhi" int2:invalidationBookmarkName="" int2:hashCode="2tnVu19RozVa1b" int2:id="s66cJY3J">
      <int2:state int2:value="Rejected" int2:type="style"/>
    </int2:bookmark>
    <int2:bookmark int2:bookmarkName="_Int_lzB7usy2" int2:invalidationBookmarkName="" int2:hashCode="GZb8SAp2PZ1Wiz" int2:id="71q7iHJe">
      <int2:state int2:value="Rejected" int2:type="style"/>
    </int2:bookmark>
    <int2:bookmark int2:bookmarkName="_Int_VqlTrzkm" int2:invalidationBookmarkName="" int2:hashCode="IEEkdmk2qlIoq+" int2:id="yjNQdSb5">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355665"/>
    <w:multiLevelType w:val="hybridMultilevel"/>
    <w:tmpl w:val="6284DCF4"/>
    <w:lvl w:ilvl="0" w:tplc="0C8CBFF8">
      <w:start w:val="1"/>
      <w:numFmt w:val="decimal"/>
      <w:lvlText w:val="%1."/>
      <w:lvlJc w:val="left"/>
      <w:pPr>
        <w:ind w:left="720" w:hanging="360"/>
      </w:pPr>
      <w:rPr>
        <w:rFonts w:ascii="Helvetica" w:eastAsiaTheme="minorEastAsia" w:hAnsi="Helvetic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B0167D3"/>
    <w:multiLevelType w:val="hybridMultilevel"/>
    <w:tmpl w:val="CB368F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D9115F"/>
    <w:multiLevelType w:val="hybridMultilevel"/>
    <w:tmpl w:val="2F60C848"/>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66961182">
    <w:abstractNumId w:val="1"/>
  </w:num>
  <w:num w:numId="2" w16cid:durableId="2147314929">
    <w:abstractNumId w:val="0"/>
  </w:num>
  <w:num w:numId="3" w16cid:durableId="52560799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267A"/>
    <w:rsid w:val="000038F5"/>
    <w:rsid w:val="00047A83"/>
    <w:rsid w:val="000C2B84"/>
    <w:rsid w:val="00106DB8"/>
    <w:rsid w:val="00115FAE"/>
    <w:rsid w:val="0017682E"/>
    <w:rsid w:val="001A0D87"/>
    <w:rsid w:val="001A7A28"/>
    <w:rsid w:val="001A7F77"/>
    <w:rsid w:val="001B2106"/>
    <w:rsid w:val="002050AF"/>
    <w:rsid w:val="00245057"/>
    <w:rsid w:val="00280DF0"/>
    <w:rsid w:val="002B41AA"/>
    <w:rsid w:val="00305B00"/>
    <w:rsid w:val="00387227"/>
    <w:rsid w:val="003C284D"/>
    <w:rsid w:val="003F16E2"/>
    <w:rsid w:val="004B4129"/>
    <w:rsid w:val="004C2F71"/>
    <w:rsid w:val="005517C8"/>
    <w:rsid w:val="0060563E"/>
    <w:rsid w:val="006446A1"/>
    <w:rsid w:val="00646FFC"/>
    <w:rsid w:val="0065130B"/>
    <w:rsid w:val="006B0970"/>
    <w:rsid w:val="006D4AA8"/>
    <w:rsid w:val="0071504B"/>
    <w:rsid w:val="00745257"/>
    <w:rsid w:val="00746691"/>
    <w:rsid w:val="00762762"/>
    <w:rsid w:val="007D4E6B"/>
    <w:rsid w:val="008336ED"/>
    <w:rsid w:val="008D2739"/>
    <w:rsid w:val="009249F1"/>
    <w:rsid w:val="009A7CAC"/>
    <w:rsid w:val="009B5926"/>
    <w:rsid w:val="00A178BF"/>
    <w:rsid w:val="00A26E74"/>
    <w:rsid w:val="00A3267A"/>
    <w:rsid w:val="00A651BE"/>
    <w:rsid w:val="00A85299"/>
    <w:rsid w:val="00A9646B"/>
    <w:rsid w:val="00AF21EB"/>
    <w:rsid w:val="00B62E95"/>
    <w:rsid w:val="00B72FC4"/>
    <w:rsid w:val="00BA25A3"/>
    <w:rsid w:val="00BA27A4"/>
    <w:rsid w:val="00BB0FB5"/>
    <w:rsid w:val="00BF2A83"/>
    <w:rsid w:val="00C012A3"/>
    <w:rsid w:val="00C03921"/>
    <w:rsid w:val="00C05234"/>
    <w:rsid w:val="00C7069B"/>
    <w:rsid w:val="00D31B36"/>
    <w:rsid w:val="00D322E5"/>
    <w:rsid w:val="00D6048F"/>
    <w:rsid w:val="00DE539D"/>
    <w:rsid w:val="00E22174"/>
    <w:rsid w:val="00E44DE5"/>
    <w:rsid w:val="00E94100"/>
    <w:rsid w:val="00EA1A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59ABA34"/>
  <w15:chartTrackingRefBased/>
  <w15:docId w15:val="{68FBB5FE-40FA-9C45-996D-737569F52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3267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267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267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267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267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267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267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267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267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267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267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267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267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267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267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267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267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267A"/>
    <w:rPr>
      <w:rFonts w:eastAsiaTheme="majorEastAsia" w:cstheme="majorBidi"/>
      <w:color w:val="272727" w:themeColor="text1" w:themeTint="D8"/>
    </w:rPr>
  </w:style>
  <w:style w:type="paragraph" w:styleId="Title">
    <w:name w:val="Title"/>
    <w:basedOn w:val="Normal"/>
    <w:next w:val="Normal"/>
    <w:link w:val="TitleChar"/>
    <w:uiPriority w:val="10"/>
    <w:qFormat/>
    <w:rsid w:val="00A3267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267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267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267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267A"/>
    <w:pPr>
      <w:spacing w:before="160"/>
      <w:jc w:val="center"/>
    </w:pPr>
    <w:rPr>
      <w:i/>
      <w:iCs/>
      <w:color w:val="404040" w:themeColor="text1" w:themeTint="BF"/>
    </w:rPr>
  </w:style>
  <w:style w:type="character" w:customStyle="1" w:styleId="QuoteChar">
    <w:name w:val="Quote Char"/>
    <w:basedOn w:val="DefaultParagraphFont"/>
    <w:link w:val="Quote"/>
    <w:uiPriority w:val="29"/>
    <w:rsid w:val="00A3267A"/>
    <w:rPr>
      <w:i/>
      <w:iCs/>
      <w:color w:val="404040" w:themeColor="text1" w:themeTint="BF"/>
    </w:rPr>
  </w:style>
  <w:style w:type="paragraph" w:styleId="ListParagraph">
    <w:name w:val="List Paragraph"/>
    <w:basedOn w:val="Normal"/>
    <w:uiPriority w:val="34"/>
    <w:qFormat/>
    <w:rsid w:val="00A3267A"/>
    <w:pPr>
      <w:ind w:left="720"/>
      <w:contextualSpacing/>
    </w:pPr>
  </w:style>
  <w:style w:type="character" w:styleId="IntenseEmphasis">
    <w:name w:val="Intense Emphasis"/>
    <w:basedOn w:val="DefaultParagraphFont"/>
    <w:uiPriority w:val="21"/>
    <w:qFormat/>
    <w:rsid w:val="00A3267A"/>
    <w:rPr>
      <w:i/>
      <w:iCs/>
      <w:color w:val="0F4761" w:themeColor="accent1" w:themeShade="BF"/>
    </w:rPr>
  </w:style>
  <w:style w:type="paragraph" w:styleId="IntenseQuote">
    <w:name w:val="Intense Quote"/>
    <w:basedOn w:val="Normal"/>
    <w:next w:val="Normal"/>
    <w:link w:val="IntenseQuoteChar"/>
    <w:uiPriority w:val="30"/>
    <w:qFormat/>
    <w:rsid w:val="00A3267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267A"/>
    <w:rPr>
      <w:i/>
      <w:iCs/>
      <w:color w:val="0F4761" w:themeColor="accent1" w:themeShade="BF"/>
    </w:rPr>
  </w:style>
  <w:style w:type="character" w:styleId="IntenseReference">
    <w:name w:val="Intense Reference"/>
    <w:basedOn w:val="DefaultParagraphFont"/>
    <w:uiPriority w:val="32"/>
    <w:qFormat/>
    <w:rsid w:val="00A3267A"/>
    <w:rPr>
      <w:b/>
      <w:bCs/>
      <w:smallCaps/>
      <w:color w:val="0F4761" w:themeColor="accent1" w:themeShade="BF"/>
      <w:spacing w:val="5"/>
    </w:rPr>
  </w:style>
  <w:style w:type="paragraph" w:customStyle="1" w:styleId="p1">
    <w:name w:val="p1"/>
    <w:basedOn w:val="Normal"/>
    <w:rsid w:val="00A3267A"/>
    <w:pPr>
      <w:spacing w:after="0" w:line="240" w:lineRule="auto"/>
    </w:pPr>
    <w:rPr>
      <w:rFonts w:ascii="Helvetica" w:hAnsi="Helvetica" w:cs="Times New Roman"/>
      <w:color w:val="000000"/>
      <w:kern w:val="0"/>
      <w:sz w:val="17"/>
      <w:szCs w:val="17"/>
      <w14:ligatures w14:val="none"/>
    </w:rPr>
  </w:style>
  <w:style w:type="character" w:customStyle="1" w:styleId="s1">
    <w:name w:val="s1"/>
    <w:basedOn w:val="DefaultParagraphFont"/>
    <w:rsid w:val="00A3267A"/>
    <w:rPr>
      <w:rFonts w:ascii="Helvetica" w:hAnsi="Helvetica" w:hint="default"/>
      <w:b w:val="0"/>
      <w:bCs w:val="0"/>
      <w:i w:val="0"/>
      <w:iCs w:val="0"/>
      <w:sz w:val="17"/>
      <w:szCs w:val="17"/>
    </w:rPr>
  </w:style>
  <w:style w:type="character" w:customStyle="1" w:styleId="apple-converted-space">
    <w:name w:val="apple-converted-space"/>
    <w:basedOn w:val="DefaultParagraphFont"/>
    <w:rsid w:val="00A3267A"/>
  </w:style>
  <w:style w:type="paragraph" w:styleId="Header">
    <w:name w:val="header"/>
    <w:basedOn w:val="Normal"/>
    <w:link w:val="HeaderChar"/>
    <w:uiPriority w:val="99"/>
    <w:unhideWhenUsed/>
    <w:rsid w:val="001A7F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7F77"/>
  </w:style>
  <w:style w:type="paragraph" w:styleId="Footer">
    <w:name w:val="footer"/>
    <w:basedOn w:val="Normal"/>
    <w:link w:val="FooterChar"/>
    <w:uiPriority w:val="99"/>
    <w:unhideWhenUsed/>
    <w:rsid w:val="001A7F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7F77"/>
  </w:style>
  <w:style w:type="character" w:styleId="PageNumber">
    <w:name w:val="page number"/>
    <w:basedOn w:val="DefaultParagraphFont"/>
    <w:uiPriority w:val="99"/>
    <w:semiHidden/>
    <w:unhideWhenUsed/>
    <w:rsid w:val="00DE539D"/>
  </w:style>
  <w:style w:type="character" w:styleId="Hyperlink">
    <w:name w:val="Hyperlink"/>
    <w:basedOn w:val="DefaultParagraphFont"/>
    <w:uiPriority w:val="99"/>
    <w:unhideWhenUsed/>
    <w:rsid w:val="006B0970"/>
    <w:rPr>
      <w:color w:val="467886" w:themeColor="hyperlink"/>
      <w:u w:val="single"/>
    </w:rPr>
  </w:style>
  <w:style w:type="character" w:styleId="UnresolvedMention">
    <w:name w:val="Unresolved Mention"/>
    <w:basedOn w:val="DefaultParagraphFont"/>
    <w:uiPriority w:val="99"/>
    <w:semiHidden/>
    <w:unhideWhenUsed/>
    <w:rsid w:val="006B0970"/>
    <w:rPr>
      <w:color w:val="605E5C"/>
      <w:shd w:val="clear" w:color="auto" w:fill="E1DFDD"/>
    </w:rPr>
  </w:style>
  <w:style w:type="paragraph" w:customStyle="1" w:styleId="p2">
    <w:name w:val="p2"/>
    <w:basedOn w:val="Normal"/>
    <w:rsid w:val="00A178BF"/>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772358">
      <w:bodyDiv w:val="1"/>
      <w:marLeft w:val="0"/>
      <w:marRight w:val="0"/>
      <w:marTop w:val="0"/>
      <w:marBottom w:val="0"/>
      <w:divBdr>
        <w:top w:val="none" w:sz="0" w:space="0" w:color="auto"/>
        <w:left w:val="none" w:sz="0" w:space="0" w:color="auto"/>
        <w:bottom w:val="none" w:sz="0" w:space="0" w:color="auto"/>
        <w:right w:val="none" w:sz="0" w:space="0" w:color="auto"/>
      </w:divBdr>
    </w:div>
    <w:div w:id="431245906">
      <w:bodyDiv w:val="1"/>
      <w:marLeft w:val="0"/>
      <w:marRight w:val="0"/>
      <w:marTop w:val="0"/>
      <w:marBottom w:val="0"/>
      <w:divBdr>
        <w:top w:val="none" w:sz="0" w:space="0" w:color="auto"/>
        <w:left w:val="none" w:sz="0" w:space="0" w:color="auto"/>
        <w:bottom w:val="none" w:sz="0" w:space="0" w:color="auto"/>
        <w:right w:val="none" w:sz="0" w:space="0" w:color="auto"/>
      </w:divBdr>
    </w:div>
    <w:div w:id="1342774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ongtermplan.nhs.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ageuk.org.uk/"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reengage.org.uk"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2968</Words>
  <Characters>16919</Characters>
  <Application>Microsoft Office Word</Application>
  <DocSecurity>0</DocSecurity>
  <Lines>140</Lines>
  <Paragraphs>39</Paragraphs>
  <ScaleCrop>false</ScaleCrop>
  <Company/>
  <LinksUpToDate>false</LinksUpToDate>
  <CharactersWithSpaces>19848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Zartasha Zahied (2015319)</dc:creator>
  <cp:keywords/>
  <dc:description/>
  <cp:lastModifiedBy>Zartasha Zahied (2015319)</cp:lastModifiedBy>
  <cp:revision>2</cp:revision>
  <dcterms:created xsi:type="dcterms:W3CDTF">2025-04-11T12:34:00Z</dcterms:created>
  <dcterms:modified xsi:type="dcterms:W3CDTF">2025-04-11T12:34:00Z</dcterms:modified>
</cp:coreProperties>
</file>