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0E229" w14:textId="77777777" w:rsidR="006D4C7C" w:rsidRPr="005E14D4" w:rsidRDefault="006D4C7C" w:rsidP="006D4C7C">
      <w:pPr>
        <w:rPr>
          <w:rFonts w:ascii="Arial" w:hAnsi="Arial" w:cs="Arial"/>
          <w:b/>
          <w:bCs/>
          <w:sz w:val="24"/>
          <w:szCs w:val="24"/>
        </w:rPr>
      </w:pPr>
      <w:r>
        <w:rPr>
          <w:rFonts w:ascii="Arial" w:hAnsi="Arial" w:cs="Arial"/>
          <w:b/>
          <w:bCs/>
          <w:sz w:val="24"/>
          <w:szCs w:val="24"/>
        </w:rPr>
        <w:t>Chapter Two -</w:t>
      </w:r>
      <w:r w:rsidRPr="005E14D4">
        <w:rPr>
          <w:rFonts w:ascii="Arial" w:hAnsi="Arial" w:cs="Arial"/>
          <w:b/>
          <w:bCs/>
          <w:sz w:val="24"/>
          <w:szCs w:val="24"/>
        </w:rPr>
        <w:t xml:space="preserve"> Literature Review</w:t>
      </w:r>
    </w:p>
    <w:p w14:paraId="56409EA6" w14:textId="77777777" w:rsidR="005E14D4" w:rsidRPr="00737A57" w:rsidRDefault="005E14D4" w:rsidP="005E14D4">
      <w:pPr>
        <w:autoSpaceDE w:val="0"/>
        <w:autoSpaceDN w:val="0"/>
        <w:adjustRightInd w:val="0"/>
        <w:rPr>
          <w:rFonts w:ascii="Arial" w:hAnsi="Arial" w:cs="Arial"/>
          <w:b/>
          <w:bCs/>
        </w:rPr>
      </w:pPr>
      <w:r w:rsidRPr="00737A57">
        <w:rPr>
          <w:rFonts w:ascii="Arial" w:hAnsi="Arial" w:cs="Arial"/>
          <w:b/>
          <w:bCs/>
        </w:rPr>
        <w:t>Objectives:</w:t>
      </w:r>
    </w:p>
    <w:p w14:paraId="081329D0" w14:textId="77777777" w:rsidR="005E14D4" w:rsidRDefault="005E14D4" w:rsidP="005E14D4">
      <w:pPr>
        <w:pStyle w:val="ListParagraph"/>
        <w:numPr>
          <w:ilvl w:val="0"/>
          <w:numId w:val="3"/>
        </w:numPr>
        <w:rPr>
          <w:rFonts w:ascii="Arial" w:hAnsi="Arial" w:cs="Arial"/>
        </w:rPr>
      </w:pPr>
      <w:r w:rsidRPr="00737A57">
        <w:rPr>
          <w:rFonts w:ascii="Arial" w:hAnsi="Arial" w:cs="Arial"/>
        </w:rPr>
        <w:t xml:space="preserve">To examine current policing strategies aimed at preventing and intervening in substance misuse among young people. </w:t>
      </w:r>
    </w:p>
    <w:p w14:paraId="0A5A178C" w14:textId="77777777" w:rsidR="00AD1DCE" w:rsidRPr="00737A57" w:rsidRDefault="00AD1DCE" w:rsidP="00AD1DCE">
      <w:pPr>
        <w:pStyle w:val="ListParagraph"/>
        <w:numPr>
          <w:ilvl w:val="0"/>
          <w:numId w:val="3"/>
        </w:numPr>
        <w:rPr>
          <w:rFonts w:ascii="Arial" w:hAnsi="Arial" w:cs="Arial"/>
        </w:rPr>
      </w:pPr>
      <w:r w:rsidRPr="00737A57">
        <w:rPr>
          <w:rFonts w:ascii="Arial" w:hAnsi="Arial" w:cs="Arial"/>
        </w:rPr>
        <w:t>To identify the key challenges faced by police in implementing prevention and intervention efforts.</w:t>
      </w:r>
    </w:p>
    <w:p w14:paraId="1594F89B" w14:textId="21751141" w:rsidR="00D135B6" w:rsidRPr="00D135B6" w:rsidRDefault="00D135B6" w:rsidP="00D135B6">
      <w:pPr>
        <w:pStyle w:val="ListParagraph"/>
        <w:numPr>
          <w:ilvl w:val="0"/>
          <w:numId w:val="3"/>
        </w:numPr>
        <w:spacing w:after="0" w:line="240" w:lineRule="auto"/>
        <w:rPr>
          <w:rFonts w:ascii="Arial" w:eastAsia="Times New Roman" w:hAnsi="Arial" w:cs="Arial"/>
          <w:kern w:val="0"/>
          <w:lang w:eastAsia="en-GB"/>
          <w14:ligatures w14:val="none"/>
        </w:rPr>
      </w:pPr>
      <w:r w:rsidRPr="00D135B6">
        <w:rPr>
          <w:rFonts w:ascii="Arial" w:eastAsia="Times New Roman" w:hAnsi="Arial" w:cs="Arial"/>
          <w:kern w:val="0"/>
          <w:lang w:eastAsia="en-GB"/>
          <w14:ligatures w14:val="none"/>
        </w:rPr>
        <w:t>To assess</w:t>
      </w:r>
      <w:r w:rsidR="00E9141E">
        <w:rPr>
          <w:rFonts w:ascii="Arial" w:eastAsia="Times New Roman" w:hAnsi="Arial" w:cs="Arial"/>
          <w:kern w:val="0"/>
          <w:lang w:eastAsia="en-GB"/>
          <w14:ligatures w14:val="none"/>
        </w:rPr>
        <w:t xml:space="preserve"> </w:t>
      </w:r>
      <w:r w:rsidRPr="00D135B6">
        <w:rPr>
          <w:rFonts w:ascii="Arial" w:eastAsia="Times New Roman" w:hAnsi="Arial" w:cs="Arial"/>
          <w:kern w:val="0"/>
          <w:lang w:eastAsia="en-GB"/>
          <w14:ligatures w14:val="none"/>
        </w:rPr>
        <w:t>the effectiveness of policing strategies in responding to substance misuse.</w:t>
      </w:r>
    </w:p>
    <w:p w14:paraId="539D2E7B" w14:textId="77777777" w:rsidR="005E14D4" w:rsidRPr="00737A57" w:rsidRDefault="005E14D4" w:rsidP="005E14D4">
      <w:pPr>
        <w:pStyle w:val="ListParagraph"/>
        <w:rPr>
          <w:rFonts w:ascii="Arial" w:hAnsi="Arial" w:cs="Arial"/>
        </w:rPr>
      </w:pPr>
    </w:p>
    <w:p w14:paraId="191983A5" w14:textId="5E86118A" w:rsidR="009925F5" w:rsidRPr="003970FA" w:rsidRDefault="005E14D4">
      <w:pPr>
        <w:rPr>
          <w:rFonts w:ascii="Arial" w:hAnsi="Arial" w:cs="Arial"/>
          <w:b/>
          <w:bCs/>
        </w:rPr>
      </w:pPr>
      <w:r w:rsidRPr="009925F5">
        <w:rPr>
          <w:rFonts w:ascii="Arial" w:hAnsi="Arial" w:cs="Arial"/>
          <w:b/>
          <w:bCs/>
        </w:rPr>
        <w:t>2.1 Introduction</w:t>
      </w:r>
    </w:p>
    <w:p w14:paraId="307ACBBE" w14:textId="24320D78" w:rsidR="003970FA" w:rsidRPr="009925F5" w:rsidRDefault="009925F5" w:rsidP="009925F5">
      <w:pPr>
        <w:rPr>
          <w:rFonts w:ascii="Arial" w:hAnsi="Arial" w:cs="Arial"/>
        </w:rPr>
      </w:pPr>
      <w:r w:rsidRPr="009925F5">
        <w:rPr>
          <w:rFonts w:ascii="Arial" w:hAnsi="Arial" w:cs="Arial"/>
        </w:rPr>
        <w:t>Substance misuse among young people in the UK has long been recognised as a complex public health and criminal justice concern. Historically, legislative responses have centred on</w:t>
      </w:r>
      <w:r w:rsidRPr="00F8599D">
        <w:rPr>
          <w:rFonts w:ascii="Arial" w:hAnsi="Arial" w:cs="Arial"/>
        </w:rPr>
        <w:t xml:space="preserve"> criminal justice responses</w:t>
      </w:r>
      <w:r w:rsidR="003970FA" w:rsidRPr="00F8599D">
        <w:rPr>
          <w:rFonts w:ascii="Arial" w:hAnsi="Arial" w:cs="Arial"/>
        </w:rPr>
        <w:t xml:space="preserve"> focused on legal sanctions and behavioural control</w:t>
      </w:r>
      <w:r w:rsidR="00F161CF">
        <w:rPr>
          <w:rFonts w:ascii="Arial" w:hAnsi="Arial" w:cs="Arial"/>
        </w:rPr>
        <w:t xml:space="preserve"> (ACMD, 2025)</w:t>
      </w:r>
      <w:r w:rsidRPr="009925F5">
        <w:rPr>
          <w:rFonts w:ascii="Arial" w:hAnsi="Arial" w:cs="Arial"/>
        </w:rPr>
        <w:t xml:space="preserve">. </w:t>
      </w:r>
      <w:r w:rsidR="00E6654F" w:rsidRPr="00E6654F">
        <w:rPr>
          <w:rFonts w:ascii="Arial" w:hAnsi="Arial" w:cs="Arial"/>
        </w:rPr>
        <w:t>The Misuse of Drugs Act 1971 remains the cornerstone of UK drug legislation, establishing the framework for classifying substances and criminalising their possession, supply, and production</w:t>
      </w:r>
      <w:r w:rsidR="00AE24FF">
        <w:rPr>
          <w:rFonts w:ascii="Arial" w:hAnsi="Arial" w:cs="Arial"/>
        </w:rPr>
        <w:t xml:space="preserve"> </w:t>
      </w:r>
      <w:r w:rsidR="00F8599D" w:rsidRPr="00C93A50">
        <w:rPr>
          <w:rFonts w:ascii="Arial" w:hAnsi="Arial" w:cs="Arial"/>
        </w:rPr>
        <w:t>(</w:t>
      </w:r>
      <w:r w:rsidR="00C93A50" w:rsidRPr="00C93A50">
        <w:rPr>
          <w:rFonts w:ascii="Arial" w:hAnsi="Arial" w:cs="Arial"/>
        </w:rPr>
        <w:t>UK Legislation, 2024)</w:t>
      </w:r>
      <w:r w:rsidRPr="009925F5">
        <w:rPr>
          <w:rFonts w:ascii="Arial" w:hAnsi="Arial" w:cs="Arial"/>
        </w:rPr>
        <w:t>.</w:t>
      </w:r>
      <w:r w:rsidR="003970FA" w:rsidRPr="00C93A50">
        <w:rPr>
          <w:rFonts w:ascii="Arial" w:hAnsi="Arial" w:cs="Arial"/>
        </w:rPr>
        <w:t xml:space="preserve"> </w:t>
      </w:r>
      <w:r w:rsidR="00347949">
        <w:rPr>
          <w:rFonts w:ascii="Arial" w:hAnsi="Arial" w:cs="Arial"/>
        </w:rPr>
        <w:t>While designed</w:t>
      </w:r>
      <w:r w:rsidR="003970FA" w:rsidRPr="00F8599D">
        <w:rPr>
          <w:rFonts w:ascii="Arial" w:hAnsi="Arial" w:cs="Arial"/>
        </w:rPr>
        <w:t xml:space="preserve"> to reduce drug use through policing, </w:t>
      </w:r>
      <w:r w:rsidR="00733733">
        <w:rPr>
          <w:rFonts w:ascii="Arial" w:hAnsi="Arial" w:cs="Arial"/>
        </w:rPr>
        <w:t>the act</w:t>
      </w:r>
      <w:r w:rsidR="003970FA" w:rsidRPr="00F8599D">
        <w:rPr>
          <w:rFonts w:ascii="Arial" w:hAnsi="Arial" w:cs="Arial"/>
        </w:rPr>
        <w:t xml:space="preserve"> has been consistently criticised for its limited preventative impact and </w:t>
      </w:r>
      <w:r w:rsidR="001D727B">
        <w:rPr>
          <w:rFonts w:ascii="Arial" w:hAnsi="Arial" w:cs="Arial"/>
        </w:rPr>
        <w:t xml:space="preserve">for </w:t>
      </w:r>
      <w:r w:rsidR="002A2ED2" w:rsidRPr="002A2ED2">
        <w:rPr>
          <w:rFonts w:ascii="Arial" w:hAnsi="Arial" w:cs="Arial"/>
        </w:rPr>
        <w:t>disproportionately criminalising young people</w:t>
      </w:r>
      <w:r w:rsidR="00F8599D">
        <w:rPr>
          <w:rFonts w:ascii="Arial" w:hAnsi="Arial" w:cs="Arial"/>
        </w:rPr>
        <w:t xml:space="preserve"> (UK Parliament, 2021)</w:t>
      </w:r>
      <w:r w:rsidR="003970FA" w:rsidRPr="00F8599D">
        <w:rPr>
          <w:rFonts w:ascii="Arial" w:hAnsi="Arial" w:cs="Arial"/>
        </w:rPr>
        <w:t>.</w:t>
      </w:r>
    </w:p>
    <w:p w14:paraId="4BBDC1F3" w14:textId="40B095A1" w:rsidR="00C8385B" w:rsidRDefault="009925F5" w:rsidP="009925F5">
      <w:pPr>
        <w:rPr>
          <w:rFonts w:ascii="Arial" w:hAnsi="Arial" w:cs="Arial"/>
        </w:rPr>
      </w:pPr>
      <w:r w:rsidRPr="009925F5">
        <w:rPr>
          <w:rFonts w:ascii="Arial" w:hAnsi="Arial" w:cs="Arial"/>
        </w:rPr>
        <w:t>Over the decades, policy ha</w:t>
      </w:r>
      <w:r w:rsidR="0030435B">
        <w:rPr>
          <w:rFonts w:ascii="Arial" w:hAnsi="Arial" w:cs="Arial"/>
        </w:rPr>
        <w:t>s</w:t>
      </w:r>
      <w:r w:rsidR="0030435B" w:rsidRPr="0030435B">
        <w:rPr>
          <w:rFonts w:ascii="Arial" w:hAnsi="Arial" w:cs="Arial"/>
        </w:rPr>
        <w:t xml:space="preserve"> </w:t>
      </w:r>
      <w:r w:rsidR="0030435B" w:rsidRPr="00C8385B">
        <w:rPr>
          <w:rFonts w:ascii="Arial" w:hAnsi="Arial" w:cs="Arial"/>
        </w:rPr>
        <w:t>gradually shifted to</w:t>
      </w:r>
      <w:r w:rsidRPr="009925F5">
        <w:rPr>
          <w:rFonts w:ascii="Arial" w:hAnsi="Arial" w:cs="Arial"/>
        </w:rPr>
        <w:t xml:space="preserve"> reflect evolving understandings of substance misuse as both a health and social issue. More recent strategies</w:t>
      </w:r>
      <w:r w:rsidR="003970FA" w:rsidRPr="003970FA">
        <w:rPr>
          <w:rFonts w:ascii="Arial" w:hAnsi="Arial" w:cs="Arial"/>
        </w:rPr>
        <w:t xml:space="preserve"> </w:t>
      </w:r>
      <w:r w:rsidRPr="009925F5">
        <w:rPr>
          <w:rFonts w:ascii="Arial" w:hAnsi="Arial" w:cs="Arial"/>
        </w:rPr>
        <w:t>such as the 10-Year National Drugs Strategy: From Harm to Hope (2021)</w:t>
      </w:r>
      <w:r w:rsidR="003970FA" w:rsidRPr="003970FA">
        <w:rPr>
          <w:rFonts w:ascii="Arial" w:hAnsi="Arial" w:cs="Arial"/>
        </w:rPr>
        <w:t xml:space="preserve"> </w:t>
      </w:r>
      <w:r w:rsidRPr="009925F5">
        <w:rPr>
          <w:rFonts w:ascii="Arial" w:hAnsi="Arial" w:cs="Arial"/>
        </w:rPr>
        <w:t>emphasise a public health approach, integrating treatment, education, and multi-agency collaboration</w:t>
      </w:r>
      <w:r w:rsidR="00C93A50">
        <w:rPr>
          <w:rFonts w:ascii="Arial" w:hAnsi="Arial" w:cs="Arial"/>
        </w:rPr>
        <w:t xml:space="preserve"> (HM Government, 2021)</w:t>
      </w:r>
      <w:r w:rsidRPr="009925F5">
        <w:rPr>
          <w:rFonts w:ascii="Arial" w:hAnsi="Arial" w:cs="Arial"/>
        </w:rPr>
        <w:t>. In Wales, the Substance Misuse Delivery Plan 2019–2022 and its revisions have prioritised prevention, early intervention, and support for families, aligning with the Well-being of Future Generations (Wales) Act 2015</w:t>
      </w:r>
      <w:r w:rsidR="00C93A50">
        <w:rPr>
          <w:rFonts w:ascii="Arial" w:hAnsi="Arial" w:cs="Arial"/>
        </w:rPr>
        <w:t xml:space="preserve"> (Welsh Government, 2019)</w:t>
      </w:r>
      <w:r w:rsidRPr="009925F5">
        <w:rPr>
          <w:rFonts w:ascii="Arial" w:hAnsi="Arial" w:cs="Arial"/>
        </w:rPr>
        <w:t>.</w:t>
      </w:r>
    </w:p>
    <w:p w14:paraId="21C961CA" w14:textId="7D62E8EB" w:rsidR="008C0468" w:rsidRDefault="00733733">
      <w:pPr>
        <w:rPr>
          <w:rFonts w:ascii="Arial" w:hAnsi="Arial" w:cs="Arial"/>
        </w:rPr>
      </w:pPr>
      <w:r>
        <w:rPr>
          <w:rFonts w:ascii="Arial" w:hAnsi="Arial" w:cs="Arial"/>
        </w:rPr>
        <w:t>Against t</w:t>
      </w:r>
      <w:r w:rsidR="003970FA" w:rsidRPr="003970FA">
        <w:rPr>
          <w:rFonts w:ascii="Arial" w:hAnsi="Arial" w:cs="Arial"/>
        </w:rPr>
        <w:t xml:space="preserve">his </w:t>
      </w:r>
      <w:r>
        <w:rPr>
          <w:rFonts w:ascii="Arial" w:hAnsi="Arial" w:cs="Arial"/>
        </w:rPr>
        <w:t>back</w:t>
      </w:r>
      <w:r w:rsidR="00F02B50">
        <w:rPr>
          <w:rFonts w:ascii="Arial" w:hAnsi="Arial" w:cs="Arial"/>
        </w:rPr>
        <w:t xml:space="preserve">drop, this </w:t>
      </w:r>
      <w:r w:rsidR="003970FA" w:rsidRPr="003970FA">
        <w:rPr>
          <w:rFonts w:ascii="Arial" w:hAnsi="Arial" w:cs="Arial"/>
        </w:rPr>
        <w:t>literature review critically examines current policing strategies aimed at preventing and intervening in substance misuse among young people.</w:t>
      </w:r>
      <w:r w:rsidR="003F0B68" w:rsidRPr="003F0B68">
        <w:rPr>
          <w:rFonts w:ascii="Arial" w:hAnsi="Arial" w:cs="Arial"/>
        </w:rPr>
        <w:t xml:space="preserve"> </w:t>
      </w:r>
      <w:r w:rsidR="003F0B68">
        <w:rPr>
          <w:rFonts w:ascii="Arial" w:hAnsi="Arial" w:cs="Arial"/>
        </w:rPr>
        <w:t>I</w:t>
      </w:r>
      <w:r w:rsidR="003F0B68" w:rsidRPr="003970FA">
        <w:rPr>
          <w:rFonts w:ascii="Arial" w:hAnsi="Arial" w:cs="Arial"/>
        </w:rPr>
        <w:t>t identifies the key challenges faced by police in implementing these efforts, including resource limitations, inter-agency coordination, and issues of trust and legitimacy.</w:t>
      </w:r>
      <w:r w:rsidR="003970FA" w:rsidRPr="003970FA">
        <w:rPr>
          <w:rFonts w:ascii="Arial" w:hAnsi="Arial" w:cs="Arial"/>
        </w:rPr>
        <w:t xml:space="preserve"> </w:t>
      </w:r>
      <w:r w:rsidR="003F0B68" w:rsidRPr="003970FA">
        <w:rPr>
          <w:rFonts w:ascii="Arial" w:hAnsi="Arial" w:cs="Arial"/>
        </w:rPr>
        <w:t xml:space="preserve">Finally, </w:t>
      </w:r>
      <w:r w:rsidR="001A6696">
        <w:rPr>
          <w:rFonts w:ascii="Arial" w:hAnsi="Arial" w:cs="Arial"/>
        </w:rPr>
        <w:t>i</w:t>
      </w:r>
      <w:r w:rsidR="003970FA" w:rsidRPr="003970FA">
        <w:rPr>
          <w:rFonts w:ascii="Arial" w:hAnsi="Arial" w:cs="Arial"/>
        </w:rPr>
        <w:t>t explores how these strategies are operationalised within contemporary policing frameworks and assesses perceptions of their effectiveness</w:t>
      </w:r>
      <w:r w:rsidR="004133D4">
        <w:rPr>
          <w:rFonts w:ascii="Arial" w:hAnsi="Arial" w:cs="Arial"/>
        </w:rPr>
        <w:t xml:space="preserve">. </w:t>
      </w:r>
      <w:r w:rsidR="003970FA" w:rsidRPr="003970FA">
        <w:rPr>
          <w:rFonts w:ascii="Arial" w:hAnsi="Arial" w:cs="Arial"/>
        </w:rPr>
        <w:t>By synthesising existing research, this review aims to illuminate the evolving role of policing in addressing youth substance misuse and inform future policy and practice.</w:t>
      </w:r>
    </w:p>
    <w:p w14:paraId="3EC50456" w14:textId="168DA6D1" w:rsidR="000961F0" w:rsidRPr="00C243F6" w:rsidRDefault="000961F0">
      <w:pPr>
        <w:rPr>
          <w:rFonts w:ascii="Arial" w:hAnsi="Arial" w:cs="Arial"/>
          <w:color w:val="EE0000"/>
        </w:rPr>
      </w:pPr>
      <w:r w:rsidRPr="00C243F6">
        <w:rPr>
          <w:rFonts w:ascii="Arial" w:hAnsi="Arial" w:cs="Arial"/>
          <w:color w:val="EE0000"/>
        </w:rPr>
        <w:t>26</w:t>
      </w:r>
      <w:r w:rsidR="00090829">
        <w:rPr>
          <w:rFonts w:ascii="Arial" w:hAnsi="Arial" w:cs="Arial"/>
          <w:color w:val="EE0000"/>
        </w:rPr>
        <w:t>8</w:t>
      </w:r>
    </w:p>
    <w:p w14:paraId="170E2309" w14:textId="37219A95" w:rsidR="00C93A50" w:rsidRPr="00AD1DCE" w:rsidRDefault="009925F5">
      <w:pPr>
        <w:rPr>
          <w:rFonts w:ascii="Arial" w:hAnsi="Arial" w:cs="Arial"/>
        </w:rPr>
      </w:pPr>
      <w:r w:rsidRPr="00AD1DCE">
        <w:rPr>
          <w:rFonts w:ascii="Arial" w:hAnsi="Arial" w:cs="Arial"/>
          <w:b/>
          <w:bCs/>
        </w:rPr>
        <w:t>2.2 Objective 1</w:t>
      </w:r>
      <w:r w:rsidR="003970FA" w:rsidRPr="00AD1DCE">
        <w:rPr>
          <w:rFonts w:ascii="Arial" w:hAnsi="Arial" w:cs="Arial"/>
          <w:b/>
          <w:bCs/>
        </w:rPr>
        <w:t xml:space="preserve"> </w:t>
      </w:r>
    </w:p>
    <w:p w14:paraId="369E9FF1" w14:textId="767C4CC2" w:rsidR="00375964" w:rsidRPr="00C8174A" w:rsidRDefault="00375964" w:rsidP="00375964">
      <w:pPr>
        <w:rPr>
          <w:rFonts w:ascii="Arial" w:hAnsi="Arial" w:cs="Arial"/>
          <w:b/>
          <w:bCs/>
          <w:u w:val="single"/>
        </w:rPr>
      </w:pPr>
      <w:r w:rsidRPr="00C8174A">
        <w:rPr>
          <w:rFonts w:ascii="Arial" w:hAnsi="Arial" w:cs="Arial"/>
          <w:b/>
          <w:bCs/>
          <w:u w:val="single"/>
        </w:rPr>
        <w:t>2.2.1</w:t>
      </w:r>
      <w:r w:rsidRPr="00C8174A">
        <w:rPr>
          <w:rFonts w:ascii="Arial" w:eastAsia="Times New Roman" w:hAnsi="Arial" w:cs="Arial"/>
          <w:b/>
          <w:bCs/>
          <w:kern w:val="0"/>
          <w:sz w:val="24"/>
          <w:szCs w:val="24"/>
          <w:u w:val="single"/>
          <w:lang w:eastAsia="en-GB"/>
          <w14:ligatures w14:val="none"/>
        </w:rPr>
        <w:t xml:space="preserve"> </w:t>
      </w:r>
      <w:r w:rsidRPr="00C8174A">
        <w:rPr>
          <w:rFonts w:ascii="Arial" w:hAnsi="Arial" w:cs="Arial"/>
          <w:b/>
          <w:bCs/>
          <w:u w:val="single"/>
        </w:rPr>
        <w:t xml:space="preserve">Identifying Risk Factors to </w:t>
      </w:r>
      <w:r w:rsidR="00817ABF">
        <w:rPr>
          <w:rFonts w:ascii="Arial" w:hAnsi="Arial" w:cs="Arial"/>
          <w:b/>
          <w:bCs/>
          <w:u w:val="single"/>
        </w:rPr>
        <w:t>I</w:t>
      </w:r>
      <w:r w:rsidRPr="00C8174A">
        <w:rPr>
          <w:rFonts w:ascii="Arial" w:hAnsi="Arial" w:cs="Arial"/>
          <w:b/>
          <w:bCs/>
          <w:u w:val="single"/>
        </w:rPr>
        <w:t>nform Prevention Strategies</w:t>
      </w:r>
    </w:p>
    <w:p w14:paraId="417B054A" w14:textId="77777777" w:rsidR="00337C9E" w:rsidRDefault="00337C9E" w:rsidP="00CD01CC">
      <w:pPr>
        <w:rPr>
          <w:rFonts w:ascii="Arial" w:hAnsi="Arial" w:cs="Arial"/>
        </w:rPr>
      </w:pPr>
    </w:p>
    <w:p w14:paraId="542F6369" w14:textId="00573722" w:rsidR="005155C8" w:rsidRDefault="00337C9E" w:rsidP="00CD01CC">
      <w:pPr>
        <w:rPr>
          <w:rFonts w:ascii="Arial" w:hAnsi="Arial" w:cs="Arial"/>
        </w:rPr>
      </w:pPr>
      <w:r w:rsidRPr="00337C9E">
        <w:rPr>
          <w:rFonts w:ascii="Arial" w:hAnsi="Arial" w:cs="Arial"/>
        </w:rPr>
        <w:t>Hazardous use of alcohol, illicit drugs, and misused prescription medications remains a major challenge</w:t>
      </w:r>
      <w:r w:rsidR="00A72101" w:rsidRPr="00BF22B0">
        <w:rPr>
          <w:rFonts w:ascii="Arial" w:hAnsi="Arial" w:cs="Arial"/>
        </w:rPr>
        <w:t xml:space="preserve"> for public health and social policy (Office for Health Improvement and Disparities, 2024).</w:t>
      </w:r>
      <w:r w:rsidR="00A72101" w:rsidRPr="00BF22B0">
        <w:t xml:space="preserve"> </w:t>
      </w:r>
      <w:r w:rsidR="00A72101" w:rsidRPr="00BF22B0">
        <w:rPr>
          <w:rFonts w:ascii="Arial" w:hAnsi="Arial" w:cs="Arial"/>
        </w:rPr>
        <w:t>Since the initiation of data collection in December 1995, cannabis has remained the most commonly used drug in England and Wales, with notably high usage rates among young people (ONS, 2023).</w:t>
      </w:r>
      <w:r w:rsidR="00C522B6" w:rsidRPr="00BF22B0">
        <w:t xml:space="preserve"> </w:t>
      </w:r>
      <w:r w:rsidR="00C522B6" w:rsidRPr="00BF22B0">
        <w:rPr>
          <w:rFonts w:ascii="Arial" w:hAnsi="Arial" w:cs="Arial"/>
        </w:rPr>
        <w:t xml:space="preserve">Rising rates of prescription drug misuse continue to complicate prevention and intervention </w:t>
      </w:r>
      <w:r w:rsidR="00351AD7">
        <w:rPr>
          <w:rFonts w:ascii="Arial" w:hAnsi="Arial" w:cs="Arial"/>
        </w:rPr>
        <w:t>efforts</w:t>
      </w:r>
      <w:r w:rsidR="00C522B6" w:rsidRPr="00BF22B0">
        <w:rPr>
          <w:rFonts w:ascii="Arial" w:hAnsi="Arial" w:cs="Arial"/>
        </w:rPr>
        <w:t xml:space="preserve">. </w:t>
      </w:r>
      <w:r w:rsidR="00351AD7">
        <w:rPr>
          <w:rFonts w:ascii="Arial" w:hAnsi="Arial" w:cs="Arial"/>
        </w:rPr>
        <w:t xml:space="preserve">Among </w:t>
      </w:r>
      <w:r w:rsidR="00C522B6" w:rsidRPr="00BF22B0">
        <w:rPr>
          <w:rFonts w:ascii="Arial" w:hAnsi="Arial" w:cs="Arial"/>
        </w:rPr>
        <w:t xml:space="preserve">young people entering treatment, the most frequently cited risk factor </w:t>
      </w:r>
      <w:r w:rsidR="003C30F6" w:rsidRPr="003C30F6">
        <w:rPr>
          <w:rFonts w:ascii="Arial" w:hAnsi="Arial" w:cs="Arial"/>
        </w:rPr>
        <w:t>is initiating</w:t>
      </w:r>
      <w:r w:rsidR="003C30F6">
        <w:rPr>
          <w:rFonts w:ascii="Arial" w:hAnsi="Arial" w:cs="Arial"/>
        </w:rPr>
        <w:t xml:space="preserve"> </w:t>
      </w:r>
      <w:r w:rsidR="00C522B6" w:rsidRPr="00BF22B0">
        <w:rPr>
          <w:rFonts w:ascii="Arial" w:hAnsi="Arial" w:cs="Arial"/>
        </w:rPr>
        <w:t xml:space="preserve">substance use before age fifteen, with polydrug use also prevalent </w:t>
      </w:r>
      <w:r w:rsidR="000D13F0">
        <w:rPr>
          <w:rFonts w:ascii="Arial" w:hAnsi="Arial" w:cs="Arial"/>
        </w:rPr>
        <w:t>in</w:t>
      </w:r>
      <w:r w:rsidR="00C522B6" w:rsidRPr="00BF22B0">
        <w:rPr>
          <w:rFonts w:ascii="Arial" w:hAnsi="Arial" w:cs="Arial"/>
        </w:rPr>
        <w:t xml:space="preserve"> this group (Office for Health Improvement and Disparities, 2024).</w:t>
      </w:r>
      <w:r w:rsidR="003B7E91">
        <w:rPr>
          <w:rFonts w:ascii="Arial" w:hAnsi="Arial" w:cs="Arial"/>
        </w:rPr>
        <w:t xml:space="preserve"> </w:t>
      </w:r>
    </w:p>
    <w:p w14:paraId="36C51851" w14:textId="40B53D66" w:rsidR="0083509A" w:rsidRDefault="000D13F0" w:rsidP="00CD01CC">
      <w:pPr>
        <w:rPr>
          <w:rFonts w:ascii="Arial" w:hAnsi="Arial" w:cs="Arial"/>
        </w:rPr>
      </w:pPr>
      <w:r>
        <w:rPr>
          <w:rFonts w:ascii="Arial" w:hAnsi="Arial" w:cs="Arial"/>
        </w:rPr>
        <w:lastRenderedPageBreak/>
        <w:t xml:space="preserve">Although </w:t>
      </w:r>
      <w:r w:rsidR="0083509A" w:rsidRPr="0083509A">
        <w:rPr>
          <w:rFonts w:ascii="Arial" w:hAnsi="Arial" w:cs="Arial"/>
        </w:rPr>
        <w:t>overall levels of drug use ha</w:t>
      </w:r>
      <w:r>
        <w:rPr>
          <w:rFonts w:ascii="Arial" w:hAnsi="Arial" w:cs="Arial"/>
        </w:rPr>
        <w:t>s</w:t>
      </w:r>
      <w:r w:rsidR="0083509A" w:rsidRPr="0083509A">
        <w:rPr>
          <w:rFonts w:ascii="Arial" w:hAnsi="Arial" w:cs="Arial"/>
        </w:rPr>
        <w:t xml:space="preserve"> declined since the 1990s, recent data reveal </w:t>
      </w:r>
      <w:r w:rsidR="00547501">
        <w:rPr>
          <w:rFonts w:ascii="Arial" w:hAnsi="Arial" w:cs="Arial"/>
        </w:rPr>
        <w:t>new</w:t>
      </w:r>
      <w:r w:rsidR="0083509A" w:rsidRPr="0083509A">
        <w:rPr>
          <w:rFonts w:ascii="Arial" w:hAnsi="Arial" w:cs="Arial"/>
        </w:rPr>
        <w:t xml:space="preserve"> patterns of concern and heightened vulnerability among individuals aged sixteen to twenty</w:t>
      </w:r>
      <w:r w:rsidR="0083509A" w:rsidRPr="0083509A">
        <w:rPr>
          <w:rFonts w:ascii="Arial" w:hAnsi="Arial" w:cs="Arial"/>
        </w:rPr>
        <w:noBreakHyphen/>
        <w:t xml:space="preserve">four (ONS, 2024). This </w:t>
      </w:r>
      <w:r w:rsidR="004F77E8">
        <w:rPr>
          <w:rFonts w:ascii="Arial" w:hAnsi="Arial" w:cs="Arial"/>
        </w:rPr>
        <w:t>age group</w:t>
      </w:r>
      <w:r w:rsidR="0083509A" w:rsidRPr="0083509A">
        <w:rPr>
          <w:rFonts w:ascii="Arial" w:hAnsi="Arial" w:cs="Arial"/>
        </w:rPr>
        <w:t xml:space="preserve"> remains the most likely to experiment with drugs, positioning them as a critical focus for prevention efforts (ACMD, 2025). </w:t>
      </w:r>
      <w:r w:rsidR="00365447" w:rsidRPr="00365447">
        <w:rPr>
          <w:rFonts w:ascii="Arial" w:hAnsi="Arial" w:cs="Arial"/>
        </w:rPr>
        <w:t>Beyond individual behaviours, contextual factors such as limited youth services, weakened social norms, and high exposure to drug markets significantly elevate risk (ACMD, 2022)</w:t>
      </w:r>
      <w:r w:rsidR="00901FCF">
        <w:rPr>
          <w:rFonts w:ascii="Arial" w:hAnsi="Arial" w:cs="Arial"/>
        </w:rPr>
        <w:t xml:space="preserve">. </w:t>
      </w:r>
      <w:r w:rsidR="0083509A" w:rsidRPr="0083509A">
        <w:rPr>
          <w:rFonts w:ascii="Arial" w:hAnsi="Arial" w:cs="Arial"/>
        </w:rPr>
        <w:t xml:space="preserve">Yet the UK continues to lack a fully developed prevention system: the Advisory Council on the Misuse of Drugs (2022) highlights persistent deficits in infrastructure and workforce capacity, </w:t>
      </w:r>
      <w:r w:rsidR="00B1118B">
        <w:rPr>
          <w:rFonts w:ascii="Arial" w:hAnsi="Arial" w:cs="Arial"/>
        </w:rPr>
        <w:t>limiting</w:t>
      </w:r>
      <w:r w:rsidR="0083509A" w:rsidRPr="0083509A">
        <w:rPr>
          <w:rFonts w:ascii="Arial" w:hAnsi="Arial" w:cs="Arial"/>
        </w:rPr>
        <w:t xml:space="preserve"> both the reach and effectiveness of current interventions</w:t>
      </w:r>
      <w:r w:rsidR="00650162">
        <w:rPr>
          <w:rFonts w:ascii="Arial" w:hAnsi="Arial" w:cs="Arial"/>
        </w:rPr>
        <w:t>.</w:t>
      </w:r>
    </w:p>
    <w:p w14:paraId="4CC99C24" w14:textId="388452D0" w:rsidR="00276517" w:rsidRDefault="005940A7" w:rsidP="00CD01CC">
      <w:pPr>
        <w:rPr>
          <w:rFonts w:ascii="Arial" w:hAnsi="Arial" w:cs="Arial"/>
        </w:rPr>
      </w:pPr>
      <w:r>
        <w:rPr>
          <w:rFonts w:ascii="Arial" w:hAnsi="Arial" w:cs="Arial"/>
        </w:rPr>
        <w:t>Overall</w:t>
      </w:r>
      <w:r w:rsidR="001A33F3" w:rsidRPr="001A33F3">
        <w:rPr>
          <w:rFonts w:ascii="Arial" w:hAnsi="Arial" w:cs="Arial"/>
        </w:rPr>
        <w:t>, these</w:t>
      </w:r>
      <w:r w:rsidR="00276517" w:rsidRPr="00276517">
        <w:rPr>
          <w:rFonts w:ascii="Arial" w:hAnsi="Arial" w:cs="Arial"/>
        </w:rPr>
        <w:t xml:space="preserve"> patterns of vulnerability</w:t>
      </w:r>
      <w:r w:rsidR="00276517">
        <w:rPr>
          <w:rFonts w:ascii="Arial" w:hAnsi="Arial" w:cs="Arial"/>
        </w:rPr>
        <w:t xml:space="preserve">, </w:t>
      </w:r>
      <w:r w:rsidR="00276517" w:rsidRPr="00276517">
        <w:rPr>
          <w:rFonts w:ascii="Arial" w:hAnsi="Arial" w:cs="Arial"/>
        </w:rPr>
        <w:t xml:space="preserve">from early initiation and polydrug use to community-level exposure and </w:t>
      </w:r>
      <w:r w:rsidR="00D656D5" w:rsidRPr="00D656D5">
        <w:rPr>
          <w:rFonts w:ascii="Arial" w:hAnsi="Arial" w:cs="Arial"/>
        </w:rPr>
        <w:t>systemic weaknesses</w:t>
      </w:r>
      <w:r w:rsidR="00276517">
        <w:rPr>
          <w:rFonts w:ascii="Arial" w:hAnsi="Arial" w:cs="Arial"/>
        </w:rPr>
        <w:t xml:space="preserve">, </w:t>
      </w:r>
      <w:r w:rsidR="00276517" w:rsidRPr="00276517">
        <w:rPr>
          <w:rFonts w:ascii="Arial" w:hAnsi="Arial" w:cs="Arial"/>
        </w:rPr>
        <w:t>highlight the urgency of addressing risk factors as the foundation for effective intervention. Recognising these drivers of harm is essential for shaping prevention strategies, and it sets the stage for examining how policing can evolve toward public health-informed approaches.</w:t>
      </w:r>
    </w:p>
    <w:p w14:paraId="7640783C" w14:textId="6F0A5ABB" w:rsidR="00AD1DCE" w:rsidRPr="00C8174A" w:rsidRDefault="00AD1DCE" w:rsidP="00AD1DCE">
      <w:pPr>
        <w:rPr>
          <w:rFonts w:ascii="Arial" w:hAnsi="Arial" w:cs="Arial"/>
          <w:b/>
          <w:bCs/>
          <w:u w:val="single"/>
        </w:rPr>
      </w:pPr>
      <w:r w:rsidRPr="00C8174A">
        <w:rPr>
          <w:rFonts w:ascii="Arial" w:hAnsi="Arial" w:cs="Arial"/>
          <w:b/>
          <w:bCs/>
          <w:u w:val="single"/>
        </w:rPr>
        <w:t xml:space="preserve">2.2.2  Policing and the </w:t>
      </w:r>
      <w:r w:rsidR="002D2F63" w:rsidRPr="00C8174A">
        <w:rPr>
          <w:rFonts w:ascii="Arial" w:hAnsi="Arial" w:cs="Arial"/>
          <w:b/>
          <w:bCs/>
          <w:u w:val="single"/>
        </w:rPr>
        <w:t>s</w:t>
      </w:r>
      <w:r w:rsidRPr="00C8174A">
        <w:rPr>
          <w:rFonts w:ascii="Arial" w:hAnsi="Arial" w:cs="Arial"/>
          <w:b/>
          <w:bCs/>
          <w:u w:val="single"/>
        </w:rPr>
        <w:t xml:space="preserve">hift </w:t>
      </w:r>
      <w:r w:rsidR="002D2F63" w:rsidRPr="00C8174A">
        <w:rPr>
          <w:rFonts w:ascii="Arial" w:hAnsi="Arial" w:cs="Arial"/>
          <w:b/>
          <w:bCs/>
          <w:u w:val="single"/>
        </w:rPr>
        <w:t>t</w:t>
      </w:r>
      <w:r w:rsidRPr="00C8174A">
        <w:rPr>
          <w:rFonts w:ascii="Arial" w:hAnsi="Arial" w:cs="Arial"/>
          <w:b/>
          <w:bCs/>
          <w:u w:val="single"/>
        </w:rPr>
        <w:t>oward Public Health-Informed Drug Prevention</w:t>
      </w:r>
    </w:p>
    <w:p w14:paraId="2FA77D7D" w14:textId="018A94BE" w:rsidR="004C5420" w:rsidRDefault="00BF22B0">
      <w:pPr>
        <w:rPr>
          <w:rFonts w:ascii="Arial" w:hAnsi="Arial" w:cs="Arial"/>
        </w:rPr>
      </w:pPr>
      <w:r>
        <w:rPr>
          <w:rFonts w:ascii="Arial" w:hAnsi="Arial" w:cs="Arial"/>
        </w:rPr>
        <w:t>C</w:t>
      </w:r>
      <w:r w:rsidRPr="00BF22B0">
        <w:rPr>
          <w:rFonts w:ascii="Arial" w:hAnsi="Arial" w:cs="Arial"/>
        </w:rPr>
        <w:t>urrent guidance from the Advisory Council on the Misuse of Drugs (</w:t>
      </w:r>
      <w:r w:rsidR="005147C6">
        <w:rPr>
          <w:rFonts w:ascii="Arial" w:hAnsi="Arial" w:cs="Arial"/>
        </w:rPr>
        <w:t>2025</w:t>
      </w:r>
      <w:r w:rsidRPr="00BF22B0">
        <w:rPr>
          <w:rFonts w:ascii="Arial" w:hAnsi="Arial" w:cs="Arial"/>
        </w:rPr>
        <w:t>) emphasises a multi-sectoral model of drug prevention, recognising policing as one component within a wider strategy that includes educational initiatives, community-based interventions, and mental health support.</w:t>
      </w:r>
      <w:r w:rsidR="00375964" w:rsidRPr="00375964">
        <w:t xml:space="preserve"> </w:t>
      </w:r>
      <w:r w:rsidR="00375964" w:rsidRPr="00375964">
        <w:rPr>
          <w:rFonts w:ascii="Arial" w:hAnsi="Arial" w:cs="Arial"/>
        </w:rPr>
        <w:t>This shift reflects a growing recognition that justice-led interventions alone are insufficient to address the root causes of substance misuse</w:t>
      </w:r>
      <w:r w:rsidR="004C5420">
        <w:rPr>
          <w:rFonts w:ascii="Arial" w:hAnsi="Arial" w:cs="Arial"/>
        </w:rPr>
        <w:t>.</w:t>
      </w:r>
      <w:r w:rsidR="0088788B">
        <w:rPr>
          <w:rFonts w:ascii="Arial" w:hAnsi="Arial" w:cs="Arial"/>
        </w:rPr>
        <w:t xml:space="preserve"> </w:t>
      </w:r>
      <w:r w:rsidR="0053119E" w:rsidRPr="004C5420">
        <w:rPr>
          <w:rFonts w:ascii="Arial" w:hAnsi="Arial" w:cs="Arial"/>
        </w:rPr>
        <w:t>UK academic research reinforces this perspective</w:t>
      </w:r>
      <w:r w:rsidR="0093680D">
        <w:rPr>
          <w:rFonts w:ascii="Arial" w:hAnsi="Arial" w:cs="Arial"/>
        </w:rPr>
        <w:t>,</w:t>
      </w:r>
      <w:r w:rsidR="0053119E" w:rsidRPr="004C5420">
        <w:rPr>
          <w:rFonts w:ascii="Arial" w:hAnsi="Arial" w:cs="Arial"/>
        </w:rPr>
        <w:t xml:space="preserve"> highlight</w:t>
      </w:r>
      <w:r w:rsidR="0093680D">
        <w:rPr>
          <w:rFonts w:ascii="Arial" w:hAnsi="Arial" w:cs="Arial"/>
        </w:rPr>
        <w:t>ing</w:t>
      </w:r>
      <w:r w:rsidR="0053119E" w:rsidRPr="004C5420">
        <w:rPr>
          <w:rFonts w:ascii="Arial" w:hAnsi="Arial" w:cs="Arial"/>
        </w:rPr>
        <w:t xml:space="preserve"> that partnership working with health and community services is both essential and facilitative, enabling more effective engagement with vulnerable individuals and reducing reliance on enforcement alone. </w:t>
      </w:r>
      <w:r w:rsidR="00770E12">
        <w:rPr>
          <w:rFonts w:ascii="Arial" w:hAnsi="Arial" w:cs="Arial"/>
        </w:rPr>
        <w:t>E</w:t>
      </w:r>
      <w:r w:rsidR="0053119E" w:rsidRPr="004C5420">
        <w:rPr>
          <w:rFonts w:ascii="Arial" w:hAnsi="Arial" w:cs="Arial"/>
        </w:rPr>
        <w:t xml:space="preserve">mbedding prevention within educational, social, and </w:t>
      </w:r>
      <w:r w:rsidR="00A2096C" w:rsidRPr="004C5420">
        <w:rPr>
          <w:rFonts w:ascii="Arial" w:hAnsi="Arial" w:cs="Arial"/>
        </w:rPr>
        <w:t>health</w:t>
      </w:r>
      <w:r w:rsidR="00A2096C">
        <w:rPr>
          <w:rFonts w:ascii="Arial" w:hAnsi="Arial" w:cs="Arial"/>
        </w:rPr>
        <w:t>-based</w:t>
      </w:r>
      <w:r w:rsidR="0053119E" w:rsidRPr="004C5420">
        <w:rPr>
          <w:rFonts w:ascii="Arial" w:hAnsi="Arial" w:cs="Arial"/>
        </w:rPr>
        <w:t xml:space="preserve"> systems</w:t>
      </w:r>
      <w:r w:rsidR="00F174FB">
        <w:rPr>
          <w:rFonts w:ascii="Arial" w:hAnsi="Arial" w:cs="Arial"/>
        </w:rPr>
        <w:t xml:space="preserve"> positions</w:t>
      </w:r>
      <w:r w:rsidR="0053119E" w:rsidRPr="004C5420">
        <w:rPr>
          <w:rFonts w:ascii="Arial" w:hAnsi="Arial" w:cs="Arial"/>
        </w:rPr>
        <w:t xml:space="preserve"> policing </w:t>
      </w:r>
      <w:r w:rsidR="00F174FB">
        <w:rPr>
          <w:rFonts w:ascii="Arial" w:hAnsi="Arial" w:cs="Arial"/>
        </w:rPr>
        <w:t xml:space="preserve">as </w:t>
      </w:r>
      <w:r w:rsidR="0053119E" w:rsidRPr="004C5420">
        <w:rPr>
          <w:rFonts w:ascii="Arial" w:hAnsi="Arial" w:cs="Arial"/>
        </w:rPr>
        <w:t>part of a coordinated and sustainable approach to supporting young people</w:t>
      </w:r>
      <w:r w:rsidR="009459B4">
        <w:rPr>
          <w:rFonts w:ascii="Arial" w:hAnsi="Arial" w:cs="Arial"/>
        </w:rPr>
        <w:t xml:space="preserve"> (Smith et al., 2025)</w:t>
      </w:r>
      <w:r w:rsidR="0053119E" w:rsidRPr="004C5420">
        <w:rPr>
          <w:rFonts w:ascii="Arial" w:hAnsi="Arial" w:cs="Arial"/>
        </w:rPr>
        <w:t>.</w:t>
      </w:r>
    </w:p>
    <w:p w14:paraId="17CF4371" w14:textId="1E3264D2" w:rsidR="0082771A" w:rsidRDefault="00764532" w:rsidP="00764532">
      <w:pPr>
        <w:rPr>
          <w:rFonts w:ascii="Arial" w:hAnsi="Arial" w:cs="Arial"/>
        </w:rPr>
      </w:pPr>
      <w:r w:rsidRPr="00E32652">
        <w:rPr>
          <w:rFonts w:ascii="Arial" w:hAnsi="Arial" w:cs="Arial"/>
        </w:rPr>
        <w:t>The Local Focus Hub model, developed by Cumbria Constabulary and supported by the College of Policing, offers a structured multi-agency framework to tackle repeat crime and anti-social behaviour, often linked to substance misuse among young adults. By pooling police, housing, health, and local authority resources, the hubs use problem</w:t>
      </w:r>
      <w:r w:rsidRPr="00E32652">
        <w:rPr>
          <w:rFonts w:ascii="Arial" w:hAnsi="Arial" w:cs="Arial"/>
        </w:rPr>
        <w:noBreakHyphen/>
        <w:t>solving theory to deliver sustainable interventions that connect young people to treatment and safeguarding pathways, while reducing long</w:t>
      </w:r>
      <w:r w:rsidRPr="00E32652">
        <w:rPr>
          <w:rFonts w:ascii="Arial" w:hAnsi="Arial" w:cs="Arial"/>
        </w:rPr>
        <w:noBreakHyphen/>
        <w:t>term demand across agencies. This integrated approach has been recognised as a promising practice for wider adoption in UK policing</w:t>
      </w:r>
      <w:r w:rsidR="00555CB4">
        <w:rPr>
          <w:rFonts w:ascii="Arial" w:hAnsi="Arial" w:cs="Arial"/>
        </w:rPr>
        <w:t>.</w:t>
      </w:r>
      <w:r w:rsidR="00555CB4" w:rsidRPr="00555CB4">
        <w:rPr>
          <w:rFonts w:ascii="Times New Roman" w:eastAsia="Times New Roman" w:hAnsi="Symbol" w:cs="Times New Roman"/>
          <w:kern w:val="0"/>
          <w:sz w:val="24"/>
          <w:szCs w:val="24"/>
          <w:lang w:eastAsia="en-GB"/>
          <w14:ligatures w14:val="none"/>
        </w:rPr>
        <w:t xml:space="preserve"> </w:t>
      </w:r>
      <w:r w:rsidR="00D4582A">
        <w:rPr>
          <w:rFonts w:ascii="Arial" w:hAnsi="Arial" w:cs="Arial"/>
        </w:rPr>
        <w:t xml:space="preserve">However, </w:t>
      </w:r>
      <w:r w:rsidR="00CD3588">
        <w:rPr>
          <w:rFonts w:ascii="Arial" w:hAnsi="Arial" w:cs="Arial"/>
        </w:rPr>
        <w:t>t</w:t>
      </w:r>
      <w:r w:rsidR="00555CB4" w:rsidRPr="00D4582A">
        <w:rPr>
          <w:rFonts w:ascii="Arial" w:hAnsi="Arial" w:cs="Arial"/>
        </w:rPr>
        <w:t xml:space="preserve">he College of Policing </w:t>
      </w:r>
      <w:r w:rsidR="006D7712">
        <w:rPr>
          <w:rFonts w:ascii="Arial" w:hAnsi="Arial" w:cs="Arial"/>
        </w:rPr>
        <w:t>acknowledges</w:t>
      </w:r>
      <w:r w:rsidR="00555CB4" w:rsidRPr="00D4582A">
        <w:rPr>
          <w:rFonts w:ascii="Arial" w:hAnsi="Arial" w:cs="Arial"/>
        </w:rPr>
        <w:t xml:space="preserve"> that although hubs appear effective in reducing repeat</w:t>
      </w:r>
      <w:r w:rsidR="00D4582A">
        <w:rPr>
          <w:rFonts w:ascii="Arial" w:hAnsi="Arial" w:cs="Arial"/>
        </w:rPr>
        <w:t xml:space="preserve"> </w:t>
      </w:r>
      <w:r w:rsidR="00555CB4" w:rsidRPr="00D4582A">
        <w:rPr>
          <w:rFonts w:ascii="Arial" w:hAnsi="Arial" w:cs="Arial"/>
        </w:rPr>
        <w:t>demand, the supporting evidence is predominantly short-term or anecdotal,</w:t>
      </w:r>
      <w:r w:rsidR="008C6B7A">
        <w:rPr>
          <w:rFonts w:ascii="Arial" w:hAnsi="Arial" w:cs="Arial"/>
        </w:rPr>
        <w:t xml:space="preserve"> </w:t>
      </w:r>
      <w:r w:rsidR="00555CB4" w:rsidRPr="00D4582A">
        <w:rPr>
          <w:rFonts w:ascii="Arial" w:hAnsi="Arial" w:cs="Arial"/>
        </w:rPr>
        <w:t>limiting confidence in their wider, systemic impact</w:t>
      </w:r>
      <w:r w:rsidRPr="00E32652">
        <w:rPr>
          <w:rFonts w:ascii="Arial" w:hAnsi="Arial" w:cs="Arial"/>
        </w:rPr>
        <w:t xml:space="preserve"> (College of </w:t>
      </w:r>
      <w:r w:rsidR="00B45BDE">
        <w:rPr>
          <w:rFonts w:ascii="Arial" w:hAnsi="Arial" w:cs="Arial"/>
        </w:rPr>
        <w:t>P</w:t>
      </w:r>
      <w:r w:rsidRPr="00E32652">
        <w:rPr>
          <w:rFonts w:ascii="Arial" w:hAnsi="Arial" w:cs="Arial"/>
        </w:rPr>
        <w:t>olicing, 2025</w:t>
      </w:r>
      <w:r w:rsidR="007D0410">
        <w:rPr>
          <w:rFonts w:ascii="Arial" w:hAnsi="Arial" w:cs="Arial"/>
        </w:rPr>
        <w:t>b</w:t>
      </w:r>
      <w:r w:rsidRPr="00E32652">
        <w:rPr>
          <w:rFonts w:ascii="Arial" w:hAnsi="Arial" w:cs="Arial"/>
        </w:rPr>
        <w:t>).</w:t>
      </w:r>
    </w:p>
    <w:p w14:paraId="77B90CC1" w14:textId="385255E2" w:rsidR="009B05A0" w:rsidRPr="00EF30D8" w:rsidRDefault="009B05A0" w:rsidP="00764532">
      <w:pPr>
        <w:rPr>
          <w:rFonts w:ascii="Arial" w:hAnsi="Arial" w:cs="Arial"/>
        </w:rPr>
      </w:pPr>
      <w:r w:rsidRPr="009B05A0">
        <w:rPr>
          <w:rFonts w:ascii="Arial" w:hAnsi="Arial" w:cs="Arial"/>
        </w:rPr>
        <w:t>By situating policing within a wider public health framework, these approaches directly respond to the risk factors that heighten youth vulnerability, ensuring prevention strategies are better aligned with the underlying social and structural conditions underpinning substance misuse.</w:t>
      </w:r>
    </w:p>
    <w:p w14:paraId="6BE607DD" w14:textId="6BD65030" w:rsidR="00425D29" w:rsidRPr="00E32652" w:rsidRDefault="00B61590" w:rsidP="00764532">
      <w:pPr>
        <w:rPr>
          <w:rFonts w:ascii="Arial" w:hAnsi="Arial" w:cs="Arial"/>
          <w:b/>
          <w:bCs/>
          <w:u w:val="single"/>
        </w:rPr>
      </w:pPr>
      <w:r>
        <w:rPr>
          <w:rFonts w:ascii="Arial" w:hAnsi="Arial" w:cs="Arial"/>
          <w:b/>
          <w:bCs/>
          <w:u w:val="single"/>
        </w:rPr>
        <w:t>2.2.3</w:t>
      </w:r>
      <w:r w:rsidR="009B2A0B">
        <w:rPr>
          <w:rFonts w:ascii="Arial" w:hAnsi="Arial" w:cs="Arial"/>
          <w:b/>
          <w:bCs/>
          <w:u w:val="single"/>
        </w:rPr>
        <w:t xml:space="preserve"> </w:t>
      </w:r>
      <w:r w:rsidR="00966215" w:rsidRPr="00C66AF2">
        <w:rPr>
          <w:rFonts w:ascii="Arial" w:hAnsi="Arial" w:cs="Arial"/>
          <w:b/>
          <w:bCs/>
          <w:u w:val="single"/>
        </w:rPr>
        <w:t>Policing Strategies Against Substance Misuse</w:t>
      </w:r>
      <w:r w:rsidR="00966215">
        <w:rPr>
          <w:rFonts w:ascii="Arial" w:hAnsi="Arial" w:cs="Arial"/>
          <w:b/>
          <w:bCs/>
          <w:u w:val="single"/>
        </w:rPr>
        <w:t xml:space="preserve">: </w:t>
      </w:r>
      <w:r w:rsidR="00222106" w:rsidRPr="00C66AF2">
        <w:rPr>
          <w:rFonts w:ascii="Arial" w:hAnsi="Arial" w:cs="Arial"/>
          <w:b/>
          <w:bCs/>
          <w:u w:val="single"/>
        </w:rPr>
        <w:t>Disrupting County Lines and Safeguarding Youth</w:t>
      </w:r>
    </w:p>
    <w:p w14:paraId="57D96687" w14:textId="04B54D7F" w:rsidR="009A5D20" w:rsidRDefault="00FB1BA7" w:rsidP="00AA4509">
      <w:pPr>
        <w:rPr>
          <w:rFonts w:ascii="Arial" w:hAnsi="Arial" w:cs="Arial"/>
        </w:rPr>
      </w:pPr>
      <w:r w:rsidRPr="00556B56">
        <w:rPr>
          <w:rFonts w:ascii="Arial" w:hAnsi="Arial" w:cs="Arial"/>
        </w:rPr>
        <w:t xml:space="preserve">County lines represent a growing challenge in the UK, characterised by the exploitation of vulnerable young people through organised drug distribution networks. </w:t>
      </w:r>
      <w:r w:rsidR="001C017E" w:rsidRPr="001C017E">
        <w:rPr>
          <w:rFonts w:ascii="Arial" w:hAnsi="Arial" w:cs="Arial"/>
        </w:rPr>
        <w:t>Although policing operations increasingly disrupt these networks, criminal groups continue to develop more sophisticated methods of exploitation</w:t>
      </w:r>
      <w:r w:rsidRPr="00556B56">
        <w:rPr>
          <w:rFonts w:ascii="Arial" w:hAnsi="Arial" w:cs="Arial"/>
        </w:rPr>
        <w:t xml:space="preserve"> </w:t>
      </w:r>
      <w:r>
        <w:rPr>
          <w:rFonts w:ascii="Arial" w:hAnsi="Arial" w:cs="Arial"/>
        </w:rPr>
        <w:t>(Justice in Motion, 2025).</w:t>
      </w:r>
      <w:r w:rsidR="009A5D20">
        <w:rPr>
          <w:rFonts w:ascii="Arial" w:hAnsi="Arial" w:cs="Arial"/>
        </w:rPr>
        <w:t xml:space="preserve"> </w:t>
      </w:r>
      <w:r w:rsidR="00DD2F83">
        <w:rPr>
          <w:rFonts w:ascii="Arial" w:hAnsi="Arial" w:cs="Arial"/>
        </w:rPr>
        <w:t>According to N</w:t>
      </w:r>
      <w:r w:rsidR="00F953C5">
        <w:rPr>
          <w:rFonts w:ascii="Arial" w:hAnsi="Arial" w:cs="Arial"/>
        </w:rPr>
        <w:t>P</w:t>
      </w:r>
      <w:r w:rsidR="00DD2F83">
        <w:rPr>
          <w:rFonts w:ascii="Arial" w:hAnsi="Arial" w:cs="Arial"/>
        </w:rPr>
        <w:t xml:space="preserve">CC (2025) </w:t>
      </w:r>
      <w:r w:rsidR="00F953C5">
        <w:rPr>
          <w:rFonts w:ascii="Arial" w:hAnsi="Arial" w:cs="Arial"/>
        </w:rPr>
        <w:t>p</w:t>
      </w:r>
      <w:r w:rsidR="00AA4509" w:rsidRPr="00AA4509">
        <w:rPr>
          <w:rFonts w:ascii="Arial" w:hAnsi="Arial" w:cs="Arial"/>
        </w:rPr>
        <w:t xml:space="preserve">olicing efforts are </w:t>
      </w:r>
      <w:r w:rsidR="006B10A0" w:rsidRPr="006B10A0">
        <w:rPr>
          <w:rFonts w:ascii="Arial" w:hAnsi="Arial" w:cs="Arial"/>
        </w:rPr>
        <w:t>dismantling</w:t>
      </w:r>
      <w:r w:rsidR="006B10A0">
        <w:rPr>
          <w:rFonts w:ascii="Arial" w:hAnsi="Arial" w:cs="Arial"/>
        </w:rPr>
        <w:t xml:space="preserve"> </w:t>
      </w:r>
      <w:r w:rsidR="00AA4509" w:rsidRPr="00AA4509">
        <w:rPr>
          <w:rFonts w:ascii="Arial" w:hAnsi="Arial" w:cs="Arial"/>
        </w:rPr>
        <w:t xml:space="preserve">thousands of county lines annually, safeguarding vulnerable young people, and reducing violence linked to drug supply chains. However, the scale of </w:t>
      </w:r>
      <w:r w:rsidR="00AA4509" w:rsidRPr="00AA4509">
        <w:rPr>
          <w:rFonts w:ascii="Arial" w:hAnsi="Arial" w:cs="Arial"/>
        </w:rPr>
        <w:lastRenderedPageBreak/>
        <w:t>exploitation remains high, with tens of thousands of children at risk, underscoring the need for continued multi</w:t>
      </w:r>
      <w:r w:rsidR="00AA4509" w:rsidRPr="00AA4509">
        <w:rPr>
          <w:rFonts w:ascii="Arial" w:hAnsi="Arial" w:cs="Arial"/>
        </w:rPr>
        <w:noBreakHyphen/>
        <w:t>agency approaches that combine disruption with treatment and prevention</w:t>
      </w:r>
      <w:r w:rsidR="00AB04C0">
        <w:rPr>
          <w:rFonts w:ascii="Arial" w:hAnsi="Arial" w:cs="Arial"/>
        </w:rPr>
        <w:t xml:space="preserve"> (N</w:t>
      </w:r>
      <w:r w:rsidR="005878F4">
        <w:rPr>
          <w:rFonts w:ascii="Arial" w:hAnsi="Arial" w:cs="Arial"/>
        </w:rPr>
        <w:t>S</w:t>
      </w:r>
      <w:r w:rsidR="00AB04C0">
        <w:rPr>
          <w:rFonts w:ascii="Arial" w:hAnsi="Arial" w:cs="Arial"/>
        </w:rPr>
        <w:t>PCC</w:t>
      </w:r>
      <w:r w:rsidR="001D23D3">
        <w:rPr>
          <w:rFonts w:ascii="Arial" w:hAnsi="Arial" w:cs="Arial"/>
        </w:rPr>
        <w:t xml:space="preserve"> </w:t>
      </w:r>
      <w:r w:rsidR="00AB04C0">
        <w:rPr>
          <w:rFonts w:ascii="Arial" w:hAnsi="Arial" w:cs="Arial"/>
        </w:rPr>
        <w:t>,2025)</w:t>
      </w:r>
      <w:r w:rsidR="00AA4509" w:rsidRPr="00AA4509">
        <w:rPr>
          <w:rFonts w:ascii="Arial" w:hAnsi="Arial" w:cs="Arial"/>
        </w:rPr>
        <w:t xml:space="preserve">. </w:t>
      </w:r>
    </w:p>
    <w:p w14:paraId="06B7DC34" w14:textId="4A0E7E68" w:rsidR="00AD398B" w:rsidRDefault="00AA4509" w:rsidP="00AA4509">
      <w:pPr>
        <w:rPr>
          <w:rFonts w:ascii="Arial" w:hAnsi="Arial" w:cs="Arial"/>
        </w:rPr>
      </w:pPr>
      <w:r w:rsidRPr="00AA4509">
        <w:rPr>
          <w:rFonts w:ascii="Arial" w:hAnsi="Arial" w:cs="Arial"/>
        </w:rPr>
        <w:t>Recent figures show that between July 2024 and March 2025, police closed over 2,000 county lines and made more than 5,300 arrests, while nearly 3,000 vulnerable individuals</w:t>
      </w:r>
      <w:r w:rsidR="00E00BCD">
        <w:rPr>
          <w:rFonts w:ascii="Arial" w:hAnsi="Arial" w:cs="Arial"/>
        </w:rPr>
        <w:t xml:space="preserve">, </w:t>
      </w:r>
      <w:r w:rsidRPr="00AA4509">
        <w:rPr>
          <w:rFonts w:ascii="Arial" w:hAnsi="Arial" w:cs="Arial"/>
        </w:rPr>
        <w:t>including many young adults</w:t>
      </w:r>
      <w:r w:rsidR="00E00BCD">
        <w:rPr>
          <w:rFonts w:ascii="Arial" w:hAnsi="Arial" w:cs="Arial"/>
        </w:rPr>
        <w:t xml:space="preserve">, </w:t>
      </w:r>
      <w:r w:rsidRPr="00AA4509">
        <w:rPr>
          <w:rFonts w:ascii="Arial" w:hAnsi="Arial" w:cs="Arial"/>
        </w:rPr>
        <w:t>were referred to safeguarding partners. At the same time, an estimated 14,500 children were identified as at risk of criminal exploitation in 2023/24, with substance misuse often a central factor in their involvement</w:t>
      </w:r>
      <w:r w:rsidR="003E15E5">
        <w:rPr>
          <w:rFonts w:ascii="Arial" w:hAnsi="Arial" w:cs="Arial"/>
        </w:rPr>
        <w:t xml:space="preserve"> (Home Office, 2025).</w:t>
      </w:r>
      <w:r w:rsidR="00AD398B" w:rsidRPr="00AD398B">
        <w:rPr>
          <w:rFonts w:ascii="Arial" w:hAnsi="Arial" w:cs="Arial"/>
        </w:rPr>
        <w:t xml:space="preserve"> </w:t>
      </w:r>
      <w:r w:rsidRPr="00AA4509">
        <w:rPr>
          <w:rFonts w:ascii="Arial" w:hAnsi="Arial" w:cs="Arial"/>
        </w:rPr>
        <w:t>These statistics highlight both the scale of the challenge and the importance of integrating policing with health and social care responses to protect young people from harm and reduce long</w:t>
      </w:r>
      <w:r w:rsidRPr="00AA4509">
        <w:rPr>
          <w:rFonts w:ascii="Arial" w:hAnsi="Arial" w:cs="Arial"/>
        </w:rPr>
        <w:noBreakHyphen/>
        <w:t>term demand</w:t>
      </w:r>
      <w:r w:rsidR="00556B56">
        <w:rPr>
          <w:rFonts w:ascii="Arial" w:hAnsi="Arial" w:cs="Arial"/>
        </w:rPr>
        <w:t xml:space="preserve">. </w:t>
      </w:r>
    </w:p>
    <w:p w14:paraId="2B3D8B96" w14:textId="340B2135" w:rsidR="004E13F5" w:rsidRDefault="005C751D">
      <w:pPr>
        <w:rPr>
          <w:rFonts w:ascii="Arial" w:hAnsi="Arial" w:cs="Arial"/>
        </w:rPr>
      </w:pPr>
      <w:r w:rsidRPr="00425D29">
        <w:rPr>
          <w:rFonts w:ascii="Arial" w:hAnsi="Arial" w:cs="Arial"/>
        </w:rPr>
        <w:t>UK policing strategies for young people now combine targeted disruption of exploitative drug supply networks with preventive education, diversionary schemes, and treatment pathways. These approaches aim to reduce harm, address substance misuse among young adults, prevent unnecessary criminalisation, and support long</w:t>
      </w:r>
      <w:r w:rsidRPr="00425D29">
        <w:rPr>
          <w:rFonts w:ascii="Arial" w:hAnsi="Arial" w:cs="Arial"/>
        </w:rPr>
        <w:noBreakHyphen/>
        <w:t>term recovery, recognising drug and alcohol misuse as both a public health and policing challenge</w:t>
      </w:r>
      <w:r w:rsidR="006A3BD6">
        <w:rPr>
          <w:rFonts w:ascii="Arial" w:hAnsi="Arial" w:cs="Arial"/>
        </w:rPr>
        <w:t xml:space="preserve"> (College of Policing, 2024</w:t>
      </w:r>
      <w:r w:rsidR="001E5578">
        <w:rPr>
          <w:rFonts w:ascii="Arial" w:hAnsi="Arial" w:cs="Arial"/>
        </w:rPr>
        <w:t>)</w:t>
      </w:r>
      <w:r w:rsidRPr="00425D29">
        <w:rPr>
          <w:rFonts w:ascii="Arial" w:hAnsi="Arial" w:cs="Arial"/>
        </w:rPr>
        <w:t>.</w:t>
      </w:r>
    </w:p>
    <w:p w14:paraId="093AA2DE" w14:textId="023952BF" w:rsidR="00113E5C" w:rsidRPr="0063797E" w:rsidRDefault="0066184E">
      <w:pPr>
        <w:rPr>
          <w:rFonts w:ascii="Arial" w:hAnsi="Arial" w:cs="Arial"/>
          <w:color w:val="EE0000"/>
        </w:rPr>
      </w:pPr>
      <w:r w:rsidRPr="0063797E">
        <w:rPr>
          <w:rFonts w:ascii="Arial" w:hAnsi="Arial" w:cs="Arial"/>
          <w:color w:val="EE0000"/>
        </w:rPr>
        <w:t xml:space="preserve"> </w:t>
      </w:r>
    </w:p>
    <w:p w14:paraId="058A4D48" w14:textId="3D601CCC" w:rsidR="009925F5" w:rsidRDefault="009925F5">
      <w:pPr>
        <w:rPr>
          <w:rFonts w:ascii="Arial" w:hAnsi="Arial" w:cs="Arial"/>
          <w:b/>
          <w:bCs/>
        </w:rPr>
      </w:pPr>
      <w:r w:rsidRPr="00FA04E1">
        <w:rPr>
          <w:rFonts w:ascii="Arial" w:hAnsi="Arial" w:cs="Arial"/>
          <w:b/>
          <w:bCs/>
        </w:rPr>
        <w:t>2.3 Objective 2</w:t>
      </w:r>
    </w:p>
    <w:p w14:paraId="4EE50C5B" w14:textId="2BCE9235" w:rsidR="00DC3B01" w:rsidRDefault="00DC3B01" w:rsidP="00DC3B01">
      <w:pPr>
        <w:rPr>
          <w:rFonts w:ascii="Arial" w:hAnsi="Arial" w:cs="Arial"/>
          <w:b/>
          <w:bCs/>
          <w:u w:val="single"/>
        </w:rPr>
      </w:pPr>
      <w:r w:rsidRPr="00205E5E">
        <w:rPr>
          <w:rFonts w:ascii="Arial" w:hAnsi="Arial" w:cs="Arial"/>
          <w:b/>
          <w:bCs/>
          <w:u w:val="single"/>
        </w:rPr>
        <w:t>2.3.</w:t>
      </w:r>
      <w:r>
        <w:rPr>
          <w:rFonts w:ascii="Arial" w:hAnsi="Arial" w:cs="Arial"/>
          <w:b/>
          <w:bCs/>
          <w:u w:val="single"/>
        </w:rPr>
        <w:t>1</w:t>
      </w:r>
      <w:r w:rsidRPr="00205E5E">
        <w:rPr>
          <w:rFonts w:ascii="Arial" w:hAnsi="Arial" w:cs="Arial"/>
          <w:b/>
          <w:bCs/>
          <w:u w:val="single"/>
        </w:rPr>
        <w:t xml:space="preserve"> Structural Barriers: Accountability and Resource Limitations</w:t>
      </w:r>
    </w:p>
    <w:p w14:paraId="4417E69C" w14:textId="03C5F80B" w:rsidR="00DC3B01" w:rsidRPr="00D36EA3" w:rsidRDefault="00D94C99" w:rsidP="00DC3B01">
      <w:pPr>
        <w:rPr>
          <w:rFonts w:ascii="Arial" w:hAnsi="Arial" w:cs="Arial"/>
        </w:rPr>
      </w:pPr>
      <w:r w:rsidRPr="00D94C99">
        <w:rPr>
          <w:rFonts w:ascii="Arial" w:hAnsi="Arial" w:cs="Arial"/>
        </w:rPr>
        <w:t xml:space="preserve">Police efforts to </w:t>
      </w:r>
      <w:r>
        <w:rPr>
          <w:rFonts w:ascii="Arial" w:hAnsi="Arial" w:cs="Arial"/>
        </w:rPr>
        <w:t>implement</w:t>
      </w:r>
      <w:r w:rsidRPr="00D94C99">
        <w:rPr>
          <w:rFonts w:ascii="Arial" w:hAnsi="Arial" w:cs="Arial"/>
        </w:rPr>
        <w:t xml:space="preserve"> the UK’s national drug strategy are weakened by unclear accountability and ongoing lack of resources. </w:t>
      </w:r>
      <w:r w:rsidR="00DC3B01" w:rsidRPr="009872E3">
        <w:rPr>
          <w:rFonts w:ascii="Arial" w:hAnsi="Arial" w:cs="Arial"/>
        </w:rPr>
        <w:t xml:space="preserve">At the national level, </w:t>
      </w:r>
      <w:r w:rsidR="00DC3B01">
        <w:rPr>
          <w:rFonts w:ascii="Arial" w:hAnsi="Arial" w:cs="Arial"/>
        </w:rPr>
        <w:t>‘</w:t>
      </w:r>
      <w:r w:rsidR="00DC3B01" w:rsidRPr="00C7640D">
        <w:rPr>
          <w:rFonts w:ascii="Arial" w:hAnsi="Arial" w:cs="Arial"/>
        </w:rPr>
        <w:t>From Harm to Hope</w:t>
      </w:r>
      <w:r w:rsidR="00DC3B01">
        <w:rPr>
          <w:rFonts w:ascii="Arial" w:hAnsi="Arial" w:cs="Arial"/>
        </w:rPr>
        <w:t>’</w:t>
      </w:r>
      <w:r w:rsidR="00DC3B01" w:rsidRPr="009872E3">
        <w:rPr>
          <w:rFonts w:ascii="Arial" w:hAnsi="Arial" w:cs="Arial"/>
        </w:rPr>
        <w:t xml:space="preserve"> </w:t>
      </w:r>
      <w:r w:rsidR="002F359A">
        <w:rPr>
          <w:rFonts w:ascii="Arial" w:hAnsi="Arial" w:cs="Arial"/>
        </w:rPr>
        <w:t xml:space="preserve">aims to </w:t>
      </w:r>
      <w:r w:rsidR="00DC3B01" w:rsidRPr="009872E3">
        <w:rPr>
          <w:rFonts w:ascii="Arial" w:hAnsi="Arial" w:cs="Arial"/>
        </w:rPr>
        <w:t xml:space="preserve">expand treatment and recovery, yet police forces continue to be assessed primarily </w:t>
      </w:r>
      <w:r w:rsidR="00DF4506">
        <w:rPr>
          <w:rFonts w:ascii="Arial" w:hAnsi="Arial" w:cs="Arial"/>
        </w:rPr>
        <w:t xml:space="preserve">on </w:t>
      </w:r>
      <w:r w:rsidR="00DF4506" w:rsidRPr="00DF4506">
        <w:rPr>
          <w:rFonts w:ascii="Arial" w:hAnsi="Arial" w:cs="Arial"/>
        </w:rPr>
        <w:t>arrests, seizures, and crime reduction</w:t>
      </w:r>
      <w:r w:rsidR="009D103E">
        <w:rPr>
          <w:rFonts w:ascii="Arial" w:hAnsi="Arial" w:cs="Arial"/>
        </w:rPr>
        <w:t xml:space="preserve"> </w:t>
      </w:r>
      <w:r w:rsidR="00DC3B01" w:rsidRPr="003A0FEE">
        <w:rPr>
          <w:rFonts w:ascii="Arial" w:hAnsi="Arial" w:cs="Arial"/>
        </w:rPr>
        <w:t>(Holland et al., 2023</w:t>
      </w:r>
      <w:r w:rsidR="00DC3B01" w:rsidRPr="0076794C">
        <w:rPr>
          <w:rFonts w:ascii="Arial" w:hAnsi="Arial" w:cs="Arial"/>
        </w:rPr>
        <w:t xml:space="preserve">). This misalignment </w:t>
      </w:r>
      <w:r w:rsidR="00270196">
        <w:rPr>
          <w:rFonts w:ascii="Arial" w:hAnsi="Arial" w:cs="Arial"/>
        </w:rPr>
        <w:t xml:space="preserve">prioritises </w:t>
      </w:r>
      <w:r w:rsidR="00322415" w:rsidRPr="00322415">
        <w:rPr>
          <w:rFonts w:ascii="Arial" w:hAnsi="Arial" w:cs="Arial"/>
        </w:rPr>
        <w:t>punishment over diversion to health services, blocking genuine prevention</w:t>
      </w:r>
      <w:r w:rsidR="00DC3B01" w:rsidRPr="0076794C">
        <w:rPr>
          <w:rFonts w:ascii="Arial" w:hAnsi="Arial" w:cs="Arial"/>
        </w:rPr>
        <w:t xml:space="preserve">. </w:t>
      </w:r>
      <w:r w:rsidR="00B93970" w:rsidRPr="00B93970">
        <w:rPr>
          <w:rFonts w:ascii="Arial" w:hAnsi="Arial" w:cs="Arial"/>
        </w:rPr>
        <w:t>Local forces often lack the funding, staff, and training needed to deliver health</w:t>
      </w:r>
      <w:r w:rsidR="00B93970" w:rsidRPr="00B93970">
        <w:rPr>
          <w:rFonts w:ascii="Arial" w:hAnsi="Arial" w:cs="Arial"/>
        </w:rPr>
        <w:noBreakHyphen/>
        <w:t>focused interventions</w:t>
      </w:r>
      <w:r w:rsidR="00DC3B01">
        <w:rPr>
          <w:rFonts w:ascii="Arial" w:hAnsi="Arial" w:cs="Arial"/>
        </w:rPr>
        <w:t xml:space="preserve"> (Keenan et al., </w:t>
      </w:r>
      <w:r w:rsidR="00DC3B01" w:rsidRPr="00EF64D2">
        <w:rPr>
          <w:rFonts w:ascii="Arial" w:hAnsi="Arial" w:cs="Arial"/>
        </w:rPr>
        <w:t>2024)</w:t>
      </w:r>
      <w:r w:rsidR="00DC3B01">
        <w:rPr>
          <w:rFonts w:ascii="Arial" w:hAnsi="Arial" w:cs="Arial"/>
        </w:rPr>
        <w:t>.</w:t>
      </w:r>
      <w:r w:rsidR="009F4F2F" w:rsidRPr="009F4F2F">
        <w:t xml:space="preserve"> </w:t>
      </w:r>
      <w:r w:rsidR="00DC3B01" w:rsidRPr="0076794C">
        <w:rPr>
          <w:rFonts w:ascii="Arial" w:hAnsi="Arial" w:cs="Arial"/>
        </w:rPr>
        <w:t xml:space="preserve">Treatment and recovery services are unevenly distributed across regions, leaving officers with limited referral </w:t>
      </w:r>
      <w:r w:rsidR="00A70229">
        <w:rPr>
          <w:rFonts w:ascii="Arial" w:hAnsi="Arial" w:cs="Arial"/>
        </w:rPr>
        <w:t>options</w:t>
      </w:r>
      <w:r w:rsidR="00DC3B01" w:rsidRPr="0076794C">
        <w:rPr>
          <w:rFonts w:ascii="Arial" w:hAnsi="Arial" w:cs="Arial"/>
        </w:rPr>
        <w:t xml:space="preserve"> and </w:t>
      </w:r>
      <w:r w:rsidR="00B4156D" w:rsidRPr="009F4F2F">
        <w:rPr>
          <w:rFonts w:ascii="Arial" w:hAnsi="Arial" w:cs="Arial"/>
        </w:rPr>
        <w:t>pushing</w:t>
      </w:r>
      <w:r w:rsidR="00B4156D" w:rsidRPr="0076794C">
        <w:rPr>
          <w:rFonts w:ascii="Arial" w:hAnsi="Arial" w:cs="Arial"/>
        </w:rPr>
        <w:t xml:space="preserve"> </w:t>
      </w:r>
      <w:r w:rsidR="00DC3B01" w:rsidRPr="0076794C">
        <w:rPr>
          <w:rFonts w:ascii="Arial" w:hAnsi="Arial" w:cs="Arial"/>
        </w:rPr>
        <w:t>enforcement as the default response.</w:t>
      </w:r>
      <w:r w:rsidR="00B93970">
        <w:rPr>
          <w:rFonts w:ascii="Arial" w:hAnsi="Arial" w:cs="Arial"/>
        </w:rPr>
        <w:t xml:space="preserve"> </w:t>
      </w:r>
      <w:r w:rsidR="00EE7B7E" w:rsidRPr="00EE7B7E">
        <w:rPr>
          <w:rFonts w:ascii="Arial" w:hAnsi="Arial" w:cs="Arial"/>
        </w:rPr>
        <w:t>These dynamics highlight how the public health approach is limited by institutional priorities and scarce resources, leading to uneven and sometimes counterproductive results</w:t>
      </w:r>
      <w:r w:rsidR="00DC3B01">
        <w:rPr>
          <w:rFonts w:ascii="Arial" w:hAnsi="Arial" w:cs="Arial"/>
        </w:rPr>
        <w:t xml:space="preserve"> (Black, 2021).</w:t>
      </w:r>
    </w:p>
    <w:p w14:paraId="63F6C98F" w14:textId="5CF975B4" w:rsidR="00DC3B01" w:rsidRDefault="00DC3B01" w:rsidP="00DC3B01">
      <w:pPr>
        <w:rPr>
          <w:rFonts w:ascii="Arial" w:hAnsi="Arial" w:cs="Arial"/>
        </w:rPr>
      </w:pPr>
      <w:r w:rsidRPr="00A971AF">
        <w:rPr>
          <w:rFonts w:ascii="Arial" w:hAnsi="Arial" w:cs="Arial"/>
        </w:rPr>
        <w:t xml:space="preserve">Two years into </w:t>
      </w:r>
      <w:r>
        <w:rPr>
          <w:rFonts w:ascii="Arial" w:hAnsi="Arial" w:cs="Arial"/>
        </w:rPr>
        <w:t>‘</w:t>
      </w:r>
      <w:r w:rsidRPr="00527EFD">
        <w:rPr>
          <w:rFonts w:ascii="Arial" w:hAnsi="Arial" w:cs="Arial"/>
        </w:rPr>
        <w:t>From Harm to Hope</w:t>
      </w:r>
      <w:r>
        <w:rPr>
          <w:rFonts w:ascii="Arial" w:hAnsi="Arial" w:cs="Arial"/>
        </w:rPr>
        <w:t>’</w:t>
      </w:r>
      <w:r w:rsidRPr="00A971AF">
        <w:rPr>
          <w:rFonts w:ascii="Arial" w:hAnsi="Arial" w:cs="Arial"/>
        </w:rPr>
        <w:t>, councils have highlighted a critical gap: while the strategy provides a national framework for drug treatment and recovery, there is no equivalent national strategy for alcohol misuse. This absence forces local authorities to design their own responses, leading to uneven provision and regional disparities in care. For police, this compounds existing challenges, as alcohol-related harms often overlap with drug misuse among young adults, yet fall outside the structured pathways created under the drug strategy. Th</w:t>
      </w:r>
      <w:r w:rsidR="00323BE3">
        <w:rPr>
          <w:rFonts w:ascii="Arial" w:hAnsi="Arial" w:cs="Arial"/>
        </w:rPr>
        <w:t xml:space="preserve">is creates a </w:t>
      </w:r>
      <w:r w:rsidRPr="00A971AF">
        <w:rPr>
          <w:rFonts w:ascii="Arial" w:hAnsi="Arial" w:cs="Arial"/>
        </w:rPr>
        <w:t>fragmented landscape in which officers must navigate inconsistent referral options and rely on ad hoc partnerships, undermining the ambition of a coherent public health approach to substance misuse</w:t>
      </w:r>
      <w:r>
        <w:rPr>
          <w:rFonts w:ascii="Arial" w:hAnsi="Arial" w:cs="Arial"/>
        </w:rPr>
        <w:t xml:space="preserve"> (LGA, 2024). </w:t>
      </w:r>
    </w:p>
    <w:p w14:paraId="0F5F1CEB" w14:textId="5380ABB1" w:rsidR="00DC3B01" w:rsidRDefault="00DC3B01">
      <w:pPr>
        <w:rPr>
          <w:rFonts w:ascii="Arial" w:hAnsi="Arial" w:cs="Arial"/>
        </w:rPr>
      </w:pPr>
      <w:r w:rsidRPr="00C7640D">
        <w:rPr>
          <w:rFonts w:ascii="Arial" w:hAnsi="Arial" w:cs="Arial"/>
        </w:rPr>
        <w:t xml:space="preserve">From Harm to Hope represents a policy-level commitment to health-oriented approaches, but local policing practice remains constrained by resources, culture, and conflicting mandates. </w:t>
      </w:r>
      <w:r w:rsidRPr="00F47459">
        <w:rPr>
          <w:rFonts w:ascii="Arial" w:hAnsi="Arial" w:cs="Arial"/>
        </w:rPr>
        <w:t xml:space="preserve">Without </w:t>
      </w:r>
      <w:r>
        <w:rPr>
          <w:rFonts w:ascii="Arial" w:hAnsi="Arial" w:cs="Arial"/>
        </w:rPr>
        <w:t>stronger</w:t>
      </w:r>
      <w:r w:rsidRPr="00F47459">
        <w:rPr>
          <w:rFonts w:ascii="Arial" w:hAnsi="Arial" w:cs="Arial"/>
        </w:rPr>
        <w:t xml:space="preserve"> alignment between enforcement and public health, policing risks repeating cycles of criminalisation instead of</w:t>
      </w:r>
      <w:r w:rsidRPr="00B601CD">
        <w:rPr>
          <w:rFonts w:ascii="Arial" w:hAnsi="Arial" w:cs="Arial"/>
        </w:rPr>
        <w:t xml:space="preserve"> </w:t>
      </w:r>
      <w:r w:rsidRPr="00C7640D">
        <w:rPr>
          <w:rFonts w:ascii="Arial" w:hAnsi="Arial" w:cs="Arial"/>
        </w:rPr>
        <w:t>achieving the strategy’s vision</w:t>
      </w:r>
      <w:r w:rsidR="00E319AC">
        <w:rPr>
          <w:rFonts w:ascii="Arial" w:hAnsi="Arial" w:cs="Arial"/>
        </w:rPr>
        <w:t xml:space="preserve"> of</w:t>
      </w:r>
      <w:r w:rsidRPr="00F47459">
        <w:rPr>
          <w:rFonts w:ascii="Arial" w:hAnsi="Arial" w:cs="Arial"/>
        </w:rPr>
        <w:t xml:space="preserve"> reducing demand and saving lives.</w:t>
      </w:r>
    </w:p>
    <w:p w14:paraId="6A182E56" w14:textId="77777777" w:rsidR="00976272" w:rsidRDefault="00976272" w:rsidP="00760723">
      <w:pPr>
        <w:rPr>
          <w:rFonts w:ascii="Arial" w:hAnsi="Arial" w:cs="Arial"/>
          <w:b/>
          <w:bCs/>
          <w:u w:val="single"/>
        </w:rPr>
      </w:pPr>
    </w:p>
    <w:p w14:paraId="4BED350B" w14:textId="5841A9B3" w:rsidR="00760723" w:rsidRPr="00FA04E1" w:rsidRDefault="00760723" w:rsidP="00760723">
      <w:pPr>
        <w:rPr>
          <w:rFonts w:ascii="Arial" w:hAnsi="Arial" w:cs="Arial"/>
          <w:b/>
          <w:bCs/>
          <w:u w:val="single"/>
        </w:rPr>
      </w:pPr>
      <w:r>
        <w:rPr>
          <w:rFonts w:ascii="Arial" w:hAnsi="Arial" w:cs="Arial"/>
          <w:b/>
          <w:bCs/>
          <w:u w:val="single"/>
        </w:rPr>
        <w:lastRenderedPageBreak/>
        <w:t>2.3.</w:t>
      </w:r>
      <w:r w:rsidR="00786518">
        <w:rPr>
          <w:rFonts w:ascii="Arial" w:hAnsi="Arial" w:cs="Arial"/>
          <w:b/>
          <w:bCs/>
          <w:u w:val="single"/>
        </w:rPr>
        <w:t>2</w:t>
      </w:r>
      <w:r>
        <w:rPr>
          <w:rFonts w:ascii="Arial" w:hAnsi="Arial" w:cs="Arial"/>
          <w:b/>
          <w:bCs/>
          <w:u w:val="single"/>
        </w:rPr>
        <w:t xml:space="preserve"> </w:t>
      </w:r>
      <w:r w:rsidRPr="00FA04E1">
        <w:rPr>
          <w:rFonts w:ascii="Arial" w:hAnsi="Arial" w:cs="Arial"/>
          <w:b/>
          <w:bCs/>
          <w:u w:val="single"/>
        </w:rPr>
        <w:t>Multi-Agency Coordination and Systemic Barriers</w:t>
      </w:r>
    </w:p>
    <w:p w14:paraId="6DDE26B2" w14:textId="548AADC0" w:rsidR="00061129" w:rsidRDefault="00061129" w:rsidP="00D74C61">
      <w:pPr>
        <w:rPr>
          <w:rFonts w:ascii="Arial" w:hAnsi="Arial" w:cs="Arial"/>
        </w:rPr>
      </w:pPr>
      <w:r w:rsidRPr="00061129">
        <w:rPr>
          <w:rFonts w:ascii="Arial" w:hAnsi="Arial" w:cs="Arial"/>
        </w:rPr>
        <w:t>The Vulnerability Knowledge and Practice Programme (VKPP, 2023) has conducted in</w:t>
      </w:r>
      <w:r w:rsidRPr="00061129">
        <w:rPr>
          <w:rFonts w:ascii="Arial" w:hAnsi="Arial" w:cs="Arial"/>
        </w:rPr>
        <w:noBreakHyphen/>
        <w:t>depth analyses of serious case reviews under the Multi</w:t>
      </w:r>
      <w:r w:rsidRPr="00061129">
        <w:rPr>
          <w:rFonts w:ascii="Arial" w:hAnsi="Arial" w:cs="Arial"/>
        </w:rPr>
        <w:noBreakHyphen/>
        <w:t>Agency Public Protection Arrangements (MAPPA), uncovering enduring weaknesses in coordination between agencies, particularly around mental health provision and the safeguarding of vulnerable individuals. This pattern is echoed in Allnock, Dawson and Rawden’s (2020) meta</w:t>
      </w:r>
      <w:r w:rsidRPr="00061129">
        <w:rPr>
          <w:rFonts w:ascii="Arial" w:hAnsi="Arial" w:cs="Arial"/>
        </w:rPr>
        <w:noBreakHyphen/>
        <w:t>analysis of 126 reviews of death and serious harm, which examined the role of police in responding to child and adult vulnerability and highlighted systemic failures in information sharing and multi</w:t>
      </w:r>
      <w:r w:rsidRPr="00061129">
        <w:rPr>
          <w:rFonts w:ascii="Arial" w:hAnsi="Arial" w:cs="Arial"/>
        </w:rPr>
        <w:noBreakHyphen/>
        <w:t>agency practice, underscoring the need for adaptive and reflective approaches. Collectively, these reviews reveal</w:t>
      </w:r>
      <w:r w:rsidR="002E14E2" w:rsidRPr="002E14E2">
        <w:rPr>
          <w:rFonts w:ascii="Arial" w:hAnsi="Arial" w:cs="Arial"/>
        </w:rPr>
        <w:t xml:space="preserve"> </w:t>
      </w:r>
      <w:r w:rsidR="002E14E2" w:rsidRPr="00976CC7">
        <w:rPr>
          <w:rFonts w:ascii="Arial" w:hAnsi="Arial" w:cs="Arial"/>
        </w:rPr>
        <w:t>persistent gaps</w:t>
      </w:r>
      <w:r w:rsidRPr="00061129">
        <w:rPr>
          <w:rFonts w:ascii="Arial" w:hAnsi="Arial" w:cs="Arial"/>
        </w:rPr>
        <w:t xml:space="preserve"> in information sharing, risk assessment, and joint decision</w:t>
      </w:r>
      <w:r w:rsidRPr="00061129">
        <w:rPr>
          <w:rFonts w:ascii="Arial" w:hAnsi="Arial" w:cs="Arial"/>
        </w:rPr>
        <w:noBreakHyphen/>
        <w:t>making, demonstrating the importance of strengthening collaboration both to enhance public protection and to safeguard the rights and welfare of those most at risk.</w:t>
      </w:r>
    </w:p>
    <w:p w14:paraId="04077086" w14:textId="13C9E952" w:rsidR="00D74C61" w:rsidRPr="00A35D8D" w:rsidRDefault="00D74C61" w:rsidP="00D74C61">
      <w:pPr>
        <w:rPr>
          <w:rFonts w:ascii="Arial" w:hAnsi="Arial" w:cs="Arial"/>
        </w:rPr>
      </w:pPr>
      <w:r w:rsidRPr="00A35D8D">
        <w:rPr>
          <w:rFonts w:ascii="Arial" w:hAnsi="Arial" w:cs="Arial"/>
        </w:rPr>
        <w:t>Operational gaps in policing responses to substance misuse are most evident in the difficulties of multi</w:t>
      </w:r>
      <w:r w:rsidRPr="00A35D8D">
        <w:rPr>
          <w:rFonts w:ascii="Arial" w:hAnsi="Arial" w:cs="Arial"/>
        </w:rPr>
        <w:noBreakHyphen/>
        <w:t>agency coordination and the fragile transition experienced by young adults moving between youth and adult systems</w:t>
      </w:r>
      <w:r>
        <w:rPr>
          <w:rFonts w:ascii="Arial" w:hAnsi="Arial" w:cs="Arial"/>
        </w:rPr>
        <w:t xml:space="preserve"> (LGA, 2024)</w:t>
      </w:r>
      <w:r w:rsidRPr="00A35D8D">
        <w:rPr>
          <w:rFonts w:ascii="Arial" w:hAnsi="Arial" w:cs="Arial"/>
        </w:rPr>
        <w:t xml:space="preserve">. Effective prevention requires seamless collaboration between police, health services, education, and local authorities, yet partnerships are often fragmented and </w:t>
      </w:r>
      <w:r w:rsidR="0022618A">
        <w:rPr>
          <w:rFonts w:ascii="Arial" w:hAnsi="Arial" w:cs="Arial"/>
        </w:rPr>
        <w:t>under-</w:t>
      </w:r>
      <w:r w:rsidRPr="00A35D8D">
        <w:rPr>
          <w:rFonts w:ascii="Arial" w:hAnsi="Arial" w:cs="Arial"/>
        </w:rPr>
        <w:t xml:space="preserve">resourced. Referral pathways into treatment or support frequently </w:t>
      </w:r>
      <w:r w:rsidR="0022618A">
        <w:rPr>
          <w:rFonts w:ascii="Arial" w:hAnsi="Arial" w:cs="Arial"/>
        </w:rPr>
        <w:t>fail</w:t>
      </w:r>
      <w:r w:rsidRPr="00A35D8D">
        <w:rPr>
          <w:rFonts w:ascii="Arial" w:hAnsi="Arial" w:cs="Arial"/>
        </w:rPr>
        <w:t xml:space="preserve">, leaving officers with limited options beyond </w:t>
      </w:r>
      <w:r>
        <w:rPr>
          <w:rFonts w:ascii="Arial" w:hAnsi="Arial" w:cs="Arial"/>
        </w:rPr>
        <w:t>policing responses</w:t>
      </w:r>
      <w:r w:rsidRPr="00A35D8D">
        <w:rPr>
          <w:rFonts w:ascii="Arial" w:hAnsi="Arial" w:cs="Arial"/>
        </w:rPr>
        <w:t>.</w:t>
      </w:r>
      <w:r w:rsidR="00941646">
        <w:rPr>
          <w:rFonts w:ascii="Arial" w:hAnsi="Arial" w:cs="Arial"/>
        </w:rPr>
        <w:t xml:space="preserve"> </w:t>
      </w:r>
      <w:r w:rsidR="00F87801" w:rsidRPr="00F87801">
        <w:rPr>
          <w:rFonts w:ascii="Arial" w:hAnsi="Arial" w:cs="Arial"/>
        </w:rPr>
        <w:t>The transition at eighteen moves young people from youth justice into adult systems less suited to their needs</w:t>
      </w:r>
      <w:r w:rsidR="00941646">
        <w:rPr>
          <w:rFonts w:ascii="Arial" w:hAnsi="Arial" w:cs="Arial"/>
        </w:rPr>
        <w:t xml:space="preserve"> </w:t>
      </w:r>
      <w:r>
        <w:rPr>
          <w:rFonts w:ascii="Arial" w:hAnsi="Arial" w:cs="Arial"/>
        </w:rPr>
        <w:t>(</w:t>
      </w:r>
      <w:r w:rsidR="009D4119">
        <w:rPr>
          <w:rFonts w:ascii="Arial" w:hAnsi="Arial" w:cs="Arial"/>
        </w:rPr>
        <w:t>Criminal Justice Alliance, 2025</w:t>
      </w:r>
      <w:r>
        <w:rPr>
          <w:rFonts w:ascii="Arial" w:hAnsi="Arial" w:cs="Arial"/>
        </w:rPr>
        <w:t>)</w:t>
      </w:r>
      <w:r w:rsidRPr="00A35D8D">
        <w:rPr>
          <w:rFonts w:ascii="Arial" w:hAnsi="Arial" w:cs="Arial"/>
        </w:rPr>
        <w:t>. Police interventions during this period risk criminali</w:t>
      </w:r>
      <w:r>
        <w:rPr>
          <w:rFonts w:ascii="Arial" w:hAnsi="Arial" w:cs="Arial"/>
        </w:rPr>
        <w:t>s</w:t>
      </w:r>
      <w:r w:rsidRPr="00A35D8D">
        <w:rPr>
          <w:rFonts w:ascii="Arial" w:hAnsi="Arial" w:cs="Arial"/>
        </w:rPr>
        <w:t xml:space="preserve">ing rather than supporting vulnerable young adults, particularly those facing overlapping challenges such as housing insecurity, unemployment, or mental health difficulties. Together, these operational shortcomings undermine the strategy’s ambition to embed prevention and recovery, exposing young adults to cycles of </w:t>
      </w:r>
      <w:r>
        <w:rPr>
          <w:rFonts w:ascii="Arial" w:hAnsi="Arial" w:cs="Arial"/>
        </w:rPr>
        <w:t>intervention</w:t>
      </w:r>
      <w:r w:rsidRPr="00A35D8D">
        <w:rPr>
          <w:rFonts w:ascii="Arial" w:hAnsi="Arial" w:cs="Arial"/>
        </w:rPr>
        <w:t xml:space="preserve"> without sustained support</w:t>
      </w:r>
      <w:r>
        <w:rPr>
          <w:rFonts w:ascii="Arial" w:hAnsi="Arial" w:cs="Arial"/>
        </w:rPr>
        <w:t xml:space="preserve"> (ACMD, 2025)</w:t>
      </w:r>
      <w:r w:rsidRPr="00A35D8D">
        <w:rPr>
          <w:rFonts w:ascii="Arial" w:hAnsi="Arial" w:cs="Arial"/>
        </w:rPr>
        <w:t>.</w:t>
      </w:r>
    </w:p>
    <w:p w14:paraId="3B55BF1B" w14:textId="2C3B4CFE" w:rsidR="003E5560" w:rsidRDefault="000800AE" w:rsidP="00760723">
      <w:pPr>
        <w:rPr>
          <w:rFonts w:ascii="Arial" w:hAnsi="Arial" w:cs="Arial"/>
        </w:rPr>
      </w:pPr>
      <w:r w:rsidRPr="00A04EE1">
        <w:rPr>
          <w:rFonts w:ascii="Arial" w:hAnsi="Arial" w:cs="Arial"/>
        </w:rPr>
        <w:t xml:space="preserve">In the absence of a clear national framework, diversion practices vary significantly across local areas, creating a ‘postcode lottery’ that raises concerns about fairness and undermines public confidence. </w:t>
      </w:r>
      <w:r>
        <w:rPr>
          <w:rFonts w:ascii="Arial" w:hAnsi="Arial" w:cs="Arial"/>
        </w:rPr>
        <w:t>According to HM Inspectorate of Probation (2025) t</w:t>
      </w:r>
      <w:r w:rsidRPr="00A04EE1">
        <w:rPr>
          <w:rFonts w:ascii="Arial" w:hAnsi="Arial" w:cs="Arial"/>
        </w:rPr>
        <w:t>his inconsistency represents a key challenge in policing responses to youth diversion.</w:t>
      </w:r>
      <w:r w:rsidRPr="00781821">
        <w:t xml:space="preserve"> </w:t>
      </w:r>
      <w:r w:rsidRPr="00781821">
        <w:rPr>
          <w:rFonts w:ascii="Arial" w:hAnsi="Arial" w:cs="Arial"/>
        </w:rPr>
        <w:t>Policing practices demand stronger consistency and clearer oversight. A growing number of children, including those engaged in serious or repeat offending, were managed informally, frequently by police acting without wider support. In cases where decisions were made jointly with youth justice services, responsibilities and roles were often poorly defined. Moreover, the rationale for these decisions was not consistently documented, making it difficult to trace how particular outcomes were determined or to assess their appropriateness</w:t>
      </w:r>
      <w:r w:rsidRPr="00993ACC">
        <w:t xml:space="preserve"> </w:t>
      </w:r>
      <w:r>
        <w:t>(</w:t>
      </w:r>
      <w:r w:rsidRPr="00993ACC">
        <w:rPr>
          <w:rFonts w:ascii="Arial" w:hAnsi="Arial" w:cs="Arial"/>
        </w:rPr>
        <w:t>Youth Justice Board for</w:t>
      </w:r>
      <w:r>
        <w:rPr>
          <w:rFonts w:ascii="Arial" w:hAnsi="Arial" w:cs="Arial"/>
        </w:rPr>
        <w:t xml:space="preserve"> </w:t>
      </w:r>
      <w:r w:rsidRPr="00993ACC">
        <w:rPr>
          <w:rFonts w:ascii="Arial" w:hAnsi="Arial" w:cs="Arial"/>
        </w:rPr>
        <w:t>England and Wales</w:t>
      </w:r>
      <w:r>
        <w:rPr>
          <w:rFonts w:ascii="Arial" w:hAnsi="Arial" w:cs="Arial"/>
        </w:rPr>
        <w:t xml:space="preserve">, </w:t>
      </w:r>
      <w:r w:rsidRPr="00993ACC">
        <w:rPr>
          <w:rFonts w:ascii="Arial" w:hAnsi="Arial" w:cs="Arial"/>
        </w:rPr>
        <w:t>2025)</w:t>
      </w:r>
      <w:r w:rsidRPr="00781821">
        <w:rPr>
          <w:rFonts w:ascii="Arial" w:hAnsi="Arial" w:cs="Arial"/>
        </w:rPr>
        <w:t>.</w:t>
      </w:r>
      <w:r>
        <w:rPr>
          <w:rFonts w:ascii="Arial" w:hAnsi="Arial" w:cs="Arial"/>
        </w:rPr>
        <w:t xml:space="preserve"> </w:t>
      </w:r>
    </w:p>
    <w:p w14:paraId="43FF125A" w14:textId="4BD6453C" w:rsidR="009549FA" w:rsidRDefault="008920A3" w:rsidP="00760723">
      <w:pPr>
        <w:rPr>
          <w:rFonts w:ascii="Arial" w:hAnsi="Arial" w:cs="Arial"/>
        </w:rPr>
      </w:pPr>
      <w:r>
        <w:rPr>
          <w:rFonts w:ascii="Arial" w:hAnsi="Arial" w:cs="Arial"/>
        </w:rPr>
        <w:t>T</w:t>
      </w:r>
      <w:r w:rsidRPr="008920A3">
        <w:rPr>
          <w:rFonts w:ascii="Arial" w:hAnsi="Arial" w:cs="Arial"/>
        </w:rPr>
        <w:t xml:space="preserve">hese findings illustrate how fragmented coordination, fragile transitions, and inconsistent diversion practices weaken the effectiveness of policing responses to vulnerability and substance misuse. </w:t>
      </w:r>
      <w:r w:rsidR="009549FA" w:rsidRPr="009549FA">
        <w:rPr>
          <w:rFonts w:ascii="Arial" w:hAnsi="Arial" w:cs="Arial"/>
        </w:rPr>
        <w:t>Without stronger frameworks, accountability, and investment in collaboration, prevention stays uneven and reactive, leaving young people at risk.</w:t>
      </w:r>
    </w:p>
    <w:p w14:paraId="177576F3" w14:textId="653FFD00" w:rsidR="00205E5E" w:rsidRDefault="00205E5E" w:rsidP="003949E2">
      <w:pPr>
        <w:rPr>
          <w:rFonts w:ascii="Arial" w:hAnsi="Arial" w:cs="Arial"/>
          <w:b/>
          <w:bCs/>
          <w:u w:val="single"/>
        </w:rPr>
      </w:pPr>
      <w:r w:rsidRPr="003949E2">
        <w:rPr>
          <w:rFonts w:ascii="Arial" w:hAnsi="Arial" w:cs="Arial"/>
          <w:b/>
          <w:bCs/>
          <w:u w:val="single"/>
        </w:rPr>
        <w:t>2.3.</w:t>
      </w:r>
      <w:r w:rsidR="00875525">
        <w:rPr>
          <w:rFonts w:ascii="Arial" w:hAnsi="Arial" w:cs="Arial"/>
          <w:b/>
          <w:bCs/>
          <w:u w:val="single"/>
        </w:rPr>
        <w:t>3</w:t>
      </w:r>
      <w:r w:rsidRPr="003949E2">
        <w:rPr>
          <w:rFonts w:ascii="Arial" w:hAnsi="Arial" w:cs="Arial"/>
          <w:b/>
          <w:bCs/>
          <w:u w:val="single"/>
        </w:rPr>
        <w:t xml:space="preserve"> </w:t>
      </w:r>
      <w:r w:rsidR="00B2060A" w:rsidRPr="00B2060A">
        <w:rPr>
          <w:rFonts w:ascii="Arial" w:hAnsi="Arial" w:cs="Arial"/>
          <w:b/>
          <w:bCs/>
          <w:u w:val="single"/>
        </w:rPr>
        <w:t>Public Confidence and Policing Responses to Substance Misuse</w:t>
      </w:r>
    </w:p>
    <w:p w14:paraId="6206874C" w14:textId="18029AE9" w:rsidR="00B2060A" w:rsidRDefault="00ED4AA2" w:rsidP="00AD1DCE">
      <w:pPr>
        <w:rPr>
          <w:rFonts w:ascii="Arial" w:hAnsi="Arial" w:cs="Arial"/>
        </w:rPr>
      </w:pPr>
      <w:r w:rsidRPr="00ED4AA2">
        <w:rPr>
          <w:rFonts w:ascii="Arial" w:hAnsi="Arial" w:cs="Arial"/>
        </w:rPr>
        <w:t>In recent years, public trust and confidence in the police have been undermined by numerous instances of misconduct and criminal behaviour among serving officers and staff. Compounding this, there is a widespread perception that the police are failing to effectively address the types of crime that most impact</w:t>
      </w:r>
      <w:r w:rsidR="00982A0F">
        <w:rPr>
          <w:rFonts w:ascii="Arial" w:hAnsi="Arial" w:cs="Arial"/>
        </w:rPr>
        <w:t>s</w:t>
      </w:r>
      <w:r w:rsidRPr="00ED4AA2">
        <w:rPr>
          <w:rFonts w:ascii="Arial" w:hAnsi="Arial" w:cs="Arial"/>
        </w:rPr>
        <w:t xml:space="preserve"> local communities</w:t>
      </w:r>
      <w:r w:rsidR="004C0438">
        <w:rPr>
          <w:rFonts w:ascii="Arial" w:hAnsi="Arial" w:cs="Arial"/>
        </w:rPr>
        <w:t xml:space="preserve"> (HMICFRS, 2023)</w:t>
      </w:r>
      <w:r w:rsidRPr="00ED4AA2">
        <w:rPr>
          <w:rFonts w:ascii="Arial" w:hAnsi="Arial" w:cs="Arial"/>
        </w:rPr>
        <w:t>.</w:t>
      </w:r>
      <w:r w:rsidR="00585E11">
        <w:rPr>
          <w:rFonts w:ascii="Arial" w:hAnsi="Arial" w:cs="Arial"/>
        </w:rPr>
        <w:t xml:space="preserve"> </w:t>
      </w:r>
      <w:r w:rsidR="009A111B">
        <w:rPr>
          <w:rFonts w:ascii="Arial" w:hAnsi="Arial" w:cs="Arial"/>
        </w:rPr>
        <w:t>G</w:t>
      </w:r>
      <w:r w:rsidR="00AA50D8" w:rsidRPr="00AA50D8">
        <w:rPr>
          <w:rFonts w:ascii="Arial" w:hAnsi="Arial" w:cs="Arial"/>
        </w:rPr>
        <w:t>uidance from the College of Policing</w:t>
      </w:r>
      <w:r w:rsidR="007D0410">
        <w:rPr>
          <w:rFonts w:ascii="Arial" w:hAnsi="Arial" w:cs="Arial"/>
        </w:rPr>
        <w:t xml:space="preserve"> (2025a)</w:t>
      </w:r>
      <w:r w:rsidR="00AA50D8" w:rsidRPr="00AA50D8">
        <w:rPr>
          <w:rFonts w:ascii="Arial" w:hAnsi="Arial" w:cs="Arial"/>
        </w:rPr>
        <w:t xml:space="preserve"> stresses that police must balance enforcement with safeguarding, particularly when dealing with young people affected by </w:t>
      </w:r>
      <w:r w:rsidR="00AA50D8" w:rsidRPr="00AA50D8">
        <w:rPr>
          <w:rFonts w:ascii="Arial" w:hAnsi="Arial" w:cs="Arial"/>
        </w:rPr>
        <w:lastRenderedPageBreak/>
        <w:t>drugs or alcohol.</w:t>
      </w:r>
      <w:r w:rsidR="00FA4B93" w:rsidRPr="00FA4B93">
        <w:rPr>
          <w:rFonts w:ascii="Times New Roman" w:eastAsia="Times New Roman" w:hAnsi="Times New Roman" w:cs="Times New Roman"/>
          <w:kern w:val="0"/>
          <w:sz w:val="24"/>
          <w:szCs w:val="24"/>
          <w:lang w:eastAsia="en-GB"/>
          <w14:ligatures w14:val="none"/>
        </w:rPr>
        <w:t xml:space="preserve"> </w:t>
      </w:r>
      <w:r w:rsidR="00FA4B93" w:rsidRPr="00FA4B93">
        <w:rPr>
          <w:rFonts w:ascii="Arial" w:hAnsi="Arial" w:cs="Arial"/>
        </w:rPr>
        <w:t xml:space="preserve">The College’s </w:t>
      </w:r>
      <w:r w:rsidR="00C82722">
        <w:rPr>
          <w:rFonts w:ascii="Arial" w:hAnsi="Arial" w:cs="Arial"/>
        </w:rPr>
        <w:t>‘</w:t>
      </w:r>
      <w:r w:rsidR="00FA4B93" w:rsidRPr="00FA4B93">
        <w:rPr>
          <w:rFonts w:ascii="Arial" w:hAnsi="Arial" w:cs="Arial"/>
          <w:i/>
          <w:iCs/>
        </w:rPr>
        <w:t>Authorised Professional Practice on Alcohol and Drugs</w:t>
      </w:r>
      <w:r w:rsidR="00C82722">
        <w:rPr>
          <w:rFonts w:ascii="Arial" w:hAnsi="Arial" w:cs="Arial"/>
          <w:i/>
          <w:iCs/>
        </w:rPr>
        <w:t>’</w:t>
      </w:r>
      <w:r w:rsidR="00FA4B93" w:rsidRPr="00FA4B93">
        <w:rPr>
          <w:rFonts w:ascii="Arial" w:hAnsi="Arial" w:cs="Arial"/>
        </w:rPr>
        <w:t xml:space="preserve"> </w:t>
      </w:r>
      <w:r w:rsidR="00FB76B1">
        <w:rPr>
          <w:rFonts w:ascii="Arial" w:hAnsi="Arial" w:cs="Arial"/>
        </w:rPr>
        <w:t>(</w:t>
      </w:r>
      <w:r w:rsidR="00FB76B1" w:rsidRPr="00AA50D8">
        <w:rPr>
          <w:rFonts w:ascii="Arial" w:hAnsi="Arial" w:cs="Arial"/>
        </w:rPr>
        <w:t>College of Policing</w:t>
      </w:r>
      <w:r w:rsidR="00FB76B1">
        <w:rPr>
          <w:rFonts w:ascii="Arial" w:hAnsi="Arial" w:cs="Arial"/>
        </w:rPr>
        <w:t>, 2021) and similarly</w:t>
      </w:r>
      <w:r w:rsidR="002B1AFB">
        <w:rPr>
          <w:rFonts w:ascii="Arial" w:hAnsi="Arial" w:cs="Arial"/>
        </w:rPr>
        <w:t>, l</w:t>
      </w:r>
      <w:r w:rsidR="00D93439" w:rsidRPr="00D93439">
        <w:rPr>
          <w:rFonts w:ascii="Arial" w:hAnsi="Arial" w:cs="Arial"/>
        </w:rPr>
        <w:t>ocal initiatives such as the St Helens College and Merseyside Police “</w:t>
      </w:r>
      <w:r w:rsidR="00D93439" w:rsidRPr="00C82722">
        <w:rPr>
          <w:rFonts w:ascii="Arial" w:hAnsi="Arial" w:cs="Arial"/>
          <w:i/>
          <w:iCs/>
        </w:rPr>
        <w:t>Day of Action</w:t>
      </w:r>
      <w:r w:rsidR="00D93439" w:rsidRPr="00D93439">
        <w:rPr>
          <w:rFonts w:ascii="Arial" w:hAnsi="Arial" w:cs="Arial"/>
        </w:rPr>
        <w:t>” demonstrate how visible policing combined with education and health-based support can strengthen community trust, by showing young people that the police are committed to prevention and wellbeing rather than criminalisation</w:t>
      </w:r>
      <w:r w:rsidR="00EF68C4">
        <w:rPr>
          <w:rFonts w:ascii="Arial" w:hAnsi="Arial" w:cs="Arial"/>
        </w:rPr>
        <w:t xml:space="preserve"> (Mers</w:t>
      </w:r>
      <w:r w:rsidR="006D178C">
        <w:rPr>
          <w:rFonts w:ascii="Arial" w:hAnsi="Arial" w:cs="Arial"/>
        </w:rPr>
        <w:t>eyside Police, 2025).</w:t>
      </w:r>
      <w:r w:rsidR="00E41B52" w:rsidRPr="00E41B52">
        <w:rPr>
          <w:rFonts w:ascii="Times New Roman" w:eastAsia="Times New Roman" w:hAnsi="Times New Roman" w:cs="Times New Roman"/>
          <w:kern w:val="0"/>
          <w:sz w:val="24"/>
          <w:szCs w:val="24"/>
          <w:lang w:eastAsia="en-GB"/>
          <w14:ligatures w14:val="none"/>
        </w:rPr>
        <w:t xml:space="preserve"> </w:t>
      </w:r>
      <w:r w:rsidR="00E41B52" w:rsidRPr="00E41B52">
        <w:rPr>
          <w:rFonts w:ascii="Arial" w:hAnsi="Arial" w:cs="Arial"/>
        </w:rPr>
        <w:t xml:space="preserve">These examples illustrate that public confidence is enhanced when policing responses to substance misuse are embedded in broader systems of support, ensuring young adults are diverted toward treatment and safeguarding pathways instead of </w:t>
      </w:r>
      <w:r w:rsidR="006F0664">
        <w:rPr>
          <w:rFonts w:ascii="Arial" w:hAnsi="Arial" w:cs="Arial"/>
        </w:rPr>
        <w:t>repea</w:t>
      </w:r>
      <w:r w:rsidR="00F12C38">
        <w:rPr>
          <w:rFonts w:ascii="Arial" w:hAnsi="Arial" w:cs="Arial"/>
        </w:rPr>
        <w:t>ted sanctions</w:t>
      </w:r>
      <w:r w:rsidR="00FA6AA1">
        <w:rPr>
          <w:rFonts w:ascii="Arial" w:hAnsi="Arial" w:cs="Arial"/>
        </w:rPr>
        <w:t>.</w:t>
      </w:r>
    </w:p>
    <w:p w14:paraId="0DAEBEEC" w14:textId="77777777" w:rsidR="00117969" w:rsidRPr="005D2D9F" w:rsidRDefault="00117969" w:rsidP="00117969">
      <w:pPr>
        <w:rPr>
          <w:rFonts w:ascii="Arial" w:hAnsi="Arial" w:cs="Arial"/>
        </w:rPr>
      </w:pPr>
      <w:r w:rsidRPr="005D2D9F">
        <w:rPr>
          <w:rFonts w:ascii="Arial" w:hAnsi="Arial" w:cs="Arial"/>
        </w:rPr>
        <w:t>Overall, the challenges of limited resources, fragmented partnerships, and questions of legitimacy illustrate the complexity of delivering effective prevention and intervention through policing. Addressing these barriers requires not only operational improvements but also a stronger commitment to embedding policing within wider health and social care systems, ensuring responses are both sustainable and genuinely protective of young people.</w:t>
      </w:r>
    </w:p>
    <w:p w14:paraId="5853F4B4" w14:textId="77777777" w:rsidR="009370E4" w:rsidRDefault="009370E4" w:rsidP="00AD1DCE">
      <w:pPr>
        <w:rPr>
          <w:rFonts w:ascii="Arial" w:hAnsi="Arial" w:cs="Arial"/>
          <w:b/>
          <w:bCs/>
        </w:rPr>
      </w:pPr>
    </w:p>
    <w:p w14:paraId="00C345E4" w14:textId="0EE73E76" w:rsidR="007D6EB2" w:rsidRDefault="00AD1DCE" w:rsidP="00AD1DCE">
      <w:pPr>
        <w:rPr>
          <w:rFonts w:ascii="Arial" w:hAnsi="Arial" w:cs="Arial"/>
          <w:b/>
          <w:bCs/>
        </w:rPr>
      </w:pPr>
      <w:r w:rsidRPr="00007CB5">
        <w:rPr>
          <w:rFonts w:ascii="Arial" w:hAnsi="Arial" w:cs="Arial"/>
          <w:b/>
          <w:bCs/>
        </w:rPr>
        <w:t>2.4 Objective 3</w:t>
      </w:r>
    </w:p>
    <w:p w14:paraId="751E3B97" w14:textId="62394E81" w:rsidR="00F8733A" w:rsidRPr="00F8733A" w:rsidRDefault="00522668" w:rsidP="00F17FD7">
      <w:pPr>
        <w:rPr>
          <w:rFonts w:ascii="Arial" w:hAnsi="Arial" w:cs="Arial"/>
          <w:b/>
          <w:bCs/>
          <w:u w:val="single"/>
        </w:rPr>
      </w:pPr>
      <w:r>
        <w:rPr>
          <w:rFonts w:ascii="Arial" w:hAnsi="Arial" w:cs="Arial"/>
          <w:b/>
          <w:bCs/>
          <w:u w:val="single"/>
        </w:rPr>
        <w:t xml:space="preserve">2.4.1 </w:t>
      </w:r>
      <w:r w:rsidR="00F8733A" w:rsidRPr="00F8733A">
        <w:rPr>
          <w:rFonts w:ascii="Arial" w:hAnsi="Arial" w:cs="Arial"/>
          <w:b/>
          <w:bCs/>
          <w:u w:val="single"/>
        </w:rPr>
        <w:t>Assessing Policing Outcomes in Addressing Youth Substance Misuse</w:t>
      </w:r>
    </w:p>
    <w:p w14:paraId="15F9BEC3" w14:textId="19A33D7A" w:rsidR="00724C95" w:rsidRDefault="00F17FD7" w:rsidP="00724C95">
      <w:pPr>
        <w:rPr>
          <w:rFonts w:ascii="Arial" w:hAnsi="Arial" w:cs="Arial"/>
        </w:rPr>
      </w:pPr>
      <w:r w:rsidRPr="00C522B6">
        <w:rPr>
          <w:rFonts w:ascii="Arial" w:hAnsi="Arial" w:cs="Arial"/>
        </w:rPr>
        <w:t xml:space="preserve">Historically, UK policing strategies addressing substance misuse have been rooted in criminal justice-led models, prioritising criminalisation and legal prosecution. The </w:t>
      </w:r>
      <w:r w:rsidRPr="00BF22B0">
        <w:rPr>
          <w:rFonts w:ascii="Arial" w:hAnsi="Arial" w:cs="Arial"/>
        </w:rPr>
        <w:t>introduction</w:t>
      </w:r>
      <w:r w:rsidRPr="00C522B6">
        <w:rPr>
          <w:rFonts w:ascii="Arial" w:hAnsi="Arial" w:cs="Arial"/>
        </w:rPr>
        <w:t xml:space="preserve"> of the Misuse of Drugs Act 1971 established the statutory basis for regulating drug offences, placing police forces at the centre of prosecution efforts. However, this approach has often overlooked the complex social and psychological drivers of substance misuse, particularly among vulnerable young people, limiting its effectiveness as a preventative strategy</w:t>
      </w:r>
      <w:r w:rsidRPr="00BF22B0">
        <w:rPr>
          <w:rFonts w:ascii="Arial" w:hAnsi="Arial" w:cs="Arial"/>
        </w:rPr>
        <w:t xml:space="preserve"> (Home Office, 2024).</w:t>
      </w:r>
      <w:r>
        <w:rPr>
          <w:rFonts w:ascii="Arial" w:hAnsi="Arial" w:cs="Arial"/>
        </w:rPr>
        <w:t xml:space="preserve"> </w:t>
      </w:r>
      <w:r w:rsidRPr="00BF22B0">
        <w:rPr>
          <w:rFonts w:ascii="Arial" w:hAnsi="Arial" w:cs="Arial"/>
        </w:rPr>
        <w:t xml:space="preserve">These patterns reveal the limitations of </w:t>
      </w:r>
      <w:r>
        <w:rPr>
          <w:rFonts w:ascii="Arial" w:hAnsi="Arial" w:cs="Arial"/>
        </w:rPr>
        <w:t>a c</w:t>
      </w:r>
      <w:r w:rsidRPr="00BF22B0">
        <w:rPr>
          <w:rFonts w:ascii="Arial" w:hAnsi="Arial" w:cs="Arial"/>
        </w:rPr>
        <w:t xml:space="preserve">riminalisation-centred approach to substance use in addressing the complex </w:t>
      </w:r>
      <w:r w:rsidR="00E57996">
        <w:rPr>
          <w:rFonts w:ascii="Arial" w:hAnsi="Arial" w:cs="Arial"/>
        </w:rPr>
        <w:t>issues</w:t>
      </w:r>
      <w:r w:rsidRPr="00BF22B0">
        <w:rPr>
          <w:rFonts w:ascii="Arial" w:hAnsi="Arial" w:cs="Arial"/>
        </w:rPr>
        <w:t xml:space="preserve"> of youth substance misuse. Without a </w:t>
      </w:r>
      <w:r>
        <w:rPr>
          <w:rFonts w:ascii="Arial" w:hAnsi="Arial" w:cs="Arial"/>
        </w:rPr>
        <w:t>change police</w:t>
      </w:r>
      <w:r w:rsidRPr="00BF22B0">
        <w:rPr>
          <w:rFonts w:ascii="Arial" w:hAnsi="Arial" w:cs="Arial"/>
        </w:rPr>
        <w:t xml:space="preserve"> risk perpetuating cycles of vulnerability rather than preventing harm</w:t>
      </w:r>
      <w:r>
        <w:rPr>
          <w:rFonts w:ascii="Arial" w:hAnsi="Arial" w:cs="Arial"/>
        </w:rPr>
        <w:t xml:space="preserve"> (Bacon, 2024)</w:t>
      </w:r>
      <w:r w:rsidRPr="00BF22B0">
        <w:rPr>
          <w:rFonts w:ascii="Arial" w:hAnsi="Arial" w:cs="Arial"/>
        </w:rPr>
        <w:t>.</w:t>
      </w:r>
      <w:r w:rsidR="00E32C0E">
        <w:rPr>
          <w:rFonts w:ascii="Arial" w:hAnsi="Arial" w:cs="Arial"/>
        </w:rPr>
        <w:t xml:space="preserve"> </w:t>
      </w:r>
      <w:r w:rsidR="00FB2BE3">
        <w:rPr>
          <w:rFonts w:ascii="Arial" w:hAnsi="Arial" w:cs="Arial"/>
        </w:rPr>
        <w:t>Similarly,</w:t>
      </w:r>
      <w:r w:rsidR="004C550A">
        <w:rPr>
          <w:rFonts w:ascii="Arial" w:hAnsi="Arial" w:cs="Arial"/>
        </w:rPr>
        <w:t xml:space="preserve"> Holland et al</w:t>
      </w:r>
      <w:r w:rsidR="0013275B">
        <w:rPr>
          <w:rFonts w:ascii="Arial" w:hAnsi="Arial" w:cs="Arial"/>
        </w:rPr>
        <w:t>. (2023)</w:t>
      </w:r>
      <w:r w:rsidR="00E40586">
        <w:rPr>
          <w:rFonts w:ascii="Arial" w:hAnsi="Arial" w:cs="Arial"/>
        </w:rPr>
        <w:t xml:space="preserve"> </w:t>
      </w:r>
      <w:r w:rsidR="00FB2BE3">
        <w:rPr>
          <w:rFonts w:ascii="Arial" w:hAnsi="Arial" w:cs="Arial"/>
        </w:rPr>
        <w:t xml:space="preserve">argues that </w:t>
      </w:r>
      <w:r w:rsidR="00E40586">
        <w:rPr>
          <w:rFonts w:ascii="Arial" w:hAnsi="Arial" w:cs="Arial"/>
        </w:rPr>
        <w:t>c</w:t>
      </w:r>
      <w:r w:rsidR="00E40586" w:rsidRPr="00E40586">
        <w:rPr>
          <w:rFonts w:ascii="Arial" w:hAnsi="Arial" w:cs="Arial"/>
        </w:rPr>
        <w:t xml:space="preserve">riminalisation and enforcement have failed to reduce harm or improve outcomes over the past fifty years. </w:t>
      </w:r>
      <w:r w:rsidR="007373AA">
        <w:rPr>
          <w:rFonts w:ascii="Arial" w:hAnsi="Arial" w:cs="Arial"/>
        </w:rPr>
        <w:t>These</w:t>
      </w:r>
      <w:r w:rsidR="007373AA" w:rsidRPr="007373AA">
        <w:rPr>
          <w:rFonts w:ascii="Arial" w:hAnsi="Arial" w:cs="Arial"/>
        </w:rPr>
        <w:t xml:space="preserve"> approaches fuel stigma and block support, while a public health model</w:t>
      </w:r>
      <w:r w:rsidR="007373AA">
        <w:rPr>
          <w:rFonts w:ascii="Arial" w:hAnsi="Arial" w:cs="Arial"/>
        </w:rPr>
        <w:t xml:space="preserve">, </w:t>
      </w:r>
      <w:r w:rsidR="007373AA" w:rsidRPr="007373AA">
        <w:rPr>
          <w:rFonts w:ascii="Arial" w:hAnsi="Arial" w:cs="Arial"/>
        </w:rPr>
        <w:t>focused on prevention, treatment, and recovery</w:t>
      </w:r>
      <w:r w:rsidR="007373AA">
        <w:rPr>
          <w:rFonts w:ascii="Arial" w:hAnsi="Arial" w:cs="Arial"/>
        </w:rPr>
        <w:t xml:space="preserve">, </w:t>
      </w:r>
      <w:r w:rsidR="007373AA" w:rsidRPr="007373AA">
        <w:rPr>
          <w:rFonts w:ascii="Arial" w:hAnsi="Arial" w:cs="Arial"/>
        </w:rPr>
        <w:t xml:space="preserve">better addresses substance misuse. </w:t>
      </w:r>
      <w:r w:rsidR="000B39CD">
        <w:rPr>
          <w:rFonts w:ascii="Arial" w:hAnsi="Arial" w:cs="Arial"/>
        </w:rPr>
        <w:t xml:space="preserve">Both, </w:t>
      </w:r>
      <w:r w:rsidR="00563779" w:rsidRPr="00563779">
        <w:rPr>
          <w:rFonts w:ascii="Arial" w:hAnsi="Arial" w:cs="Arial"/>
        </w:rPr>
        <w:t xml:space="preserve">Bacon (2024) and Holland et al. (2023) </w:t>
      </w:r>
      <w:r w:rsidR="000B39CD">
        <w:rPr>
          <w:rFonts w:ascii="Arial" w:hAnsi="Arial" w:cs="Arial"/>
        </w:rPr>
        <w:t>highlight</w:t>
      </w:r>
      <w:r w:rsidR="00563779" w:rsidRPr="00563779">
        <w:rPr>
          <w:rFonts w:ascii="Arial" w:hAnsi="Arial" w:cs="Arial"/>
        </w:rPr>
        <w:t xml:space="preserve"> </w:t>
      </w:r>
      <w:r w:rsidR="00724C95" w:rsidRPr="00794C8F">
        <w:rPr>
          <w:rFonts w:ascii="Arial" w:hAnsi="Arial" w:cs="Arial"/>
        </w:rPr>
        <w:t>the need for a public health re</w:t>
      </w:r>
      <w:r w:rsidR="00724C95" w:rsidRPr="00794C8F">
        <w:rPr>
          <w:rFonts w:ascii="Arial" w:hAnsi="Arial" w:cs="Arial"/>
        </w:rPr>
        <w:noBreakHyphen/>
        <w:t>orientation of UK drug policy.</w:t>
      </w:r>
    </w:p>
    <w:p w14:paraId="40F34F1A" w14:textId="77777777" w:rsidR="009D7C01" w:rsidRDefault="009D7C01" w:rsidP="009D7C01">
      <w:pPr>
        <w:rPr>
          <w:rFonts w:ascii="Arial" w:hAnsi="Arial" w:cs="Arial"/>
        </w:rPr>
      </w:pPr>
      <w:r w:rsidRPr="006928BC">
        <w:rPr>
          <w:rFonts w:ascii="Arial" w:hAnsi="Arial" w:cs="Arial"/>
        </w:rPr>
        <w:t>Beginning in 2017</w:t>
      </w:r>
      <w:r w:rsidRPr="00C1272F">
        <w:rPr>
          <w:rFonts w:ascii="Times New Roman" w:eastAsia="Times New Roman" w:hAnsi="Times New Roman" w:cs="Times New Roman"/>
          <w:kern w:val="0"/>
          <w:sz w:val="24"/>
          <w:szCs w:val="24"/>
          <w:lang w:eastAsia="en-GB"/>
          <w14:ligatures w14:val="none"/>
        </w:rPr>
        <w:t xml:space="preserve"> </w:t>
      </w:r>
      <w:r w:rsidRPr="00C1272F">
        <w:rPr>
          <w:rFonts w:ascii="Arial" w:hAnsi="Arial" w:cs="Arial"/>
        </w:rPr>
        <w:t>attention shifted toward county lines networks, with police intensifying crackdowns on organised gangs exploiting vulnerable young people</w:t>
      </w:r>
      <w:r>
        <w:rPr>
          <w:rFonts w:ascii="Arial" w:hAnsi="Arial" w:cs="Arial"/>
        </w:rPr>
        <w:t xml:space="preserve"> (NCA, 2017)</w:t>
      </w:r>
      <w:r w:rsidRPr="00C1272F">
        <w:rPr>
          <w:rFonts w:ascii="Arial" w:hAnsi="Arial" w:cs="Arial"/>
        </w:rPr>
        <w:t>. Dedicated taskforces and safeguarding partnerships were established, but enforcement often led to the criminalisation of exploited youth. This created a paradox: policing was praised for tackling organised crime yet criticised for perpetuating cycles of vulnerability, complicating perceptions of its effectiveness in reducing harm</w:t>
      </w:r>
      <w:r>
        <w:rPr>
          <w:rFonts w:ascii="Arial" w:hAnsi="Arial" w:cs="Arial"/>
        </w:rPr>
        <w:t xml:space="preserve"> (Lloyd, et al., 2025)</w:t>
      </w:r>
      <w:r w:rsidRPr="00C1272F">
        <w:rPr>
          <w:rFonts w:ascii="Arial" w:hAnsi="Arial" w:cs="Arial"/>
        </w:rPr>
        <w:t>.</w:t>
      </w:r>
    </w:p>
    <w:p w14:paraId="512E683E" w14:textId="77777777" w:rsidR="009D7C01" w:rsidRDefault="009D7C01" w:rsidP="009D7C01">
      <w:pPr>
        <w:rPr>
          <w:rFonts w:ascii="Arial" w:hAnsi="Arial" w:cs="Arial"/>
        </w:rPr>
      </w:pPr>
      <w:r w:rsidRPr="00251718">
        <w:rPr>
          <w:rFonts w:ascii="Arial" w:hAnsi="Arial" w:cs="Arial"/>
        </w:rPr>
        <w:t xml:space="preserve">In recent years, the emergence of drug diversion initiatives </w:t>
      </w:r>
      <w:r w:rsidRPr="003F0701">
        <w:rPr>
          <w:rFonts w:ascii="Arial" w:hAnsi="Arial" w:cs="Arial"/>
        </w:rPr>
        <w:t>reflect a shift toward public health</w:t>
      </w:r>
      <w:r>
        <w:rPr>
          <w:rFonts w:ascii="Arial" w:hAnsi="Arial" w:cs="Arial"/>
        </w:rPr>
        <w:t xml:space="preserve"> </w:t>
      </w:r>
      <w:r w:rsidRPr="00251718">
        <w:rPr>
          <w:rFonts w:ascii="Arial" w:hAnsi="Arial" w:cs="Arial"/>
        </w:rPr>
        <w:t xml:space="preserve">principles. These approaches emphasise crime prevention through the promotion of life opportunities, targeting the structural health, social, and economic inequalities that often underpin offending behaviours (Bacon, 2024). </w:t>
      </w:r>
      <w:r>
        <w:rPr>
          <w:rFonts w:ascii="Arial" w:hAnsi="Arial" w:cs="Arial"/>
        </w:rPr>
        <w:t>Yet,</w:t>
      </w:r>
      <w:r w:rsidRPr="003F0701">
        <w:rPr>
          <w:rFonts w:ascii="Arial" w:hAnsi="Arial" w:cs="Arial"/>
        </w:rPr>
        <w:t xml:space="preserve"> traditional scare tactics and information</w:t>
      </w:r>
      <w:r w:rsidRPr="003F0701">
        <w:rPr>
          <w:rFonts w:ascii="Arial" w:hAnsi="Arial" w:cs="Arial"/>
        </w:rPr>
        <w:noBreakHyphen/>
        <w:t>only interventions show limited effectiveness (College of Policing, 2022). In contrast, comprehensive programmes in schools, supported by parenting and social</w:t>
      </w:r>
      <w:r w:rsidRPr="003F0701">
        <w:rPr>
          <w:rFonts w:ascii="Arial" w:hAnsi="Arial" w:cs="Arial"/>
        </w:rPr>
        <w:noBreakHyphen/>
        <w:t>emotional learning, deliver greater long</w:t>
      </w:r>
      <w:r w:rsidRPr="003F0701">
        <w:rPr>
          <w:rFonts w:ascii="Arial" w:hAnsi="Arial" w:cs="Arial"/>
        </w:rPr>
        <w:noBreakHyphen/>
        <w:t>term impact (Education Policy Institute, 2021).</w:t>
      </w:r>
    </w:p>
    <w:p w14:paraId="528DCFC1" w14:textId="77777777" w:rsidR="006F2357" w:rsidRDefault="006F2357" w:rsidP="00AD1DCE">
      <w:pPr>
        <w:rPr>
          <w:rFonts w:ascii="Arial" w:hAnsi="Arial" w:cs="Arial"/>
          <w:b/>
          <w:bCs/>
          <w:u w:val="single"/>
        </w:rPr>
      </w:pPr>
    </w:p>
    <w:p w14:paraId="24025512" w14:textId="77777777" w:rsidR="006F2357" w:rsidRDefault="006F2357" w:rsidP="00AD1DCE">
      <w:pPr>
        <w:rPr>
          <w:rFonts w:ascii="Arial" w:hAnsi="Arial" w:cs="Arial"/>
          <w:b/>
          <w:bCs/>
          <w:u w:val="single"/>
        </w:rPr>
      </w:pPr>
    </w:p>
    <w:p w14:paraId="6A054C0B" w14:textId="77777777" w:rsidR="00551D39" w:rsidRDefault="00551D39" w:rsidP="00AD1DCE">
      <w:pPr>
        <w:rPr>
          <w:rFonts w:ascii="Arial" w:hAnsi="Arial" w:cs="Arial"/>
          <w:b/>
          <w:bCs/>
          <w:u w:val="single"/>
        </w:rPr>
      </w:pPr>
    </w:p>
    <w:p w14:paraId="3BF6B9A6" w14:textId="29101BC0" w:rsidR="0063392B" w:rsidRPr="00794347" w:rsidRDefault="00522668" w:rsidP="00AD1DCE">
      <w:pPr>
        <w:rPr>
          <w:rFonts w:ascii="Arial" w:hAnsi="Arial" w:cs="Arial"/>
          <w:b/>
          <w:bCs/>
          <w:u w:val="single"/>
        </w:rPr>
      </w:pPr>
      <w:r>
        <w:rPr>
          <w:rFonts w:ascii="Arial" w:hAnsi="Arial" w:cs="Arial"/>
          <w:b/>
          <w:bCs/>
          <w:u w:val="single"/>
        </w:rPr>
        <w:t xml:space="preserve">2.4.2 </w:t>
      </w:r>
      <w:r w:rsidR="00794347" w:rsidRPr="00794347">
        <w:rPr>
          <w:rFonts w:ascii="Arial" w:hAnsi="Arial" w:cs="Arial"/>
          <w:b/>
          <w:bCs/>
          <w:u w:val="single"/>
        </w:rPr>
        <w:t>Case Studies in Reform and Policing Effectiveness</w:t>
      </w:r>
    </w:p>
    <w:p w14:paraId="5E8E5507" w14:textId="0C60A0A5" w:rsidR="00B771D5" w:rsidRDefault="00E50912" w:rsidP="00AD1DCE">
      <w:pPr>
        <w:rPr>
          <w:rFonts w:ascii="Arial" w:hAnsi="Arial" w:cs="Arial"/>
        </w:rPr>
      </w:pPr>
      <w:r w:rsidRPr="00E50912">
        <w:rPr>
          <w:rFonts w:ascii="Arial" w:hAnsi="Arial" w:cs="Arial"/>
        </w:rPr>
        <w:t>The reclassification of cannabis in 2004 provides a revealing case study of the complexities within UK drug policy and policing.</w:t>
      </w:r>
      <w:r w:rsidR="003A6B3D" w:rsidRPr="003A6B3D">
        <w:rPr>
          <w:rFonts w:ascii="Arial" w:hAnsi="Arial" w:cs="Arial"/>
        </w:rPr>
        <w:t xml:space="preserve"> </w:t>
      </w:r>
      <w:r w:rsidR="003A6B3D" w:rsidRPr="00E50912">
        <w:rPr>
          <w:rFonts w:ascii="Arial" w:hAnsi="Arial" w:cs="Arial"/>
        </w:rPr>
        <w:t>Although</w:t>
      </w:r>
      <w:r w:rsidRPr="00E50912">
        <w:rPr>
          <w:rFonts w:ascii="Arial" w:hAnsi="Arial" w:cs="Arial"/>
        </w:rPr>
        <w:t xml:space="preserve"> </w:t>
      </w:r>
      <w:r w:rsidR="003A6B3D" w:rsidRPr="003A6B3D">
        <w:rPr>
          <w:rFonts w:ascii="Arial" w:hAnsi="Arial" w:cs="Arial"/>
        </w:rPr>
        <w:t>presented as reform, its implementation exposed tensions between policy and policing, intensifying focus on minor possession and showing how coercive strategies can undermine change</w:t>
      </w:r>
      <w:r w:rsidR="003A6B3D">
        <w:rPr>
          <w:rFonts w:ascii="Arial" w:hAnsi="Arial" w:cs="Arial"/>
        </w:rPr>
        <w:t>.</w:t>
      </w:r>
      <w:r w:rsidR="00DD3CB2">
        <w:rPr>
          <w:rFonts w:ascii="Arial" w:hAnsi="Arial" w:cs="Arial"/>
        </w:rPr>
        <w:t xml:space="preserve"> </w:t>
      </w:r>
      <w:r w:rsidR="004F4C8C" w:rsidRPr="00E50912">
        <w:rPr>
          <w:rFonts w:ascii="Arial" w:hAnsi="Arial" w:cs="Arial"/>
        </w:rPr>
        <w:t xml:space="preserve">The </w:t>
      </w:r>
      <w:r w:rsidR="004F4C8C">
        <w:rPr>
          <w:rFonts w:ascii="Arial" w:hAnsi="Arial" w:cs="Arial"/>
        </w:rPr>
        <w:t>eventual</w:t>
      </w:r>
      <w:r w:rsidR="004F4C8C" w:rsidRPr="00E50912">
        <w:rPr>
          <w:rFonts w:ascii="Arial" w:hAnsi="Arial" w:cs="Arial"/>
        </w:rPr>
        <w:t xml:space="preserve"> reversal in 2009 </w:t>
      </w:r>
      <w:r w:rsidR="004F4C8C">
        <w:rPr>
          <w:rFonts w:ascii="Arial" w:hAnsi="Arial" w:cs="Arial"/>
        </w:rPr>
        <w:t>confirmed</w:t>
      </w:r>
      <w:r w:rsidR="004F4C8C" w:rsidRPr="004F4C8C">
        <w:rPr>
          <w:rFonts w:ascii="Arial" w:hAnsi="Arial" w:cs="Arial"/>
        </w:rPr>
        <w:t xml:space="preserve"> how fragile reforms are in a system driven by criminalisation, and how hard it is to align legal change with real harm reduction</w:t>
      </w:r>
      <w:r w:rsidRPr="00E50912">
        <w:rPr>
          <w:rFonts w:ascii="Arial" w:hAnsi="Arial" w:cs="Arial"/>
        </w:rPr>
        <w:t xml:space="preserve"> (Shinner, 2015). This case illustrates broader challenges for UK policing strategies in responding to substance misuse, where policy reforms frequently clash with </w:t>
      </w:r>
      <w:r w:rsidR="00E12555" w:rsidRPr="004A7A91">
        <w:rPr>
          <w:rFonts w:ascii="Arial" w:hAnsi="Arial" w:cs="Arial"/>
        </w:rPr>
        <w:t>deep-rooted</w:t>
      </w:r>
      <w:r w:rsidRPr="00E50912">
        <w:rPr>
          <w:rFonts w:ascii="Arial" w:hAnsi="Arial" w:cs="Arial"/>
        </w:rPr>
        <w:t xml:space="preserve"> enforcement practices.</w:t>
      </w:r>
      <w:r w:rsidR="0046034D">
        <w:rPr>
          <w:rFonts w:ascii="Arial" w:hAnsi="Arial" w:cs="Arial"/>
        </w:rPr>
        <w:t xml:space="preserve"> </w:t>
      </w:r>
      <w:r w:rsidRPr="00E50912">
        <w:rPr>
          <w:rFonts w:ascii="Arial" w:hAnsi="Arial" w:cs="Arial"/>
        </w:rPr>
        <w:t>By contrast, From Harm to Hope represents a more comprehensive attempt to integrate enforcement with treatment and recovery. Yet, despite its rhetorical commitment to harm reduction, the strategy continues to prioritise supply chain disruption and deterrence through policing</w:t>
      </w:r>
      <w:r w:rsidR="00767920">
        <w:rPr>
          <w:rFonts w:ascii="Arial" w:hAnsi="Arial" w:cs="Arial"/>
        </w:rPr>
        <w:t xml:space="preserve"> (Holland et al., (2023)</w:t>
      </w:r>
      <w:r w:rsidRPr="00E50912">
        <w:rPr>
          <w:rFonts w:ascii="Arial" w:hAnsi="Arial" w:cs="Arial"/>
        </w:rPr>
        <w:t xml:space="preserve">. </w:t>
      </w:r>
      <w:r w:rsidR="001B0312">
        <w:rPr>
          <w:rFonts w:ascii="Arial" w:hAnsi="Arial" w:cs="Arial"/>
        </w:rPr>
        <w:t>Considered side by side</w:t>
      </w:r>
      <w:r w:rsidRPr="00E50912">
        <w:rPr>
          <w:rFonts w:ascii="Arial" w:hAnsi="Arial" w:cs="Arial"/>
        </w:rPr>
        <w:t>, these reforms reveal a</w:t>
      </w:r>
      <w:r w:rsidR="00DB2EE8">
        <w:rPr>
          <w:rFonts w:ascii="Arial" w:hAnsi="Arial" w:cs="Arial"/>
        </w:rPr>
        <w:t xml:space="preserve">n ongoing </w:t>
      </w:r>
      <w:r w:rsidRPr="00E50912">
        <w:rPr>
          <w:rFonts w:ascii="Arial" w:hAnsi="Arial" w:cs="Arial"/>
        </w:rPr>
        <w:t>dilemma: while polic</w:t>
      </w:r>
      <w:r w:rsidR="00511573">
        <w:rPr>
          <w:rFonts w:ascii="Arial" w:hAnsi="Arial" w:cs="Arial"/>
        </w:rPr>
        <w:t>ies</w:t>
      </w:r>
      <w:r w:rsidRPr="00E50912">
        <w:rPr>
          <w:rFonts w:ascii="Arial" w:hAnsi="Arial" w:cs="Arial"/>
        </w:rPr>
        <w:t xml:space="preserve"> often gestures toward health, policing strategies remain enforcement-led. </w:t>
      </w:r>
      <w:r w:rsidR="00B771D5" w:rsidRPr="00511573">
        <w:rPr>
          <w:rFonts w:ascii="Arial" w:hAnsi="Arial" w:cs="Arial"/>
        </w:rPr>
        <w:t>Effectiveness is judged less by intentions than by the real impact on communities facing substance misuse.</w:t>
      </w:r>
    </w:p>
    <w:p w14:paraId="12E2BD18" w14:textId="7ACA9A6A" w:rsidR="00262304" w:rsidRDefault="004D65BE" w:rsidP="00FF0DB6">
      <w:pPr>
        <w:rPr>
          <w:rFonts w:ascii="Arial" w:hAnsi="Arial" w:cs="Arial"/>
        </w:rPr>
      </w:pPr>
      <w:r w:rsidRPr="004D65BE">
        <w:rPr>
          <w:rFonts w:ascii="Arial" w:hAnsi="Arial" w:cs="Arial"/>
        </w:rPr>
        <w:t xml:space="preserve">The </w:t>
      </w:r>
      <w:r w:rsidR="00C53612">
        <w:rPr>
          <w:rFonts w:ascii="Arial" w:hAnsi="Arial" w:cs="Arial"/>
        </w:rPr>
        <w:t>‘</w:t>
      </w:r>
      <w:r w:rsidRPr="004D65BE">
        <w:rPr>
          <w:rFonts w:ascii="Arial" w:hAnsi="Arial" w:cs="Arial"/>
          <w:i/>
          <w:iCs/>
        </w:rPr>
        <w:t>Spotlight on Young Adults</w:t>
      </w:r>
      <w:r w:rsidR="00C53612">
        <w:rPr>
          <w:rFonts w:ascii="Arial" w:hAnsi="Arial" w:cs="Arial"/>
          <w:i/>
          <w:iCs/>
        </w:rPr>
        <w:t>’</w:t>
      </w:r>
      <w:r w:rsidRPr="004D65BE">
        <w:rPr>
          <w:rFonts w:ascii="Arial" w:hAnsi="Arial" w:cs="Arial"/>
        </w:rPr>
        <w:t xml:space="preserve"> report by the Revolving Doors Agency (2022) shows </w:t>
      </w:r>
      <w:r w:rsidR="0028293E" w:rsidRPr="0028293E">
        <w:rPr>
          <w:rFonts w:ascii="Arial" w:hAnsi="Arial" w:cs="Arial"/>
        </w:rPr>
        <w:t xml:space="preserve">challenges and </w:t>
      </w:r>
      <w:r w:rsidR="0028293E">
        <w:rPr>
          <w:rFonts w:ascii="Arial" w:hAnsi="Arial" w:cs="Arial"/>
        </w:rPr>
        <w:t xml:space="preserve">opportunity </w:t>
      </w:r>
      <w:r w:rsidRPr="004D65BE">
        <w:rPr>
          <w:rFonts w:ascii="Arial" w:hAnsi="Arial" w:cs="Arial"/>
        </w:rPr>
        <w:t xml:space="preserve">of reform in </w:t>
      </w:r>
      <w:r w:rsidR="00DA78A7" w:rsidRPr="0028293E">
        <w:rPr>
          <w:rFonts w:ascii="Arial" w:hAnsi="Arial" w:cs="Arial"/>
        </w:rPr>
        <w:t>addressing</w:t>
      </w:r>
      <w:r w:rsidR="00DA78A7" w:rsidRPr="004D65BE">
        <w:rPr>
          <w:rFonts w:ascii="Arial" w:hAnsi="Arial" w:cs="Arial"/>
        </w:rPr>
        <w:t xml:space="preserve"> </w:t>
      </w:r>
      <w:r w:rsidRPr="004D65BE">
        <w:rPr>
          <w:rFonts w:ascii="Arial" w:hAnsi="Arial" w:cs="Arial"/>
        </w:rPr>
        <w:t xml:space="preserve">substance misuse among young people. </w:t>
      </w:r>
      <w:r w:rsidR="00DA78A7" w:rsidRPr="0028293E">
        <w:rPr>
          <w:rFonts w:ascii="Arial" w:hAnsi="Arial" w:cs="Arial"/>
        </w:rPr>
        <w:t xml:space="preserve">Despite representing </w:t>
      </w:r>
      <w:r w:rsidRPr="004D65BE">
        <w:rPr>
          <w:rFonts w:ascii="Arial" w:hAnsi="Arial" w:cs="Arial"/>
        </w:rPr>
        <w:t xml:space="preserve">only 10% of the population, young adults account for a large share of criminal justice cases, with high rates of </w:t>
      </w:r>
      <w:r w:rsidR="003C0809" w:rsidRPr="0028293E">
        <w:rPr>
          <w:rFonts w:ascii="Arial" w:hAnsi="Arial" w:cs="Arial"/>
        </w:rPr>
        <w:t>reconviction</w:t>
      </w:r>
      <w:r w:rsidRPr="004D65BE">
        <w:rPr>
          <w:rFonts w:ascii="Arial" w:hAnsi="Arial" w:cs="Arial"/>
        </w:rPr>
        <w:t xml:space="preserve"> linked to drug and alcohol use. The report </w:t>
      </w:r>
      <w:r w:rsidR="007D785F" w:rsidRPr="0028293E">
        <w:rPr>
          <w:rFonts w:ascii="Arial" w:hAnsi="Arial" w:cs="Arial"/>
        </w:rPr>
        <w:t>highlights how the transition at age 18</w:t>
      </w:r>
      <w:r w:rsidR="007D785F">
        <w:rPr>
          <w:rFonts w:ascii="Arial" w:hAnsi="Arial" w:cs="Arial"/>
        </w:rPr>
        <w:t xml:space="preserve"> </w:t>
      </w:r>
      <w:r w:rsidRPr="004D65BE">
        <w:rPr>
          <w:rFonts w:ascii="Arial" w:hAnsi="Arial" w:cs="Arial"/>
        </w:rPr>
        <w:t>is a risky stage, as many lose access to youth</w:t>
      </w:r>
      <w:r w:rsidRPr="004D65BE">
        <w:rPr>
          <w:rFonts w:ascii="Arial" w:hAnsi="Arial" w:cs="Arial"/>
        </w:rPr>
        <w:noBreakHyphen/>
        <w:t xml:space="preserve">focused support and fall into repeated cycles of punishment. Importantly, diversion schemes run by Police and Crime Commissioners </w:t>
      </w:r>
      <w:r w:rsidR="001E71B3" w:rsidRPr="0028293E">
        <w:rPr>
          <w:rFonts w:ascii="Arial" w:hAnsi="Arial" w:cs="Arial"/>
        </w:rPr>
        <w:t xml:space="preserve">demonstrate how </w:t>
      </w:r>
      <w:r w:rsidRPr="004D65BE">
        <w:rPr>
          <w:rFonts w:ascii="Arial" w:hAnsi="Arial" w:cs="Arial"/>
        </w:rPr>
        <w:t xml:space="preserve">reforms can </w:t>
      </w:r>
      <w:r w:rsidR="003A6500" w:rsidRPr="0028293E">
        <w:rPr>
          <w:rFonts w:ascii="Arial" w:hAnsi="Arial" w:cs="Arial"/>
        </w:rPr>
        <w:t>reduce</w:t>
      </w:r>
      <w:r w:rsidRPr="004D65BE">
        <w:rPr>
          <w:rFonts w:ascii="Arial" w:hAnsi="Arial" w:cs="Arial"/>
        </w:rPr>
        <w:t xml:space="preserve"> reoffending and </w:t>
      </w:r>
      <w:r w:rsidR="00987E8A" w:rsidRPr="0028293E">
        <w:rPr>
          <w:rFonts w:ascii="Arial" w:hAnsi="Arial" w:cs="Arial"/>
        </w:rPr>
        <w:t>support</w:t>
      </w:r>
      <w:r w:rsidR="00987E8A" w:rsidRPr="004D65BE">
        <w:rPr>
          <w:rFonts w:ascii="Arial" w:hAnsi="Arial" w:cs="Arial"/>
        </w:rPr>
        <w:t xml:space="preserve"> </w:t>
      </w:r>
      <w:r w:rsidRPr="004D65BE">
        <w:rPr>
          <w:rFonts w:ascii="Arial" w:hAnsi="Arial" w:cs="Arial"/>
        </w:rPr>
        <w:t xml:space="preserve">young adults move away from crime when police work together with health, education, and social services. This case </w:t>
      </w:r>
      <w:r w:rsidR="003703B1">
        <w:rPr>
          <w:rFonts w:ascii="Arial" w:hAnsi="Arial" w:cs="Arial"/>
        </w:rPr>
        <w:t xml:space="preserve">highlights </w:t>
      </w:r>
      <w:r w:rsidR="00C53612">
        <w:rPr>
          <w:rFonts w:ascii="Arial" w:hAnsi="Arial" w:cs="Arial"/>
        </w:rPr>
        <w:t xml:space="preserve">that </w:t>
      </w:r>
      <w:r w:rsidRPr="004D65BE">
        <w:rPr>
          <w:rFonts w:ascii="Arial" w:hAnsi="Arial" w:cs="Arial"/>
        </w:rPr>
        <w:t xml:space="preserve">policing </w:t>
      </w:r>
      <w:r w:rsidR="00FF0DB6" w:rsidRPr="0028293E">
        <w:rPr>
          <w:rFonts w:ascii="Arial" w:hAnsi="Arial" w:cs="Arial"/>
        </w:rPr>
        <w:t xml:space="preserve">effectiveness </w:t>
      </w:r>
      <w:r w:rsidR="00262304" w:rsidRPr="004B1B71">
        <w:rPr>
          <w:rFonts w:ascii="Arial" w:hAnsi="Arial" w:cs="Arial"/>
        </w:rPr>
        <w:t>is strengthened when officers collaborate across agencies, ensuring that responses to substance misuse address underlying vulnerabilities as well as immediate risks</w:t>
      </w:r>
      <w:r w:rsidR="009F2DEC">
        <w:rPr>
          <w:rFonts w:ascii="Arial" w:hAnsi="Arial" w:cs="Arial"/>
        </w:rPr>
        <w:t>.</w:t>
      </w:r>
    </w:p>
    <w:p w14:paraId="1D606EE5" w14:textId="090F5F60" w:rsidR="00FF0DB6" w:rsidRDefault="00FF0DB6" w:rsidP="004D65BE">
      <w:pPr>
        <w:rPr>
          <w:rFonts w:ascii="Arial" w:hAnsi="Arial" w:cs="Arial"/>
        </w:rPr>
      </w:pPr>
    </w:p>
    <w:p w14:paraId="34FCDC40" w14:textId="77777777" w:rsidR="004B3899" w:rsidRPr="0028293E" w:rsidRDefault="004B3899" w:rsidP="0028293E">
      <w:pPr>
        <w:rPr>
          <w:rFonts w:ascii="Arial" w:hAnsi="Arial" w:cs="Arial"/>
        </w:rPr>
      </w:pPr>
    </w:p>
    <w:p w14:paraId="6A21F89E" w14:textId="0D644D67" w:rsidR="003E0EAB" w:rsidRDefault="00332AF2" w:rsidP="00AD1DCE">
      <w:pPr>
        <w:rPr>
          <w:rFonts w:ascii="Arial" w:hAnsi="Arial" w:cs="Arial"/>
        </w:rPr>
      </w:pPr>
      <w:r w:rsidRPr="005F5D0D">
        <w:rPr>
          <w:rFonts w:ascii="Arial" w:hAnsi="Arial" w:cs="Arial"/>
        </w:rPr>
        <w:t>Effective prevention requires coordination across education, health, policing, and community services, with long-term investment</w:t>
      </w:r>
      <w:r>
        <w:rPr>
          <w:rFonts w:ascii="Arial" w:hAnsi="Arial" w:cs="Arial"/>
        </w:rPr>
        <w:t xml:space="preserve"> </w:t>
      </w:r>
      <w:r w:rsidRPr="009A0DD4">
        <w:rPr>
          <w:rFonts w:ascii="Arial" w:hAnsi="Arial" w:cs="Arial"/>
        </w:rPr>
        <w:t>(ACMD</w:t>
      </w:r>
      <w:r>
        <w:rPr>
          <w:rFonts w:ascii="Arial" w:hAnsi="Arial" w:cs="Arial"/>
        </w:rPr>
        <w:t>, 2025</w:t>
      </w:r>
      <w:r w:rsidRPr="009A0DD4">
        <w:rPr>
          <w:rFonts w:ascii="Arial" w:hAnsi="Arial" w:cs="Arial"/>
        </w:rPr>
        <w:t>)</w:t>
      </w:r>
      <w:r w:rsidRPr="005F5D0D">
        <w:rPr>
          <w:rFonts w:ascii="Arial" w:hAnsi="Arial" w:cs="Arial"/>
        </w:rPr>
        <w:t>.</w:t>
      </w:r>
    </w:p>
    <w:p w14:paraId="6B3EB455" w14:textId="4AB90993" w:rsidR="00290429" w:rsidRDefault="009F2DEC" w:rsidP="00AD1DCE">
      <w:pPr>
        <w:rPr>
          <w:rFonts w:ascii="Arial" w:hAnsi="Arial" w:cs="Arial"/>
          <w:color w:val="EE0000"/>
        </w:rPr>
      </w:pPr>
      <w:r>
        <w:rPr>
          <w:rFonts w:ascii="Arial" w:hAnsi="Arial" w:cs="Arial"/>
          <w:color w:val="EE0000"/>
        </w:rPr>
        <w:t>672</w:t>
      </w:r>
    </w:p>
    <w:p w14:paraId="29006116" w14:textId="65FF33D4" w:rsidR="0044403C" w:rsidRDefault="00DF0629" w:rsidP="00AD1DCE">
      <w:pPr>
        <w:rPr>
          <w:rFonts w:ascii="Arial" w:hAnsi="Arial" w:cs="Arial"/>
        </w:rPr>
      </w:pPr>
      <w:r>
        <w:rPr>
          <w:rFonts w:ascii="Arial" w:hAnsi="Arial" w:cs="Arial"/>
        </w:rPr>
        <w:t>*W</w:t>
      </w:r>
      <w:r w:rsidR="006936EF">
        <w:rPr>
          <w:rFonts w:ascii="Arial" w:hAnsi="Arial" w:cs="Arial"/>
        </w:rPr>
        <w:t>orking on the last objective and conclusion</w:t>
      </w:r>
      <w:r w:rsidR="00F36F12">
        <w:rPr>
          <w:rFonts w:ascii="Arial" w:hAnsi="Arial" w:cs="Arial"/>
        </w:rPr>
        <w:t>*</w:t>
      </w:r>
    </w:p>
    <w:p w14:paraId="757A92BE" w14:textId="77777777" w:rsidR="00326D77" w:rsidRPr="00EC6865" w:rsidRDefault="00326D77" w:rsidP="00AD1DCE">
      <w:pPr>
        <w:rPr>
          <w:rFonts w:ascii="Arial" w:hAnsi="Arial" w:cs="Arial"/>
        </w:rPr>
      </w:pPr>
    </w:p>
    <w:p w14:paraId="5C2EDF21" w14:textId="77777777" w:rsidR="00326D77" w:rsidRDefault="00C819A1" w:rsidP="00F8599D">
      <w:pPr>
        <w:rPr>
          <w:rFonts w:ascii="Arial" w:hAnsi="Arial" w:cs="Arial"/>
          <w:b/>
          <w:bCs/>
        </w:rPr>
      </w:pPr>
      <w:r w:rsidRPr="002670B7">
        <w:rPr>
          <w:rFonts w:ascii="Arial" w:hAnsi="Arial" w:cs="Arial"/>
          <w:b/>
          <w:bCs/>
        </w:rPr>
        <w:t>2.5 Conclusion</w:t>
      </w:r>
    </w:p>
    <w:p w14:paraId="6ADE4D85" w14:textId="77777777" w:rsidR="009F2DEC" w:rsidRDefault="009F2DEC" w:rsidP="00F8599D">
      <w:pPr>
        <w:rPr>
          <w:rFonts w:ascii="Arial" w:hAnsi="Arial" w:cs="Arial"/>
          <w:b/>
          <w:bCs/>
          <w:sz w:val="24"/>
          <w:szCs w:val="24"/>
        </w:rPr>
      </w:pPr>
    </w:p>
    <w:p w14:paraId="5133C911" w14:textId="77777777" w:rsidR="009F2DEC" w:rsidRDefault="009F2DEC" w:rsidP="00F8599D">
      <w:pPr>
        <w:rPr>
          <w:rFonts w:ascii="Arial" w:hAnsi="Arial" w:cs="Arial"/>
          <w:b/>
          <w:bCs/>
          <w:sz w:val="24"/>
          <w:szCs w:val="24"/>
        </w:rPr>
      </w:pPr>
    </w:p>
    <w:p w14:paraId="2D6143EB" w14:textId="77777777" w:rsidR="009F2DEC" w:rsidRDefault="009F2DEC" w:rsidP="00F8599D">
      <w:pPr>
        <w:rPr>
          <w:rFonts w:ascii="Arial" w:hAnsi="Arial" w:cs="Arial"/>
          <w:b/>
          <w:bCs/>
          <w:sz w:val="24"/>
          <w:szCs w:val="24"/>
        </w:rPr>
      </w:pPr>
    </w:p>
    <w:p w14:paraId="59A04C73" w14:textId="77777777" w:rsidR="009F2DEC" w:rsidRDefault="009F2DEC" w:rsidP="00F8599D">
      <w:pPr>
        <w:rPr>
          <w:rFonts w:ascii="Arial" w:hAnsi="Arial" w:cs="Arial"/>
          <w:b/>
          <w:bCs/>
          <w:sz w:val="24"/>
          <w:szCs w:val="24"/>
        </w:rPr>
      </w:pPr>
    </w:p>
    <w:p w14:paraId="27594459" w14:textId="77777777" w:rsidR="00976272" w:rsidRDefault="00976272" w:rsidP="00F8599D">
      <w:pPr>
        <w:rPr>
          <w:rFonts w:ascii="Arial" w:hAnsi="Arial" w:cs="Arial"/>
          <w:b/>
          <w:bCs/>
          <w:sz w:val="24"/>
          <w:szCs w:val="24"/>
        </w:rPr>
      </w:pPr>
    </w:p>
    <w:p w14:paraId="13055107" w14:textId="3E3D883C" w:rsidR="00F8599D" w:rsidRPr="00326D77" w:rsidRDefault="00F8599D" w:rsidP="00F8599D">
      <w:pPr>
        <w:rPr>
          <w:rFonts w:ascii="Arial" w:hAnsi="Arial" w:cs="Arial"/>
          <w:b/>
          <w:bCs/>
        </w:rPr>
      </w:pPr>
      <w:r w:rsidRPr="00787C12">
        <w:rPr>
          <w:rFonts w:ascii="Arial" w:hAnsi="Arial" w:cs="Arial"/>
          <w:b/>
          <w:bCs/>
          <w:sz w:val="24"/>
          <w:szCs w:val="24"/>
        </w:rPr>
        <w:lastRenderedPageBreak/>
        <w:t>References:</w:t>
      </w:r>
    </w:p>
    <w:p w14:paraId="7C810CC0" w14:textId="55FA1A5C" w:rsidR="001150C5" w:rsidRPr="006C72F2" w:rsidRDefault="001150C5" w:rsidP="00787C12">
      <w:pPr>
        <w:rPr>
          <w:rFonts w:ascii="Arial" w:hAnsi="Arial" w:cs="Arial"/>
          <w:b/>
          <w:bCs/>
          <w:i/>
          <w:iCs/>
        </w:rPr>
      </w:pPr>
      <w:r w:rsidRPr="00817BF4">
        <w:rPr>
          <w:rFonts w:ascii="Arial" w:hAnsi="Arial" w:cs="Arial"/>
        </w:rPr>
        <w:t>Advisory Council on the Misuse of drugs (202</w:t>
      </w:r>
      <w:r>
        <w:rPr>
          <w:rFonts w:ascii="Arial" w:hAnsi="Arial" w:cs="Arial"/>
        </w:rPr>
        <w:t>2</w:t>
      </w:r>
      <w:r w:rsidR="006C72F2">
        <w:rPr>
          <w:rFonts w:ascii="Arial" w:hAnsi="Arial" w:cs="Arial"/>
        </w:rPr>
        <w:t xml:space="preserve">) </w:t>
      </w:r>
      <w:r w:rsidR="006C72F2" w:rsidRPr="006C72F2">
        <w:rPr>
          <w:rFonts w:ascii="Arial" w:hAnsi="Arial" w:cs="Arial"/>
          <w:i/>
          <w:iCs/>
        </w:rPr>
        <w:t>ACMD Drug misuse prevention review.</w:t>
      </w:r>
      <w:r w:rsidR="006C72F2" w:rsidRPr="006C72F2">
        <w:rPr>
          <w:rFonts w:ascii="Arial" w:hAnsi="Arial" w:cs="Arial"/>
        </w:rPr>
        <w:t xml:space="preserve"> </w:t>
      </w:r>
      <w:r w:rsidR="006C72F2" w:rsidRPr="00817BF4">
        <w:rPr>
          <w:rFonts w:ascii="Arial" w:hAnsi="Arial" w:cs="Arial"/>
        </w:rPr>
        <w:t>Available at:</w:t>
      </w:r>
      <w:r w:rsidR="006C72F2">
        <w:rPr>
          <w:rFonts w:ascii="Arial" w:hAnsi="Arial" w:cs="Arial"/>
          <w:b/>
          <w:bCs/>
          <w:i/>
          <w:iCs/>
        </w:rPr>
        <w:t xml:space="preserve"> </w:t>
      </w:r>
      <w:hyperlink r:id="rId5" w:history="1">
        <w:r w:rsidR="006C72F2" w:rsidRPr="006C72F2">
          <w:rPr>
            <w:rStyle w:val="Hyperlink"/>
            <w:rFonts w:ascii="Arial" w:hAnsi="Arial" w:cs="Arial"/>
          </w:rPr>
          <w:t>ACMD Drug misuse prevention review (accessible) - GOV.UK</w:t>
        </w:r>
      </w:hyperlink>
      <w:r w:rsidR="006C72F2">
        <w:rPr>
          <w:rFonts w:ascii="Arial" w:hAnsi="Arial" w:cs="Arial"/>
        </w:rPr>
        <w:t xml:space="preserve"> </w:t>
      </w:r>
      <w:r w:rsidR="006C72F2" w:rsidRPr="00817BF4">
        <w:rPr>
          <w:rFonts w:ascii="Arial" w:hAnsi="Arial" w:cs="Arial"/>
        </w:rPr>
        <w:t xml:space="preserve">(Accessed: </w:t>
      </w:r>
      <w:r w:rsidR="006C72F2">
        <w:rPr>
          <w:rFonts w:ascii="Arial" w:hAnsi="Arial" w:cs="Arial"/>
        </w:rPr>
        <w:t>05</w:t>
      </w:r>
      <w:r w:rsidR="006C72F2" w:rsidRPr="00817BF4">
        <w:rPr>
          <w:rFonts w:ascii="Arial" w:hAnsi="Arial" w:cs="Arial"/>
        </w:rPr>
        <w:t>.1</w:t>
      </w:r>
      <w:r w:rsidR="006C72F2">
        <w:rPr>
          <w:rFonts w:ascii="Arial" w:hAnsi="Arial" w:cs="Arial"/>
        </w:rPr>
        <w:t>2</w:t>
      </w:r>
      <w:r w:rsidR="006C72F2" w:rsidRPr="00817BF4">
        <w:rPr>
          <w:rFonts w:ascii="Arial" w:hAnsi="Arial" w:cs="Arial"/>
        </w:rPr>
        <w:t>.25).</w:t>
      </w:r>
    </w:p>
    <w:p w14:paraId="2F37E954" w14:textId="3049063D" w:rsidR="00BF22B0" w:rsidRDefault="00BF22B0" w:rsidP="00787C12">
      <w:pPr>
        <w:rPr>
          <w:rFonts w:ascii="Arial" w:hAnsi="Arial" w:cs="Arial"/>
        </w:rPr>
      </w:pPr>
      <w:r w:rsidRPr="00817BF4">
        <w:rPr>
          <w:rFonts w:ascii="Arial" w:hAnsi="Arial" w:cs="Arial"/>
        </w:rPr>
        <w:t xml:space="preserve">Advisory Council on the Misuse of drugs (2025) </w:t>
      </w:r>
      <w:r w:rsidRPr="00817BF4">
        <w:rPr>
          <w:rFonts w:ascii="Arial" w:hAnsi="Arial" w:cs="Arial"/>
          <w:i/>
          <w:iCs/>
        </w:rPr>
        <w:t>A Whole-System Response to Drug Prevention in the UK</w:t>
      </w:r>
      <w:r w:rsidRPr="00817BF4">
        <w:rPr>
          <w:rFonts w:ascii="Arial" w:hAnsi="Arial" w:cs="Arial"/>
        </w:rPr>
        <w:t xml:space="preserve">. Available at: </w:t>
      </w:r>
      <w:hyperlink r:id="rId6" w:history="1">
        <w:r w:rsidRPr="00817BF4">
          <w:rPr>
            <w:rStyle w:val="Hyperlink"/>
            <w:rFonts w:ascii="Arial" w:hAnsi="Arial" w:cs="Arial"/>
          </w:rPr>
          <w:t>A whole system response to drug prevention in the UK</w:t>
        </w:r>
      </w:hyperlink>
      <w:r w:rsidRPr="00817BF4">
        <w:rPr>
          <w:rFonts w:ascii="Arial" w:hAnsi="Arial" w:cs="Arial"/>
        </w:rPr>
        <w:t xml:space="preserve"> (Accessed: 09.10.25).</w:t>
      </w:r>
    </w:p>
    <w:p w14:paraId="3683BA55" w14:textId="5F522A13" w:rsidR="007321FA" w:rsidRPr="003A1A15" w:rsidRDefault="007321FA" w:rsidP="00787C12">
      <w:pPr>
        <w:rPr>
          <w:rFonts w:ascii="Arial" w:hAnsi="Arial" w:cs="Arial"/>
          <w:b/>
          <w:bCs/>
          <w:i/>
          <w:iCs/>
        </w:rPr>
      </w:pPr>
      <w:r>
        <w:rPr>
          <w:rFonts w:ascii="Arial" w:hAnsi="Arial" w:cs="Arial"/>
        </w:rPr>
        <w:t>Allnock, D.</w:t>
      </w:r>
      <w:r w:rsidR="00AB0770">
        <w:rPr>
          <w:rFonts w:ascii="Arial" w:hAnsi="Arial" w:cs="Arial"/>
        </w:rPr>
        <w:t>, Dawson, J., Rawden, H. (2020)</w:t>
      </w:r>
      <w:r w:rsidR="00230AC7">
        <w:rPr>
          <w:rFonts w:ascii="Arial" w:hAnsi="Arial" w:cs="Arial"/>
        </w:rPr>
        <w:t xml:space="preserve"> </w:t>
      </w:r>
      <w:r w:rsidR="00230AC7" w:rsidRPr="00230AC7">
        <w:rPr>
          <w:rFonts w:ascii="Arial" w:hAnsi="Arial" w:cs="Arial"/>
        </w:rPr>
        <w:t>The role of police in responding to child and adult vulnerability: A meta-analysis of 126 reviews of death and serious harm</w:t>
      </w:r>
      <w:r w:rsidR="00D45038">
        <w:rPr>
          <w:rFonts w:ascii="Arial" w:hAnsi="Arial" w:cs="Arial"/>
        </w:rPr>
        <w:t>.</w:t>
      </w:r>
      <w:r w:rsidR="00114596" w:rsidRPr="00114596">
        <w:t xml:space="preserve"> </w:t>
      </w:r>
      <w:r w:rsidR="00114596" w:rsidRPr="00114596">
        <w:rPr>
          <w:rFonts w:ascii="Arial" w:hAnsi="Arial" w:cs="Arial"/>
          <w:i/>
          <w:iCs/>
        </w:rPr>
        <w:t>Vulnerability Knowledge and Practice Programme</w:t>
      </w:r>
      <w:r w:rsidR="00114596">
        <w:rPr>
          <w:rFonts w:ascii="Arial" w:hAnsi="Arial" w:cs="Arial"/>
          <w:i/>
          <w:iCs/>
        </w:rPr>
        <w:t xml:space="preserve">. </w:t>
      </w:r>
      <w:r w:rsidR="003A1A15" w:rsidRPr="00817BF4">
        <w:rPr>
          <w:rFonts w:ascii="Arial" w:hAnsi="Arial" w:cs="Arial"/>
        </w:rPr>
        <w:t>Available at:</w:t>
      </w:r>
      <w:r w:rsidR="003A1A15">
        <w:rPr>
          <w:rFonts w:ascii="Arial" w:hAnsi="Arial" w:cs="Arial"/>
        </w:rPr>
        <w:t xml:space="preserve"> </w:t>
      </w:r>
      <w:hyperlink r:id="rId7" w:history="1">
        <w:r w:rsidR="003A1A15" w:rsidRPr="003A1A15">
          <w:rPr>
            <w:rStyle w:val="Hyperlink"/>
            <w:rFonts w:ascii="Arial" w:hAnsi="Arial" w:cs="Arial"/>
            <w:i/>
            <w:iCs/>
          </w:rPr>
          <w:t>Meta Analysis</w:t>
        </w:r>
      </w:hyperlink>
      <w:r w:rsidR="003A1A15">
        <w:rPr>
          <w:rFonts w:ascii="Arial" w:hAnsi="Arial" w:cs="Arial"/>
          <w:i/>
          <w:iCs/>
        </w:rPr>
        <w:t xml:space="preserve"> </w:t>
      </w:r>
      <w:r w:rsidR="003A1A15" w:rsidRPr="00817BF4">
        <w:rPr>
          <w:rFonts w:ascii="Arial" w:hAnsi="Arial" w:cs="Arial"/>
        </w:rPr>
        <w:t xml:space="preserve">(Accessed: </w:t>
      </w:r>
      <w:r w:rsidR="003A1A15">
        <w:rPr>
          <w:rFonts w:ascii="Arial" w:hAnsi="Arial" w:cs="Arial"/>
        </w:rPr>
        <w:t>05</w:t>
      </w:r>
      <w:r w:rsidR="003A1A15" w:rsidRPr="00817BF4">
        <w:rPr>
          <w:rFonts w:ascii="Arial" w:hAnsi="Arial" w:cs="Arial"/>
        </w:rPr>
        <w:t>.1</w:t>
      </w:r>
      <w:r w:rsidR="003A1A15">
        <w:rPr>
          <w:rFonts w:ascii="Arial" w:hAnsi="Arial" w:cs="Arial"/>
        </w:rPr>
        <w:t>2</w:t>
      </w:r>
      <w:r w:rsidR="003A1A15" w:rsidRPr="00817BF4">
        <w:rPr>
          <w:rFonts w:ascii="Arial" w:hAnsi="Arial" w:cs="Arial"/>
        </w:rPr>
        <w:t>.25).</w:t>
      </w:r>
    </w:p>
    <w:p w14:paraId="03FC4941" w14:textId="58C66A43" w:rsidR="00B03F37" w:rsidRDefault="00B03F37" w:rsidP="00787C12">
      <w:pPr>
        <w:rPr>
          <w:rFonts w:ascii="Arial" w:hAnsi="Arial" w:cs="Arial"/>
        </w:rPr>
      </w:pPr>
      <w:r w:rsidRPr="00A272E5">
        <w:rPr>
          <w:rFonts w:ascii="Arial" w:hAnsi="Arial" w:cs="Arial"/>
        </w:rPr>
        <w:t>Association of Police and Crime Commissioners</w:t>
      </w:r>
      <w:r w:rsidR="007E2A74">
        <w:rPr>
          <w:rFonts w:ascii="Arial" w:hAnsi="Arial" w:cs="Arial"/>
        </w:rPr>
        <w:t xml:space="preserve"> (2025</w:t>
      </w:r>
      <w:r w:rsidR="009C5200">
        <w:rPr>
          <w:rFonts w:ascii="Arial" w:hAnsi="Arial" w:cs="Arial"/>
        </w:rPr>
        <w:t>a</w:t>
      </w:r>
      <w:r w:rsidR="007E2A74">
        <w:rPr>
          <w:rFonts w:ascii="Arial" w:hAnsi="Arial" w:cs="Arial"/>
        </w:rPr>
        <w:t xml:space="preserve">) </w:t>
      </w:r>
      <w:r w:rsidR="007E2A74" w:rsidRPr="00B10D2D">
        <w:rPr>
          <w:rFonts w:ascii="Arial" w:hAnsi="Arial" w:cs="Arial"/>
          <w:i/>
          <w:iCs/>
        </w:rPr>
        <w:t>Local multi-agency collaboration and PCC oversight are key to cutting crime says new APCC report</w:t>
      </w:r>
      <w:r w:rsidR="007E2A74">
        <w:rPr>
          <w:rFonts w:ascii="Arial" w:hAnsi="Arial" w:cs="Arial"/>
        </w:rPr>
        <w:t xml:space="preserve">. </w:t>
      </w:r>
      <w:r w:rsidR="007E2A74" w:rsidRPr="00817BF4">
        <w:rPr>
          <w:rFonts w:ascii="Arial" w:hAnsi="Arial" w:cs="Arial"/>
        </w:rPr>
        <w:t>Available at:</w:t>
      </w:r>
      <w:r w:rsidR="0067033F" w:rsidRPr="0067033F">
        <w:t xml:space="preserve"> </w:t>
      </w:r>
      <w:hyperlink r:id="rId8" w:history="1">
        <w:r w:rsidR="0067033F" w:rsidRPr="0067033F">
          <w:rPr>
            <w:rStyle w:val="Hyperlink"/>
            <w:rFonts w:ascii="Arial" w:hAnsi="Arial" w:cs="Arial"/>
          </w:rPr>
          <w:t>Local multi-agency collaboration and PCC oversight are key to cutting crime says new APCC report - The Association of Police and Crime Commissioners</w:t>
        </w:r>
      </w:hyperlink>
      <w:r w:rsidR="0067033F">
        <w:rPr>
          <w:rFonts w:ascii="Arial" w:hAnsi="Arial" w:cs="Arial"/>
        </w:rPr>
        <w:t xml:space="preserve"> </w:t>
      </w:r>
      <w:r w:rsidR="0067033F" w:rsidRPr="00817BF4">
        <w:rPr>
          <w:rFonts w:ascii="Arial" w:hAnsi="Arial" w:cs="Arial"/>
        </w:rPr>
        <w:t xml:space="preserve">(Accessed: </w:t>
      </w:r>
      <w:r w:rsidR="0067033F">
        <w:rPr>
          <w:rFonts w:ascii="Arial" w:hAnsi="Arial" w:cs="Arial"/>
        </w:rPr>
        <w:t>2</w:t>
      </w:r>
      <w:r w:rsidR="0067033F" w:rsidRPr="00817BF4">
        <w:rPr>
          <w:rFonts w:ascii="Arial" w:hAnsi="Arial" w:cs="Arial"/>
        </w:rPr>
        <w:t>0.1</w:t>
      </w:r>
      <w:r w:rsidR="0067033F">
        <w:rPr>
          <w:rFonts w:ascii="Arial" w:hAnsi="Arial" w:cs="Arial"/>
        </w:rPr>
        <w:t>1</w:t>
      </w:r>
      <w:r w:rsidR="0067033F" w:rsidRPr="00817BF4">
        <w:rPr>
          <w:rFonts w:ascii="Arial" w:hAnsi="Arial" w:cs="Arial"/>
        </w:rPr>
        <w:t>.25).</w:t>
      </w:r>
    </w:p>
    <w:p w14:paraId="55CE5617" w14:textId="16C839C6" w:rsidR="00765B95" w:rsidRPr="00041DAC" w:rsidRDefault="009C5200" w:rsidP="00787C12">
      <w:pPr>
        <w:rPr>
          <w:rFonts w:ascii="Arial" w:hAnsi="Arial" w:cs="Arial"/>
        </w:rPr>
      </w:pPr>
      <w:r w:rsidRPr="00A272E5">
        <w:rPr>
          <w:rFonts w:ascii="Arial" w:hAnsi="Arial" w:cs="Arial"/>
        </w:rPr>
        <w:t>Association of Police and Crime Commissioners</w:t>
      </w:r>
      <w:r>
        <w:rPr>
          <w:rFonts w:ascii="Arial" w:hAnsi="Arial" w:cs="Arial"/>
        </w:rPr>
        <w:t xml:space="preserve"> (2025b)</w:t>
      </w:r>
      <w:r w:rsidR="00B43D9C" w:rsidRPr="00B43D9C">
        <w:rPr>
          <w:rFonts w:ascii="Roboto" w:eastAsia="Times New Roman" w:hAnsi="Roboto" w:cs="Times New Roman"/>
          <w:b/>
          <w:bCs/>
          <w:color w:val="212121"/>
          <w:kern w:val="36"/>
          <w:sz w:val="48"/>
          <w:szCs w:val="48"/>
          <w:lang w:eastAsia="en-GB"/>
          <w14:ligatures w14:val="none"/>
        </w:rPr>
        <w:t xml:space="preserve"> </w:t>
      </w:r>
      <w:r w:rsidR="00B43D9C" w:rsidRPr="00B43D9C">
        <w:rPr>
          <w:rFonts w:ascii="Arial" w:hAnsi="Arial" w:cs="Arial"/>
          <w:i/>
          <w:iCs/>
        </w:rPr>
        <w:t>APCC Local Criminal Justice Boards guidance: Briefing for new PCCs</w:t>
      </w:r>
      <w:r w:rsidR="00B43D9C">
        <w:rPr>
          <w:rFonts w:ascii="Arial" w:hAnsi="Arial" w:cs="Arial"/>
          <w:i/>
          <w:iCs/>
        </w:rPr>
        <w:t>.</w:t>
      </w:r>
      <w:r w:rsidR="00B43D9C" w:rsidRPr="00B43D9C">
        <w:rPr>
          <w:rFonts w:ascii="Arial" w:hAnsi="Arial" w:cs="Arial"/>
        </w:rPr>
        <w:t xml:space="preserve"> </w:t>
      </w:r>
      <w:r w:rsidR="00B43D9C" w:rsidRPr="00817BF4">
        <w:rPr>
          <w:rFonts w:ascii="Arial" w:hAnsi="Arial" w:cs="Arial"/>
        </w:rPr>
        <w:t>Available at:</w:t>
      </w:r>
      <w:r w:rsidR="00FA6799" w:rsidRPr="00FA6799">
        <w:t xml:space="preserve"> </w:t>
      </w:r>
      <w:hyperlink r:id="rId9" w:history="1">
        <w:r w:rsidR="00FA6799" w:rsidRPr="00FA6799">
          <w:rPr>
            <w:rStyle w:val="Hyperlink"/>
            <w:rFonts w:ascii="Arial" w:hAnsi="Arial" w:cs="Arial"/>
          </w:rPr>
          <w:t>APCC Local Criminal Justice Boards guidance: Briefing for new PCCs - The Association of Police and Crime Commissioners</w:t>
        </w:r>
      </w:hyperlink>
      <w:r w:rsidR="00FA6799">
        <w:rPr>
          <w:rFonts w:ascii="Arial" w:hAnsi="Arial" w:cs="Arial"/>
        </w:rPr>
        <w:t xml:space="preserve"> </w:t>
      </w:r>
      <w:r w:rsidR="00B43D9C" w:rsidRPr="00817BF4">
        <w:rPr>
          <w:rFonts w:ascii="Arial" w:hAnsi="Arial" w:cs="Arial"/>
        </w:rPr>
        <w:t xml:space="preserve">(Accessed: </w:t>
      </w:r>
      <w:r w:rsidR="00B43D9C">
        <w:rPr>
          <w:rFonts w:ascii="Arial" w:hAnsi="Arial" w:cs="Arial"/>
        </w:rPr>
        <w:t>05</w:t>
      </w:r>
      <w:r w:rsidR="00B43D9C" w:rsidRPr="00817BF4">
        <w:rPr>
          <w:rFonts w:ascii="Arial" w:hAnsi="Arial" w:cs="Arial"/>
        </w:rPr>
        <w:t>.1</w:t>
      </w:r>
      <w:r w:rsidR="00B43D9C">
        <w:rPr>
          <w:rFonts w:ascii="Arial" w:hAnsi="Arial" w:cs="Arial"/>
        </w:rPr>
        <w:t>2</w:t>
      </w:r>
      <w:r w:rsidR="00B43D9C" w:rsidRPr="00817BF4">
        <w:rPr>
          <w:rFonts w:ascii="Arial" w:hAnsi="Arial" w:cs="Arial"/>
        </w:rPr>
        <w:t>.25).</w:t>
      </w:r>
    </w:p>
    <w:p w14:paraId="69FC2C23" w14:textId="0FBC7724" w:rsidR="0019171B" w:rsidRDefault="00787C12" w:rsidP="00787C12">
      <w:pPr>
        <w:rPr>
          <w:rFonts w:ascii="Arial" w:hAnsi="Arial" w:cs="Arial"/>
        </w:rPr>
      </w:pPr>
      <w:r w:rsidRPr="00817BF4">
        <w:rPr>
          <w:rFonts w:ascii="Arial" w:hAnsi="Arial" w:cs="Arial"/>
        </w:rPr>
        <w:t>Bacon, M. (202</w:t>
      </w:r>
      <w:r w:rsidR="00671CA2">
        <w:rPr>
          <w:rFonts w:ascii="Arial" w:hAnsi="Arial" w:cs="Arial"/>
        </w:rPr>
        <w:t>4</w:t>
      </w:r>
      <w:r w:rsidRPr="00817BF4">
        <w:rPr>
          <w:rFonts w:ascii="Arial" w:hAnsi="Arial" w:cs="Arial"/>
        </w:rPr>
        <w:t>) ‘From criminalisation to harm reduction? The forms and functions of police drug diversion in England and Wales’. </w:t>
      </w:r>
      <w:r w:rsidRPr="00817BF4">
        <w:rPr>
          <w:rFonts w:ascii="Arial" w:hAnsi="Arial" w:cs="Arial"/>
          <w:i/>
          <w:iCs/>
        </w:rPr>
        <w:t>Policing and Society</w:t>
      </w:r>
      <w:r w:rsidRPr="00817BF4">
        <w:rPr>
          <w:rFonts w:ascii="Arial" w:hAnsi="Arial" w:cs="Arial"/>
        </w:rPr>
        <w:t xml:space="preserve">. 34 (3), 105–123. Available at: </w:t>
      </w:r>
      <w:hyperlink r:id="rId10" w:history="1">
        <w:r w:rsidRPr="00817BF4">
          <w:rPr>
            <w:rStyle w:val="Hyperlink"/>
            <w:rFonts w:ascii="Arial" w:hAnsi="Arial" w:cs="Arial"/>
          </w:rPr>
          <w:t>https://doi.org/10.1080/10439463.2023.2267729</w:t>
        </w:r>
      </w:hyperlink>
      <w:r w:rsidRPr="00817BF4">
        <w:rPr>
          <w:rFonts w:ascii="Arial" w:hAnsi="Arial" w:cs="Arial"/>
        </w:rPr>
        <w:t>.</w:t>
      </w:r>
    </w:p>
    <w:p w14:paraId="50336B7D" w14:textId="77777777" w:rsidR="00E27AAB" w:rsidRPr="000725C5" w:rsidRDefault="00287CC7" w:rsidP="00E27AAB">
      <w:pPr>
        <w:rPr>
          <w:rFonts w:ascii="Arial" w:hAnsi="Arial" w:cs="Arial"/>
          <w:i/>
          <w:iCs/>
        </w:rPr>
      </w:pPr>
      <w:r>
        <w:rPr>
          <w:rFonts w:ascii="Arial" w:hAnsi="Arial" w:cs="Arial"/>
        </w:rPr>
        <w:t>Black, C. (2021)</w:t>
      </w:r>
      <w:r w:rsidR="00F47536">
        <w:rPr>
          <w:rFonts w:ascii="Arial" w:hAnsi="Arial" w:cs="Arial"/>
        </w:rPr>
        <w:t xml:space="preserve"> </w:t>
      </w:r>
      <w:r w:rsidR="00F47536" w:rsidRPr="00F47536">
        <w:rPr>
          <w:rFonts w:ascii="Arial" w:hAnsi="Arial" w:cs="Arial"/>
        </w:rPr>
        <w:t>Independent report</w:t>
      </w:r>
      <w:r w:rsidR="001D1E91">
        <w:rPr>
          <w:rFonts w:ascii="Arial" w:hAnsi="Arial" w:cs="Arial"/>
        </w:rPr>
        <w:t xml:space="preserve">. </w:t>
      </w:r>
      <w:r w:rsidR="00F47536" w:rsidRPr="00F47536">
        <w:rPr>
          <w:rFonts w:ascii="Arial" w:hAnsi="Arial" w:cs="Arial"/>
        </w:rPr>
        <w:t>Review of drugs part two: prevention, treatment, and recovery</w:t>
      </w:r>
      <w:r w:rsidR="001D1E91">
        <w:rPr>
          <w:rFonts w:ascii="Arial" w:hAnsi="Arial" w:cs="Arial"/>
        </w:rPr>
        <w:t xml:space="preserve">. </w:t>
      </w:r>
      <w:r w:rsidR="001D1E91" w:rsidRPr="001D1E91">
        <w:rPr>
          <w:rFonts w:ascii="Arial" w:hAnsi="Arial" w:cs="Arial"/>
          <w:i/>
          <w:iCs/>
        </w:rPr>
        <w:t xml:space="preserve">Department for Health and Social Care. </w:t>
      </w:r>
      <w:r w:rsidR="001D1E91" w:rsidRPr="00817BF4">
        <w:rPr>
          <w:rFonts w:ascii="Arial" w:hAnsi="Arial" w:cs="Arial"/>
        </w:rPr>
        <w:t>Available at:</w:t>
      </w:r>
      <w:r w:rsidR="00E27AAB" w:rsidRPr="00E27AAB">
        <w:t xml:space="preserve"> </w:t>
      </w:r>
      <w:hyperlink r:id="rId11" w:history="1">
        <w:r w:rsidR="00E27AAB" w:rsidRPr="00E27AAB">
          <w:rPr>
            <w:rStyle w:val="Hyperlink"/>
            <w:rFonts w:ascii="Arial" w:hAnsi="Arial" w:cs="Arial"/>
          </w:rPr>
          <w:t>Review of drugs part two: prevention, treatment, and recovery - GOV.UK</w:t>
        </w:r>
      </w:hyperlink>
      <w:r w:rsidR="00E27AAB">
        <w:rPr>
          <w:rFonts w:ascii="Arial" w:hAnsi="Arial" w:cs="Arial"/>
        </w:rPr>
        <w:t xml:space="preserve"> </w:t>
      </w:r>
      <w:r w:rsidR="00E27AAB" w:rsidRPr="00817BF4">
        <w:rPr>
          <w:rFonts w:ascii="Arial" w:hAnsi="Arial" w:cs="Arial"/>
        </w:rPr>
        <w:t xml:space="preserve">(Accessed: </w:t>
      </w:r>
      <w:r w:rsidR="00E27AAB">
        <w:rPr>
          <w:rFonts w:ascii="Arial" w:hAnsi="Arial" w:cs="Arial"/>
        </w:rPr>
        <w:t>05</w:t>
      </w:r>
      <w:r w:rsidR="00E27AAB" w:rsidRPr="00817BF4">
        <w:rPr>
          <w:rFonts w:ascii="Arial" w:hAnsi="Arial" w:cs="Arial"/>
        </w:rPr>
        <w:t>.1</w:t>
      </w:r>
      <w:r w:rsidR="00E27AAB">
        <w:rPr>
          <w:rFonts w:ascii="Arial" w:hAnsi="Arial" w:cs="Arial"/>
        </w:rPr>
        <w:t>2</w:t>
      </w:r>
      <w:r w:rsidR="00E27AAB" w:rsidRPr="00817BF4">
        <w:rPr>
          <w:rFonts w:ascii="Arial" w:hAnsi="Arial" w:cs="Arial"/>
        </w:rPr>
        <w:t>.25).</w:t>
      </w:r>
    </w:p>
    <w:p w14:paraId="3F5507BA" w14:textId="2C4D4798" w:rsidR="00FA6647" w:rsidRDefault="00FA6647" w:rsidP="00787C12">
      <w:pPr>
        <w:rPr>
          <w:rFonts w:ascii="Arial" w:hAnsi="Arial" w:cs="Arial"/>
        </w:rPr>
      </w:pPr>
      <w:r w:rsidRPr="004D5F2B">
        <w:rPr>
          <w:rFonts w:ascii="Arial" w:hAnsi="Arial" w:cs="Arial"/>
        </w:rPr>
        <w:t>College of Policing</w:t>
      </w:r>
      <w:r>
        <w:rPr>
          <w:rFonts w:ascii="Arial" w:hAnsi="Arial" w:cs="Arial"/>
        </w:rPr>
        <w:t xml:space="preserve"> (2025</w:t>
      </w:r>
      <w:r w:rsidR="007D0410">
        <w:rPr>
          <w:rFonts w:ascii="Arial" w:hAnsi="Arial" w:cs="Arial"/>
        </w:rPr>
        <w:t>a</w:t>
      </w:r>
      <w:r>
        <w:rPr>
          <w:rFonts w:ascii="Arial" w:hAnsi="Arial" w:cs="Arial"/>
        </w:rPr>
        <w:t xml:space="preserve">) </w:t>
      </w:r>
      <w:r w:rsidR="007A7C0A" w:rsidRPr="004F42F6">
        <w:rPr>
          <w:rFonts w:ascii="Arial" w:hAnsi="Arial" w:cs="Arial"/>
          <w:i/>
          <w:iCs/>
        </w:rPr>
        <w:t>Improving public confidence in the police</w:t>
      </w:r>
      <w:r w:rsidR="007A7C0A">
        <w:rPr>
          <w:rFonts w:ascii="Arial" w:hAnsi="Arial" w:cs="Arial"/>
        </w:rPr>
        <w:t>.</w:t>
      </w:r>
      <w:r w:rsidR="007A7C0A" w:rsidRPr="007A7C0A">
        <w:rPr>
          <w:rFonts w:ascii="Arial" w:hAnsi="Arial" w:cs="Arial"/>
        </w:rPr>
        <w:t xml:space="preserve"> </w:t>
      </w:r>
      <w:r w:rsidR="007A7C0A" w:rsidRPr="00817BF4">
        <w:rPr>
          <w:rFonts w:ascii="Arial" w:hAnsi="Arial" w:cs="Arial"/>
        </w:rPr>
        <w:t>Available at:</w:t>
      </w:r>
      <w:r w:rsidR="007D0410">
        <w:rPr>
          <w:rFonts w:ascii="Arial" w:hAnsi="Arial" w:cs="Arial"/>
        </w:rPr>
        <w:t xml:space="preserve"> </w:t>
      </w:r>
      <w:hyperlink r:id="rId12" w:history="1">
        <w:r w:rsidRPr="00FA6647">
          <w:rPr>
            <w:rStyle w:val="Hyperlink"/>
            <w:rFonts w:ascii="Arial" w:hAnsi="Arial" w:cs="Arial"/>
          </w:rPr>
          <w:t>Improving public confidence in the police | College of Policing</w:t>
        </w:r>
      </w:hyperlink>
      <w:r w:rsidR="007D0410">
        <w:rPr>
          <w:rFonts w:ascii="Arial" w:hAnsi="Arial" w:cs="Arial"/>
        </w:rPr>
        <w:t xml:space="preserve"> </w:t>
      </w:r>
      <w:r w:rsidR="007D0410" w:rsidRPr="00817BF4">
        <w:rPr>
          <w:rFonts w:ascii="Arial" w:hAnsi="Arial" w:cs="Arial"/>
        </w:rPr>
        <w:t xml:space="preserve">(Accessed: </w:t>
      </w:r>
      <w:r w:rsidR="007D0410">
        <w:rPr>
          <w:rFonts w:ascii="Arial" w:hAnsi="Arial" w:cs="Arial"/>
        </w:rPr>
        <w:t>04</w:t>
      </w:r>
      <w:r w:rsidR="007D0410" w:rsidRPr="00817BF4">
        <w:rPr>
          <w:rFonts w:ascii="Arial" w:hAnsi="Arial" w:cs="Arial"/>
        </w:rPr>
        <w:t>.1</w:t>
      </w:r>
      <w:r w:rsidR="007D0410">
        <w:rPr>
          <w:rFonts w:ascii="Arial" w:hAnsi="Arial" w:cs="Arial"/>
        </w:rPr>
        <w:t>2</w:t>
      </w:r>
      <w:r w:rsidR="007D0410" w:rsidRPr="00817BF4">
        <w:rPr>
          <w:rFonts w:ascii="Arial" w:hAnsi="Arial" w:cs="Arial"/>
        </w:rPr>
        <w:t>.25).</w:t>
      </w:r>
    </w:p>
    <w:p w14:paraId="551C7829" w14:textId="2BC050A3" w:rsidR="009F31D8" w:rsidRDefault="009F31D8" w:rsidP="00787C12">
      <w:pPr>
        <w:rPr>
          <w:rFonts w:ascii="Arial" w:hAnsi="Arial" w:cs="Arial"/>
        </w:rPr>
      </w:pPr>
      <w:r w:rsidRPr="004D5F2B">
        <w:rPr>
          <w:rFonts w:ascii="Arial" w:hAnsi="Arial" w:cs="Arial"/>
        </w:rPr>
        <w:t>College of Policing</w:t>
      </w:r>
      <w:r>
        <w:rPr>
          <w:rFonts w:ascii="Arial" w:hAnsi="Arial" w:cs="Arial"/>
        </w:rPr>
        <w:t xml:space="preserve"> (202</w:t>
      </w:r>
      <w:r w:rsidR="00B63DBB">
        <w:rPr>
          <w:rFonts w:ascii="Arial" w:hAnsi="Arial" w:cs="Arial"/>
        </w:rPr>
        <w:t>5</w:t>
      </w:r>
      <w:r w:rsidR="007D0410">
        <w:rPr>
          <w:rFonts w:ascii="Arial" w:hAnsi="Arial" w:cs="Arial"/>
        </w:rPr>
        <w:t>b</w:t>
      </w:r>
      <w:r>
        <w:rPr>
          <w:rFonts w:ascii="Arial" w:hAnsi="Arial" w:cs="Arial"/>
        </w:rPr>
        <w:t xml:space="preserve">) </w:t>
      </w:r>
      <w:r w:rsidR="00B10D2D" w:rsidRPr="00B10D2D">
        <w:rPr>
          <w:rFonts w:ascii="Arial" w:hAnsi="Arial" w:cs="Arial"/>
          <w:i/>
          <w:iCs/>
        </w:rPr>
        <w:t xml:space="preserve">Local Focus Hub – a multi-agency hub model. </w:t>
      </w:r>
      <w:r w:rsidR="00B10D2D" w:rsidRPr="00817BF4">
        <w:rPr>
          <w:rFonts w:ascii="Arial" w:hAnsi="Arial" w:cs="Arial"/>
        </w:rPr>
        <w:t>Available at:</w:t>
      </w:r>
      <w:r w:rsidR="00B10D2D" w:rsidRPr="00B10D2D">
        <w:t xml:space="preserve"> </w:t>
      </w:r>
      <w:hyperlink r:id="rId13" w:history="1">
        <w:r w:rsidR="00B10D2D" w:rsidRPr="00B10D2D">
          <w:rPr>
            <w:rStyle w:val="Hyperlink"/>
            <w:rFonts w:ascii="Arial" w:hAnsi="Arial" w:cs="Arial"/>
          </w:rPr>
          <w:t>Local Focus Hub – a multi-agency hub model | College of Policing</w:t>
        </w:r>
      </w:hyperlink>
      <w:r w:rsidR="00B10D2D">
        <w:rPr>
          <w:rFonts w:ascii="Arial" w:hAnsi="Arial" w:cs="Arial"/>
        </w:rPr>
        <w:t xml:space="preserve"> </w:t>
      </w:r>
      <w:r w:rsidR="00B10D2D" w:rsidRPr="00817BF4">
        <w:rPr>
          <w:rFonts w:ascii="Arial" w:hAnsi="Arial" w:cs="Arial"/>
        </w:rPr>
        <w:t xml:space="preserve">(Accessed: </w:t>
      </w:r>
      <w:r w:rsidR="00B10D2D">
        <w:rPr>
          <w:rFonts w:ascii="Arial" w:hAnsi="Arial" w:cs="Arial"/>
        </w:rPr>
        <w:t>2</w:t>
      </w:r>
      <w:r w:rsidR="00B10D2D" w:rsidRPr="00817BF4">
        <w:rPr>
          <w:rFonts w:ascii="Arial" w:hAnsi="Arial" w:cs="Arial"/>
        </w:rPr>
        <w:t>0.1</w:t>
      </w:r>
      <w:r w:rsidR="00B10D2D">
        <w:rPr>
          <w:rFonts w:ascii="Arial" w:hAnsi="Arial" w:cs="Arial"/>
        </w:rPr>
        <w:t>1</w:t>
      </w:r>
      <w:r w:rsidR="00B10D2D" w:rsidRPr="00817BF4">
        <w:rPr>
          <w:rFonts w:ascii="Arial" w:hAnsi="Arial" w:cs="Arial"/>
        </w:rPr>
        <w:t>.25).</w:t>
      </w:r>
    </w:p>
    <w:p w14:paraId="3254FBBC" w14:textId="58DA6F1B" w:rsidR="001E5578" w:rsidRPr="000725C5" w:rsidRDefault="001E5578" w:rsidP="00787C12">
      <w:pPr>
        <w:rPr>
          <w:rFonts w:ascii="Arial" w:hAnsi="Arial" w:cs="Arial"/>
          <w:i/>
          <w:iCs/>
        </w:rPr>
      </w:pPr>
      <w:r>
        <w:rPr>
          <w:rFonts w:ascii="Arial" w:hAnsi="Arial" w:cs="Arial"/>
        </w:rPr>
        <w:t>College of Policing (202</w:t>
      </w:r>
      <w:r w:rsidR="000725C5">
        <w:rPr>
          <w:rFonts w:ascii="Arial" w:hAnsi="Arial" w:cs="Arial"/>
        </w:rPr>
        <w:t xml:space="preserve">4) </w:t>
      </w:r>
      <w:r w:rsidR="000725C5" w:rsidRPr="000725C5">
        <w:rPr>
          <w:rFonts w:ascii="Arial" w:hAnsi="Arial" w:cs="Arial"/>
          <w:i/>
          <w:iCs/>
        </w:rPr>
        <w:t>Police-initiated diversion for young people</w:t>
      </w:r>
      <w:r w:rsidR="000725C5">
        <w:rPr>
          <w:rFonts w:ascii="Arial" w:hAnsi="Arial" w:cs="Arial"/>
          <w:i/>
          <w:iCs/>
        </w:rPr>
        <w:t xml:space="preserve">. </w:t>
      </w:r>
      <w:r w:rsidR="000725C5" w:rsidRPr="00817BF4">
        <w:rPr>
          <w:rFonts w:ascii="Arial" w:hAnsi="Arial" w:cs="Arial"/>
        </w:rPr>
        <w:t>Available at:</w:t>
      </w:r>
      <w:r w:rsidR="005B6468" w:rsidRPr="005B6468">
        <w:t xml:space="preserve"> </w:t>
      </w:r>
      <w:hyperlink r:id="rId14" w:history="1">
        <w:r w:rsidR="005B6468" w:rsidRPr="005B6468">
          <w:rPr>
            <w:rStyle w:val="Hyperlink"/>
            <w:rFonts w:ascii="Arial" w:hAnsi="Arial" w:cs="Arial"/>
          </w:rPr>
          <w:t>Police-initiated diversion for young people | College of Policing</w:t>
        </w:r>
      </w:hyperlink>
      <w:r w:rsidR="005B6468">
        <w:rPr>
          <w:rFonts w:ascii="Arial" w:hAnsi="Arial" w:cs="Arial"/>
        </w:rPr>
        <w:t xml:space="preserve"> </w:t>
      </w:r>
      <w:r w:rsidR="005B6468" w:rsidRPr="00817BF4">
        <w:rPr>
          <w:rFonts w:ascii="Arial" w:hAnsi="Arial" w:cs="Arial"/>
        </w:rPr>
        <w:t xml:space="preserve">(Accessed: </w:t>
      </w:r>
      <w:r w:rsidR="005B6468">
        <w:rPr>
          <w:rFonts w:ascii="Arial" w:hAnsi="Arial" w:cs="Arial"/>
        </w:rPr>
        <w:t>05</w:t>
      </w:r>
      <w:r w:rsidR="005B6468" w:rsidRPr="00817BF4">
        <w:rPr>
          <w:rFonts w:ascii="Arial" w:hAnsi="Arial" w:cs="Arial"/>
        </w:rPr>
        <w:t>.1</w:t>
      </w:r>
      <w:r w:rsidR="005B6468">
        <w:rPr>
          <w:rFonts w:ascii="Arial" w:hAnsi="Arial" w:cs="Arial"/>
        </w:rPr>
        <w:t>2</w:t>
      </w:r>
      <w:r w:rsidR="005B6468" w:rsidRPr="00817BF4">
        <w:rPr>
          <w:rFonts w:ascii="Arial" w:hAnsi="Arial" w:cs="Arial"/>
        </w:rPr>
        <w:t>.25).</w:t>
      </w:r>
    </w:p>
    <w:p w14:paraId="135FA44B" w14:textId="77777777" w:rsidR="00787C12" w:rsidRDefault="00787C12" w:rsidP="00787C12">
      <w:pPr>
        <w:rPr>
          <w:rFonts w:ascii="Arial" w:hAnsi="Arial" w:cs="Arial"/>
        </w:rPr>
      </w:pPr>
      <w:r w:rsidRPr="00817BF4">
        <w:rPr>
          <w:rFonts w:ascii="Arial" w:hAnsi="Arial" w:cs="Arial"/>
        </w:rPr>
        <w:t>College of Policing (2022</w:t>
      </w:r>
      <w:r w:rsidRPr="00817BF4">
        <w:rPr>
          <w:rFonts w:ascii="Arial" w:hAnsi="Arial" w:cs="Arial"/>
          <w:i/>
          <w:iCs/>
        </w:rPr>
        <w:t>) Prevention and early intervention.</w:t>
      </w:r>
      <w:r w:rsidRPr="00817BF4">
        <w:rPr>
          <w:rFonts w:ascii="Arial" w:hAnsi="Arial" w:cs="Arial"/>
        </w:rPr>
        <w:t xml:space="preserve"> Available at: </w:t>
      </w:r>
      <w:r w:rsidRPr="00817BF4">
        <w:rPr>
          <w:rFonts w:ascii="Arial" w:hAnsi="Arial" w:cs="Arial"/>
          <w:b/>
          <w:bCs/>
        </w:rPr>
        <w:t xml:space="preserve"> </w:t>
      </w:r>
      <w:hyperlink r:id="rId15" w:history="1">
        <w:r w:rsidRPr="00817BF4">
          <w:rPr>
            <w:rStyle w:val="Hyperlink"/>
            <w:rFonts w:ascii="Arial" w:hAnsi="Arial" w:cs="Arial"/>
          </w:rPr>
          <w:t>Prevention and early intervention | College of Policing</w:t>
        </w:r>
      </w:hyperlink>
      <w:r w:rsidRPr="00817BF4">
        <w:rPr>
          <w:rFonts w:ascii="Arial" w:hAnsi="Arial" w:cs="Arial"/>
        </w:rPr>
        <w:t xml:space="preserve"> (Accessed: 09.10.25).</w:t>
      </w:r>
    </w:p>
    <w:p w14:paraId="760FEDB3" w14:textId="22C369D0" w:rsidR="00F91578" w:rsidRPr="00051D84" w:rsidRDefault="00F91578" w:rsidP="00787C12">
      <w:pPr>
        <w:rPr>
          <w:rFonts w:ascii="Arial" w:hAnsi="Arial" w:cs="Arial"/>
        </w:rPr>
      </w:pPr>
      <w:r>
        <w:rPr>
          <w:rFonts w:ascii="Arial" w:hAnsi="Arial" w:cs="Arial"/>
        </w:rPr>
        <w:t>Criminal Justice Alliance (2025)</w:t>
      </w:r>
      <w:r w:rsidR="0027297B">
        <w:rPr>
          <w:rFonts w:ascii="Arial" w:hAnsi="Arial" w:cs="Arial"/>
        </w:rPr>
        <w:t xml:space="preserve"> </w:t>
      </w:r>
      <w:r w:rsidR="000B5DBF">
        <w:rPr>
          <w:rFonts w:ascii="Arial" w:hAnsi="Arial" w:cs="Arial"/>
        </w:rPr>
        <w:t>‘</w:t>
      </w:r>
      <w:r w:rsidR="0027297B" w:rsidRPr="0027297B">
        <w:rPr>
          <w:rFonts w:ascii="Arial" w:hAnsi="Arial" w:cs="Arial"/>
        </w:rPr>
        <w:t>Adultifying youth custody</w:t>
      </w:r>
      <w:r w:rsidR="000B5DBF">
        <w:rPr>
          <w:rFonts w:ascii="Arial" w:hAnsi="Arial" w:cs="Arial"/>
        </w:rPr>
        <w:t>’,</w:t>
      </w:r>
      <w:r w:rsidR="0027297B" w:rsidRPr="0027297B">
        <w:rPr>
          <w:rFonts w:ascii="Arial" w:hAnsi="Arial" w:cs="Arial"/>
        </w:rPr>
        <w:t xml:space="preserve"> Learning lessons on transition to adulthood from the use of youth custody for young adults</w:t>
      </w:r>
      <w:r w:rsidR="0027297B">
        <w:rPr>
          <w:rFonts w:ascii="Arial" w:hAnsi="Arial" w:cs="Arial"/>
        </w:rPr>
        <w:t xml:space="preserve">. </w:t>
      </w:r>
      <w:r w:rsidR="008E62C9" w:rsidRPr="000B5DBF">
        <w:rPr>
          <w:rFonts w:ascii="Arial" w:hAnsi="Arial" w:cs="Arial"/>
          <w:i/>
          <w:iCs/>
        </w:rPr>
        <w:t>Alliance for Youth Justice.</w:t>
      </w:r>
      <w:r w:rsidR="000B5DBF" w:rsidRPr="000B5DBF">
        <w:rPr>
          <w:rFonts w:ascii="Arial" w:hAnsi="Arial" w:cs="Arial"/>
        </w:rPr>
        <w:t xml:space="preserve"> </w:t>
      </w:r>
      <w:r w:rsidR="000B5DBF" w:rsidRPr="00051D84">
        <w:rPr>
          <w:rFonts w:ascii="Arial" w:hAnsi="Arial" w:cs="Arial"/>
        </w:rPr>
        <w:t xml:space="preserve">Available at:  </w:t>
      </w:r>
      <w:hyperlink r:id="rId16" w:history="1">
        <w:r w:rsidR="00051D84" w:rsidRPr="00051D84">
          <w:rPr>
            <w:rStyle w:val="Hyperlink"/>
            <w:rFonts w:ascii="Arial" w:hAnsi="Arial" w:cs="Arial"/>
          </w:rPr>
          <w:t>2025-jan-AYJ-transition-to-adulthood-briefing.pdf</w:t>
        </w:r>
      </w:hyperlink>
      <w:r w:rsidR="00051D84">
        <w:rPr>
          <w:rFonts w:ascii="Arial" w:hAnsi="Arial" w:cs="Arial"/>
        </w:rPr>
        <w:t xml:space="preserve"> </w:t>
      </w:r>
      <w:r w:rsidR="00051D84" w:rsidRPr="00817BF4">
        <w:rPr>
          <w:rFonts w:ascii="Arial" w:hAnsi="Arial" w:cs="Arial"/>
        </w:rPr>
        <w:t xml:space="preserve">(Accessed: </w:t>
      </w:r>
      <w:r w:rsidR="00051D84">
        <w:rPr>
          <w:rFonts w:ascii="Arial" w:hAnsi="Arial" w:cs="Arial"/>
        </w:rPr>
        <w:t>05</w:t>
      </w:r>
      <w:r w:rsidR="00051D84" w:rsidRPr="00817BF4">
        <w:rPr>
          <w:rFonts w:ascii="Arial" w:hAnsi="Arial" w:cs="Arial"/>
        </w:rPr>
        <w:t>.1</w:t>
      </w:r>
      <w:r w:rsidR="00051D84">
        <w:rPr>
          <w:rFonts w:ascii="Arial" w:hAnsi="Arial" w:cs="Arial"/>
        </w:rPr>
        <w:t>2</w:t>
      </w:r>
      <w:r w:rsidR="00051D84" w:rsidRPr="00817BF4">
        <w:rPr>
          <w:rFonts w:ascii="Arial" w:hAnsi="Arial" w:cs="Arial"/>
        </w:rPr>
        <w:t>.25).</w:t>
      </w:r>
    </w:p>
    <w:p w14:paraId="648AD8CB" w14:textId="35630C2E" w:rsidR="00C66615" w:rsidRDefault="00C66615" w:rsidP="00787C12">
      <w:pPr>
        <w:rPr>
          <w:rFonts w:ascii="Arial" w:hAnsi="Arial" w:cs="Arial"/>
        </w:rPr>
      </w:pPr>
      <w:r w:rsidRPr="00C66615">
        <w:rPr>
          <w:rFonts w:ascii="Arial" w:hAnsi="Arial" w:cs="Arial"/>
        </w:rPr>
        <w:t>Education Policy Institute (2021)</w:t>
      </w:r>
      <w:r w:rsidR="0034477D">
        <w:rPr>
          <w:rFonts w:ascii="Arial" w:hAnsi="Arial" w:cs="Arial"/>
        </w:rPr>
        <w:t xml:space="preserve"> </w:t>
      </w:r>
      <w:r w:rsidR="0034477D" w:rsidRPr="0034477D">
        <w:rPr>
          <w:rFonts w:ascii="Arial" w:hAnsi="Arial" w:cs="Arial"/>
        </w:rPr>
        <w:t>Social and emotional learning: An evidence review and synthesis of key issues</w:t>
      </w:r>
      <w:r w:rsidR="0034477D">
        <w:rPr>
          <w:rFonts w:ascii="Arial" w:hAnsi="Arial" w:cs="Arial"/>
        </w:rPr>
        <w:t xml:space="preserve">. </w:t>
      </w:r>
      <w:hyperlink r:id="rId17" w:tooltip="Children and young people's mental health" w:history="1">
        <w:r w:rsidR="0034477D" w:rsidRPr="0034477D">
          <w:rPr>
            <w:rStyle w:val="Hyperlink"/>
            <w:rFonts w:ascii="Arial" w:hAnsi="Arial" w:cs="Arial"/>
            <w:i/>
            <w:iCs/>
            <w:color w:val="auto"/>
            <w:u w:val="none"/>
          </w:rPr>
          <w:t>Children and young people's mental health</w:t>
        </w:r>
      </w:hyperlink>
      <w:r w:rsidR="0034477D">
        <w:rPr>
          <w:rFonts w:ascii="Arial" w:hAnsi="Arial" w:cs="Arial"/>
          <w:i/>
          <w:iCs/>
        </w:rPr>
        <w:t xml:space="preserve">. </w:t>
      </w:r>
      <w:r w:rsidR="0034477D" w:rsidRPr="00817BF4">
        <w:rPr>
          <w:rFonts w:ascii="Arial" w:hAnsi="Arial" w:cs="Arial"/>
        </w:rPr>
        <w:t xml:space="preserve">Available at: </w:t>
      </w:r>
      <w:r w:rsidR="0034477D" w:rsidRPr="00817BF4">
        <w:rPr>
          <w:rFonts w:ascii="Arial" w:hAnsi="Arial" w:cs="Arial"/>
          <w:b/>
          <w:bCs/>
        </w:rPr>
        <w:t xml:space="preserve"> </w:t>
      </w:r>
      <w:hyperlink r:id="rId18" w:history="1">
        <w:r w:rsidR="009E324E" w:rsidRPr="009E324E">
          <w:rPr>
            <w:rStyle w:val="Hyperlink"/>
            <w:rFonts w:ascii="Arial" w:hAnsi="Arial" w:cs="Arial"/>
          </w:rPr>
          <w:t>Social and emotional learning: An evidence review and synthesis of key issues - Education Policy Institute</w:t>
        </w:r>
      </w:hyperlink>
      <w:r w:rsidR="003565C0">
        <w:rPr>
          <w:rFonts w:ascii="Arial" w:hAnsi="Arial" w:cs="Arial"/>
        </w:rPr>
        <w:t xml:space="preserve"> </w:t>
      </w:r>
      <w:r w:rsidR="003565C0" w:rsidRPr="00817BF4">
        <w:rPr>
          <w:rFonts w:ascii="Arial" w:hAnsi="Arial" w:cs="Arial"/>
        </w:rPr>
        <w:t>(Accessed: 0</w:t>
      </w:r>
      <w:r w:rsidR="003565C0">
        <w:rPr>
          <w:rFonts w:ascii="Arial" w:hAnsi="Arial" w:cs="Arial"/>
        </w:rPr>
        <w:t>4</w:t>
      </w:r>
      <w:r w:rsidR="003565C0" w:rsidRPr="00817BF4">
        <w:rPr>
          <w:rFonts w:ascii="Arial" w:hAnsi="Arial" w:cs="Arial"/>
        </w:rPr>
        <w:t>.1</w:t>
      </w:r>
      <w:r w:rsidR="003565C0">
        <w:rPr>
          <w:rFonts w:ascii="Arial" w:hAnsi="Arial" w:cs="Arial"/>
        </w:rPr>
        <w:t>2</w:t>
      </w:r>
      <w:r w:rsidR="003565C0" w:rsidRPr="00817BF4">
        <w:rPr>
          <w:rFonts w:ascii="Arial" w:hAnsi="Arial" w:cs="Arial"/>
        </w:rPr>
        <w:t>.25).</w:t>
      </w:r>
    </w:p>
    <w:p w14:paraId="772E2622" w14:textId="7489EEA3" w:rsidR="00F1271B" w:rsidRPr="003565C0" w:rsidRDefault="00F1271B" w:rsidP="00787C12">
      <w:pPr>
        <w:rPr>
          <w:rFonts w:ascii="Arial" w:hAnsi="Arial" w:cs="Arial"/>
        </w:rPr>
      </w:pPr>
      <w:r w:rsidRPr="00F1271B">
        <w:rPr>
          <w:rFonts w:ascii="Arial" w:hAnsi="Arial" w:cs="Arial"/>
        </w:rPr>
        <w:t xml:space="preserve">Holland, A., Stevens, A., Harris, M., Lewer, D., Sumnall, H., Stewart, D., Gilvarry, E., Wiseman, A., Howkins, J. and McManus, J. (2023) ‘Analysis of the UK Government’s 10-Year Drugs Strategy’, </w:t>
      </w:r>
      <w:r w:rsidRPr="00F1271B">
        <w:rPr>
          <w:rFonts w:ascii="Arial" w:hAnsi="Arial" w:cs="Arial"/>
          <w:i/>
          <w:iCs/>
        </w:rPr>
        <w:t>Journal of Public Health</w:t>
      </w:r>
      <w:r w:rsidRPr="00F1271B">
        <w:rPr>
          <w:rFonts w:ascii="Arial" w:hAnsi="Arial" w:cs="Arial"/>
        </w:rPr>
        <w:t>, 45(2), pp. e215–e224.</w:t>
      </w:r>
      <w:r w:rsidR="00892108">
        <w:rPr>
          <w:rFonts w:ascii="Arial" w:hAnsi="Arial" w:cs="Arial"/>
        </w:rPr>
        <w:t xml:space="preserve"> Available at:</w:t>
      </w:r>
      <w:r w:rsidR="009873D2" w:rsidRPr="009873D2">
        <w:t xml:space="preserve"> </w:t>
      </w:r>
      <w:hyperlink r:id="rId19" w:history="1">
        <w:r w:rsidR="009873D2" w:rsidRPr="009873D2">
          <w:rPr>
            <w:rStyle w:val="Hyperlink"/>
            <w:rFonts w:ascii="Arial" w:hAnsi="Arial" w:cs="Arial"/>
          </w:rPr>
          <w:t xml:space="preserve">Analysis </w:t>
        </w:r>
        <w:r w:rsidR="009873D2" w:rsidRPr="009873D2">
          <w:rPr>
            <w:rStyle w:val="Hyperlink"/>
            <w:rFonts w:ascii="Arial" w:hAnsi="Arial" w:cs="Arial"/>
          </w:rPr>
          <w:lastRenderedPageBreak/>
          <w:t>of the UK Government’s 10-Year Drugs Strategy—a resource for practitioners and policymakers | Journal of Public Health | Oxford Academic</w:t>
        </w:r>
      </w:hyperlink>
      <w:r w:rsidR="009873D2">
        <w:rPr>
          <w:rFonts w:ascii="Arial" w:hAnsi="Arial" w:cs="Arial"/>
        </w:rPr>
        <w:t xml:space="preserve"> </w:t>
      </w:r>
      <w:r w:rsidR="009873D2" w:rsidRPr="00817BF4">
        <w:rPr>
          <w:rFonts w:ascii="Arial" w:hAnsi="Arial" w:cs="Arial"/>
        </w:rPr>
        <w:t>(Accessed: 0</w:t>
      </w:r>
      <w:r w:rsidR="009873D2">
        <w:rPr>
          <w:rFonts w:ascii="Arial" w:hAnsi="Arial" w:cs="Arial"/>
        </w:rPr>
        <w:t>4</w:t>
      </w:r>
      <w:r w:rsidR="009873D2" w:rsidRPr="00817BF4">
        <w:rPr>
          <w:rFonts w:ascii="Arial" w:hAnsi="Arial" w:cs="Arial"/>
        </w:rPr>
        <w:t>.1</w:t>
      </w:r>
      <w:r w:rsidR="009873D2">
        <w:rPr>
          <w:rFonts w:ascii="Arial" w:hAnsi="Arial" w:cs="Arial"/>
        </w:rPr>
        <w:t>2</w:t>
      </w:r>
      <w:r w:rsidR="009873D2" w:rsidRPr="00817BF4">
        <w:rPr>
          <w:rFonts w:ascii="Arial" w:hAnsi="Arial" w:cs="Arial"/>
        </w:rPr>
        <w:t>.25).</w:t>
      </w:r>
    </w:p>
    <w:p w14:paraId="09AEC686" w14:textId="1D697551" w:rsidR="00AC1251" w:rsidRPr="00AC1251" w:rsidRDefault="003E15E5" w:rsidP="00787C12">
      <w:pPr>
        <w:rPr>
          <w:rFonts w:ascii="Arial" w:hAnsi="Arial" w:cs="Arial"/>
          <w:b/>
          <w:bCs/>
        </w:rPr>
      </w:pPr>
      <w:r>
        <w:rPr>
          <w:rFonts w:ascii="Arial" w:hAnsi="Arial" w:cs="Arial"/>
        </w:rPr>
        <w:t>Home Office (2025</w:t>
      </w:r>
      <w:r w:rsidR="00AC1251">
        <w:rPr>
          <w:rFonts w:ascii="Arial" w:hAnsi="Arial" w:cs="Arial"/>
        </w:rPr>
        <w:t xml:space="preserve">) </w:t>
      </w:r>
      <w:r w:rsidR="00AC1251" w:rsidRPr="00E03995">
        <w:rPr>
          <w:rFonts w:ascii="Arial" w:hAnsi="Arial" w:cs="Arial"/>
          <w:i/>
          <w:iCs/>
        </w:rPr>
        <w:t>County Lines Programme data</w:t>
      </w:r>
      <w:r w:rsidR="00AC1251">
        <w:rPr>
          <w:rFonts w:ascii="Arial" w:hAnsi="Arial" w:cs="Arial"/>
        </w:rPr>
        <w:t xml:space="preserve">. </w:t>
      </w:r>
      <w:r w:rsidR="00AC1251" w:rsidRPr="00817BF4">
        <w:rPr>
          <w:rFonts w:ascii="Arial" w:hAnsi="Arial" w:cs="Arial"/>
        </w:rPr>
        <w:t>Available at:</w:t>
      </w:r>
      <w:r w:rsidR="00AC1251">
        <w:rPr>
          <w:rFonts w:ascii="Arial" w:hAnsi="Arial" w:cs="Arial"/>
          <w:b/>
          <w:bCs/>
        </w:rPr>
        <w:t xml:space="preserve"> </w:t>
      </w:r>
      <w:hyperlink r:id="rId20" w:history="1">
        <w:r w:rsidR="00AC1251" w:rsidRPr="00AC1251">
          <w:rPr>
            <w:rStyle w:val="Hyperlink"/>
            <w:rFonts w:ascii="Arial" w:hAnsi="Arial" w:cs="Arial"/>
          </w:rPr>
          <w:t>County Lines Programme data - GOV.UK</w:t>
        </w:r>
      </w:hyperlink>
      <w:r w:rsidR="00AC1251">
        <w:rPr>
          <w:rFonts w:ascii="Arial" w:hAnsi="Arial" w:cs="Arial"/>
        </w:rPr>
        <w:t xml:space="preserve"> </w:t>
      </w:r>
      <w:r w:rsidR="00AC1251" w:rsidRPr="00817BF4">
        <w:rPr>
          <w:rFonts w:ascii="Arial" w:hAnsi="Arial" w:cs="Arial"/>
        </w:rPr>
        <w:t xml:space="preserve">(Accessed: </w:t>
      </w:r>
      <w:r w:rsidR="00AC1251">
        <w:rPr>
          <w:rFonts w:ascii="Arial" w:hAnsi="Arial" w:cs="Arial"/>
        </w:rPr>
        <w:t>27</w:t>
      </w:r>
      <w:r w:rsidR="00AC1251" w:rsidRPr="00817BF4">
        <w:rPr>
          <w:rFonts w:ascii="Arial" w:hAnsi="Arial" w:cs="Arial"/>
        </w:rPr>
        <w:t>.1</w:t>
      </w:r>
      <w:r w:rsidR="00AC1251">
        <w:rPr>
          <w:rFonts w:ascii="Arial" w:hAnsi="Arial" w:cs="Arial"/>
        </w:rPr>
        <w:t>1</w:t>
      </w:r>
      <w:r w:rsidR="00AC1251" w:rsidRPr="00817BF4">
        <w:rPr>
          <w:rFonts w:ascii="Arial" w:hAnsi="Arial" w:cs="Arial"/>
        </w:rPr>
        <w:t>.25).</w:t>
      </w:r>
    </w:p>
    <w:p w14:paraId="4A168D1D" w14:textId="77777777" w:rsidR="00C522B6" w:rsidRPr="00817BF4" w:rsidRDefault="00C522B6" w:rsidP="00C522B6">
      <w:pPr>
        <w:rPr>
          <w:rFonts w:ascii="Arial" w:hAnsi="Arial" w:cs="Arial"/>
        </w:rPr>
      </w:pPr>
      <w:r w:rsidRPr="00817BF4">
        <w:rPr>
          <w:rFonts w:ascii="Arial" w:hAnsi="Arial" w:cs="Arial"/>
        </w:rPr>
        <w:t xml:space="preserve">Home Office (2024) </w:t>
      </w:r>
      <w:r w:rsidRPr="00817BF4">
        <w:rPr>
          <w:rFonts w:ascii="Arial" w:hAnsi="Arial" w:cs="Arial"/>
          <w:i/>
          <w:iCs/>
        </w:rPr>
        <w:t>The Misuse of Drugs Act 1971 (Amendment) Order 2024 and The Misuse of Drugs and Misuse of Drugs (Designation) (England and Wales and Scotland) (Amendment and Revocation) Regulations 2024</w:t>
      </w:r>
      <w:r w:rsidRPr="00817BF4">
        <w:rPr>
          <w:rFonts w:ascii="Arial" w:hAnsi="Arial" w:cs="Arial"/>
        </w:rPr>
        <w:t xml:space="preserve">. Available at: </w:t>
      </w:r>
      <w:hyperlink r:id="rId21" w:history="1">
        <w:r w:rsidRPr="00817BF4">
          <w:rPr>
            <w:rStyle w:val="Hyperlink"/>
            <w:rFonts w:ascii="Arial" w:hAnsi="Arial" w:cs="Arial"/>
          </w:rPr>
          <w:t>001/2024: The Misuse of Drugs Act 1971 (Amendment) Order 2024 and The Misuse of Drugs and Misuse of Drugs (Designation) (England and Wales and Scotland) (Amendment and Revocation) Regulations 2024 - GOV.UK</w:t>
        </w:r>
      </w:hyperlink>
      <w:r w:rsidRPr="00817BF4">
        <w:rPr>
          <w:rFonts w:ascii="Arial" w:hAnsi="Arial" w:cs="Arial"/>
        </w:rPr>
        <w:t xml:space="preserve"> (Accessed: 09.10.25).</w:t>
      </w:r>
    </w:p>
    <w:p w14:paraId="6C8C5A08" w14:textId="77777777" w:rsidR="00C93A50" w:rsidRDefault="00C93A50" w:rsidP="00C93A50">
      <w:pPr>
        <w:rPr>
          <w:rFonts w:ascii="Arial" w:hAnsi="Arial" w:cs="Arial"/>
        </w:rPr>
      </w:pPr>
      <w:r>
        <w:rPr>
          <w:rFonts w:ascii="Arial" w:hAnsi="Arial" w:cs="Arial"/>
        </w:rPr>
        <w:t xml:space="preserve">HM Government (2021) </w:t>
      </w:r>
      <w:r w:rsidRPr="00C93A50">
        <w:rPr>
          <w:rFonts w:ascii="Arial" w:hAnsi="Arial" w:cs="Arial"/>
          <w:i/>
          <w:iCs/>
        </w:rPr>
        <w:t>From harm to hope: a 10-year drugs plan to cut crime and save lives</w:t>
      </w:r>
      <w:r>
        <w:rPr>
          <w:rFonts w:ascii="Arial" w:hAnsi="Arial" w:cs="Arial"/>
        </w:rPr>
        <w:t xml:space="preserve">. </w:t>
      </w:r>
      <w:r w:rsidRPr="00C93A50">
        <w:rPr>
          <w:rFonts w:ascii="Arial" w:hAnsi="Arial" w:cs="Arial"/>
        </w:rPr>
        <w:t>Available at:</w:t>
      </w:r>
      <w:r w:rsidRPr="00C93A50">
        <w:t xml:space="preserve"> </w:t>
      </w:r>
      <w:hyperlink r:id="rId22" w:history="1">
        <w:r w:rsidRPr="00C93A50">
          <w:rPr>
            <w:rStyle w:val="Hyperlink"/>
            <w:rFonts w:ascii="Arial" w:hAnsi="Arial" w:cs="Arial"/>
          </w:rPr>
          <w:t>From harm to hope: a 10-year drugs plan to cut crime and save lives</w:t>
        </w:r>
      </w:hyperlink>
      <w:r>
        <w:rPr>
          <w:rFonts w:ascii="Arial" w:hAnsi="Arial" w:cs="Arial"/>
        </w:rPr>
        <w:t xml:space="preserve"> </w:t>
      </w:r>
      <w:r w:rsidRPr="00F8599D">
        <w:rPr>
          <w:rFonts w:ascii="Arial" w:hAnsi="Arial" w:cs="Arial"/>
        </w:rPr>
        <w:t xml:space="preserve">(Accessed: </w:t>
      </w:r>
      <w:r>
        <w:rPr>
          <w:rFonts w:ascii="Arial" w:hAnsi="Arial" w:cs="Arial"/>
        </w:rPr>
        <w:t>13</w:t>
      </w:r>
      <w:r w:rsidRPr="00F8599D">
        <w:rPr>
          <w:rFonts w:ascii="Arial" w:hAnsi="Arial" w:cs="Arial"/>
        </w:rPr>
        <w:t>.1</w:t>
      </w:r>
      <w:r>
        <w:rPr>
          <w:rFonts w:ascii="Arial" w:hAnsi="Arial" w:cs="Arial"/>
        </w:rPr>
        <w:t>1</w:t>
      </w:r>
      <w:r w:rsidRPr="00F8599D">
        <w:rPr>
          <w:rFonts w:ascii="Arial" w:hAnsi="Arial" w:cs="Arial"/>
        </w:rPr>
        <w:t>.25).</w:t>
      </w:r>
    </w:p>
    <w:p w14:paraId="7A69633B" w14:textId="610740BA" w:rsidR="0077045F" w:rsidRDefault="0077045F" w:rsidP="00C93A50">
      <w:pPr>
        <w:rPr>
          <w:rFonts w:ascii="Arial" w:hAnsi="Arial" w:cs="Arial"/>
        </w:rPr>
      </w:pPr>
      <w:r>
        <w:rPr>
          <w:rFonts w:ascii="Arial" w:hAnsi="Arial" w:cs="Arial"/>
        </w:rPr>
        <w:t>HM Inspectorate of Probation (2025)</w:t>
      </w:r>
      <w:r w:rsidR="00D62115">
        <w:rPr>
          <w:rFonts w:ascii="Arial" w:hAnsi="Arial" w:cs="Arial"/>
        </w:rPr>
        <w:t xml:space="preserve"> </w:t>
      </w:r>
      <w:r w:rsidR="00D62115" w:rsidRPr="009F2A82">
        <w:rPr>
          <w:rFonts w:ascii="Arial" w:hAnsi="Arial" w:cs="Arial"/>
          <w:i/>
          <w:iCs/>
        </w:rPr>
        <w:t>The effectiveness of diverting children from the criminal justice system: meeting needs, ensuring safety, and preventing reoffending.</w:t>
      </w:r>
      <w:r w:rsidR="00D62115">
        <w:rPr>
          <w:rFonts w:ascii="Arial" w:hAnsi="Arial" w:cs="Arial"/>
        </w:rPr>
        <w:t xml:space="preserve"> </w:t>
      </w:r>
      <w:r w:rsidR="00D62115" w:rsidRPr="00C93A50">
        <w:rPr>
          <w:rFonts w:ascii="Arial" w:hAnsi="Arial" w:cs="Arial"/>
        </w:rPr>
        <w:t>Available at:</w:t>
      </w:r>
      <w:r w:rsidR="00D62115" w:rsidRPr="00D62115">
        <w:t xml:space="preserve"> </w:t>
      </w:r>
      <w:hyperlink r:id="rId23" w:history="1">
        <w:r w:rsidR="00D62115" w:rsidRPr="00D62115">
          <w:rPr>
            <w:rStyle w:val="Hyperlink"/>
            <w:rFonts w:ascii="Arial" w:hAnsi="Arial" w:cs="Arial"/>
          </w:rPr>
          <w:t>The effectiveness of diverting children from the criminal justice system: meeting needs, ensuring safety, and preventing reoffending – HM Inspectorate of Probation</w:t>
        </w:r>
      </w:hyperlink>
      <w:r w:rsidR="009F2A82">
        <w:rPr>
          <w:rFonts w:ascii="Arial" w:hAnsi="Arial" w:cs="Arial"/>
        </w:rPr>
        <w:t xml:space="preserve"> </w:t>
      </w:r>
      <w:r w:rsidR="009F2A82" w:rsidRPr="00817BF4">
        <w:rPr>
          <w:rFonts w:ascii="Arial" w:hAnsi="Arial" w:cs="Arial"/>
        </w:rPr>
        <w:t xml:space="preserve">(Accessed: </w:t>
      </w:r>
      <w:r w:rsidR="009F2A82">
        <w:rPr>
          <w:rFonts w:ascii="Arial" w:hAnsi="Arial" w:cs="Arial"/>
        </w:rPr>
        <w:t>04</w:t>
      </w:r>
      <w:r w:rsidR="009F2A82" w:rsidRPr="00817BF4">
        <w:rPr>
          <w:rFonts w:ascii="Arial" w:hAnsi="Arial" w:cs="Arial"/>
        </w:rPr>
        <w:t>.1</w:t>
      </w:r>
      <w:r w:rsidR="009F2A82">
        <w:rPr>
          <w:rFonts w:ascii="Arial" w:hAnsi="Arial" w:cs="Arial"/>
        </w:rPr>
        <w:t>2</w:t>
      </w:r>
      <w:r w:rsidR="009F2A82" w:rsidRPr="00817BF4">
        <w:rPr>
          <w:rFonts w:ascii="Arial" w:hAnsi="Arial" w:cs="Arial"/>
        </w:rPr>
        <w:t>.25).</w:t>
      </w:r>
    </w:p>
    <w:p w14:paraId="6DEFE75E" w14:textId="67A90705" w:rsidR="005A22DD" w:rsidRPr="009F2A82" w:rsidRDefault="005A22DD" w:rsidP="00C93A50">
      <w:pPr>
        <w:rPr>
          <w:rFonts w:ascii="Arial" w:hAnsi="Arial" w:cs="Arial"/>
          <w:b/>
          <w:bCs/>
        </w:rPr>
      </w:pPr>
      <w:r>
        <w:rPr>
          <w:rFonts w:ascii="Arial" w:hAnsi="Arial" w:cs="Arial"/>
        </w:rPr>
        <w:t>HMICFRS (</w:t>
      </w:r>
      <w:r w:rsidR="00285D9A">
        <w:rPr>
          <w:rFonts w:ascii="Arial" w:hAnsi="Arial" w:cs="Arial"/>
        </w:rPr>
        <w:t xml:space="preserve">2025) </w:t>
      </w:r>
      <w:r w:rsidR="00285D9A" w:rsidRPr="009A111B">
        <w:rPr>
          <w:rFonts w:ascii="Arial" w:hAnsi="Arial" w:cs="Arial"/>
          <w:i/>
          <w:iCs/>
        </w:rPr>
        <w:t>Policing inspection programme and framework 2025–29</w:t>
      </w:r>
      <w:r w:rsidR="00285D9A">
        <w:rPr>
          <w:rFonts w:ascii="Arial" w:hAnsi="Arial" w:cs="Arial"/>
        </w:rPr>
        <w:t xml:space="preserve">. </w:t>
      </w:r>
      <w:r w:rsidR="00285D9A" w:rsidRPr="00C93A50">
        <w:rPr>
          <w:rFonts w:ascii="Arial" w:hAnsi="Arial" w:cs="Arial"/>
        </w:rPr>
        <w:t>Available at:</w:t>
      </w:r>
      <w:r w:rsidR="009A111B" w:rsidRPr="009A111B">
        <w:t xml:space="preserve"> </w:t>
      </w:r>
      <w:hyperlink r:id="rId24" w:history="1">
        <w:r w:rsidR="009A111B" w:rsidRPr="009A111B">
          <w:rPr>
            <w:rStyle w:val="Hyperlink"/>
            <w:rFonts w:ascii="Arial" w:hAnsi="Arial" w:cs="Arial"/>
          </w:rPr>
          <w:t>Policing inspection programme and framework 2025–29 - His Majesty’s Inspectorate of Constabulary and Fire &amp; Rescue Services</w:t>
        </w:r>
      </w:hyperlink>
      <w:r w:rsidR="009A111B">
        <w:rPr>
          <w:rFonts w:ascii="Arial" w:hAnsi="Arial" w:cs="Arial"/>
        </w:rPr>
        <w:t xml:space="preserve"> </w:t>
      </w:r>
      <w:r w:rsidR="009A111B" w:rsidRPr="00817BF4">
        <w:rPr>
          <w:rFonts w:ascii="Arial" w:hAnsi="Arial" w:cs="Arial"/>
        </w:rPr>
        <w:t xml:space="preserve">(Accessed: </w:t>
      </w:r>
      <w:r w:rsidR="009A111B">
        <w:rPr>
          <w:rFonts w:ascii="Arial" w:hAnsi="Arial" w:cs="Arial"/>
        </w:rPr>
        <w:t>04</w:t>
      </w:r>
      <w:r w:rsidR="009A111B" w:rsidRPr="00817BF4">
        <w:rPr>
          <w:rFonts w:ascii="Arial" w:hAnsi="Arial" w:cs="Arial"/>
        </w:rPr>
        <w:t>.1</w:t>
      </w:r>
      <w:r w:rsidR="009A111B">
        <w:rPr>
          <w:rFonts w:ascii="Arial" w:hAnsi="Arial" w:cs="Arial"/>
        </w:rPr>
        <w:t>2</w:t>
      </w:r>
      <w:r w:rsidR="009A111B" w:rsidRPr="00817BF4">
        <w:rPr>
          <w:rFonts w:ascii="Arial" w:hAnsi="Arial" w:cs="Arial"/>
        </w:rPr>
        <w:t>.25).</w:t>
      </w:r>
    </w:p>
    <w:p w14:paraId="7A1FB1A5" w14:textId="5EC11C35" w:rsidR="00966215" w:rsidRDefault="00966215" w:rsidP="00C93A50">
      <w:pPr>
        <w:rPr>
          <w:rFonts w:ascii="Arial" w:hAnsi="Arial" w:cs="Arial"/>
        </w:rPr>
      </w:pPr>
      <w:r>
        <w:rPr>
          <w:rFonts w:ascii="Arial" w:hAnsi="Arial" w:cs="Arial"/>
        </w:rPr>
        <w:t>Justice in Motion (2025</w:t>
      </w:r>
      <w:r w:rsidR="00023A9A">
        <w:rPr>
          <w:rFonts w:ascii="Arial" w:hAnsi="Arial" w:cs="Arial"/>
        </w:rPr>
        <w:t xml:space="preserve">) </w:t>
      </w:r>
      <w:r w:rsidR="00023A9A" w:rsidRPr="008B77E9">
        <w:rPr>
          <w:rFonts w:ascii="Arial" w:hAnsi="Arial" w:cs="Arial"/>
          <w:i/>
          <w:iCs/>
        </w:rPr>
        <w:t>County Lines</w:t>
      </w:r>
      <w:r w:rsidR="00CA670E">
        <w:rPr>
          <w:rFonts w:ascii="Arial" w:hAnsi="Arial" w:cs="Arial"/>
        </w:rPr>
        <w:t>.</w:t>
      </w:r>
      <w:r w:rsidR="008B77E9">
        <w:rPr>
          <w:rFonts w:ascii="Arial" w:hAnsi="Arial" w:cs="Arial"/>
        </w:rPr>
        <w:t xml:space="preserve"> </w:t>
      </w:r>
      <w:r w:rsidR="008B77E9" w:rsidRPr="00C93A50">
        <w:rPr>
          <w:rFonts w:ascii="Arial" w:hAnsi="Arial" w:cs="Arial"/>
        </w:rPr>
        <w:t>Available at:</w:t>
      </w:r>
      <w:r w:rsidR="008B77E9">
        <w:rPr>
          <w:rFonts w:ascii="Arial" w:hAnsi="Arial" w:cs="Arial"/>
        </w:rPr>
        <w:t xml:space="preserve"> </w:t>
      </w:r>
      <w:hyperlink r:id="rId25" w:history="1">
        <w:r w:rsidR="008B77E9" w:rsidRPr="008B77E9">
          <w:rPr>
            <w:rStyle w:val="Hyperlink"/>
            <w:rFonts w:ascii="Arial" w:hAnsi="Arial" w:cs="Arial"/>
          </w:rPr>
          <w:t>County Lines - Justice in Motion</w:t>
        </w:r>
      </w:hyperlink>
      <w:r w:rsidR="008B77E9">
        <w:rPr>
          <w:rFonts w:ascii="Arial" w:hAnsi="Arial" w:cs="Arial"/>
        </w:rPr>
        <w:t xml:space="preserve"> </w:t>
      </w:r>
      <w:r w:rsidR="008B77E9" w:rsidRPr="00817BF4">
        <w:rPr>
          <w:rFonts w:ascii="Arial" w:hAnsi="Arial" w:cs="Arial"/>
        </w:rPr>
        <w:t xml:space="preserve">(Accessed: </w:t>
      </w:r>
      <w:r w:rsidR="008B77E9">
        <w:rPr>
          <w:rFonts w:ascii="Arial" w:hAnsi="Arial" w:cs="Arial"/>
        </w:rPr>
        <w:t>27</w:t>
      </w:r>
      <w:r w:rsidR="008B77E9" w:rsidRPr="00817BF4">
        <w:rPr>
          <w:rFonts w:ascii="Arial" w:hAnsi="Arial" w:cs="Arial"/>
        </w:rPr>
        <w:t>.1</w:t>
      </w:r>
      <w:r w:rsidR="008B77E9">
        <w:rPr>
          <w:rFonts w:ascii="Arial" w:hAnsi="Arial" w:cs="Arial"/>
        </w:rPr>
        <w:t>1</w:t>
      </w:r>
      <w:r w:rsidR="008B77E9" w:rsidRPr="00817BF4">
        <w:rPr>
          <w:rFonts w:ascii="Arial" w:hAnsi="Arial" w:cs="Arial"/>
        </w:rPr>
        <w:t>.25).</w:t>
      </w:r>
    </w:p>
    <w:p w14:paraId="4E146A87" w14:textId="090669AE" w:rsidR="00F67033" w:rsidRDefault="00F67033" w:rsidP="00C93A50">
      <w:pPr>
        <w:rPr>
          <w:rFonts w:ascii="Arial" w:hAnsi="Arial" w:cs="Arial"/>
        </w:rPr>
      </w:pPr>
      <w:r>
        <w:rPr>
          <w:rFonts w:ascii="Arial" w:hAnsi="Arial" w:cs="Arial"/>
        </w:rPr>
        <w:t>Keenan, C., Strange, L., Neyroud, P., Corr, M. (</w:t>
      </w:r>
      <w:r w:rsidRPr="00EF64D2">
        <w:rPr>
          <w:rFonts w:ascii="Arial" w:hAnsi="Arial" w:cs="Arial"/>
        </w:rPr>
        <w:t>2024)</w:t>
      </w:r>
      <w:r w:rsidRPr="009E0695">
        <w:t xml:space="preserve"> </w:t>
      </w:r>
      <w:r>
        <w:t>‘</w:t>
      </w:r>
      <w:r w:rsidRPr="009E0695">
        <w:rPr>
          <w:rFonts w:ascii="Arial" w:hAnsi="Arial" w:cs="Arial"/>
        </w:rPr>
        <w:t>An evidence review on youth diversion programmes</w:t>
      </w:r>
      <w:r>
        <w:rPr>
          <w:rFonts w:ascii="Arial" w:hAnsi="Arial" w:cs="Arial"/>
        </w:rPr>
        <w:t xml:space="preserve">’. </w:t>
      </w:r>
      <w:r w:rsidRPr="005B2DAD">
        <w:rPr>
          <w:rFonts w:ascii="Arial" w:hAnsi="Arial" w:cs="Arial"/>
          <w:i/>
          <w:iCs/>
        </w:rPr>
        <w:t>Youth Endowment Fund</w:t>
      </w:r>
      <w:r>
        <w:rPr>
          <w:rFonts w:ascii="Arial" w:hAnsi="Arial" w:cs="Arial"/>
          <w:i/>
          <w:iCs/>
        </w:rPr>
        <w:t>.</w:t>
      </w:r>
      <w:r w:rsidRPr="00843BA1">
        <w:rPr>
          <w:rFonts w:ascii="Arial" w:hAnsi="Arial" w:cs="Arial"/>
        </w:rPr>
        <w:t xml:space="preserve"> </w:t>
      </w:r>
      <w:r w:rsidRPr="00C93A50">
        <w:rPr>
          <w:rFonts w:ascii="Arial" w:hAnsi="Arial" w:cs="Arial"/>
        </w:rPr>
        <w:t>Available at:</w:t>
      </w:r>
      <w:r w:rsidRPr="00C7044F">
        <w:t xml:space="preserve"> </w:t>
      </w:r>
      <w:hyperlink r:id="rId26" w:history="1">
        <w:r w:rsidRPr="00C7044F">
          <w:rPr>
            <w:rStyle w:val="Hyperlink"/>
            <w:rFonts w:ascii="Arial" w:hAnsi="Arial" w:cs="Arial"/>
          </w:rPr>
          <w:t>NCB-YEF-Diversion-Evidence-Review-for-Publication.pdf</w:t>
        </w:r>
      </w:hyperlink>
      <w:r>
        <w:rPr>
          <w:rFonts w:ascii="Arial" w:hAnsi="Arial" w:cs="Arial"/>
        </w:rPr>
        <w:t xml:space="preserve"> </w:t>
      </w:r>
      <w:r w:rsidRPr="00817BF4">
        <w:rPr>
          <w:rFonts w:ascii="Arial" w:hAnsi="Arial" w:cs="Arial"/>
        </w:rPr>
        <w:t xml:space="preserve">(Accessed: </w:t>
      </w:r>
      <w:r>
        <w:rPr>
          <w:rFonts w:ascii="Arial" w:hAnsi="Arial" w:cs="Arial"/>
        </w:rPr>
        <w:t>05</w:t>
      </w:r>
      <w:r w:rsidRPr="00817BF4">
        <w:rPr>
          <w:rFonts w:ascii="Arial" w:hAnsi="Arial" w:cs="Arial"/>
        </w:rPr>
        <w:t>.1</w:t>
      </w:r>
      <w:r>
        <w:rPr>
          <w:rFonts w:ascii="Arial" w:hAnsi="Arial" w:cs="Arial"/>
        </w:rPr>
        <w:t>2</w:t>
      </w:r>
      <w:r w:rsidRPr="00817BF4">
        <w:rPr>
          <w:rFonts w:ascii="Arial" w:hAnsi="Arial" w:cs="Arial"/>
        </w:rPr>
        <w:t>.25).</w:t>
      </w:r>
    </w:p>
    <w:p w14:paraId="72524F20" w14:textId="2FD05F46" w:rsidR="000E502A" w:rsidRDefault="000E502A" w:rsidP="00C93A50">
      <w:pPr>
        <w:rPr>
          <w:rFonts w:ascii="Arial" w:hAnsi="Arial" w:cs="Arial"/>
        </w:rPr>
      </w:pPr>
      <w:r>
        <w:rPr>
          <w:rFonts w:ascii="Arial" w:hAnsi="Arial" w:cs="Arial"/>
        </w:rPr>
        <w:t>LGA (2024</w:t>
      </w:r>
      <w:r w:rsidR="00441420">
        <w:rPr>
          <w:rFonts w:ascii="Arial" w:hAnsi="Arial" w:cs="Arial"/>
        </w:rPr>
        <w:t xml:space="preserve">) </w:t>
      </w:r>
      <w:r w:rsidR="00441420" w:rsidRPr="009D1466">
        <w:rPr>
          <w:rFonts w:ascii="Arial" w:hAnsi="Arial" w:cs="Arial"/>
          <w:i/>
          <w:iCs/>
        </w:rPr>
        <w:t xml:space="preserve">Two years on: a progress review of ‘From harm to hope': A 10-year drugs plan to cut crime and save </w:t>
      </w:r>
      <w:r w:rsidR="009D1466" w:rsidRPr="009D1466">
        <w:rPr>
          <w:rFonts w:ascii="Arial" w:hAnsi="Arial" w:cs="Arial"/>
          <w:i/>
          <w:iCs/>
        </w:rPr>
        <w:t>lives</w:t>
      </w:r>
      <w:r w:rsidR="00441420">
        <w:rPr>
          <w:rFonts w:ascii="Arial" w:hAnsi="Arial" w:cs="Arial"/>
        </w:rPr>
        <w:t xml:space="preserve">. </w:t>
      </w:r>
      <w:r w:rsidR="00441420" w:rsidRPr="00C93A50">
        <w:rPr>
          <w:rFonts w:ascii="Arial" w:hAnsi="Arial" w:cs="Arial"/>
        </w:rPr>
        <w:t>Available at:</w:t>
      </w:r>
      <w:r w:rsidR="00C16C8C" w:rsidRPr="00C16C8C">
        <w:t xml:space="preserve"> </w:t>
      </w:r>
      <w:hyperlink r:id="rId27" w:history="1">
        <w:r w:rsidR="00C16C8C" w:rsidRPr="00C16C8C">
          <w:rPr>
            <w:rStyle w:val="Hyperlink"/>
            <w:rFonts w:ascii="Arial" w:hAnsi="Arial" w:cs="Arial"/>
          </w:rPr>
          <w:t>Two years on: a progress review of ‘From harm to hope': A 10-year drugs plan to cut crime and save lives’ | Local Government Association</w:t>
        </w:r>
      </w:hyperlink>
      <w:r w:rsidR="00C16C8C">
        <w:rPr>
          <w:rFonts w:ascii="Arial" w:hAnsi="Arial" w:cs="Arial"/>
        </w:rPr>
        <w:t xml:space="preserve"> </w:t>
      </w:r>
      <w:r w:rsidR="00C16C8C" w:rsidRPr="00817BF4">
        <w:rPr>
          <w:rFonts w:ascii="Arial" w:hAnsi="Arial" w:cs="Arial"/>
        </w:rPr>
        <w:t xml:space="preserve">(Accessed: </w:t>
      </w:r>
      <w:r w:rsidR="00C16C8C">
        <w:rPr>
          <w:rFonts w:ascii="Arial" w:hAnsi="Arial" w:cs="Arial"/>
        </w:rPr>
        <w:t>28</w:t>
      </w:r>
      <w:r w:rsidR="00C16C8C" w:rsidRPr="00817BF4">
        <w:rPr>
          <w:rFonts w:ascii="Arial" w:hAnsi="Arial" w:cs="Arial"/>
        </w:rPr>
        <w:t>.1</w:t>
      </w:r>
      <w:r w:rsidR="00C16C8C">
        <w:rPr>
          <w:rFonts w:ascii="Arial" w:hAnsi="Arial" w:cs="Arial"/>
        </w:rPr>
        <w:t>1</w:t>
      </w:r>
      <w:r w:rsidR="00C16C8C" w:rsidRPr="00817BF4">
        <w:rPr>
          <w:rFonts w:ascii="Arial" w:hAnsi="Arial" w:cs="Arial"/>
        </w:rPr>
        <w:t>.25).</w:t>
      </w:r>
    </w:p>
    <w:p w14:paraId="1956B8C1" w14:textId="1B055A4B" w:rsidR="002607D7" w:rsidRPr="00C370DB" w:rsidRDefault="00FC6F1A" w:rsidP="00C93A50">
      <w:pPr>
        <w:rPr>
          <w:rFonts w:ascii="Arial" w:hAnsi="Arial" w:cs="Arial"/>
          <w:b/>
          <w:bCs/>
        </w:rPr>
      </w:pPr>
      <w:r>
        <w:rPr>
          <w:rFonts w:ascii="Arial" w:hAnsi="Arial" w:cs="Arial"/>
        </w:rPr>
        <w:t>University of York</w:t>
      </w:r>
      <w:r w:rsidR="002607D7" w:rsidRPr="002607D7">
        <w:rPr>
          <w:rFonts w:ascii="Arial" w:hAnsi="Arial" w:cs="Arial"/>
        </w:rPr>
        <w:t xml:space="preserve"> (2025) </w:t>
      </w:r>
      <w:r w:rsidR="002607D7" w:rsidRPr="002607D7">
        <w:rPr>
          <w:rFonts w:ascii="Arial" w:hAnsi="Arial" w:cs="Arial"/>
          <w:i/>
          <w:iCs/>
        </w:rPr>
        <w:t>National policing strategy needed to tackle County Lines child exploitation</w:t>
      </w:r>
      <w:r w:rsidR="009108DF">
        <w:rPr>
          <w:rFonts w:ascii="Arial" w:hAnsi="Arial" w:cs="Arial"/>
        </w:rPr>
        <w:t>,</w:t>
      </w:r>
      <w:r w:rsidR="007711E3">
        <w:rPr>
          <w:rFonts w:ascii="Arial" w:hAnsi="Arial" w:cs="Arial"/>
        </w:rPr>
        <w:t xml:space="preserve"> </w:t>
      </w:r>
      <w:r w:rsidR="007711E3" w:rsidRPr="007711E3">
        <w:rPr>
          <w:rFonts w:ascii="Arial" w:hAnsi="Arial" w:cs="Arial"/>
          <w:i/>
          <w:iCs/>
        </w:rPr>
        <w:t>study shows</w:t>
      </w:r>
      <w:r w:rsidR="007711E3">
        <w:rPr>
          <w:rFonts w:ascii="Arial" w:hAnsi="Arial" w:cs="Arial"/>
          <w:i/>
          <w:iCs/>
        </w:rPr>
        <w:t xml:space="preserve">. </w:t>
      </w:r>
      <w:r w:rsidR="007711E3" w:rsidRPr="00C93A50">
        <w:rPr>
          <w:rFonts w:ascii="Arial" w:hAnsi="Arial" w:cs="Arial"/>
        </w:rPr>
        <w:t>Available at:</w:t>
      </w:r>
      <w:r w:rsidR="00B8511E" w:rsidRPr="00B8511E">
        <w:t xml:space="preserve"> </w:t>
      </w:r>
      <w:hyperlink r:id="rId28" w:history="1">
        <w:r w:rsidR="00B8511E" w:rsidRPr="00B8511E">
          <w:rPr>
            <w:rStyle w:val="Hyperlink"/>
            <w:rFonts w:ascii="Arial" w:hAnsi="Arial" w:cs="Arial"/>
          </w:rPr>
          <w:t>National policing strategy needed to tackle County Lines child exploitation, study shows - News and events, University of York</w:t>
        </w:r>
      </w:hyperlink>
    </w:p>
    <w:p w14:paraId="6CCA36CF" w14:textId="7B7D26BA" w:rsidR="006D178C" w:rsidRDefault="006D178C" w:rsidP="004F42F6">
      <w:pPr>
        <w:rPr>
          <w:rFonts w:ascii="Arial" w:hAnsi="Arial" w:cs="Arial"/>
        </w:rPr>
      </w:pPr>
      <w:r>
        <w:rPr>
          <w:rFonts w:ascii="Arial" w:hAnsi="Arial" w:cs="Arial"/>
        </w:rPr>
        <w:t xml:space="preserve">Merseyside Police (2025) </w:t>
      </w:r>
      <w:r w:rsidR="004E419A" w:rsidRPr="004F42F6">
        <w:rPr>
          <w:rFonts w:ascii="Arial" w:hAnsi="Arial" w:cs="Arial"/>
          <w:i/>
          <w:iCs/>
        </w:rPr>
        <w:t>St Helens Police and College unite for a Day of Action to promote community safety</w:t>
      </w:r>
      <w:r w:rsidR="004E419A">
        <w:rPr>
          <w:rFonts w:ascii="Arial" w:hAnsi="Arial" w:cs="Arial"/>
        </w:rPr>
        <w:t>.</w:t>
      </w:r>
      <w:r w:rsidR="004E419A" w:rsidRPr="004E419A">
        <w:rPr>
          <w:rFonts w:ascii="Arial" w:hAnsi="Arial" w:cs="Arial"/>
        </w:rPr>
        <w:t xml:space="preserve"> </w:t>
      </w:r>
      <w:r w:rsidR="004E419A" w:rsidRPr="00C93A50">
        <w:rPr>
          <w:rFonts w:ascii="Arial" w:hAnsi="Arial" w:cs="Arial"/>
        </w:rPr>
        <w:t>Available at:</w:t>
      </w:r>
      <w:r w:rsidR="004E419A" w:rsidRPr="00C16C8C">
        <w:t xml:space="preserve"> </w:t>
      </w:r>
      <w:r w:rsidR="004E419A">
        <w:rPr>
          <w:rFonts w:ascii="Arial" w:hAnsi="Arial" w:cs="Arial"/>
        </w:rPr>
        <w:t xml:space="preserve"> </w:t>
      </w:r>
      <w:hyperlink r:id="rId29" w:history="1">
        <w:r w:rsidR="004E419A" w:rsidRPr="004E419A">
          <w:rPr>
            <w:rStyle w:val="Hyperlink"/>
            <w:rFonts w:ascii="Arial" w:hAnsi="Arial" w:cs="Arial"/>
          </w:rPr>
          <w:t>Police and college unite for safety drive | Merseyside Police</w:t>
        </w:r>
      </w:hyperlink>
      <w:r w:rsidR="004E419A">
        <w:rPr>
          <w:rFonts w:ascii="Arial" w:hAnsi="Arial" w:cs="Arial"/>
        </w:rPr>
        <w:t xml:space="preserve"> </w:t>
      </w:r>
      <w:r w:rsidR="00217805" w:rsidRPr="00817BF4">
        <w:rPr>
          <w:rFonts w:ascii="Arial" w:hAnsi="Arial" w:cs="Arial"/>
        </w:rPr>
        <w:t xml:space="preserve">(Accessed: </w:t>
      </w:r>
      <w:r w:rsidR="00217805">
        <w:rPr>
          <w:rFonts w:ascii="Arial" w:hAnsi="Arial" w:cs="Arial"/>
        </w:rPr>
        <w:t>04</w:t>
      </w:r>
      <w:r w:rsidR="00217805" w:rsidRPr="00817BF4">
        <w:rPr>
          <w:rFonts w:ascii="Arial" w:hAnsi="Arial" w:cs="Arial"/>
        </w:rPr>
        <w:t>.1</w:t>
      </w:r>
      <w:r w:rsidR="00217805">
        <w:rPr>
          <w:rFonts w:ascii="Arial" w:hAnsi="Arial" w:cs="Arial"/>
        </w:rPr>
        <w:t>2</w:t>
      </w:r>
      <w:r w:rsidR="00217805" w:rsidRPr="00817BF4">
        <w:rPr>
          <w:rFonts w:ascii="Arial" w:hAnsi="Arial" w:cs="Arial"/>
        </w:rPr>
        <w:t>.25).</w:t>
      </w:r>
    </w:p>
    <w:p w14:paraId="0D11B5C9" w14:textId="7E1B7401" w:rsidR="0034132C" w:rsidRDefault="00894965" w:rsidP="004F42F6">
      <w:pPr>
        <w:rPr>
          <w:rFonts w:ascii="Arial" w:hAnsi="Arial" w:cs="Arial"/>
        </w:rPr>
      </w:pPr>
      <w:r>
        <w:rPr>
          <w:rFonts w:ascii="Arial" w:hAnsi="Arial" w:cs="Arial"/>
        </w:rPr>
        <w:t xml:space="preserve">NCA (2017) </w:t>
      </w:r>
      <w:r w:rsidR="005154E3" w:rsidRPr="0034132C">
        <w:rPr>
          <w:rFonts w:ascii="Arial" w:hAnsi="Arial" w:cs="Arial"/>
          <w:i/>
          <w:iCs/>
        </w:rPr>
        <w:t>County Lines Violence, Exploitation &amp; Drug Supply 2017</w:t>
      </w:r>
      <w:r w:rsidR="00620F5C">
        <w:rPr>
          <w:rFonts w:ascii="Arial" w:hAnsi="Arial" w:cs="Arial"/>
        </w:rPr>
        <w:t xml:space="preserve">. </w:t>
      </w:r>
      <w:r w:rsidR="00620F5C" w:rsidRPr="004E419A">
        <w:rPr>
          <w:rFonts w:ascii="Arial" w:hAnsi="Arial" w:cs="Arial"/>
        </w:rPr>
        <w:t xml:space="preserve"> </w:t>
      </w:r>
      <w:r w:rsidR="00620F5C" w:rsidRPr="00C93A50">
        <w:rPr>
          <w:rFonts w:ascii="Arial" w:hAnsi="Arial" w:cs="Arial"/>
        </w:rPr>
        <w:t>Available at:</w:t>
      </w:r>
      <w:r w:rsidR="00620F5C" w:rsidRPr="00C16C8C">
        <w:t xml:space="preserve"> </w:t>
      </w:r>
      <w:r w:rsidR="00620F5C">
        <w:rPr>
          <w:rFonts w:ascii="Arial" w:hAnsi="Arial" w:cs="Arial"/>
        </w:rPr>
        <w:t xml:space="preserve"> </w:t>
      </w:r>
      <w:hyperlink r:id="rId30" w:history="1">
        <w:r w:rsidR="00620F5C" w:rsidRPr="00620F5C">
          <w:rPr>
            <w:rStyle w:val="Hyperlink"/>
            <w:rFonts w:ascii="Arial" w:hAnsi="Arial" w:cs="Arial"/>
          </w:rPr>
          <w:t>file</w:t>
        </w:r>
      </w:hyperlink>
      <w:r w:rsidR="0034132C">
        <w:rPr>
          <w:rFonts w:ascii="Arial" w:hAnsi="Arial" w:cs="Arial"/>
        </w:rPr>
        <w:t xml:space="preserve"> </w:t>
      </w:r>
      <w:r w:rsidR="0034132C" w:rsidRPr="00817BF4">
        <w:rPr>
          <w:rFonts w:ascii="Arial" w:hAnsi="Arial" w:cs="Arial"/>
        </w:rPr>
        <w:t xml:space="preserve">(Accessed: </w:t>
      </w:r>
      <w:r w:rsidR="0034132C">
        <w:rPr>
          <w:rFonts w:ascii="Arial" w:hAnsi="Arial" w:cs="Arial"/>
        </w:rPr>
        <w:t>04</w:t>
      </w:r>
      <w:r w:rsidR="0034132C" w:rsidRPr="00817BF4">
        <w:rPr>
          <w:rFonts w:ascii="Arial" w:hAnsi="Arial" w:cs="Arial"/>
        </w:rPr>
        <w:t>.1</w:t>
      </w:r>
      <w:r w:rsidR="0034132C">
        <w:rPr>
          <w:rFonts w:ascii="Arial" w:hAnsi="Arial" w:cs="Arial"/>
        </w:rPr>
        <w:t>2</w:t>
      </w:r>
      <w:r w:rsidR="0034132C" w:rsidRPr="00817BF4">
        <w:rPr>
          <w:rFonts w:ascii="Arial" w:hAnsi="Arial" w:cs="Arial"/>
        </w:rPr>
        <w:t>.25).</w:t>
      </w:r>
    </w:p>
    <w:p w14:paraId="1E3EF051" w14:textId="005CC6CE" w:rsidR="0054317D" w:rsidRDefault="0054317D" w:rsidP="00C93A50">
      <w:pPr>
        <w:rPr>
          <w:rFonts w:ascii="Arial" w:hAnsi="Arial" w:cs="Arial"/>
        </w:rPr>
      </w:pPr>
      <w:r>
        <w:rPr>
          <w:rFonts w:ascii="Arial" w:hAnsi="Arial" w:cs="Arial"/>
        </w:rPr>
        <w:t>NPCC (2025</w:t>
      </w:r>
      <w:r w:rsidR="00F61BA0">
        <w:rPr>
          <w:rFonts w:ascii="Arial" w:hAnsi="Arial" w:cs="Arial"/>
        </w:rPr>
        <w:t xml:space="preserve">) </w:t>
      </w:r>
      <w:r w:rsidR="00E03995" w:rsidRPr="00F61BA0">
        <w:rPr>
          <w:rFonts w:ascii="Arial" w:hAnsi="Arial" w:cs="Arial"/>
          <w:i/>
          <w:iCs/>
        </w:rPr>
        <w:t>Annual County Lines report: Threat remains stable but business model used by perpetrators continues to evolve</w:t>
      </w:r>
      <w:r w:rsidR="00E03995">
        <w:rPr>
          <w:rFonts w:ascii="Arial" w:hAnsi="Arial" w:cs="Arial"/>
        </w:rPr>
        <w:t xml:space="preserve">. </w:t>
      </w:r>
      <w:r w:rsidR="00E03995" w:rsidRPr="00C93A50">
        <w:rPr>
          <w:rFonts w:ascii="Arial" w:hAnsi="Arial" w:cs="Arial"/>
        </w:rPr>
        <w:t>Available at:</w:t>
      </w:r>
      <w:r w:rsidR="00F953C5" w:rsidRPr="00F953C5">
        <w:t xml:space="preserve"> </w:t>
      </w:r>
      <w:hyperlink r:id="rId31" w:history="1">
        <w:r w:rsidR="00F953C5" w:rsidRPr="00F953C5">
          <w:rPr>
            <w:rStyle w:val="Hyperlink"/>
            <w:rFonts w:ascii="Arial" w:hAnsi="Arial" w:cs="Arial"/>
          </w:rPr>
          <w:t>Annual County Lines report: Threat remains stable but business model used by perpetrators continues to evolve</w:t>
        </w:r>
      </w:hyperlink>
      <w:r w:rsidR="00F953C5">
        <w:rPr>
          <w:rFonts w:ascii="Arial" w:hAnsi="Arial" w:cs="Arial"/>
        </w:rPr>
        <w:t xml:space="preserve"> </w:t>
      </w:r>
      <w:r w:rsidR="00F953C5" w:rsidRPr="00817BF4">
        <w:rPr>
          <w:rFonts w:ascii="Arial" w:hAnsi="Arial" w:cs="Arial"/>
        </w:rPr>
        <w:t xml:space="preserve">(Accessed: </w:t>
      </w:r>
      <w:r w:rsidR="00F953C5">
        <w:rPr>
          <w:rFonts w:ascii="Arial" w:hAnsi="Arial" w:cs="Arial"/>
        </w:rPr>
        <w:t>27</w:t>
      </w:r>
      <w:r w:rsidR="00F953C5" w:rsidRPr="00817BF4">
        <w:rPr>
          <w:rFonts w:ascii="Arial" w:hAnsi="Arial" w:cs="Arial"/>
        </w:rPr>
        <w:t>.1</w:t>
      </w:r>
      <w:r w:rsidR="00F953C5">
        <w:rPr>
          <w:rFonts w:ascii="Arial" w:hAnsi="Arial" w:cs="Arial"/>
        </w:rPr>
        <w:t>1</w:t>
      </w:r>
      <w:r w:rsidR="00F953C5" w:rsidRPr="00817BF4">
        <w:rPr>
          <w:rFonts w:ascii="Arial" w:hAnsi="Arial" w:cs="Arial"/>
        </w:rPr>
        <w:t>.25).</w:t>
      </w:r>
    </w:p>
    <w:p w14:paraId="5205CBF1" w14:textId="203E4A13" w:rsidR="00892A0E" w:rsidRPr="00892A0E" w:rsidRDefault="00892A0E" w:rsidP="00C93A50">
      <w:pPr>
        <w:rPr>
          <w:rFonts w:ascii="Arial" w:hAnsi="Arial" w:cs="Arial"/>
        </w:rPr>
      </w:pPr>
      <w:r>
        <w:rPr>
          <w:rFonts w:ascii="Arial" w:hAnsi="Arial" w:cs="Arial"/>
        </w:rPr>
        <w:t xml:space="preserve">NSPCC (2025) </w:t>
      </w:r>
      <w:r w:rsidRPr="00F61BA0">
        <w:rPr>
          <w:rFonts w:ascii="Arial" w:hAnsi="Arial" w:cs="Arial"/>
          <w:i/>
          <w:iCs/>
        </w:rPr>
        <w:t>Protecting children from child criminal exploitation.</w:t>
      </w:r>
      <w:r>
        <w:rPr>
          <w:rFonts w:ascii="Arial" w:hAnsi="Arial" w:cs="Arial"/>
        </w:rPr>
        <w:t xml:space="preserve"> </w:t>
      </w:r>
      <w:r w:rsidRPr="00C93A50">
        <w:rPr>
          <w:rFonts w:ascii="Arial" w:hAnsi="Arial" w:cs="Arial"/>
        </w:rPr>
        <w:t>Available at:</w:t>
      </w:r>
      <w:r>
        <w:rPr>
          <w:rFonts w:ascii="Arial" w:hAnsi="Arial" w:cs="Arial"/>
        </w:rPr>
        <w:t xml:space="preserve"> </w:t>
      </w:r>
      <w:hyperlink r:id="rId32" w:history="1">
        <w:r w:rsidRPr="00CA670E">
          <w:rPr>
            <w:rStyle w:val="Hyperlink"/>
            <w:rFonts w:ascii="Arial" w:hAnsi="Arial" w:cs="Arial"/>
          </w:rPr>
          <w:t>Protecting children from child criminal exploitation | NSPCC Learning</w:t>
        </w:r>
      </w:hyperlink>
      <w:r>
        <w:rPr>
          <w:rFonts w:ascii="Arial" w:hAnsi="Arial" w:cs="Arial"/>
        </w:rPr>
        <w:t xml:space="preserve"> </w:t>
      </w:r>
      <w:r w:rsidRPr="00817BF4">
        <w:rPr>
          <w:rFonts w:ascii="Arial" w:hAnsi="Arial" w:cs="Arial"/>
        </w:rPr>
        <w:t xml:space="preserve">(Accessed: </w:t>
      </w:r>
      <w:r>
        <w:rPr>
          <w:rFonts w:ascii="Arial" w:hAnsi="Arial" w:cs="Arial"/>
        </w:rPr>
        <w:t>27</w:t>
      </w:r>
      <w:r w:rsidRPr="00817BF4">
        <w:rPr>
          <w:rFonts w:ascii="Arial" w:hAnsi="Arial" w:cs="Arial"/>
        </w:rPr>
        <w:t>.1</w:t>
      </w:r>
      <w:r>
        <w:rPr>
          <w:rFonts w:ascii="Arial" w:hAnsi="Arial" w:cs="Arial"/>
        </w:rPr>
        <w:t>1</w:t>
      </w:r>
      <w:r w:rsidRPr="00817BF4">
        <w:rPr>
          <w:rFonts w:ascii="Arial" w:hAnsi="Arial" w:cs="Arial"/>
        </w:rPr>
        <w:t>.25)</w:t>
      </w:r>
    </w:p>
    <w:p w14:paraId="7CFEE959" w14:textId="77777777" w:rsidR="00A72101" w:rsidRDefault="00A72101" w:rsidP="00A72101">
      <w:pPr>
        <w:rPr>
          <w:rFonts w:ascii="Arial" w:hAnsi="Arial" w:cs="Arial"/>
        </w:rPr>
      </w:pPr>
      <w:r w:rsidRPr="00817BF4">
        <w:rPr>
          <w:rFonts w:ascii="Arial" w:hAnsi="Arial" w:cs="Arial"/>
        </w:rPr>
        <w:lastRenderedPageBreak/>
        <w:t xml:space="preserve">Office for Health Improvement and Disparities (2024) </w:t>
      </w:r>
      <w:r w:rsidRPr="005D3287">
        <w:rPr>
          <w:rFonts w:ascii="Arial" w:hAnsi="Arial" w:cs="Arial"/>
          <w:i/>
          <w:iCs/>
        </w:rPr>
        <w:t>Young people's substance misuse treatment statistics 2022 to 2023: report</w:t>
      </w:r>
      <w:r w:rsidRPr="00817BF4">
        <w:rPr>
          <w:rFonts w:ascii="Arial" w:hAnsi="Arial" w:cs="Arial"/>
          <w:i/>
          <w:iCs/>
        </w:rPr>
        <w:t>.</w:t>
      </w:r>
      <w:r w:rsidRPr="00817BF4">
        <w:rPr>
          <w:rFonts w:ascii="Arial" w:hAnsi="Arial" w:cs="Arial"/>
        </w:rPr>
        <w:t xml:space="preserve"> Available at: </w:t>
      </w:r>
      <w:hyperlink r:id="rId33" w:history="1">
        <w:r w:rsidRPr="00817BF4">
          <w:rPr>
            <w:rStyle w:val="Hyperlink"/>
            <w:rFonts w:ascii="Arial" w:hAnsi="Arial" w:cs="Arial"/>
          </w:rPr>
          <w:t>Young people's substance misuse treatment statistics 2022 to 2023: report - GOV.UK</w:t>
        </w:r>
      </w:hyperlink>
      <w:r w:rsidRPr="00817BF4">
        <w:rPr>
          <w:rFonts w:ascii="Arial" w:hAnsi="Arial" w:cs="Arial"/>
        </w:rPr>
        <w:t xml:space="preserve"> (Accessed: 09.10.25).</w:t>
      </w:r>
    </w:p>
    <w:p w14:paraId="4E67706A" w14:textId="77777777" w:rsidR="00A72101" w:rsidRDefault="00A72101" w:rsidP="00A72101">
      <w:pPr>
        <w:rPr>
          <w:rFonts w:ascii="Arial" w:hAnsi="Arial" w:cs="Arial"/>
        </w:rPr>
      </w:pPr>
      <w:r w:rsidRPr="00817BF4">
        <w:rPr>
          <w:rFonts w:ascii="Arial" w:hAnsi="Arial" w:cs="Arial"/>
        </w:rPr>
        <w:t xml:space="preserve">Office for National Statistics (2023) </w:t>
      </w:r>
      <w:r w:rsidRPr="00817BF4">
        <w:rPr>
          <w:rFonts w:ascii="Arial" w:hAnsi="Arial" w:cs="Arial"/>
          <w:i/>
          <w:iCs/>
        </w:rPr>
        <w:t>Drug misuse in England and Wales: year ending March 2023.</w:t>
      </w:r>
      <w:r w:rsidRPr="00817BF4">
        <w:rPr>
          <w:rFonts w:ascii="Arial" w:hAnsi="Arial" w:cs="Arial"/>
        </w:rPr>
        <w:t xml:space="preserve"> Available at: </w:t>
      </w:r>
      <w:hyperlink r:id="rId34" w:history="1">
        <w:r w:rsidRPr="00817BF4">
          <w:rPr>
            <w:rStyle w:val="Hyperlink"/>
            <w:rFonts w:ascii="Arial" w:hAnsi="Arial" w:cs="Arial"/>
          </w:rPr>
          <w:t>Drug misuse in England and Wales - Office for National Statistics</w:t>
        </w:r>
      </w:hyperlink>
      <w:r w:rsidRPr="00817BF4">
        <w:rPr>
          <w:rFonts w:ascii="Arial" w:hAnsi="Arial" w:cs="Arial"/>
        </w:rPr>
        <w:t xml:space="preserve"> (Accessed: 20.03.25).</w:t>
      </w:r>
    </w:p>
    <w:p w14:paraId="5BD7B31B" w14:textId="2603F352" w:rsidR="00A72101" w:rsidRDefault="00C522B6" w:rsidP="00C93A50">
      <w:pPr>
        <w:rPr>
          <w:rFonts w:ascii="Arial" w:hAnsi="Arial" w:cs="Arial"/>
        </w:rPr>
      </w:pPr>
      <w:r w:rsidRPr="00817BF4">
        <w:rPr>
          <w:rFonts w:ascii="Arial" w:hAnsi="Arial" w:cs="Arial"/>
        </w:rPr>
        <w:t xml:space="preserve">Office for National Statistics (2024) </w:t>
      </w:r>
      <w:r w:rsidRPr="00817BF4">
        <w:rPr>
          <w:rFonts w:ascii="Arial" w:hAnsi="Arial" w:cs="Arial"/>
          <w:i/>
          <w:iCs/>
        </w:rPr>
        <w:t xml:space="preserve">Drug misuse in England and Wales: year ending March 2024. </w:t>
      </w:r>
      <w:r w:rsidRPr="00817BF4">
        <w:rPr>
          <w:rFonts w:ascii="Arial" w:hAnsi="Arial" w:cs="Arial"/>
        </w:rPr>
        <w:t xml:space="preserve">Available at: </w:t>
      </w:r>
      <w:hyperlink r:id="rId35" w:history="1">
        <w:r w:rsidRPr="00817BF4">
          <w:rPr>
            <w:rStyle w:val="Hyperlink"/>
            <w:rFonts w:ascii="Arial" w:hAnsi="Arial" w:cs="Arial"/>
          </w:rPr>
          <w:t>Drug misuse in England and Wales - Office for National Statistics</w:t>
        </w:r>
      </w:hyperlink>
      <w:r w:rsidRPr="00817BF4">
        <w:rPr>
          <w:rFonts w:ascii="Arial" w:hAnsi="Arial" w:cs="Arial"/>
        </w:rPr>
        <w:t xml:space="preserve"> (Accessed: 09.10.25).</w:t>
      </w:r>
    </w:p>
    <w:p w14:paraId="10BEE7F4" w14:textId="681EAC52" w:rsidR="00C53612" w:rsidRDefault="00C53612" w:rsidP="00C93A50">
      <w:pPr>
        <w:rPr>
          <w:rFonts w:ascii="Arial" w:hAnsi="Arial" w:cs="Arial"/>
        </w:rPr>
      </w:pPr>
      <w:r w:rsidRPr="004D65BE">
        <w:rPr>
          <w:rFonts w:ascii="Arial" w:hAnsi="Arial" w:cs="Arial"/>
        </w:rPr>
        <w:t>Revolving Doors Agency (2022)</w:t>
      </w:r>
      <w:r w:rsidR="00694256">
        <w:rPr>
          <w:rFonts w:ascii="Arial" w:hAnsi="Arial" w:cs="Arial"/>
        </w:rPr>
        <w:t xml:space="preserve"> </w:t>
      </w:r>
      <w:r w:rsidR="00694256" w:rsidRPr="00326D77">
        <w:rPr>
          <w:rFonts w:ascii="Arial" w:hAnsi="Arial" w:cs="Arial"/>
          <w:i/>
          <w:iCs/>
        </w:rPr>
        <w:t>Spotlight on Young Adults: Emerging good practice across PCC areas on Young Adults (18-24) in contact with criminal justice services</w:t>
      </w:r>
      <w:r w:rsidR="00326D77">
        <w:rPr>
          <w:rFonts w:ascii="Arial" w:hAnsi="Arial" w:cs="Arial"/>
          <w:i/>
          <w:iCs/>
        </w:rPr>
        <w:t>.</w:t>
      </w:r>
      <w:r w:rsidR="00326D77" w:rsidRPr="00326D77">
        <w:rPr>
          <w:rFonts w:ascii="Arial" w:hAnsi="Arial" w:cs="Arial"/>
        </w:rPr>
        <w:t xml:space="preserve"> </w:t>
      </w:r>
      <w:r w:rsidR="00326D77" w:rsidRPr="00817BF4">
        <w:rPr>
          <w:rFonts w:ascii="Arial" w:hAnsi="Arial" w:cs="Arial"/>
        </w:rPr>
        <w:t>Available at:</w:t>
      </w:r>
      <w:r w:rsidR="00326D77" w:rsidRPr="00326D77">
        <w:t xml:space="preserve"> </w:t>
      </w:r>
      <w:hyperlink r:id="rId36" w:history="1">
        <w:r w:rsidR="00326D77" w:rsidRPr="00326D77">
          <w:rPr>
            <w:rStyle w:val="Hyperlink"/>
            <w:rFonts w:ascii="Arial" w:hAnsi="Arial" w:cs="Arial"/>
          </w:rPr>
          <w:t>Young-Adults-Spotlight-Final-Copy-PDF-3.pdf</w:t>
        </w:r>
      </w:hyperlink>
      <w:r w:rsidR="00326D77">
        <w:rPr>
          <w:rFonts w:ascii="Arial" w:hAnsi="Arial" w:cs="Arial"/>
        </w:rPr>
        <w:t xml:space="preserve"> (</w:t>
      </w:r>
      <w:r w:rsidR="00326D77" w:rsidRPr="008E20F3">
        <w:rPr>
          <w:rFonts w:ascii="Arial" w:hAnsi="Arial" w:cs="Arial"/>
        </w:rPr>
        <w:t xml:space="preserve">Accessed </w:t>
      </w:r>
      <w:r w:rsidR="00326D77">
        <w:rPr>
          <w:rFonts w:ascii="Arial" w:hAnsi="Arial" w:cs="Arial"/>
        </w:rPr>
        <w:t>0</w:t>
      </w:r>
      <w:r w:rsidR="00326D77" w:rsidRPr="008E20F3">
        <w:rPr>
          <w:rFonts w:ascii="Arial" w:hAnsi="Arial" w:cs="Arial"/>
        </w:rPr>
        <w:t>5</w:t>
      </w:r>
      <w:r w:rsidR="00326D77">
        <w:rPr>
          <w:rFonts w:ascii="Arial" w:hAnsi="Arial" w:cs="Arial"/>
        </w:rPr>
        <w:t>.12.25).</w:t>
      </w:r>
    </w:p>
    <w:p w14:paraId="53428C4E" w14:textId="57FC1EB4" w:rsidR="00C370DB" w:rsidRDefault="00133014" w:rsidP="00C93A50">
      <w:pPr>
        <w:rPr>
          <w:rFonts w:ascii="Arial" w:hAnsi="Arial" w:cs="Arial"/>
        </w:rPr>
      </w:pPr>
      <w:r>
        <w:rPr>
          <w:rFonts w:ascii="Arial" w:hAnsi="Arial" w:cs="Arial"/>
        </w:rPr>
        <w:t>S</w:t>
      </w:r>
      <w:r w:rsidR="00C370DB">
        <w:rPr>
          <w:rFonts w:ascii="Arial" w:hAnsi="Arial" w:cs="Arial"/>
        </w:rPr>
        <w:t>mith</w:t>
      </w:r>
      <w:r>
        <w:rPr>
          <w:rFonts w:ascii="Arial" w:hAnsi="Arial" w:cs="Arial"/>
        </w:rPr>
        <w:t>, R., Bacon, M., Glasspoole-Bird</w:t>
      </w:r>
      <w:r w:rsidR="00173884">
        <w:rPr>
          <w:rFonts w:ascii="Arial" w:hAnsi="Arial" w:cs="Arial"/>
        </w:rPr>
        <w:t xml:space="preserve">, H., Hendrie, N., Monaghan, </w:t>
      </w:r>
      <w:r w:rsidR="0050283C">
        <w:rPr>
          <w:rFonts w:ascii="Arial" w:hAnsi="Arial" w:cs="Arial"/>
        </w:rPr>
        <w:t>M., Sutton, C., Stevens, A. (</w:t>
      </w:r>
      <w:r w:rsidR="008E20F3">
        <w:rPr>
          <w:rFonts w:ascii="Arial" w:hAnsi="Arial" w:cs="Arial"/>
        </w:rPr>
        <w:t>2025</w:t>
      </w:r>
      <w:r w:rsidR="00D601BB">
        <w:rPr>
          <w:rFonts w:ascii="Arial" w:hAnsi="Arial" w:cs="Arial"/>
        </w:rPr>
        <w:t>) ‘A</w:t>
      </w:r>
      <w:r w:rsidR="00B165D7" w:rsidRPr="00B165D7">
        <w:rPr>
          <w:rFonts w:ascii="Arial" w:hAnsi="Arial" w:cs="Arial"/>
        </w:rPr>
        <w:t>chieving collaborative advantage in policing: strategic and frontline partnership in police-led drug diversion schemes in England</w:t>
      </w:r>
      <w:r w:rsidR="00462534">
        <w:rPr>
          <w:rFonts w:ascii="Arial" w:hAnsi="Arial" w:cs="Arial"/>
        </w:rPr>
        <w:t>’,</w:t>
      </w:r>
      <w:r w:rsidR="00B165D7" w:rsidRPr="00B165D7">
        <w:rPr>
          <w:rFonts w:ascii="Arial" w:hAnsi="Arial" w:cs="Arial"/>
          <w:b/>
          <w:bCs/>
        </w:rPr>
        <w:t> </w:t>
      </w:r>
      <w:r w:rsidR="008E20F3" w:rsidRPr="008E20F3">
        <w:rPr>
          <w:rFonts w:ascii="Arial" w:hAnsi="Arial" w:cs="Arial"/>
          <w:i/>
          <w:iCs/>
        </w:rPr>
        <w:t>Policing: A Journal of Policy and Practice</w:t>
      </w:r>
      <w:r w:rsidR="008E20F3" w:rsidRPr="008E20F3">
        <w:rPr>
          <w:rFonts w:ascii="Arial" w:hAnsi="Arial" w:cs="Arial"/>
        </w:rPr>
        <w:t xml:space="preserve">. Oxford University Press. Available at: </w:t>
      </w:r>
      <w:hyperlink r:id="rId37" w:history="1">
        <w:r w:rsidR="006A7203" w:rsidRPr="006A7203">
          <w:rPr>
            <w:rStyle w:val="Hyperlink"/>
            <w:rFonts w:ascii="Arial" w:hAnsi="Arial" w:cs="Arial"/>
          </w:rPr>
          <w:t>Achieving collaborative advantage in policing: strategic and frontline partnership in police-led drug diversion schemes in England | Policing: A Journal of Policy and Practice | Oxford Academic</w:t>
        </w:r>
      </w:hyperlink>
      <w:r w:rsidR="006A7203" w:rsidRPr="006A7203">
        <w:rPr>
          <w:rFonts w:ascii="Arial" w:hAnsi="Arial" w:cs="Arial"/>
        </w:rPr>
        <w:t xml:space="preserve"> </w:t>
      </w:r>
      <w:r w:rsidR="00B41BF4">
        <w:rPr>
          <w:rFonts w:ascii="Arial" w:hAnsi="Arial" w:cs="Arial"/>
        </w:rPr>
        <w:t>(</w:t>
      </w:r>
      <w:r w:rsidR="008E20F3" w:rsidRPr="008E20F3">
        <w:rPr>
          <w:rFonts w:ascii="Arial" w:hAnsi="Arial" w:cs="Arial"/>
        </w:rPr>
        <w:t xml:space="preserve">Accessed </w:t>
      </w:r>
      <w:r w:rsidR="00B41BF4">
        <w:rPr>
          <w:rFonts w:ascii="Arial" w:hAnsi="Arial" w:cs="Arial"/>
        </w:rPr>
        <w:t>0</w:t>
      </w:r>
      <w:r w:rsidR="008E20F3" w:rsidRPr="008E20F3">
        <w:rPr>
          <w:rFonts w:ascii="Arial" w:hAnsi="Arial" w:cs="Arial"/>
        </w:rPr>
        <w:t>5</w:t>
      </w:r>
      <w:r w:rsidR="00B41BF4">
        <w:rPr>
          <w:rFonts w:ascii="Arial" w:hAnsi="Arial" w:cs="Arial"/>
        </w:rPr>
        <w:t>.12.25)</w:t>
      </w:r>
      <w:r w:rsidR="006A7203">
        <w:rPr>
          <w:rFonts w:ascii="Arial" w:hAnsi="Arial" w:cs="Arial"/>
        </w:rPr>
        <w:t>.</w:t>
      </w:r>
    </w:p>
    <w:p w14:paraId="6561BCE8" w14:textId="4617D1C5" w:rsidR="00EF49DF" w:rsidRDefault="00EF49DF" w:rsidP="00C93A50">
      <w:pPr>
        <w:rPr>
          <w:rFonts w:ascii="Arial" w:hAnsi="Arial" w:cs="Arial"/>
        </w:rPr>
      </w:pPr>
      <w:r w:rsidRPr="00EF49DF">
        <w:rPr>
          <w:rFonts w:ascii="Arial" w:hAnsi="Arial" w:cs="Arial"/>
        </w:rPr>
        <w:t xml:space="preserve">Shiner, M. (2015) ‘Drug policy reform and the reclassification of cannabis in England and Wales: A cautionary tale’, </w:t>
      </w:r>
      <w:r w:rsidRPr="00EF49DF">
        <w:rPr>
          <w:rFonts w:ascii="Arial" w:hAnsi="Arial" w:cs="Arial"/>
          <w:i/>
          <w:iCs/>
        </w:rPr>
        <w:t>International Journal of Drug Policy</w:t>
      </w:r>
      <w:r w:rsidRPr="00EF49DF">
        <w:rPr>
          <w:rFonts w:ascii="Arial" w:hAnsi="Arial" w:cs="Arial"/>
        </w:rPr>
        <w:t>, 26(1), pp. 74–82. doi: 10.1016/j.drugpo.2015.03.009.</w:t>
      </w:r>
    </w:p>
    <w:p w14:paraId="61B90F7A" w14:textId="77777777" w:rsidR="00C93A50" w:rsidRDefault="00C93A50" w:rsidP="00C93A50">
      <w:pPr>
        <w:rPr>
          <w:rFonts w:ascii="Arial" w:hAnsi="Arial" w:cs="Arial"/>
        </w:rPr>
      </w:pPr>
      <w:r w:rsidRPr="00C93A50">
        <w:rPr>
          <w:rFonts w:ascii="Arial" w:hAnsi="Arial" w:cs="Arial"/>
        </w:rPr>
        <w:t xml:space="preserve">UK Legislation (2024) </w:t>
      </w:r>
      <w:r w:rsidRPr="00C93A50">
        <w:rPr>
          <w:rFonts w:ascii="Arial" w:hAnsi="Arial" w:cs="Arial"/>
          <w:i/>
          <w:iCs/>
        </w:rPr>
        <w:t>Misuse of Drugs Act 1971</w:t>
      </w:r>
      <w:r w:rsidRPr="00C93A50">
        <w:rPr>
          <w:rFonts w:ascii="Arial" w:hAnsi="Arial" w:cs="Arial"/>
        </w:rPr>
        <w:t xml:space="preserve">. Available at: </w:t>
      </w:r>
      <w:hyperlink r:id="rId38" w:history="1">
        <w:r w:rsidRPr="00C93A50">
          <w:rPr>
            <w:rStyle w:val="Hyperlink"/>
            <w:rFonts w:ascii="Arial" w:hAnsi="Arial" w:cs="Arial"/>
          </w:rPr>
          <w:t>Misuse of Drugs Act 1971</w:t>
        </w:r>
      </w:hyperlink>
      <w:r w:rsidRPr="00C93A50">
        <w:rPr>
          <w:rFonts w:ascii="Arial" w:hAnsi="Arial" w:cs="Arial"/>
        </w:rPr>
        <w:t xml:space="preserve"> (Accessed: 11.03.25).</w:t>
      </w:r>
    </w:p>
    <w:p w14:paraId="2C899563" w14:textId="26B1B3FF" w:rsidR="00AF4015" w:rsidRPr="00FA1A84" w:rsidRDefault="00AF4015" w:rsidP="00C93A50">
      <w:pPr>
        <w:rPr>
          <w:rFonts w:ascii="Arial" w:hAnsi="Arial" w:cs="Arial"/>
          <w:b/>
          <w:bCs/>
        </w:rPr>
      </w:pPr>
      <w:r>
        <w:rPr>
          <w:rFonts w:ascii="Arial" w:hAnsi="Arial" w:cs="Arial"/>
        </w:rPr>
        <w:t>UK Parliament (2016</w:t>
      </w:r>
      <w:r w:rsidR="004E20AA">
        <w:rPr>
          <w:rFonts w:ascii="Arial" w:hAnsi="Arial" w:cs="Arial"/>
        </w:rPr>
        <w:t xml:space="preserve">) </w:t>
      </w:r>
      <w:r w:rsidR="004E20AA" w:rsidRPr="004E20AA">
        <w:rPr>
          <w:rFonts w:ascii="Arial" w:hAnsi="Arial" w:cs="Arial"/>
        </w:rPr>
        <w:t>House of Commons Justice Committee</w:t>
      </w:r>
      <w:r w:rsidR="004E20AA">
        <w:rPr>
          <w:rFonts w:ascii="Arial" w:hAnsi="Arial" w:cs="Arial"/>
        </w:rPr>
        <w:t xml:space="preserve">. </w:t>
      </w:r>
      <w:r w:rsidR="004E20AA" w:rsidRPr="004E20AA">
        <w:rPr>
          <w:rFonts w:ascii="Arial" w:hAnsi="Arial" w:cs="Arial"/>
          <w:i/>
          <w:iCs/>
        </w:rPr>
        <w:t>The treatment of young adults in the criminal justice system</w:t>
      </w:r>
      <w:r w:rsidR="004E20AA">
        <w:rPr>
          <w:rFonts w:ascii="Arial" w:hAnsi="Arial" w:cs="Arial"/>
          <w:i/>
          <w:iCs/>
        </w:rPr>
        <w:t>.</w:t>
      </w:r>
      <w:r w:rsidR="004E20AA" w:rsidRPr="004E20AA">
        <w:rPr>
          <w:rFonts w:ascii="Arial" w:hAnsi="Arial" w:cs="Arial"/>
        </w:rPr>
        <w:t xml:space="preserve"> </w:t>
      </w:r>
      <w:r w:rsidR="004E20AA" w:rsidRPr="00C93A50">
        <w:rPr>
          <w:rFonts w:ascii="Arial" w:hAnsi="Arial" w:cs="Arial"/>
        </w:rPr>
        <w:t>Available at:</w:t>
      </w:r>
      <w:r w:rsidR="004E20AA">
        <w:rPr>
          <w:rFonts w:ascii="Arial" w:hAnsi="Arial" w:cs="Arial"/>
        </w:rPr>
        <w:t xml:space="preserve"> </w:t>
      </w:r>
      <w:hyperlink r:id="rId39" w:history="1">
        <w:r w:rsidR="00FA1A84" w:rsidRPr="00FA1A84">
          <w:rPr>
            <w:rStyle w:val="Hyperlink"/>
            <w:rFonts w:ascii="Arial" w:hAnsi="Arial" w:cs="Arial"/>
          </w:rPr>
          <w:t>The treatment of young adults in the criminal justice system</w:t>
        </w:r>
      </w:hyperlink>
      <w:r w:rsidR="00FA1A84">
        <w:rPr>
          <w:rFonts w:ascii="Arial" w:hAnsi="Arial" w:cs="Arial"/>
        </w:rPr>
        <w:t xml:space="preserve"> </w:t>
      </w:r>
      <w:r w:rsidR="00FA1A84" w:rsidRPr="00817BF4">
        <w:rPr>
          <w:rFonts w:ascii="Arial" w:hAnsi="Arial" w:cs="Arial"/>
        </w:rPr>
        <w:t xml:space="preserve">(Accessed: </w:t>
      </w:r>
      <w:r w:rsidR="00FA1A84">
        <w:rPr>
          <w:rFonts w:ascii="Arial" w:hAnsi="Arial" w:cs="Arial"/>
        </w:rPr>
        <w:t>28</w:t>
      </w:r>
      <w:r w:rsidR="00FA1A84" w:rsidRPr="00817BF4">
        <w:rPr>
          <w:rFonts w:ascii="Arial" w:hAnsi="Arial" w:cs="Arial"/>
        </w:rPr>
        <w:t>.1</w:t>
      </w:r>
      <w:r w:rsidR="00FA1A84">
        <w:rPr>
          <w:rFonts w:ascii="Arial" w:hAnsi="Arial" w:cs="Arial"/>
        </w:rPr>
        <w:t>1</w:t>
      </w:r>
      <w:r w:rsidR="00FA1A84" w:rsidRPr="00817BF4">
        <w:rPr>
          <w:rFonts w:ascii="Arial" w:hAnsi="Arial" w:cs="Arial"/>
        </w:rPr>
        <w:t>.25).</w:t>
      </w:r>
    </w:p>
    <w:p w14:paraId="476E58CC" w14:textId="5D985BBA" w:rsidR="00C93A50" w:rsidRDefault="00F8599D" w:rsidP="00C93A50">
      <w:pPr>
        <w:rPr>
          <w:rFonts w:ascii="Arial" w:hAnsi="Arial" w:cs="Arial"/>
        </w:rPr>
      </w:pPr>
      <w:r>
        <w:rPr>
          <w:rFonts w:ascii="Arial" w:hAnsi="Arial" w:cs="Arial"/>
        </w:rPr>
        <w:t>UK Parliament (2021)</w:t>
      </w:r>
      <w:r w:rsidR="00C93A50">
        <w:rPr>
          <w:rFonts w:ascii="Arial" w:hAnsi="Arial" w:cs="Arial"/>
        </w:rPr>
        <w:t xml:space="preserve"> </w:t>
      </w:r>
      <w:r w:rsidR="00C93A50" w:rsidRPr="00C93A50">
        <w:rPr>
          <w:rFonts w:ascii="Arial" w:hAnsi="Arial" w:cs="Arial"/>
          <w:i/>
          <w:iCs/>
        </w:rPr>
        <w:t>Evidence submitted by Transform Drug Policy Foundation (DRU0097).</w:t>
      </w:r>
      <w:r w:rsidR="00C93A50">
        <w:rPr>
          <w:rFonts w:ascii="Arial" w:hAnsi="Arial" w:cs="Arial"/>
        </w:rPr>
        <w:t xml:space="preserve"> </w:t>
      </w:r>
      <w:r w:rsidR="00C93A50" w:rsidRPr="00F8599D">
        <w:rPr>
          <w:rFonts w:ascii="Arial" w:hAnsi="Arial" w:cs="Arial"/>
        </w:rPr>
        <w:t>Available at:</w:t>
      </w:r>
      <w:r w:rsidR="00C93A50" w:rsidRPr="00C93A50">
        <w:t xml:space="preserve"> </w:t>
      </w:r>
      <w:hyperlink r:id="rId40" w:history="1">
        <w:r w:rsidR="00C93A50" w:rsidRPr="00C93A50">
          <w:rPr>
            <w:rStyle w:val="Hyperlink"/>
            <w:rFonts w:ascii="Arial" w:hAnsi="Arial" w:cs="Arial"/>
          </w:rPr>
          <w:t>committees.parliament.uk/writtenevidence/107795/pdf/</w:t>
        </w:r>
      </w:hyperlink>
      <w:r w:rsidR="00C93A50">
        <w:rPr>
          <w:rFonts w:ascii="Arial" w:hAnsi="Arial" w:cs="Arial"/>
        </w:rPr>
        <w:t xml:space="preserve"> </w:t>
      </w:r>
      <w:r w:rsidR="00C93A50" w:rsidRPr="00F8599D">
        <w:rPr>
          <w:rFonts w:ascii="Arial" w:hAnsi="Arial" w:cs="Arial"/>
        </w:rPr>
        <w:t xml:space="preserve">(Accessed: </w:t>
      </w:r>
      <w:r w:rsidR="00C93A50">
        <w:rPr>
          <w:rFonts w:ascii="Arial" w:hAnsi="Arial" w:cs="Arial"/>
        </w:rPr>
        <w:t>13</w:t>
      </w:r>
      <w:r w:rsidR="00C93A50" w:rsidRPr="00F8599D">
        <w:rPr>
          <w:rFonts w:ascii="Arial" w:hAnsi="Arial" w:cs="Arial"/>
        </w:rPr>
        <w:t>.1</w:t>
      </w:r>
      <w:r w:rsidR="00C93A50">
        <w:rPr>
          <w:rFonts w:ascii="Arial" w:hAnsi="Arial" w:cs="Arial"/>
        </w:rPr>
        <w:t>1</w:t>
      </w:r>
      <w:r w:rsidR="00C93A50" w:rsidRPr="00F8599D">
        <w:rPr>
          <w:rFonts w:ascii="Arial" w:hAnsi="Arial" w:cs="Arial"/>
        </w:rPr>
        <w:t>.25).</w:t>
      </w:r>
    </w:p>
    <w:p w14:paraId="1CA9ECC6" w14:textId="69F6FB0A" w:rsidR="006409E2" w:rsidRPr="00AF2E25" w:rsidRDefault="006409E2" w:rsidP="00C93A50">
      <w:pPr>
        <w:rPr>
          <w:rFonts w:ascii="Arial" w:hAnsi="Arial" w:cs="Arial"/>
          <w:b/>
          <w:bCs/>
        </w:rPr>
      </w:pPr>
      <w:r w:rsidRPr="00C97E1C">
        <w:rPr>
          <w:rFonts w:ascii="Arial" w:hAnsi="Arial" w:cs="Arial"/>
        </w:rPr>
        <w:t>Vulnerability Knowledge and Practice Programme (</w:t>
      </w:r>
      <w:r>
        <w:rPr>
          <w:rFonts w:ascii="Arial" w:hAnsi="Arial" w:cs="Arial"/>
        </w:rPr>
        <w:t>2023</w:t>
      </w:r>
      <w:r w:rsidR="00C057B3">
        <w:rPr>
          <w:rFonts w:ascii="Arial" w:hAnsi="Arial" w:cs="Arial"/>
        </w:rPr>
        <w:t xml:space="preserve">) </w:t>
      </w:r>
      <w:r w:rsidR="00C057B3" w:rsidRPr="00AF2E25">
        <w:rPr>
          <w:rFonts w:ascii="Arial" w:hAnsi="Arial" w:cs="Arial"/>
          <w:i/>
          <w:iCs/>
        </w:rPr>
        <w:t>Learning for the Police from Multi Agency Public Protection Arrangements (MAPPA) Serious Case Reviews – 2023</w:t>
      </w:r>
      <w:r w:rsidR="00C057B3">
        <w:rPr>
          <w:rFonts w:ascii="Arial" w:hAnsi="Arial" w:cs="Arial"/>
        </w:rPr>
        <w:t xml:space="preserve">. </w:t>
      </w:r>
      <w:r w:rsidR="00C057B3" w:rsidRPr="00F8599D">
        <w:rPr>
          <w:rFonts w:ascii="Arial" w:hAnsi="Arial" w:cs="Arial"/>
        </w:rPr>
        <w:t>Available at:</w:t>
      </w:r>
      <w:r w:rsidR="00AF2E25" w:rsidRPr="00AF2E25">
        <w:t xml:space="preserve"> </w:t>
      </w:r>
      <w:hyperlink r:id="rId41" w:history="1">
        <w:r w:rsidR="00AF2E25" w:rsidRPr="00AF2E25">
          <w:rPr>
            <w:rStyle w:val="Hyperlink"/>
            <w:rFonts w:ascii="Arial" w:hAnsi="Arial" w:cs="Arial"/>
          </w:rPr>
          <w:t>Learning for the Police from Multi Agency Public Protection Arrangements (MAPPA) Serious Case Reviews - 2023 | Vulnerability Knowledge and Practice Programme</w:t>
        </w:r>
      </w:hyperlink>
      <w:r w:rsidR="00AF2E25">
        <w:rPr>
          <w:rFonts w:ascii="Arial" w:hAnsi="Arial" w:cs="Arial"/>
        </w:rPr>
        <w:t xml:space="preserve"> </w:t>
      </w:r>
      <w:r w:rsidR="00AF2E25" w:rsidRPr="00F8599D">
        <w:rPr>
          <w:rFonts w:ascii="Arial" w:hAnsi="Arial" w:cs="Arial"/>
        </w:rPr>
        <w:t>(Accessed:</w:t>
      </w:r>
      <w:r w:rsidR="00AF2E25">
        <w:rPr>
          <w:rFonts w:ascii="Arial" w:hAnsi="Arial" w:cs="Arial"/>
        </w:rPr>
        <w:t xml:space="preserve"> 20</w:t>
      </w:r>
      <w:r w:rsidR="00AF2E25" w:rsidRPr="00F8599D">
        <w:rPr>
          <w:rFonts w:ascii="Arial" w:hAnsi="Arial" w:cs="Arial"/>
        </w:rPr>
        <w:t>.1</w:t>
      </w:r>
      <w:r w:rsidR="00AF2E25">
        <w:rPr>
          <w:rFonts w:ascii="Arial" w:hAnsi="Arial" w:cs="Arial"/>
        </w:rPr>
        <w:t>1</w:t>
      </w:r>
      <w:r w:rsidR="00AF2E25" w:rsidRPr="00F8599D">
        <w:rPr>
          <w:rFonts w:ascii="Arial" w:hAnsi="Arial" w:cs="Arial"/>
        </w:rPr>
        <w:t>.25).</w:t>
      </w:r>
    </w:p>
    <w:p w14:paraId="1BE0FE00" w14:textId="538F8293" w:rsidR="00C93A50" w:rsidRDefault="00C93A50" w:rsidP="00C93A50">
      <w:pPr>
        <w:rPr>
          <w:rFonts w:ascii="Arial" w:hAnsi="Arial" w:cs="Arial"/>
        </w:rPr>
      </w:pPr>
      <w:r>
        <w:rPr>
          <w:rFonts w:ascii="Arial" w:hAnsi="Arial" w:cs="Arial"/>
        </w:rPr>
        <w:t xml:space="preserve">Welsh Government (2019) </w:t>
      </w:r>
      <w:r w:rsidRPr="00C93A50">
        <w:rPr>
          <w:rFonts w:ascii="Arial" w:hAnsi="Arial" w:cs="Arial"/>
          <w:i/>
          <w:iCs/>
        </w:rPr>
        <w:t>Substance Misuse Delivery Plan 2019-2022.</w:t>
      </w:r>
      <w:r>
        <w:rPr>
          <w:rFonts w:ascii="Arial" w:hAnsi="Arial" w:cs="Arial"/>
        </w:rPr>
        <w:t xml:space="preserve"> </w:t>
      </w:r>
      <w:r w:rsidRPr="00C93A50">
        <w:rPr>
          <w:rFonts w:ascii="Arial" w:hAnsi="Arial" w:cs="Arial"/>
        </w:rPr>
        <w:t>Available at:</w:t>
      </w:r>
      <w:r>
        <w:rPr>
          <w:rFonts w:ascii="Arial" w:hAnsi="Arial" w:cs="Arial"/>
        </w:rPr>
        <w:t xml:space="preserve"> </w:t>
      </w:r>
      <w:hyperlink r:id="rId42" w:history="1">
        <w:r w:rsidRPr="00C93A50">
          <w:rPr>
            <w:rStyle w:val="Hyperlink"/>
            <w:rFonts w:ascii="Arial" w:hAnsi="Arial" w:cs="Arial"/>
          </w:rPr>
          <w:t>substance-misuse-delivery-plan-2019-22.pdf</w:t>
        </w:r>
      </w:hyperlink>
      <w:r>
        <w:rPr>
          <w:rFonts w:ascii="Arial" w:hAnsi="Arial" w:cs="Arial"/>
        </w:rPr>
        <w:t xml:space="preserve"> </w:t>
      </w:r>
      <w:r w:rsidRPr="00F8599D">
        <w:rPr>
          <w:rFonts w:ascii="Arial" w:hAnsi="Arial" w:cs="Arial"/>
        </w:rPr>
        <w:t xml:space="preserve">(Accessed: </w:t>
      </w:r>
      <w:r>
        <w:rPr>
          <w:rFonts w:ascii="Arial" w:hAnsi="Arial" w:cs="Arial"/>
        </w:rPr>
        <w:t>13</w:t>
      </w:r>
      <w:r w:rsidRPr="00F8599D">
        <w:rPr>
          <w:rFonts w:ascii="Arial" w:hAnsi="Arial" w:cs="Arial"/>
        </w:rPr>
        <w:t>.1</w:t>
      </w:r>
      <w:r>
        <w:rPr>
          <w:rFonts w:ascii="Arial" w:hAnsi="Arial" w:cs="Arial"/>
        </w:rPr>
        <w:t>1</w:t>
      </w:r>
      <w:r w:rsidRPr="00F8599D">
        <w:rPr>
          <w:rFonts w:ascii="Arial" w:hAnsi="Arial" w:cs="Arial"/>
        </w:rPr>
        <w:t>.25).</w:t>
      </w:r>
    </w:p>
    <w:p w14:paraId="61205CC4" w14:textId="7533203E" w:rsidR="00F67033" w:rsidRDefault="003148C9">
      <w:pPr>
        <w:rPr>
          <w:rFonts w:ascii="Arial" w:hAnsi="Arial" w:cs="Arial"/>
        </w:rPr>
      </w:pPr>
      <w:r w:rsidRPr="003148C9">
        <w:rPr>
          <w:rFonts w:ascii="Arial" w:hAnsi="Arial" w:cs="Arial"/>
        </w:rPr>
        <w:t>Youth Justice Board for England and Wales (2025)</w:t>
      </w:r>
      <w:r>
        <w:rPr>
          <w:rFonts w:ascii="Arial" w:hAnsi="Arial" w:cs="Arial"/>
        </w:rPr>
        <w:t xml:space="preserve"> </w:t>
      </w:r>
      <w:r w:rsidR="00817C51">
        <w:rPr>
          <w:rFonts w:ascii="Arial" w:hAnsi="Arial" w:cs="Arial"/>
        </w:rPr>
        <w:t>‘</w:t>
      </w:r>
      <w:r w:rsidR="00591598" w:rsidRPr="00591598">
        <w:rPr>
          <w:rFonts w:ascii="Arial" w:hAnsi="Arial" w:cs="Arial"/>
        </w:rPr>
        <w:t>Youth justice oversight framework</w:t>
      </w:r>
      <w:r w:rsidR="00817C51">
        <w:rPr>
          <w:rFonts w:ascii="Arial" w:hAnsi="Arial" w:cs="Arial"/>
        </w:rPr>
        <w:t xml:space="preserve">’, </w:t>
      </w:r>
      <w:r w:rsidR="00591598" w:rsidRPr="00817C51">
        <w:rPr>
          <w:rFonts w:ascii="Arial" w:hAnsi="Arial" w:cs="Arial"/>
          <w:i/>
          <w:iCs/>
        </w:rPr>
        <w:t>Youth justice system performance: oversight, assurance and compliance</w:t>
      </w:r>
      <w:r w:rsidR="00817C51">
        <w:rPr>
          <w:rFonts w:ascii="Arial" w:hAnsi="Arial" w:cs="Arial"/>
          <w:i/>
          <w:iCs/>
        </w:rPr>
        <w:t xml:space="preserve">. </w:t>
      </w:r>
      <w:r w:rsidR="00817C51" w:rsidRPr="00C93A50">
        <w:rPr>
          <w:rFonts w:ascii="Arial" w:hAnsi="Arial" w:cs="Arial"/>
        </w:rPr>
        <w:t>Available at:</w:t>
      </w:r>
      <w:r w:rsidR="004C0B5E" w:rsidRPr="004C0B5E">
        <w:t xml:space="preserve"> </w:t>
      </w:r>
      <w:hyperlink r:id="rId43" w:history="1">
        <w:r w:rsidR="004C0B5E" w:rsidRPr="004C0B5E">
          <w:rPr>
            <w:rStyle w:val="Hyperlink"/>
            <w:rFonts w:ascii="Arial" w:hAnsi="Arial" w:cs="Arial"/>
          </w:rPr>
          <w:t>[Title]</w:t>
        </w:r>
      </w:hyperlink>
      <w:r w:rsidR="004C0B5E" w:rsidRPr="004C0B5E">
        <w:rPr>
          <w:rFonts w:ascii="Arial" w:hAnsi="Arial" w:cs="Arial"/>
        </w:rPr>
        <w:t xml:space="preserve"> </w:t>
      </w:r>
      <w:r w:rsidR="004C0B5E" w:rsidRPr="00817BF4">
        <w:rPr>
          <w:rFonts w:ascii="Arial" w:hAnsi="Arial" w:cs="Arial"/>
        </w:rPr>
        <w:t xml:space="preserve">(Accessed: </w:t>
      </w:r>
      <w:r w:rsidR="004C0B5E">
        <w:rPr>
          <w:rFonts w:ascii="Arial" w:hAnsi="Arial" w:cs="Arial"/>
        </w:rPr>
        <w:t>0</w:t>
      </w:r>
      <w:r w:rsidR="00C7044F">
        <w:rPr>
          <w:rFonts w:ascii="Arial" w:hAnsi="Arial" w:cs="Arial"/>
        </w:rPr>
        <w:t>5</w:t>
      </w:r>
      <w:r w:rsidR="004C0B5E" w:rsidRPr="00817BF4">
        <w:rPr>
          <w:rFonts w:ascii="Arial" w:hAnsi="Arial" w:cs="Arial"/>
        </w:rPr>
        <w:t>.1</w:t>
      </w:r>
      <w:r w:rsidR="004C0B5E">
        <w:rPr>
          <w:rFonts w:ascii="Arial" w:hAnsi="Arial" w:cs="Arial"/>
        </w:rPr>
        <w:t>2</w:t>
      </w:r>
      <w:r w:rsidR="004C0B5E" w:rsidRPr="00817BF4">
        <w:rPr>
          <w:rFonts w:ascii="Arial" w:hAnsi="Arial" w:cs="Arial"/>
        </w:rPr>
        <w:t>.25).</w:t>
      </w:r>
    </w:p>
    <w:p w14:paraId="08ADE2FB" w14:textId="686CCAF1" w:rsidR="00F67033" w:rsidRDefault="00F67033">
      <w:pPr>
        <w:rPr>
          <w:rFonts w:ascii="Arial" w:hAnsi="Arial" w:cs="Arial"/>
          <w:color w:val="EE0000"/>
        </w:rPr>
      </w:pPr>
      <w:r w:rsidRPr="00DF798A">
        <w:rPr>
          <w:rFonts w:ascii="Arial" w:hAnsi="Arial" w:cs="Arial"/>
          <w:color w:val="EE0000"/>
        </w:rPr>
        <w:t>3</w:t>
      </w:r>
      <w:r w:rsidR="00326D77">
        <w:rPr>
          <w:rFonts w:ascii="Arial" w:hAnsi="Arial" w:cs="Arial"/>
          <w:color w:val="EE0000"/>
        </w:rPr>
        <w:t>9</w:t>
      </w:r>
      <w:r w:rsidRPr="00DF798A">
        <w:rPr>
          <w:rFonts w:ascii="Arial" w:hAnsi="Arial" w:cs="Arial"/>
          <w:color w:val="EE0000"/>
        </w:rPr>
        <w:t xml:space="preserve"> sources</w:t>
      </w:r>
    </w:p>
    <w:p w14:paraId="033149DB" w14:textId="77777777" w:rsidR="00332AF2" w:rsidRDefault="00332AF2">
      <w:pPr>
        <w:rPr>
          <w:rFonts w:ascii="Arial" w:hAnsi="Arial" w:cs="Arial"/>
          <w:color w:val="EE0000"/>
        </w:rPr>
      </w:pPr>
    </w:p>
    <w:p w14:paraId="1A39D8F2" w14:textId="77777777" w:rsidR="00332AF2" w:rsidRDefault="00332AF2">
      <w:pPr>
        <w:rPr>
          <w:rFonts w:ascii="Arial" w:hAnsi="Arial" w:cs="Arial"/>
          <w:color w:val="EE0000"/>
        </w:rPr>
      </w:pPr>
    </w:p>
    <w:p w14:paraId="370C4B08" w14:textId="77777777" w:rsidR="00332AF2" w:rsidRDefault="00332AF2">
      <w:pPr>
        <w:rPr>
          <w:rFonts w:ascii="Arial" w:hAnsi="Arial" w:cs="Arial"/>
          <w:color w:val="EE0000"/>
        </w:rPr>
      </w:pPr>
    </w:p>
    <w:p w14:paraId="424BDB83" w14:textId="77777777" w:rsidR="00332AF2" w:rsidRPr="00DF798A" w:rsidRDefault="00332AF2">
      <w:pPr>
        <w:rPr>
          <w:rFonts w:ascii="Arial" w:hAnsi="Arial" w:cs="Arial"/>
          <w:color w:val="EE0000"/>
        </w:rPr>
      </w:pPr>
    </w:p>
    <w:sectPr w:rsidR="00332AF2" w:rsidRPr="00DF79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83C70"/>
    <w:multiLevelType w:val="hybridMultilevel"/>
    <w:tmpl w:val="6EA64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C2092"/>
    <w:multiLevelType w:val="multilevel"/>
    <w:tmpl w:val="716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C0E57"/>
    <w:multiLevelType w:val="multilevel"/>
    <w:tmpl w:val="23082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1051F"/>
    <w:multiLevelType w:val="multilevel"/>
    <w:tmpl w:val="2EBE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809EE"/>
    <w:multiLevelType w:val="multilevel"/>
    <w:tmpl w:val="396A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C1CE9"/>
    <w:multiLevelType w:val="multilevel"/>
    <w:tmpl w:val="792C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F90BCB"/>
    <w:multiLevelType w:val="multilevel"/>
    <w:tmpl w:val="43A8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912FFC"/>
    <w:multiLevelType w:val="multilevel"/>
    <w:tmpl w:val="48DE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BF1BC4"/>
    <w:multiLevelType w:val="hybridMultilevel"/>
    <w:tmpl w:val="DEA29D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174850">
    <w:abstractNumId w:val="8"/>
  </w:num>
  <w:num w:numId="2" w16cid:durableId="1736589068">
    <w:abstractNumId w:val="2"/>
  </w:num>
  <w:num w:numId="3" w16cid:durableId="757362329">
    <w:abstractNumId w:val="0"/>
  </w:num>
  <w:num w:numId="4" w16cid:durableId="987975166">
    <w:abstractNumId w:val="5"/>
  </w:num>
  <w:num w:numId="5" w16cid:durableId="950554297">
    <w:abstractNumId w:val="1"/>
  </w:num>
  <w:num w:numId="6" w16cid:durableId="930242600">
    <w:abstractNumId w:val="4"/>
  </w:num>
  <w:num w:numId="7" w16cid:durableId="160001943">
    <w:abstractNumId w:val="3"/>
  </w:num>
  <w:num w:numId="8" w16cid:durableId="2123301289">
    <w:abstractNumId w:val="7"/>
  </w:num>
  <w:num w:numId="9" w16cid:durableId="16851283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50"/>
    <w:rsid w:val="00002B06"/>
    <w:rsid w:val="00006D89"/>
    <w:rsid w:val="00007CB5"/>
    <w:rsid w:val="00023A9A"/>
    <w:rsid w:val="000246C8"/>
    <w:rsid w:val="00026F24"/>
    <w:rsid w:val="000340BB"/>
    <w:rsid w:val="0003445D"/>
    <w:rsid w:val="00041DAC"/>
    <w:rsid w:val="00047007"/>
    <w:rsid w:val="00051D84"/>
    <w:rsid w:val="00061129"/>
    <w:rsid w:val="00061802"/>
    <w:rsid w:val="000619F5"/>
    <w:rsid w:val="00062796"/>
    <w:rsid w:val="0006450D"/>
    <w:rsid w:val="0006700E"/>
    <w:rsid w:val="000725C5"/>
    <w:rsid w:val="000800AE"/>
    <w:rsid w:val="00087209"/>
    <w:rsid w:val="00090829"/>
    <w:rsid w:val="000961F0"/>
    <w:rsid w:val="00096856"/>
    <w:rsid w:val="000A4E72"/>
    <w:rsid w:val="000A78CA"/>
    <w:rsid w:val="000B39CD"/>
    <w:rsid w:val="000B4A04"/>
    <w:rsid w:val="000B5DBF"/>
    <w:rsid w:val="000C33B1"/>
    <w:rsid w:val="000C5624"/>
    <w:rsid w:val="000D13F0"/>
    <w:rsid w:val="000D2CA0"/>
    <w:rsid w:val="000D331B"/>
    <w:rsid w:val="000D7913"/>
    <w:rsid w:val="000E502A"/>
    <w:rsid w:val="00100274"/>
    <w:rsid w:val="00100AE2"/>
    <w:rsid w:val="00110A78"/>
    <w:rsid w:val="00113E5C"/>
    <w:rsid w:val="00114596"/>
    <w:rsid w:val="00114E47"/>
    <w:rsid w:val="001150C5"/>
    <w:rsid w:val="00117969"/>
    <w:rsid w:val="00120A7F"/>
    <w:rsid w:val="0012148A"/>
    <w:rsid w:val="0013275B"/>
    <w:rsid w:val="00133014"/>
    <w:rsid w:val="0013451F"/>
    <w:rsid w:val="00143EF2"/>
    <w:rsid w:val="00147150"/>
    <w:rsid w:val="0015794C"/>
    <w:rsid w:val="00173884"/>
    <w:rsid w:val="0019171B"/>
    <w:rsid w:val="0019585D"/>
    <w:rsid w:val="001A33F3"/>
    <w:rsid w:val="001A6696"/>
    <w:rsid w:val="001B0312"/>
    <w:rsid w:val="001B458B"/>
    <w:rsid w:val="001C017E"/>
    <w:rsid w:val="001C092C"/>
    <w:rsid w:val="001C0FEC"/>
    <w:rsid w:val="001D1E91"/>
    <w:rsid w:val="001D23D3"/>
    <w:rsid w:val="001D24C4"/>
    <w:rsid w:val="001D48A5"/>
    <w:rsid w:val="001D727B"/>
    <w:rsid w:val="001E5578"/>
    <w:rsid w:val="001E71B3"/>
    <w:rsid w:val="00201C36"/>
    <w:rsid w:val="002040EE"/>
    <w:rsid w:val="00205E5E"/>
    <w:rsid w:val="002071FD"/>
    <w:rsid w:val="0021472B"/>
    <w:rsid w:val="00217805"/>
    <w:rsid w:val="00222106"/>
    <w:rsid w:val="0022618A"/>
    <w:rsid w:val="002266D5"/>
    <w:rsid w:val="00227AF6"/>
    <w:rsid w:val="00230663"/>
    <w:rsid w:val="00230AC7"/>
    <w:rsid w:val="00234D5D"/>
    <w:rsid w:val="002427E8"/>
    <w:rsid w:val="00246BD0"/>
    <w:rsid w:val="00251718"/>
    <w:rsid w:val="002607D7"/>
    <w:rsid w:val="00262304"/>
    <w:rsid w:val="00263E72"/>
    <w:rsid w:val="002670B7"/>
    <w:rsid w:val="00270196"/>
    <w:rsid w:val="0027297B"/>
    <w:rsid w:val="00276517"/>
    <w:rsid w:val="002808E9"/>
    <w:rsid w:val="0028293E"/>
    <w:rsid w:val="00285D9A"/>
    <w:rsid w:val="00287898"/>
    <w:rsid w:val="00287CC7"/>
    <w:rsid w:val="00290429"/>
    <w:rsid w:val="00290B0E"/>
    <w:rsid w:val="0029433E"/>
    <w:rsid w:val="002A2ED2"/>
    <w:rsid w:val="002B1621"/>
    <w:rsid w:val="002B1AFB"/>
    <w:rsid w:val="002D2F63"/>
    <w:rsid w:val="002E14E2"/>
    <w:rsid w:val="002F359A"/>
    <w:rsid w:val="00301E7A"/>
    <w:rsid w:val="0030435B"/>
    <w:rsid w:val="00306C61"/>
    <w:rsid w:val="003148C9"/>
    <w:rsid w:val="00317D59"/>
    <w:rsid w:val="00322415"/>
    <w:rsid w:val="00323BE3"/>
    <w:rsid w:val="00324FAD"/>
    <w:rsid w:val="00326D77"/>
    <w:rsid w:val="00332AF2"/>
    <w:rsid w:val="00337C9E"/>
    <w:rsid w:val="0034132C"/>
    <w:rsid w:val="0034477D"/>
    <w:rsid w:val="00347949"/>
    <w:rsid w:val="00351AD7"/>
    <w:rsid w:val="003554AD"/>
    <w:rsid w:val="00355F3E"/>
    <w:rsid w:val="003565C0"/>
    <w:rsid w:val="00365447"/>
    <w:rsid w:val="003703B1"/>
    <w:rsid w:val="00375964"/>
    <w:rsid w:val="00383774"/>
    <w:rsid w:val="003949E2"/>
    <w:rsid w:val="003970FA"/>
    <w:rsid w:val="003A0FEE"/>
    <w:rsid w:val="003A1A15"/>
    <w:rsid w:val="003A6500"/>
    <w:rsid w:val="003A6B3D"/>
    <w:rsid w:val="003B667E"/>
    <w:rsid w:val="003B7E91"/>
    <w:rsid w:val="003C0809"/>
    <w:rsid w:val="003C30F6"/>
    <w:rsid w:val="003C43AA"/>
    <w:rsid w:val="003E0EAB"/>
    <w:rsid w:val="003E15E5"/>
    <w:rsid w:val="003E5560"/>
    <w:rsid w:val="003E65BC"/>
    <w:rsid w:val="003E7A24"/>
    <w:rsid w:val="003F0701"/>
    <w:rsid w:val="003F0B68"/>
    <w:rsid w:val="00406009"/>
    <w:rsid w:val="004133D4"/>
    <w:rsid w:val="00425D29"/>
    <w:rsid w:val="00425DF8"/>
    <w:rsid w:val="00426650"/>
    <w:rsid w:val="004328DC"/>
    <w:rsid w:val="004346F4"/>
    <w:rsid w:val="00441420"/>
    <w:rsid w:val="00442B77"/>
    <w:rsid w:val="0044403C"/>
    <w:rsid w:val="0044551B"/>
    <w:rsid w:val="00447B20"/>
    <w:rsid w:val="004531B7"/>
    <w:rsid w:val="0046034D"/>
    <w:rsid w:val="00462534"/>
    <w:rsid w:val="00466881"/>
    <w:rsid w:val="0049417C"/>
    <w:rsid w:val="004A6842"/>
    <w:rsid w:val="004A754F"/>
    <w:rsid w:val="004A78C1"/>
    <w:rsid w:val="004A7A91"/>
    <w:rsid w:val="004B1B71"/>
    <w:rsid w:val="004B3899"/>
    <w:rsid w:val="004C0438"/>
    <w:rsid w:val="004C0B5E"/>
    <w:rsid w:val="004C5420"/>
    <w:rsid w:val="004C550A"/>
    <w:rsid w:val="004D3EBB"/>
    <w:rsid w:val="004D5F2B"/>
    <w:rsid w:val="004D65BE"/>
    <w:rsid w:val="004D7F3A"/>
    <w:rsid w:val="004E13F5"/>
    <w:rsid w:val="004E20AA"/>
    <w:rsid w:val="004E419A"/>
    <w:rsid w:val="004E56D0"/>
    <w:rsid w:val="004E7D4F"/>
    <w:rsid w:val="004F42F6"/>
    <w:rsid w:val="004F4C8C"/>
    <w:rsid w:val="004F77E8"/>
    <w:rsid w:val="0050283C"/>
    <w:rsid w:val="0050515A"/>
    <w:rsid w:val="00511573"/>
    <w:rsid w:val="005138A2"/>
    <w:rsid w:val="005147C6"/>
    <w:rsid w:val="005154E3"/>
    <w:rsid w:val="005155C8"/>
    <w:rsid w:val="00522668"/>
    <w:rsid w:val="00527EFD"/>
    <w:rsid w:val="0053119E"/>
    <w:rsid w:val="00540241"/>
    <w:rsid w:val="0054317D"/>
    <w:rsid w:val="00543A7B"/>
    <w:rsid w:val="00545F55"/>
    <w:rsid w:val="00547501"/>
    <w:rsid w:val="00547867"/>
    <w:rsid w:val="00551D39"/>
    <w:rsid w:val="00551D58"/>
    <w:rsid w:val="00555CB4"/>
    <w:rsid w:val="00556B56"/>
    <w:rsid w:val="00560B61"/>
    <w:rsid w:val="00563779"/>
    <w:rsid w:val="005734D6"/>
    <w:rsid w:val="00574DA8"/>
    <w:rsid w:val="005827D7"/>
    <w:rsid w:val="00583EF8"/>
    <w:rsid w:val="00585E11"/>
    <w:rsid w:val="005873FD"/>
    <w:rsid w:val="005878F4"/>
    <w:rsid w:val="005908B2"/>
    <w:rsid w:val="00591598"/>
    <w:rsid w:val="005940A7"/>
    <w:rsid w:val="005950E2"/>
    <w:rsid w:val="00595134"/>
    <w:rsid w:val="005A22DD"/>
    <w:rsid w:val="005B2DAD"/>
    <w:rsid w:val="005B5E6E"/>
    <w:rsid w:val="005B6468"/>
    <w:rsid w:val="005C00D8"/>
    <w:rsid w:val="005C7194"/>
    <w:rsid w:val="005C751D"/>
    <w:rsid w:val="005D2D9F"/>
    <w:rsid w:val="005D7F0D"/>
    <w:rsid w:val="005E14D4"/>
    <w:rsid w:val="005E4348"/>
    <w:rsid w:val="005F5D0D"/>
    <w:rsid w:val="006050A4"/>
    <w:rsid w:val="0060706A"/>
    <w:rsid w:val="00613424"/>
    <w:rsid w:val="00620F5C"/>
    <w:rsid w:val="0063392B"/>
    <w:rsid w:val="0063797E"/>
    <w:rsid w:val="006409E2"/>
    <w:rsid w:val="006479DB"/>
    <w:rsid w:val="00650162"/>
    <w:rsid w:val="00652E1F"/>
    <w:rsid w:val="0065379A"/>
    <w:rsid w:val="00653A58"/>
    <w:rsid w:val="0066184E"/>
    <w:rsid w:val="00661EFB"/>
    <w:rsid w:val="006646E3"/>
    <w:rsid w:val="0067033F"/>
    <w:rsid w:val="00671CA2"/>
    <w:rsid w:val="00676603"/>
    <w:rsid w:val="006776E1"/>
    <w:rsid w:val="0068333F"/>
    <w:rsid w:val="006833C1"/>
    <w:rsid w:val="00690EAA"/>
    <w:rsid w:val="006928BC"/>
    <w:rsid w:val="006936EF"/>
    <w:rsid w:val="00694256"/>
    <w:rsid w:val="006A3BD6"/>
    <w:rsid w:val="006A7203"/>
    <w:rsid w:val="006B10A0"/>
    <w:rsid w:val="006B1F32"/>
    <w:rsid w:val="006B607E"/>
    <w:rsid w:val="006B6B3E"/>
    <w:rsid w:val="006C72F2"/>
    <w:rsid w:val="006D178C"/>
    <w:rsid w:val="006D4C7C"/>
    <w:rsid w:val="006D7712"/>
    <w:rsid w:val="006E33FC"/>
    <w:rsid w:val="006F0664"/>
    <w:rsid w:val="006F076E"/>
    <w:rsid w:val="006F2357"/>
    <w:rsid w:val="00712101"/>
    <w:rsid w:val="00720604"/>
    <w:rsid w:val="00724C95"/>
    <w:rsid w:val="007254B1"/>
    <w:rsid w:val="007321FA"/>
    <w:rsid w:val="00733733"/>
    <w:rsid w:val="00736FE4"/>
    <w:rsid w:val="007373AA"/>
    <w:rsid w:val="0074216A"/>
    <w:rsid w:val="007550EB"/>
    <w:rsid w:val="00760723"/>
    <w:rsid w:val="00764532"/>
    <w:rsid w:val="00765B95"/>
    <w:rsid w:val="00767920"/>
    <w:rsid w:val="0076794C"/>
    <w:rsid w:val="0077045F"/>
    <w:rsid w:val="00770E12"/>
    <w:rsid w:val="007711E3"/>
    <w:rsid w:val="00781821"/>
    <w:rsid w:val="00786518"/>
    <w:rsid w:val="0078693C"/>
    <w:rsid w:val="00786A78"/>
    <w:rsid w:val="0078715A"/>
    <w:rsid w:val="00787C12"/>
    <w:rsid w:val="0079204C"/>
    <w:rsid w:val="00794347"/>
    <w:rsid w:val="00794C8F"/>
    <w:rsid w:val="007A7863"/>
    <w:rsid w:val="007A7C0A"/>
    <w:rsid w:val="007B2D57"/>
    <w:rsid w:val="007B55BD"/>
    <w:rsid w:val="007C283D"/>
    <w:rsid w:val="007C43AA"/>
    <w:rsid w:val="007D0410"/>
    <w:rsid w:val="007D3409"/>
    <w:rsid w:val="007D6EB2"/>
    <w:rsid w:val="007D785F"/>
    <w:rsid w:val="007E2A74"/>
    <w:rsid w:val="008104A9"/>
    <w:rsid w:val="0081567B"/>
    <w:rsid w:val="00817ABF"/>
    <w:rsid w:val="00817C51"/>
    <w:rsid w:val="0082492F"/>
    <w:rsid w:val="0082771A"/>
    <w:rsid w:val="0083509A"/>
    <w:rsid w:val="0083792A"/>
    <w:rsid w:val="008405E6"/>
    <w:rsid w:val="00843BA1"/>
    <w:rsid w:val="00844F9E"/>
    <w:rsid w:val="00845A7D"/>
    <w:rsid w:val="008615E0"/>
    <w:rsid w:val="00875525"/>
    <w:rsid w:val="00886F7D"/>
    <w:rsid w:val="0088788B"/>
    <w:rsid w:val="008920A3"/>
    <w:rsid w:val="00892108"/>
    <w:rsid w:val="00892A0E"/>
    <w:rsid w:val="00894965"/>
    <w:rsid w:val="00897C75"/>
    <w:rsid w:val="008A788B"/>
    <w:rsid w:val="008B77E9"/>
    <w:rsid w:val="008C0468"/>
    <w:rsid w:val="008C3B55"/>
    <w:rsid w:val="008C6B7A"/>
    <w:rsid w:val="008D67AF"/>
    <w:rsid w:val="008E20F3"/>
    <w:rsid w:val="008E30B0"/>
    <w:rsid w:val="008E62C9"/>
    <w:rsid w:val="00901FCF"/>
    <w:rsid w:val="009108DF"/>
    <w:rsid w:val="00921AFC"/>
    <w:rsid w:val="00927533"/>
    <w:rsid w:val="0092766A"/>
    <w:rsid w:val="0093680D"/>
    <w:rsid w:val="009370E4"/>
    <w:rsid w:val="00941646"/>
    <w:rsid w:val="00943DCE"/>
    <w:rsid w:val="009459B4"/>
    <w:rsid w:val="009549FA"/>
    <w:rsid w:val="00955796"/>
    <w:rsid w:val="00963C7B"/>
    <w:rsid w:val="009646E6"/>
    <w:rsid w:val="00966215"/>
    <w:rsid w:val="00976272"/>
    <w:rsid w:val="00976CC7"/>
    <w:rsid w:val="00977FFC"/>
    <w:rsid w:val="00982A0F"/>
    <w:rsid w:val="009872E3"/>
    <w:rsid w:val="009873D2"/>
    <w:rsid w:val="00987E8A"/>
    <w:rsid w:val="009925F5"/>
    <w:rsid w:val="00993ACC"/>
    <w:rsid w:val="00994086"/>
    <w:rsid w:val="009A0A47"/>
    <w:rsid w:val="009A0DD4"/>
    <w:rsid w:val="009A111B"/>
    <w:rsid w:val="009A5D20"/>
    <w:rsid w:val="009B05A0"/>
    <w:rsid w:val="009B2A0B"/>
    <w:rsid w:val="009B75C8"/>
    <w:rsid w:val="009C5200"/>
    <w:rsid w:val="009D103E"/>
    <w:rsid w:val="009D1466"/>
    <w:rsid w:val="009D4119"/>
    <w:rsid w:val="009D5D57"/>
    <w:rsid w:val="009D7C01"/>
    <w:rsid w:val="009E0695"/>
    <w:rsid w:val="009E324E"/>
    <w:rsid w:val="009E7382"/>
    <w:rsid w:val="009F1A7A"/>
    <w:rsid w:val="009F2A82"/>
    <w:rsid w:val="009F2DEC"/>
    <w:rsid w:val="009F31D8"/>
    <w:rsid w:val="009F4F2F"/>
    <w:rsid w:val="009F70FC"/>
    <w:rsid w:val="00A04EE1"/>
    <w:rsid w:val="00A2096C"/>
    <w:rsid w:val="00A272E5"/>
    <w:rsid w:val="00A30BE8"/>
    <w:rsid w:val="00A32E50"/>
    <w:rsid w:val="00A35D8D"/>
    <w:rsid w:val="00A60AE3"/>
    <w:rsid w:val="00A62746"/>
    <w:rsid w:val="00A67C4C"/>
    <w:rsid w:val="00A70229"/>
    <w:rsid w:val="00A72101"/>
    <w:rsid w:val="00A7480A"/>
    <w:rsid w:val="00A802C7"/>
    <w:rsid w:val="00A86772"/>
    <w:rsid w:val="00A96E89"/>
    <w:rsid w:val="00A971AF"/>
    <w:rsid w:val="00AA0CBA"/>
    <w:rsid w:val="00AA4509"/>
    <w:rsid w:val="00AA50D8"/>
    <w:rsid w:val="00AB023D"/>
    <w:rsid w:val="00AB04C0"/>
    <w:rsid w:val="00AB0770"/>
    <w:rsid w:val="00AB2BED"/>
    <w:rsid w:val="00AB62E5"/>
    <w:rsid w:val="00AC1251"/>
    <w:rsid w:val="00AD1197"/>
    <w:rsid w:val="00AD1DCE"/>
    <w:rsid w:val="00AD398B"/>
    <w:rsid w:val="00AE11BF"/>
    <w:rsid w:val="00AE171F"/>
    <w:rsid w:val="00AE24FF"/>
    <w:rsid w:val="00AE3AFE"/>
    <w:rsid w:val="00AE4F0E"/>
    <w:rsid w:val="00AF2E25"/>
    <w:rsid w:val="00AF4015"/>
    <w:rsid w:val="00AF58E7"/>
    <w:rsid w:val="00AF70CB"/>
    <w:rsid w:val="00B02BEF"/>
    <w:rsid w:val="00B03F37"/>
    <w:rsid w:val="00B10D2D"/>
    <w:rsid w:val="00B1118B"/>
    <w:rsid w:val="00B165D7"/>
    <w:rsid w:val="00B16BF7"/>
    <w:rsid w:val="00B2060A"/>
    <w:rsid w:val="00B24A93"/>
    <w:rsid w:val="00B367E0"/>
    <w:rsid w:val="00B4156D"/>
    <w:rsid w:val="00B41BF4"/>
    <w:rsid w:val="00B4243D"/>
    <w:rsid w:val="00B43D9C"/>
    <w:rsid w:val="00B45BDE"/>
    <w:rsid w:val="00B601CD"/>
    <w:rsid w:val="00B61590"/>
    <w:rsid w:val="00B61B9E"/>
    <w:rsid w:val="00B623B1"/>
    <w:rsid w:val="00B63DBB"/>
    <w:rsid w:val="00B771D5"/>
    <w:rsid w:val="00B8511E"/>
    <w:rsid w:val="00B915A2"/>
    <w:rsid w:val="00B93970"/>
    <w:rsid w:val="00BA1675"/>
    <w:rsid w:val="00BA78DE"/>
    <w:rsid w:val="00BC40E5"/>
    <w:rsid w:val="00BC7D83"/>
    <w:rsid w:val="00BF22B0"/>
    <w:rsid w:val="00BF5BFD"/>
    <w:rsid w:val="00C01C97"/>
    <w:rsid w:val="00C057B3"/>
    <w:rsid w:val="00C05FEA"/>
    <w:rsid w:val="00C1063A"/>
    <w:rsid w:val="00C10B70"/>
    <w:rsid w:val="00C1272F"/>
    <w:rsid w:val="00C16C8C"/>
    <w:rsid w:val="00C243F6"/>
    <w:rsid w:val="00C33F1F"/>
    <w:rsid w:val="00C370DB"/>
    <w:rsid w:val="00C42386"/>
    <w:rsid w:val="00C5030D"/>
    <w:rsid w:val="00C52288"/>
    <w:rsid w:val="00C522B6"/>
    <w:rsid w:val="00C52E3F"/>
    <w:rsid w:val="00C53612"/>
    <w:rsid w:val="00C60695"/>
    <w:rsid w:val="00C6090C"/>
    <w:rsid w:val="00C66615"/>
    <w:rsid w:val="00C66AF2"/>
    <w:rsid w:val="00C7044F"/>
    <w:rsid w:val="00C7640D"/>
    <w:rsid w:val="00C8174A"/>
    <w:rsid w:val="00C819A1"/>
    <w:rsid w:val="00C82722"/>
    <w:rsid w:val="00C8385B"/>
    <w:rsid w:val="00C93A50"/>
    <w:rsid w:val="00C97E1C"/>
    <w:rsid w:val="00CA670E"/>
    <w:rsid w:val="00CB1B77"/>
    <w:rsid w:val="00CC3A62"/>
    <w:rsid w:val="00CD01CC"/>
    <w:rsid w:val="00CD3588"/>
    <w:rsid w:val="00CF0842"/>
    <w:rsid w:val="00D004CE"/>
    <w:rsid w:val="00D0610C"/>
    <w:rsid w:val="00D10C0B"/>
    <w:rsid w:val="00D135B6"/>
    <w:rsid w:val="00D14F47"/>
    <w:rsid w:val="00D16C7D"/>
    <w:rsid w:val="00D23D1C"/>
    <w:rsid w:val="00D32EC2"/>
    <w:rsid w:val="00D36EA3"/>
    <w:rsid w:val="00D377A4"/>
    <w:rsid w:val="00D44290"/>
    <w:rsid w:val="00D45038"/>
    <w:rsid w:val="00D4582A"/>
    <w:rsid w:val="00D50C0A"/>
    <w:rsid w:val="00D50E6A"/>
    <w:rsid w:val="00D601BB"/>
    <w:rsid w:val="00D62115"/>
    <w:rsid w:val="00D656D5"/>
    <w:rsid w:val="00D74C61"/>
    <w:rsid w:val="00D760D0"/>
    <w:rsid w:val="00D77A1F"/>
    <w:rsid w:val="00D87F1A"/>
    <w:rsid w:val="00D93439"/>
    <w:rsid w:val="00D94C99"/>
    <w:rsid w:val="00DA78A7"/>
    <w:rsid w:val="00DB2EE8"/>
    <w:rsid w:val="00DB4544"/>
    <w:rsid w:val="00DB4FA2"/>
    <w:rsid w:val="00DB564B"/>
    <w:rsid w:val="00DC34E6"/>
    <w:rsid w:val="00DC3B01"/>
    <w:rsid w:val="00DD2F83"/>
    <w:rsid w:val="00DD3CB2"/>
    <w:rsid w:val="00DD786B"/>
    <w:rsid w:val="00DE10F1"/>
    <w:rsid w:val="00DE4826"/>
    <w:rsid w:val="00DF0629"/>
    <w:rsid w:val="00DF39DF"/>
    <w:rsid w:val="00DF3A98"/>
    <w:rsid w:val="00DF4506"/>
    <w:rsid w:val="00DF5B37"/>
    <w:rsid w:val="00DF798A"/>
    <w:rsid w:val="00E00BCD"/>
    <w:rsid w:val="00E03995"/>
    <w:rsid w:val="00E05E80"/>
    <w:rsid w:val="00E11095"/>
    <w:rsid w:val="00E12212"/>
    <w:rsid w:val="00E12555"/>
    <w:rsid w:val="00E14B9F"/>
    <w:rsid w:val="00E27AAB"/>
    <w:rsid w:val="00E319AC"/>
    <w:rsid w:val="00E32652"/>
    <w:rsid w:val="00E32C0E"/>
    <w:rsid w:val="00E40586"/>
    <w:rsid w:val="00E41B52"/>
    <w:rsid w:val="00E50912"/>
    <w:rsid w:val="00E57996"/>
    <w:rsid w:val="00E65C99"/>
    <w:rsid w:val="00E6654F"/>
    <w:rsid w:val="00E66D84"/>
    <w:rsid w:val="00E908CD"/>
    <w:rsid w:val="00E9141E"/>
    <w:rsid w:val="00EA0BE9"/>
    <w:rsid w:val="00EA2023"/>
    <w:rsid w:val="00EC42F0"/>
    <w:rsid w:val="00EC6865"/>
    <w:rsid w:val="00ED1FA2"/>
    <w:rsid w:val="00ED3289"/>
    <w:rsid w:val="00ED4AA2"/>
    <w:rsid w:val="00EE6995"/>
    <w:rsid w:val="00EE7B7E"/>
    <w:rsid w:val="00EF0807"/>
    <w:rsid w:val="00EF1986"/>
    <w:rsid w:val="00EF30D8"/>
    <w:rsid w:val="00EF3359"/>
    <w:rsid w:val="00EF49DF"/>
    <w:rsid w:val="00EF554D"/>
    <w:rsid w:val="00EF64D2"/>
    <w:rsid w:val="00EF68C4"/>
    <w:rsid w:val="00F02B50"/>
    <w:rsid w:val="00F07227"/>
    <w:rsid w:val="00F1271B"/>
    <w:rsid w:val="00F12C38"/>
    <w:rsid w:val="00F13D13"/>
    <w:rsid w:val="00F161CF"/>
    <w:rsid w:val="00F1645A"/>
    <w:rsid w:val="00F174FB"/>
    <w:rsid w:val="00F17FD7"/>
    <w:rsid w:val="00F36F12"/>
    <w:rsid w:val="00F47459"/>
    <w:rsid w:val="00F47536"/>
    <w:rsid w:val="00F50E67"/>
    <w:rsid w:val="00F563AB"/>
    <w:rsid w:val="00F61BA0"/>
    <w:rsid w:val="00F67033"/>
    <w:rsid w:val="00F8599D"/>
    <w:rsid w:val="00F8733A"/>
    <w:rsid w:val="00F87801"/>
    <w:rsid w:val="00F91578"/>
    <w:rsid w:val="00F92DE8"/>
    <w:rsid w:val="00F9420A"/>
    <w:rsid w:val="00F953C5"/>
    <w:rsid w:val="00FA04E1"/>
    <w:rsid w:val="00FA1A84"/>
    <w:rsid w:val="00FA28A3"/>
    <w:rsid w:val="00FA4B93"/>
    <w:rsid w:val="00FA6647"/>
    <w:rsid w:val="00FA6799"/>
    <w:rsid w:val="00FA6AA1"/>
    <w:rsid w:val="00FB1B27"/>
    <w:rsid w:val="00FB1BA7"/>
    <w:rsid w:val="00FB2BE3"/>
    <w:rsid w:val="00FB76B1"/>
    <w:rsid w:val="00FC4BE3"/>
    <w:rsid w:val="00FC6F1A"/>
    <w:rsid w:val="00FC6FC1"/>
    <w:rsid w:val="00FE0697"/>
    <w:rsid w:val="00FE3866"/>
    <w:rsid w:val="00FE4C47"/>
    <w:rsid w:val="00FF0DB6"/>
    <w:rsid w:val="00FF1B14"/>
    <w:rsid w:val="00FF2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2419"/>
  <w15:chartTrackingRefBased/>
  <w15:docId w15:val="{9F35A05F-D0A8-4A1C-AB96-B33CFF093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1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471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1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1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1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1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71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1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1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1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150"/>
    <w:rPr>
      <w:rFonts w:eastAsiaTheme="majorEastAsia" w:cstheme="majorBidi"/>
      <w:color w:val="272727" w:themeColor="text1" w:themeTint="D8"/>
    </w:rPr>
  </w:style>
  <w:style w:type="paragraph" w:styleId="Title">
    <w:name w:val="Title"/>
    <w:basedOn w:val="Normal"/>
    <w:next w:val="Normal"/>
    <w:link w:val="TitleChar"/>
    <w:uiPriority w:val="10"/>
    <w:qFormat/>
    <w:rsid w:val="00147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150"/>
    <w:pPr>
      <w:spacing w:before="160"/>
      <w:jc w:val="center"/>
    </w:pPr>
    <w:rPr>
      <w:i/>
      <w:iCs/>
      <w:color w:val="404040" w:themeColor="text1" w:themeTint="BF"/>
    </w:rPr>
  </w:style>
  <w:style w:type="character" w:customStyle="1" w:styleId="QuoteChar">
    <w:name w:val="Quote Char"/>
    <w:basedOn w:val="DefaultParagraphFont"/>
    <w:link w:val="Quote"/>
    <w:uiPriority w:val="29"/>
    <w:rsid w:val="00147150"/>
    <w:rPr>
      <w:i/>
      <w:iCs/>
      <w:color w:val="404040" w:themeColor="text1" w:themeTint="BF"/>
    </w:rPr>
  </w:style>
  <w:style w:type="paragraph" w:styleId="ListParagraph">
    <w:name w:val="List Paragraph"/>
    <w:basedOn w:val="Normal"/>
    <w:uiPriority w:val="34"/>
    <w:qFormat/>
    <w:rsid w:val="00147150"/>
    <w:pPr>
      <w:ind w:left="720"/>
      <w:contextualSpacing/>
    </w:pPr>
  </w:style>
  <w:style w:type="character" w:styleId="IntenseEmphasis">
    <w:name w:val="Intense Emphasis"/>
    <w:basedOn w:val="DefaultParagraphFont"/>
    <w:uiPriority w:val="21"/>
    <w:qFormat/>
    <w:rsid w:val="00147150"/>
    <w:rPr>
      <w:i/>
      <w:iCs/>
      <w:color w:val="2F5496" w:themeColor="accent1" w:themeShade="BF"/>
    </w:rPr>
  </w:style>
  <w:style w:type="paragraph" w:styleId="IntenseQuote">
    <w:name w:val="Intense Quote"/>
    <w:basedOn w:val="Normal"/>
    <w:next w:val="Normal"/>
    <w:link w:val="IntenseQuoteChar"/>
    <w:uiPriority w:val="30"/>
    <w:qFormat/>
    <w:rsid w:val="001471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150"/>
    <w:rPr>
      <w:i/>
      <w:iCs/>
      <w:color w:val="2F5496" w:themeColor="accent1" w:themeShade="BF"/>
    </w:rPr>
  </w:style>
  <w:style w:type="character" w:styleId="IntenseReference">
    <w:name w:val="Intense Reference"/>
    <w:basedOn w:val="DefaultParagraphFont"/>
    <w:uiPriority w:val="32"/>
    <w:qFormat/>
    <w:rsid w:val="00147150"/>
    <w:rPr>
      <w:b/>
      <w:bCs/>
      <w:smallCaps/>
      <w:color w:val="2F5496" w:themeColor="accent1" w:themeShade="BF"/>
      <w:spacing w:val="5"/>
    </w:rPr>
  </w:style>
  <w:style w:type="character" w:styleId="Hyperlink">
    <w:name w:val="Hyperlink"/>
    <w:basedOn w:val="DefaultParagraphFont"/>
    <w:uiPriority w:val="99"/>
    <w:unhideWhenUsed/>
    <w:rsid w:val="00F8599D"/>
    <w:rPr>
      <w:color w:val="0563C1" w:themeColor="hyperlink"/>
      <w:u w:val="single"/>
    </w:rPr>
  </w:style>
  <w:style w:type="character" w:styleId="UnresolvedMention">
    <w:name w:val="Unresolved Mention"/>
    <w:basedOn w:val="DefaultParagraphFont"/>
    <w:uiPriority w:val="99"/>
    <w:semiHidden/>
    <w:unhideWhenUsed/>
    <w:rsid w:val="00C93A50"/>
    <w:rPr>
      <w:color w:val="605E5C"/>
      <w:shd w:val="clear" w:color="auto" w:fill="E1DFDD"/>
    </w:rPr>
  </w:style>
  <w:style w:type="character" w:styleId="FollowedHyperlink">
    <w:name w:val="FollowedHyperlink"/>
    <w:basedOn w:val="DefaultParagraphFont"/>
    <w:uiPriority w:val="99"/>
    <w:semiHidden/>
    <w:unhideWhenUsed/>
    <w:rsid w:val="00787C12"/>
    <w:rPr>
      <w:color w:val="954F72" w:themeColor="followedHyperlink"/>
      <w:u w:val="single"/>
    </w:rPr>
  </w:style>
  <w:style w:type="character" w:styleId="Strong">
    <w:name w:val="Strong"/>
    <w:basedOn w:val="DefaultParagraphFont"/>
    <w:uiPriority w:val="22"/>
    <w:qFormat/>
    <w:rsid w:val="00D135B6"/>
    <w:rPr>
      <w:b/>
      <w:bCs/>
    </w:rPr>
  </w:style>
  <w:style w:type="paragraph" w:styleId="NormalWeb">
    <w:name w:val="Normal (Web)"/>
    <w:basedOn w:val="Normal"/>
    <w:uiPriority w:val="99"/>
    <w:semiHidden/>
    <w:unhideWhenUsed/>
    <w:rsid w:val="000A78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support-forces/practices/local-focus-hub-multi-agency-hub-model" TargetMode="External"/><Relationship Id="rId18" Type="http://schemas.openxmlformats.org/officeDocument/2006/relationships/hyperlink" Target="https://epi.org.uk/publications-and-research/social-and-emotional-learning/" TargetMode="External"/><Relationship Id="rId26" Type="http://schemas.openxmlformats.org/officeDocument/2006/relationships/hyperlink" Target="https://youthendowmentfund.org.uk/wp-content/uploads/2024/03/NCB-YEF-Diversion-Evidence-Review-for-Publication.pdf" TargetMode="External"/><Relationship Id="rId39" Type="http://schemas.openxmlformats.org/officeDocument/2006/relationships/hyperlink" Target="https://publications.parliament.uk/pa/cm201617/cmselect/cmjust/169/169.pdf" TargetMode="External"/><Relationship Id="rId21" Type="http://schemas.openxmlformats.org/officeDocument/2006/relationships/hyperlink" Target="https://www.gov.uk/government/publications/circular-0012024-control-of-20-new-drugs/0012024-the-misuse-of-drugs-act-1971-amendment-order-2024-and-the-misuse-of-drugs-and-misuse-of-drugs-designation-england-and-wales-and-scotlan" TargetMode="External"/><Relationship Id="rId34" Type="http://schemas.openxmlformats.org/officeDocument/2006/relationships/hyperlink" Target="https://www.ons.gov.uk/peoplepopulationandcommunity/crimeandjustice/articles/drugmisuseinenglandandwales/yearendingmarch2023" TargetMode="External"/><Relationship Id="rId42" Type="http://schemas.openxmlformats.org/officeDocument/2006/relationships/hyperlink" Target="https://www.gov.wales/sites/default/files/publications/2019-10/substance-misuse-delivery-plan-2019-22.pdf" TargetMode="External"/><Relationship Id="rId7" Type="http://schemas.openxmlformats.org/officeDocument/2006/relationships/hyperlink" Target="https://www.vkpp.org.uk/assets/Files/Publications/VKPP_police_response_MetaAnalysis.pdf" TargetMode="External"/><Relationship Id="rId2" Type="http://schemas.openxmlformats.org/officeDocument/2006/relationships/styles" Target="styles.xml"/><Relationship Id="rId16" Type="http://schemas.openxmlformats.org/officeDocument/2006/relationships/hyperlink" Target="https://www.criminaljusticealliance.org/wp-content/uploads/2025-jan-AYJ-transition-to-adulthood-briefing.pdf" TargetMode="External"/><Relationship Id="rId29" Type="http://schemas.openxmlformats.org/officeDocument/2006/relationships/hyperlink" Target="https://www.merseyside.police.uk/news/merseyside/news/2025/november-2025/st-helens-police-college-unite-day-action-community-safety/" TargetMode="External"/><Relationship Id="rId1" Type="http://schemas.openxmlformats.org/officeDocument/2006/relationships/numbering" Target="numbering.xml"/><Relationship Id="rId6" Type="http://schemas.openxmlformats.org/officeDocument/2006/relationships/hyperlink" Target="https://assets.publishing.service.gov.uk/media/6835e4571b586507b9e72b13/ACMD_Prevention_Report.pdf" TargetMode="External"/><Relationship Id="rId11" Type="http://schemas.openxmlformats.org/officeDocument/2006/relationships/hyperlink" Target="https://www.gov.uk/government/publications/review-of-drugs-phase-two-report/review-of-drugs-part-two-prevention-treatment-and-recovery" TargetMode="External"/><Relationship Id="rId24" Type="http://schemas.openxmlformats.org/officeDocument/2006/relationships/hyperlink" Target="https://hmicfrs.justiceinspectorates.gov.uk/publication-html/policing-inspection-programme-and-framework-2025-29/" TargetMode="External"/><Relationship Id="rId32" Type="http://schemas.openxmlformats.org/officeDocument/2006/relationships/hyperlink" Target="https://learning.nspcc.org.uk/child-abuse-and-neglect/child-criminal-exploitation" TargetMode="External"/><Relationship Id="rId37" Type="http://schemas.openxmlformats.org/officeDocument/2006/relationships/hyperlink" Target="https://academic.oup.com/policing/article/doi/10.1093/police/paaf044/8316814" TargetMode="External"/><Relationship Id="rId40" Type="http://schemas.openxmlformats.org/officeDocument/2006/relationships/hyperlink" Target="https://committees.parliament.uk/writtenevidence/107795/pdf/" TargetMode="External"/><Relationship Id="rId45" Type="http://schemas.openxmlformats.org/officeDocument/2006/relationships/theme" Target="theme/theme1.xml"/><Relationship Id="rId5" Type="http://schemas.openxmlformats.org/officeDocument/2006/relationships/hyperlink" Target="https://www.gov.uk/government/publications/drug-misuse-prevention-review/acmd-drug-misuse-prevention-review-accessible" TargetMode="External"/><Relationship Id="rId15" Type="http://schemas.openxmlformats.org/officeDocument/2006/relationships/hyperlink" Target="https://www.college.police.uk/guidance/drug-crimes-evidence-briefing/prevention-and-early-intervention" TargetMode="External"/><Relationship Id="rId23" Type="http://schemas.openxmlformats.org/officeDocument/2006/relationships/hyperlink" Target="https://hmiprobation.justiceinspectorates.gov.uk/document/the-effectiveness-of-diverting-children-from-the-criminal-justice-system-meeting-needs-ensuring-safety-and-preventing-reoffending/" TargetMode="External"/><Relationship Id="rId28" Type="http://schemas.openxmlformats.org/officeDocument/2006/relationships/hyperlink" Target="https://www.york.ac.uk/news-and-events/news/2025/research/county-lines-child-exploitation-strategy/" TargetMode="External"/><Relationship Id="rId36" Type="http://schemas.openxmlformats.org/officeDocument/2006/relationships/hyperlink" Target="https://revolving-doors.org.uk/wp-content/uploads/2022/02/Young-Adults-Spotlight-Final-Copy-PDF-3.pdf" TargetMode="External"/><Relationship Id="rId10" Type="http://schemas.openxmlformats.org/officeDocument/2006/relationships/hyperlink" Target="https://doi.org/10.1080/10439463.2023.2267729" TargetMode="External"/><Relationship Id="rId19" Type="http://schemas.openxmlformats.org/officeDocument/2006/relationships/hyperlink" Target="https://academic.oup.com/jpubhealth/article/45/2/e215/6779883?login=true" TargetMode="External"/><Relationship Id="rId31" Type="http://schemas.openxmlformats.org/officeDocument/2006/relationships/hyperlink" Target="https://news.npcc.police.uk/releases/annual-county-lines-report-threat-remains-stable-but-business-model-used-by-perpetrators-continues-to-evolv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ccs.police.uk/member-resources/resources/apcc-local-criminal-justice-boards-guidance-briefing-for-new-pccs/" TargetMode="External"/><Relationship Id="rId14" Type="http://schemas.openxmlformats.org/officeDocument/2006/relationships/hyperlink" Target="https://www.college.police.uk/research/crime-reduction-toolkit/police-initiated-diversion-young-people" TargetMode="External"/><Relationship Id="rId22" Type="http://schemas.openxmlformats.org/officeDocument/2006/relationships/hyperlink" Target="https://assets.publishing.service.gov.uk/media/629078bad3bf7f036fc492d1/From_harm_to_hope_PDF.pdf" TargetMode="External"/><Relationship Id="rId27" Type="http://schemas.openxmlformats.org/officeDocument/2006/relationships/hyperlink" Target="https://www.local.gov.uk/publications/two-years-progress-review-harm-hope-10-year-drugs-plan-cut-crime-and-save-lives" TargetMode="External"/><Relationship Id="rId30" Type="http://schemas.openxmlformats.org/officeDocument/2006/relationships/hyperlink" Target="https://www.nationalcrimeagency.gov.uk/who-we-are/publications/234-county-lines-violen-ce-exploitation-drug-supply-2017/file" TargetMode="External"/><Relationship Id="rId35" Type="http://schemas.openxmlformats.org/officeDocument/2006/relationships/hyperlink" Target="https://www.ons.gov.uk/peoplepopulationandcommunity/crimeandjustice/articles/drugmisuseinenglandandwales/yearendingmarch2024" TargetMode="External"/><Relationship Id="rId43" Type="http://schemas.openxmlformats.org/officeDocument/2006/relationships/hyperlink" Target="https://assets.publishing.service.gov.uk/media/686e49bd2557debd867cbe70/OAC_framework.pdf" TargetMode="External"/><Relationship Id="rId8" Type="http://schemas.openxmlformats.org/officeDocument/2006/relationships/hyperlink" Target="https://www.apccs.police.uk/local-multi-agency-collaboration-and-pcc-oversight-are-key-to-cutting-crime-says-new-apcc-report/" TargetMode="External"/><Relationship Id="rId3" Type="http://schemas.openxmlformats.org/officeDocument/2006/relationships/settings" Target="settings.xml"/><Relationship Id="rId12" Type="http://schemas.openxmlformats.org/officeDocument/2006/relationships/hyperlink" Target="https://www.college.police.uk/guidance/improving-public-confidence-police" TargetMode="External"/><Relationship Id="rId17" Type="http://schemas.openxmlformats.org/officeDocument/2006/relationships/hyperlink" Target="https://epi.org.uk/research-area/children-young-people-mental-health/" TargetMode="External"/><Relationship Id="rId25" Type="http://schemas.openxmlformats.org/officeDocument/2006/relationships/hyperlink" Target="https://www.justiceinmotion.co.uk/county-lines/" TargetMode="External"/><Relationship Id="rId33" Type="http://schemas.openxmlformats.org/officeDocument/2006/relationships/hyperlink" Target="https://www.gov.uk/government/statistics/substance-misuse-treatment-for-young-people-2022-to-2023/young-peoples-substance-misuse-treatment-statistics-2022-to-2023-report" TargetMode="External"/><Relationship Id="rId38" Type="http://schemas.openxmlformats.org/officeDocument/2006/relationships/hyperlink" Target="https://www.legislation.gov.uk/ukpga/1971/38/contents?lang=en" TargetMode="External"/><Relationship Id="rId20" Type="http://schemas.openxmlformats.org/officeDocument/2006/relationships/hyperlink" Target="https://www.gov.uk/government/publications/home-offices-county-lines-programme-data/county-lines-programme-data" TargetMode="External"/><Relationship Id="rId41" Type="http://schemas.openxmlformats.org/officeDocument/2006/relationships/hyperlink" Target="https://www.vkpp.org.uk/vkpp-work/vkpp-research/structural-inequalities/learning-for-the-police-from-multi-agency-public-protection-arrangements-mappa-serious-case-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2127</TotalTime>
  <Pages>10</Pages>
  <Words>4795</Words>
  <Characters>29926</Characters>
  <Application>Microsoft Office Word</Application>
  <DocSecurity>0</DocSecurity>
  <Lines>460</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594</cp:revision>
  <dcterms:created xsi:type="dcterms:W3CDTF">2025-11-13T09:09:00Z</dcterms:created>
  <dcterms:modified xsi:type="dcterms:W3CDTF">2025-12-05T20:52:00Z</dcterms:modified>
</cp:coreProperties>
</file>