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0E662" w14:textId="4DCC5352" w:rsidR="00D141E0" w:rsidRDefault="008D3508" w:rsidP="008D3508">
      <w:pPr>
        <w:jc w:val="center"/>
        <w:rPr>
          <w:rFonts w:ascii="Arial" w:hAnsi="Arial" w:cs="Arial"/>
          <w:sz w:val="40"/>
          <w:szCs w:val="40"/>
        </w:rPr>
      </w:pPr>
      <w:r w:rsidRPr="008D3508">
        <w:rPr>
          <w:rFonts w:ascii="Arial" w:hAnsi="Arial" w:cs="Arial"/>
          <w:sz w:val="40"/>
          <w:szCs w:val="40"/>
        </w:rPr>
        <w:t>LCLM 6003 LEADING AND IMPLEMENTING CHANGE</w:t>
      </w:r>
    </w:p>
    <w:p w14:paraId="0D9F4C76" w14:textId="77777777" w:rsidR="008D3508" w:rsidRDefault="008D3508" w:rsidP="008D3508">
      <w:pPr>
        <w:jc w:val="center"/>
        <w:rPr>
          <w:rFonts w:ascii="Arial" w:hAnsi="Arial" w:cs="Arial"/>
          <w:sz w:val="40"/>
          <w:szCs w:val="40"/>
        </w:rPr>
      </w:pPr>
    </w:p>
    <w:p w14:paraId="76D8D3C8" w14:textId="77777777" w:rsidR="008D3508" w:rsidRDefault="008D3508" w:rsidP="008D3508">
      <w:pPr>
        <w:jc w:val="center"/>
        <w:rPr>
          <w:rFonts w:ascii="Arial" w:hAnsi="Arial" w:cs="Arial"/>
          <w:sz w:val="40"/>
          <w:szCs w:val="40"/>
        </w:rPr>
      </w:pPr>
    </w:p>
    <w:p w14:paraId="2B708EBD" w14:textId="77777777" w:rsidR="008D3508" w:rsidRDefault="008D3508" w:rsidP="008D3508">
      <w:pPr>
        <w:jc w:val="center"/>
        <w:rPr>
          <w:rFonts w:ascii="Arial" w:hAnsi="Arial" w:cs="Arial"/>
          <w:sz w:val="40"/>
          <w:szCs w:val="40"/>
        </w:rPr>
      </w:pPr>
    </w:p>
    <w:p w14:paraId="3B31816A" w14:textId="77777777" w:rsidR="008D3508" w:rsidRDefault="008D3508" w:rsidP="008D3508">
      <w:pPr>
        <w:jc w:val="center"/>
        <w:rPr>
          <w:rFonts w:ascii="Arial" w:hAnsi="Arial" w:cs="Arial"/>
          <w:sz w:val="40"/>
          <w:szCs w:val="40"/>
        </w:rPr>
      </w:pPr>
    </w:p>
    <w:p w14:paraId="78ECA6FE" w14:textId="5014AC2D" w:rsidR="008D3508" w:rsidRDefault="00AC76E8" w:rsidP="008D3508">
      <w:pPr>
        <w:jc w:val="center"/>
        <w:rPr>
          <w:rFonts w:ascii="Arial" w:hAnsi="Arial" w:cs="Arial"/>
          <w:sz w:val="40"/>
          <w:szCs w:val="40"/>
          <w:u w:val="single"/>
        </w:rPr>
      </w:pPr>
      <w:r>
        <w:rPr>
          <w:rFonts w:ascii="Arial" w:hAnsi="Arial" w:cs="Arial"/>
          <w:sz w:val="40"/>
          <w:szCs w:val="40"/>
          <w:u w:val="single"/>
        </w:rPr>
        <w:t>REPORT</w:t>
      </w:r>
    </w:p>
    <w:p w14:paraId="5454C071" w14:textId="3C00CD67" w:rsidR="00AC76E8" w:rsidRDefault="00AC76E8" w:rsidP="008D3508">
      <w:pPr>
        <w:jc w:val="center"/>
        <w:rPr>
          <w:rFonts w:ascii="Arial" w:hAnsi="Arial" w:cs="Arial"/>
          <w:sz w:val="40"/>
          <w:szCs w:val="40"/>
          <w:u w:val="single"/>
        </w:rPr>
      </w:pPr>
      <w:r>
        <w:rPr>
          <w:rFonts w:ascii="Arial" w:hAnsi="Arial" w:cs="Arial"/>
          <w:sz w:val="40"/>
          <w:szCs w:val="40"/>
          <w:u w:val="single"/>
        </w:rPr>
        <w:t>TO: BOARD OF DIRECTORS</w:t>
      </w:r>
    </w:p>
    <w:p w14:paraId="2FF80C5E" w14:textId="66CA7C4E" w:rsidR="00AC76E8" w:rsidRDefault="00AC76E8" w:rsidP="008D3508">
      <w:pPr>
        <w:jc w:val="center"/>
        <w:rPr>
          <w:rFonts w:ascii="Arial" w:hAnsi="Arial" w:cs="Arial"/>
          <w:sz w:val="40"/>
          <w:szCs w:val="40"/>
          <w:u w:val="single"/>
        </w:rPr>
      </w:pPr>
      <w:r>
        <w:rPr>
          <w:rFonts w:ascii="Arial" w:hAnsi="Arial" w:cs="Arial"/>
          <w:sz w:val="40"/>
          <w:szCs w:val="40"/>
          <w:u w:val="single"/>
        </w:rPr>
        <w:t>FROM: ANA-MARIA VLAD</w:t>
      </w:r>
    </w:p>
    <w:p w14:paraId="6BBBD0A2" w14:textId="40915B2B" w:rsidR="00AC76E8" w:rsidRPr="008D3508" w:rsidRDefault="00AC76E8" w:rsidP="008D3508">
      <w:pPr>
        <w:jc w:val="center"/>
        <w:rPr>
          <w:rFonts w:ascii="Arial" w:hAnsi="Arial" w:cs="Arial"/>
          <w:sz w:val="40"/>
          <w:szCs w:val="40"/>
          <w:u w:val="single"/>
        </w:rPr>
      </w:pPr>
      <w:r>
        <w:rPr>
          <w:rFonts w:ascii="Arial" w:hAnsi="Arial" w:cs="Arial"/>
          <w:sz w:val="40"/>
          <w:szCs w:val="40"/>
          <w:u w:val="single"/>
        </w:rPr>
        <w:t>DATE: 12.11.2025</w:t>
      </w:r>
    </w:p>
    <w:p w14:paraId="7D937CBE" w14:textId="77777777" w:rsidR="008D3508" w:rsidRDefault="008D3508" w:rsidP="008D3508">
      <w:pPr>
        <w:jc w:val="center"/>
        <w:rPr>
          <w:rFonts w:ascii="Arial" w:hAnsi="Arial" w:cs="Arial"/>
          <w:sz w:val="40"/>
          <w:szCs w:val="40"/>
        </w:rPr>
      </w:pPr>
    </w:p>
    <w:p w14:paraId="016EC28C" w14:textId="77777777" w:rsidR="008D3508" w:rsidRDefault="008D3508" w:rsidP="008D3508">
      <w:pPr>
        <w:jc w:val="center"/>
        <w:rPr>
          <w:rFonts w:ascii="Arial" w:hAnsi="Arial" w:cs="Arial"/>
          <w:sz w:val="40"/>
          <w:szCs w:val="40"/>
        </w:rPr>
      </w:pPr>
    </w:p>
    <w:p w14:paraId="1768F34B" w14:textId="77777777" w:rsidR="008D3508" w:rsidRDefault="008D3508" w:rsidP="008D3508">
      <w:pPr>
        <w:jc w:val="center"/>
        <w:rPr>
          <w:rFonts w:ascii="Arial" w:hAnsi="Arial" w:cs="Arial"/>
          <w:sz w:val="40"/>
          <w:szCs w:val="40"/>
        </w:rPr>
      </w:pPr>
    </w:p>
    <w:p w14:paraId="1040847C" w14:textId="112A1B60" w:rsidR="008D3508" w:rsidRDefault="008D3508" w:rsidP="008D3508">
      <w:pPr>
        <w:jc w:val="center"/>
        <w:rPr>
          <w:rFonts w:ascii="Arial" w:hAnsi="Arial" w:cs="Arial"/>
          <w:sz w:val="40"/>
          <w:szCs w:val="40"/>
        </w:rPr>
      </w:pPr>
      <w:r>
        <w:rPr>
          <w:rFonts w:ascii="Arial" w:hAnsi="Arial" w:cs="Arial"/>
          <w:sz w:val="40"/>
          <w:szCs w:val="40"/>
        </w:rPr>
        <w:t>STUDENT NAME:  ANA-MARIA VLAD</w:t>
      </w:r>
    </w:p>
    <w:p w14:paraId="3F2FC02A" w14:textId="62BC5248" w:rsidR="008D3508" w:rsidRDefault="008D3508" w:rsidP="008D3508">
      <w:pPr>
        <w:jc w:val="center"/>
        <w:rPr>
          <w:rFonts w:ascii="Arial" w:hAnsi="Arial" w:cs="Arial"/>
          <w:sz w:val="40"/>
          <w:szCs w:val="40"/>
        </w:rPr>
      </w:pPr>
      <w:r>
        <w:rPr>
          <w:rFonts w:ascii="Arial" w:hAnsi="Arial" w:cs="Arial"/>
          <w:sz w:val="40"/>
          <w:szCs w:val="40"/>
        </w:rPr>
        <w:t>STUDENT NUMBER: 2129604</w:t>
      </w:r>
    </w:p>
    <w:p w14:paraId="27451157" w14:textId="38AAB5AF" w:rsidR="008D3508" w:rsidRDefault="008D3508" w:rsidP="008D3508">
      <w:pPr>
        <w:jc w:val="center"/>
        <w:rPr>
          <w:rFonts w:ascii="Arial" w:hAnsi="Arial" w:cs="Arial"/>
          <w:sz w:val="40"/>
          <w:szCs w:val="40"/>
        </w:rPr>
      </w:pPr>
      <w:r>
        <w:rPr>
          <w:rFonts w:ascii="Arial" w:hAnsi="Arial" w:cs="Arial"/>
          <w:sz w:val="40"/>
          <w:szCs w:val="40"/>
        </w:rPr>
        <w:t>LECTURER NAME:  FATIMA HASHMI</w:t>
      </w:r>
    </w:p>
    <w:p w14:paraId="1F2762D2" w14:textId="77777777" w:rsidR="008D3508" w:rsidRDefault="008D3508" w:rsidP="008D3508">
      <w:pPr>
        <w:jc w:val="center"/>
        <w:rPr>
          <w:rFonts w:ascii="Arial" w:hAnsi="Arial" w:cs="Arial"/>
          <w:sz w:val="40"/>
          <w:szCs w:val="40"/>
        </w:rPr>
      </w:pPr>
    </w:p>
    <w:p w14:paraId="337E381B" w14:textId="77777777" w:rsidR="008D3508" w:rsidRDefault="008D3508" w:rsidP="008D3508">
      <w:pPr>
        <w:jc w:val="center"/>
        <w:rPr>
          <w:rFonts w:ascii="Arial" w:hAnsi="Arial" w:cs="Arial"/>
          <w:sz w:val="40"/>
          <w:szCs w:val="40"/>
        </w:rPr>
      </w:pPr>
    </w:p>
    <w:p w14:paraId="53A569EC" w14:textId="77777777" w:rsidR="008D3508" w:rsidRDefault="008D3508" w:rsidP="008D3508">
      <w:pPr>
        <w:rPr>
          <w:rFonts w:ascii="Arial" w:hAnsi="Arial" w:cs="Arial"/>
        </w:rPr>
      </w:pPr>
    </w:p>
    <w:p w14:paraId="445E8134" w14:textId="77777777" w:rsidR="008D3508" w:rsidRDefault="008D3508" w:rsidP="008D3508">
      <w:pPr>
        <w:rPr>
          <w:rFonts w:ascii="Arial" w:hAnsi="Arial" w:cs="Arial"/>
        </w:rPr>
      </w:pPr>
    </w:p>
    <w:p w14:paraId="34C9E79A" w14:textId="77777777" w:rsidR="008D3508" w:rsidRDefault="008D3508" w:rsidP="008D3508">
      <w:pPr>
        <w:rPr>
          <w:rFonts w:ascii="Arial" w:hAnsi="Arial" w:cs="Arial"/>
        </w:rPr>
      </w:pPr>
    </w:p>
    <w:p w14:paraId="24248EF9" w14:textId="77777777" w:rsidR="008D3508" w:rsidRDefault="008D3508" w:rsidP="008D3508">
      <w:pPr>
        <w:rPr>
          <w:rFonts w:ascii="Arial" w:hAnsi="Arial" w:cs="Arial"/>
        </w:rPr>
      </w:pPr>
    </w:p>
    <w:p w14:paraId="3CDAC382" w14:textId="77777777" w:rsidR="008D3508" w:rsidRDefault="008D3508" w:rsidP="008D3508">
      <w:pPr>
        <w:rPr>
          <w:rFonts w:ascii="Arial" w:hAnsi="Arial" w:cs="Arial"/>
        </w:rPr>
      </w:pPr>
    </w:p>
    <w:p w14:paraId="0806E6C9" w14:textId="77777777" w:rsidR="008D3508" w:rsidRDefault="008D3508" w:rsidP="008D3508">
      <w:pPr>
        <w:rPr>
          <w:rFonts w:ascii="Arial" w:hAnsi="Arial" w:cs="Arial"/>
        </w:rPr>
      </w:pPr>
    </w:p>
    <w:p w14:paraId="52860BA8" w14:textId="77777777" w:rsidR="008D3508" w:rsidRDefault="008D3508" w:rsidP="008D3508">
      <w:pPr>
        <w:rPr>
          <w:rFonts w:ascii="Arial" w:hAnsi="Arial" w:cs="Arial"/>
        </w:rPr>
      </w:pPr>
    </w:p>
    <w:p w14:paraId="122C1A1A" w14:textId="77777777" w:rsidR="008D3508" w:rsidRDefault="008D3508" w:rsidP="008D3508">
      <w:pPr>
        <w:rPr>
          <w:rFonts w:ascii="Arial" w:hAnsi="Arial" w:cs="Arial"/>
        </w:rPr>
      </w:pPr>
    </w:p>
    <w:p w14:paraId="225A3D3C" w14:textId="77777777" w:rsidR="008D3508" w:rsidRDefault="008D3508" w:rsidP="008D3508">
      <w:pPr>
        <w:rPr>
          <w:rFonts w:ascii="Arial" w:hAnsi="Arial" w:cs="Arial"/>
        </w:rPr>
      </w:pPr>
    </w:p>
    <w:p w14:paraId="4674B1D7" w14:textId="77777777" w:rsidR="008D3508" w:rsidRDefault="008D3508" w:rsidP="008D3508">
      <w:pPr>
        <w:rPr>
          <w:rFonts w:ascii="Arial" w:hAnsi="Arial" w:cs="Arial"/>
        </w:rPr>
      </w:pPr>
    </w:p>
    <w:p w14:paraId="56F7FC76" w14:textId="77777777" w:rsidR="008D3508" w:rsidRPr="00E01B64" w:rsidRDefault="008D3508" w:rsidP="00E01B64">
      <w:pPr>
        <w:spacing w:line="360" w:lineRule="auto"/>
        <w:rPr>
          <w:rFonts w:ascii="Arial" w:hAnsi="Arial" w:cs="Arial"/>
          <w:b/>
          <w:bCs/>
          <w:u w:val="single"/>
        </w:rPr>
      </w:pPr>
      <w:r w:rsidRPr="00E01B64">
        <w:rPr>
          <w:rFonts w:ascii="Arial" w:hAnsi="Arial" w:cs="Arial"/>
          <w:b/>
          <w:bCs/>
          <w:u w:val="single"/>
        </w:rPr>
        <w:t>A Strategic Change Plan for Lloyds Bank</w:t>
      </w:r>
    </w:p>
    <w:p w14:paraId="636624ED" w14:textId="77777777" w:rsidR="008D3508" w:rsidRPr="00E01B64" w:rsidRDefault="008D3508" w:rsidP="00E01B64">
      <w:pPr>
        <w:spacing w:line="360" w:lineRule="auto"/>
        <w:rPr>
          <w:rFonts w:ascii="Arial" w:hAnsi="Arial" w:cs="Arial"/>
          <w:u w:val="single"/>
        </w:rPr>
      </w:pPr>
    </w:p>
    <w:p w14:paraId="3821FA5A" w14:textId="77777777" w:rsidR="003017F2" w:rsidRPr="00E01B64" w:rsidRDefault="003017F2" w:rsidP="00E01B64">
      <w:pPr>
        <w:pStyle w:val="NormalWeb"/>
        <w:spacing w:before="0" w:beforeAutospacing="0" w:after="0" w:afterAutospacing="0" w:line="360" w:lineRule="auto"/>
        <w:rPr>
          <w:rStyle w:val="Strong"/>
          <w:rFonts w:ascii="Arial" w:eastAsiaTheme="majorEastAsia" w:hAnsi="Arial" w:cs="Arial"/>
          <w:color w:val="0E101A"/>
          <w:sz w:val="22"/>
          <w:szCs w:val="22"/>
        </w:rPr>
      </w:pPr>
      <w:r w:rsidRPr="00E01B64">
        <w:rPr>
          <w:rStyle w:val="Strong"/>
          <w:rFonts w:ascii="Arial" w:eastAsiaTheme="majorEastAsia" w:hAnsi="Arial" w:cs="Arial"/>
          <w:color w:val="0E101A"/>
          <w:sz w:val="22"/>
          <w:szCs w:val="22"/>
        </w:rPr>
        <w:t>Executive Summary</w:t>
      </w:r>
    </w:p>
    <w:p w14:paraId="6D754570" w14:textId="77777777" w:rsidR="003017F2" w:rsidRPr="00E01B64" w:rsidRDefault="003017F2" w:rsidP="00E01B64">
      <w:pPr>
        <w:pStyle w:val="NormalWeb"/>
        <w:spacing w:before="0" w:beforeAutospacing="0" w:after="0" w:afterAutospacing="0" w:line="360" w:lineRule="auto"/>
        <w:rPr>
          <w:rStyle w:val="Strong"/>
          <w:rFonts w:ascii="Arial" w:eastAsiaTheme="majorEastAsia" w:hAnsi="Arial" w:cs="Arial"/>
          <w:color w:val="0E101A"/>
          <w:sz w:val="22"/>
          <w:szCs w:val="22"/>
        </w:rPr>
      </w:pPr>
    </w:p>
    <w:p w14:paraId="5FEB9AA0" w14:textId="77777777" w:rsidR="003017F2" w:rsidRPr="00E01B64" w:rsidRDefault="003017F2" w:rsidP="00E01B64">
      <w:pPr>
        <w:pStyle w:val="NormalWeb"/>
        <w:spacing w:before="0" w:beforeAutospacing="0" w:after="0" w:afterAutospacing="0" w:line="360" w:lineRule="auto"/>
        <w:rPr>
          <w:rFonts w:ascii="Arial" w:hAnsi="Arial" w:cs="Arial"/>
          <w:color w:val="0E101A"/>
          <w:sz w:val="22"/>
          <w:szCs w:val="22"/>
        </w:rPr>
      </w:pPr>
    </w:p>
    <w:p w14:paraId="6EE8CDD9" w14:textId="2CF2C778" w:rsidR="00AC76E8" w:rsidRPr="00E01B64" w:rsidRDefault="00AC76E8"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Lloyds Banking Group, one of the largest retail and commercial banks in the United Kingdom, is facing significant challenges due to rapid technological change, shifting customer needs, cyber risks, and growing competition from digital-only banks and fintech firms. The Board of Directors is concerned about the bank’s ability to remain competitive, generate a profit, and fulfil its long-term vision of “Helping Britain Prosper” (Lloyds Banking Group, 2023). This report outlines a strategic change plan to address these challenges and position Lloyds Bank for long-term success.</w:t>
      </w:r>
    </w:p>
    <w:p w14:paraId="209D51DE" w14:textId="23B54BC2" w:rsidR="00AC76E8" w:rsidRPr="00E01B64" w:rsidRDefault="00AC76E8"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The report begins with an overview of Lloyds Bank, detailing its history, primary business operations, and its significance in the UK banking industry. It then examines the internal and external factors driving change, utilising frameworks such as PESTLE</w:t>
      </w:r>
      <w:r w:rsidR="0083210E" w:rsidRPr="00E01B64">
        <w:rPr>
          <w:rFonts w:ascii="Arial" w:eastAsia="Times New Roman" w:hAnsi="Arial" w:cs="Arial"/>
          <w:lang w:eastAsia="en-GB"/>
        </w:rPr>
        <w:t>, SWOT and Porter's 5 Forces</w:t>
      </w:r>
      <w:r w:rsidRPr="00E01B64">
        <w:rPr>
          <w:rFonts w:ascii="Arial" w:eastAsia="Times New Roman" w:hAnsi="Arial" w:cs="Arial"/>
          <w:lang w:eastAsia="en-GB"/>
        </w:rPr>
        <w:t>. Key issues identified include digital disruption, the rise of online banking, artificial intelligence (AI), cybersecurity threats, regulatory pressure, outdated IT systems, and changing consumer behaviour (Deloitte, 2022).</w:t>
      </w:r>
    </w:p>
    <w:p w14:paraId="7F86F008" w14:textId="77777777" w:rsidR="00AC76E8" w:rsidRPr="00E01B64" w:rsidRDefault="00AC76E8"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To address these challenges, the report examines change management models, including Kotter’s 8-Step Model, and assesses how leadership and company culture have impacted the bank’s current transformation efforts. Leadership at Lloyds has adopted a more transformational style, promoting innovation, digital investment, and employee wellbeing, although some employees still resist changes brought by restructuring and automation (Horta-Osório, 2021).</w:t>
      </w:r>
    </w:p>
    <w:p w14:paraId="5A1384BF" w14:textId="0D499082" w:rsidR="00AC76E8" w:rsidRPr="00E01B64" w:rsidRDefault="00AC76E8"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 xml:space="preserve">The final section outlines a strategic change management plan focused on AI-driven digital transformation and workforce training. This plan includes clear goals, financial planning, strategies for communicating with stakeholders, and evaluation methods. Proposed </w:t>
      </w:r>
      <w:r w:rsidRPr="00E01B64">
        <w:rPr>
          <w:rFonts w:ascii="Arial" w:eastAsia="Times New Roman" w:hAnsi="Arial" w:cs="Arial"/>
          <w:lang w:eastAsia="en-GB"/>
        </w:rPr>
        <w:lastRenderedPageBreak/>
        <w:t>initiatives include expanding digital services, investing in AI-powered customer support, enhancing cybersecurity, and providing digital training for employees.</w:t>
      </w:r>
    </w:p>
    <w:p w14:paraId="27FB9F47" w14:textId="55F5975F" w:rsidR="00B32D3C" w:rsidRPr="00E01B64" w:rsidRDefault="00AC76E8"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The successful execution of this plan will enable Lloyds Bank to lower operational costs, enhance the customer experience, boost digital capabilities, and strengthen its position in the UK financial services sector.</w:t>
      </w:r>
    </w:p>
    <w:p w14:paraId="1645F141" w14:textId="77777777" w:rsidR="00AC76E8" w:rsidRPr="00E01B64" w:rsidRDefault="00AC76E8" w:rsidP="00E01B64">
      <w:pPr>
        <w:spacing w:before="100" w:beforeAutospacing="1" w:after="100" w:afterAutospacing="1" w:line="360" w:lineRule="auto"/>
        <w:rPr>
          <w:rFonts w:ascii="Arial" w:eastAsia="Times New Roman" w:hAnsi="Arial" w:cs="Arial"/>
          <w:lang w:eastAsia="en-GB"/>
        </w:rPr>
      </w:pPr>
    </w:p>
    <w:p w14:paraId="3A452A49" w14:textId="6227B29A" w:rsidR="008D3508" w:rsidRPr="00E01B64" w:rsidRDefault="00B32D3C" w:rsidP="00E01B64">
      <w:pPr>
        <w:spacing w:before="100" w:beforeAutospacing="1" w:after="100" w:afterAutospacing="1" w:line="360" w:lineRule="auto"/>
        <w:rPr>
          <w:rFonts w:ascii="Arial" w:eastAsia="Times New Roman" w:hAnsi="Arial" w:cs="Arial"/>
          <w:b/>
          <w:bCs/>
          <w:lang w:eastAsia="en-GB"/>
        </w:rPr>
      </w:pPr>
      <w:r w:rsidRPr="00E01B64">
        <w:rPr>
          <w:rFonts w:ascii="Arial" w:eastAsia="Times New Roman" w:hAnsi="Arial" w:cs="Arial"/>
          <w:b/>
          <w:bCs/>
          <w:lang w:eastAsia="en-GB"/>
        </w:rPr>
        <w:t>Background</w:t>
      </w:r>
    </w:p>
    <w:p w14:paraId="4EF4D6B7" w14:textId="49D0F160" w:rsidR="006F3BBB" w:rsidRPr="00E01B64" w:rsidRDefault="006F3BBB"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Lloyds Bank, part of Lloyds Banking Group, is one of the UK's oldest and most notable financial institutions. It was founded in 1765 in Birmingham by John Taylor and Sampson Lloyd. The bank has grown from a small private banking firm into one of the largest providers of retail and commercial banking services in the UK (Lloyds Banking Group, 2023). Today, it serves over 26 million customers through its brands, which include Lloyds Bank, Halifax, Bank of Scotland, and Scottish Widows (Statista, 2024). The organisation operates in various sectors, including retail banking, commercial banking, wealth management, insurance, and digital financial services.</w:t>
      </w:r>
    </w:p>
    <w:p w14:paraId="605DCCAC" w14:textId="48E8F31F" w:rsidR="006F3BBB" w:rsidRPr="00E01B64" w:rsidRDefault="006F3BBB"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Lloyds Bank aims to help Britain prosper by providing accessible financial services, supporting local communities, and promoting financial inclusion (Lloyds Banking Group, 2023). As a key high-street bank, it plays a crucial role in the UK economy by offering personal and business loans, mortgages, savings products, credit services, and investment solutions. The bank employs about 58,000 staff and maintains both physical branches and digital platforms to serve its customers (Financial Times, 2023).</w:t>
      </w:r>
    </w:p>
    <w:p w14:paraId="51A9A7BF" w14:textId="698E642B" w:rsidR="006F3BBB" w:rsidRPr="00E01B64" w:rsidRDefault="006F3BBB"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Recently, Lloyds Bank has faced a rapidly changing business environment marked by digital disruption and technological innovation. Consumer preferences have evolved, and competition has intensified from fintech companies such as Monzo, Revolut, and Starling Bank (PwC, 2023). The rise of artificial intelligence (AI), mobile banking apps, and automated financial services has changed customer expectations, pushing traditional banks to update their operations. Regulatory pressures from groups such as the Financial Conduct Authority (FCA) and compliance requirements following the 2008 financial crisis have added to operational challenges and costs (Bank of England, 2022).</w:t>
      </w:r>
    </w:p>
    <w:p w14:paraId="18427AC1" w14:textId="1090D64D" w:rsidR="006F3BBB" w:rsidRPr="00E01B64" w:rsidRDefault="006F3BBB"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 xml:space="preserve">Internally, the bank struggles with outdated IT systems and high operating costs associated with its physical branch networks. Periodic restructuring also affects its operations. </w:t>
      </w:r>
      <w:r w:rsidRPr="00E01B64">
        <w:rPr>
          <w:rFonts w:ascii="Arial" w:eastAsia="Times New Roman" w:hAnsi="Arial" w:cs="Arial"/>
          <w:lang w:eastAsia="en-GB"/>
        </w:rPr>
        <w:lastRenderedPageBreak/>
        <w:t>According to Lloyds' annual report (2023), over 200 branches have closed in the past three years due to the shift towards online banking. This restructuring has impacted employees, raising concerns about job security and resistance to change among staff (BBC News, 2023). Additionally, increased cybersecurity threats and data breach risks have become major concerns, needing a significant investment in digital security (Accenture, 2023).</w:t>
      </w:r>
    </w:p>
    <w:p w14:paraId="4EF76A51" w14:textId="77777777" w:rsidR="006F3BBB" w:rsidRPr="00E01B64" w:rsidRDefault="006F3BBB"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Despite these challenges, Lloyds Bank has made strategic moves toward digital transformation. It has invested more than £3 billion in digital technologies, AI-based customer services, fraud detection systems, and cloud computing (Lloyds Banking Group, 2023). The organisation has also launched digital learning programmes to train employees in data analysis, digital banking operations, and cybersecurity. Leadership has played a key role in developing its transformation strategy, especially under former CEO António Horta-Osório, who focused on financial stability, digital updates, and employee wellbeing (Horta-Osório, 2021).</w:t>
      </w:r>
    </w:p>
    <w:p w14:paraId="00BC363A" w14:textId="7FE6A3E0" w:rsidR="006F3BBB" w:rsidRPr="00E01B64" w:rsidRDefault="006F3BBB"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In summary, Lloyds Bank remains an important and influential institution in the UK. However, ongoing technological advances, regulatory needs, and shifting customer behaviours require it to adopt a strategic plan for change to stay competitive and innovative in today's banking landscape.</w:t>
      </w:r>
    </w:p>
    <w:p w14:paraId="59FCD91A" w14:textId="77777777" w:rsidR="006F3BBB" w:rsidRPr="00E01B64" w:rsidRDefault="006F3BBB" w:rsidP="00E01B64">
      <w:pPr>
        <w:spacing w:before="100" w:beforeAutospacing="1" w:after="100" w:afterAutospacing="1" w:line="360" w:lineRule="auto"/>
        <w:rPr>
          <w:rFonts w:ascii="Arial" w:eastAsia="Times New Roman" w:hAnsi="Arial" w:cs="Arial"/>
          <w:lang w:eastAsia="en-GB"/>
        </w:rPr>
      </w:pPr>
    </w:p>
    <w:p w14:paraId="36978D59" w14:textId="525E61B3" w:rsidR="00A21789" w:rsidRPr="00E01B64" w:rsidRDefault="00A21789" w:rsidP="00E01B64">
      <w:pPr>
        <w:spacing w:before="100" w:beforeAutospacing="1" w:after="100" w:afterAutospacing="1" w:line="360" w:lineRule="auto"/>
        <w:rPr>
          <w:rFonts w:ascii="Arial" w:eastAsia="Times New Roman" w:hAnsi="Arial" w:cs="Arial"/>
          <w:b/>
          <w:bCs/>
          <w:lang w:eastAsia="en-GB"/>
        </w:rPr>
      </w:pPr>
      <w:r w:rsidRPr="00E01B64">
        <w:rPr>
          <w:rFonts w:ascii="Arial" w:eastAsia="Times New Roman" w:hAnsi="Arial" w:cs="Arial"/>
          <w:b/>
          <w:bCs/>
          <w:lang w:eastAsia="en-GB"/>
        </w:rPr>
        <w:t>Analysis of Recent History and Environmental Changes Impacting Lloyds Bank</w:t>
      </w:r>
    </w:p>
    <w:p w14:paraId="4B5683E0" w14:textId="77777777" w:rsidR="00A21789" w:rsidRPr="00E01B64" w:rsidRDefault="00A21789" w:rsidP="00E01B64">
      <w:pPr>
        <w:spacing w:before="100" w:beforeAutospacing="1" w:after="100" w:afterAutospacing="1" w:line="360" w:lineRule="auto"/>
        <w:rPr>
          <w:rFonts w:ascii="Arial" w:eastAsia="Times New Roman" w:hAnsi="Arial" w:cs="Arial"/>
          <w:lang w:eastAsia="en-GB"/>
        </w:rPr>
      </w:pPr>
    </w:p>
    <w:p w14:paraId="0B4BD7F3" w14:textId="3E07FF77" w:rsidR="00A21789" w:rsidRPr="00E01B64" w:rsidRDefault="00A21789" w:rsidP="00E01B64">
      <w:pPr>
        <w:spacing w:before="100" w:beforeAutospacing="1" w:after="100" w:afterAutospacing="1" w:line="360" w:lineRule="auto"/>
        <w:rPr>
          <w:rFonts w:ascii="Arial" w:eastAsia="Times New Roman" w:hAnsi="Arial" w:cs="Arial"/>
          <w:lang w:eastAsia="en-GB"/>
        </w:rPr>
      </w:pPr>
      <w:r w:rsidRPr="00E01B64">
        <w:rPr>
          <w:rFonts w:ascii="Arial" w:eastAsia="Times New Roman" w:hAnsi="Arial" w:cs="Arial"/>
          <w:lang w:eastAsia="en-GB"/>
        </w:rPr>
        <w:t>Lloyds Bank has undergone considerable change in the past two decades, influenced by financial crises, technological advancements, regulatory reforms</w:t>
      </w:r>
      <w:r w:rsidR="00130DD2" w:rsidRPr="00E01B64">
        <w:rPr>
          <w:rFonts w:ascii="Arial" w:eastAsia="Times New Roman" w:hAnsi="Arial" w:cs="Arial"/>
          <w:lang w:eastAsia="en-GB"/>
        </w:rPr>
        <w:t>,</w:t>
      </w:r>
      <w:r w:rsidRPr="00E01B64">
        <w:rPr>
          <w:rFonts w:ascii="Arial" w:eastAsia="Times New Roman" w:hAnsi="Arial" w:cs="Arial"/>
          <w:lang w:eastAsia="en-GB"/>
        </w:rPr>
        <w:t xml:space="preserve"> and shifts in consumer expectations. Understanding these changes is essential in identifying the triggers for strategic transformation.</w:t>
      </w:r>
    </w:p>
    <w:p w14:paraId="47E4E4A4" w14:textId="70ABD65E" w:rsidR="00A21789" w:rsidRPr="00E01B64" w:rsidRDefault="00A21789" w:rsidP="00E01B64">
      <w:pPr>
        <w:spacing w:before="100" w:beforeAutospacing="1" w:after="100" w:afterAutospacing="1" w:line="360" w:lineRule="auto"/>
        <w:rPr>
          <w:rFonts w:ascii="Arial" w:eastAsia="Times New Roman" w:hAnsi="Arial" w:cs="Arial"/>
          <w:b/>
          <w:bCs/>
          <w:lang w:eastAsia="en-GB"/>
        </w:rPr>
      </w:pPr>
      <w:r w:rsidRPr="00E01B64">
        <w:rPr>
          <w:rFonts w:ascii="Arial" w:eastAsia="Times New Roman" w:hAnsi="Arial" w:cs="Arial"/>
          <w:b/>
          <w:bCs/>
          <w:lang w:eastAsia="en-GB"/>
        </w:rPr>
        <w:t xml:space="preserve"> Recent History</w:t>
      </w:r>
    </w:p>
    <w:p w14:paraId="60C55947" w14:textId="77777777" w:rsidR="0058559B" w:rsidRPr="0058559B" w:rsidRDefault="0058559B" w:rsidP="00E01B64">
      <w:pPr>
        <w:spacing w:before="100" w:beforeAutospacing="1" w:after="100" w:afterAutospacing="1" w:line="360" w:lineRule="auto"/>
        <w:rPr>
          <w:rFonts w:ascii="Arial" w:eastAsia="Times New Roman" w:hAnsi="Arial" w:cs="Arial"/>
          <w:b/>
          <w:bCs/>
          <w:lang w:eastAsia="en-GB"/>
        </w:rPr>
      </w:pPr>
      <w:r w:rsidRPr="0058559B">
        <w:rPr>
          <w:rFonts w:ascii="Arial" w:eastAsia="Times New Roman" w:hAnsi="Arial" w:cs="Arial"/>
          <w:b/>
          <w:bCs/>
          <w:lang w:eastAsia="en-GB"/>
        </w:rPr>
        <w:t>The 2008 Global Financial Crisis</w:t>
      </w:r>
    </w:p>
    <w:p w14:paraId="0DFEE55E" w14:textId="0368CA1A" w:rsidR="0058559B" w:rsidRPr="0058559B" w:rsidRDefault="0058559B" w:rsidP="00E01B64">
      <w:p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 xml:space="preserve">The </w:t>
      </w:r>
      <w:r w:rsidRPr="00E01B64">
        <w:rPr>
          <w:rFonts w:ascii="Arial" w:eastAsia="Times New Roman" w:hAnsi="Arial" w:cs="Arial"/>
          <w:lang w:eastAsia="en-GB"/>
        </w:rPr>
        <w:t xml:space="preserve">2008 financial crisis </w:t>
      </w:r>
      <w:r w:rsidRPr="0058559B">
        <w:rPr>
          <w:rFonts w:ascii="Arial" w:eastAsia="Times New Roman" w:hAnsi="Arial" w:cs="Arial"/>
          <w:lang w:eastAsia="en-GB"/>
        </w:rPr>
        <w:t xml:space="preserve">was a </w:t>
      </w:r>
      <w:r w:rsidRPr="00E01B64">
        <w:rPr>
          <w:rFonts w:ascii="Arial" w:eastAsia="Times New Roman" w:hAnsi="Arial" w:cs="Arial"/>
          <w:lang w:eastAsia="en-GB"/>
        </w:rPr>
        <w:t>significant</w:t>
      </w:r>
      <w:r w:rsidRPr="0058559B">
        <w:rPr>
          <w:rFonts w:ascii="Arial" w:eastAsia="Times New Roman" w:hAnsi="Arial" w:cs="Arial"/>
          <w:lang w:eastAsia="en-GB"/>
        </w:rPr>
        <w:t xml:space="preserve"> turning point for Lloyds Bank. </w:t>
      </w:r>
      <w:r w:rsidRPr="00E01B64">
        <w:rPr>
          <w:rFonts w:ascii="Arial" w:eastAsia="Times New Roman" w:hAnsi="Arial" w:cs="Arial"/>
          <w:lang w:eastAsia="en-GB"/>
        </w:rPr>
        <w:t>To</w:t>
      </w:r>
      <w:r w:rsidRPr="0058559B">
        <w:rPr>
          <w:rFonts w:ascii="Arial" w:eastAsia="Times New Roman" w:hAnsi="Arial" w:cs="Arial"/>
          <w:lang w:eastAsia="en-GB"/>
        </w:rPr>
        <w:t xml:space="preserve"> stabilise the UK financial system, Lloyds Banking Group acquired HBOS (Halifax Bank of Scotland), which had suffered significant losses (Bank of England, 2022). While the acquisition strengthened </w:t>
      </w:r>
      <w:r w:rsidRPr="0058559B">
        <w:rPr>
          <w:rFonts w:ascii="Arial" w:eastAsia="Times New Roman" w:hAnsi="Arial" w:cs="Arial"/>
          <w:lang w:eastAsia="en-GB"/>
        </w:rPr>
        <w:lastRenderedPageBreak/>
        <w:t>Lloyds' market share, it also exposed the bank to HBOS’s financial difficulties and caused substantial instability.</w:t>
      </w:r>
    </w:p>
    <w:p w14:paraId="06B20232" w14:textId="77777777" w:rsidR="0058559B" w:rsidRPr="0058559B" w:rsidRDefault="0058559B" w:rsidP="00E01B64">
      <w:p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The UK government intervened by purchasing a 43% share in Lloyds, effectively nationalising the bank to prevent collapse (Financial Times, 2017). Lloyds spent nearly a decade rebuilding financial strength, improving governance, repaying the bailout, and reducing risk exposure. By 2017, the government had fully exited its shareholding.</w:t>
      </w:r>
    </w:p>
    <w:p w14:paraId="760AF0BB" w14:textId="77777777" w:rsidR="0058559B" w:rsidRPr="0058559B" w:rsidRDefault="0058559B" w:rsidP="00E01B64">
      <w:pPr>
        <w:spacing w:before="100" w:beforeAutospacing="1" w:after="100" w:afterAutospacing="1" w:line="360" w:lineRule="auto"/>
        <w:rPr>
          <w:rFonts w:ascii="Arial" w:eastAsia="Times New Roman" w:hAnsi="Arial" w:cs="Arial"/>
          <w:b/>
          <w:bCs/>
          <w:lang w:eastAsia="en-GB"/>
        </w:rPr>
      </w:pPr>
      <w:r w:rsidRPr="0058559B">
        <w:rPr>
          <w:rFonts w:ascii="Arial" w:eastAsia="Times New Roman" w:hAnsi="Arial" w:cs="Arial"/>
          <w:b/>
          <w:bCs/>
          <w:lang w:eastAsia="en-GB"/>
        </w:rPr>
        <w:t>Restructuring and Digitalisation</w:t>
      </w:r>
    </w:p>
    <w:p w14:paraId="1CC23B75" w14:textId="77777777" w:rsidR="0058559B" w:rsidRPr="0058559B" w:rsidRDefault="0058559B" w:rsidP="00E01B64">
      <w:p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Between 2010 and 2020, Lloyds implemented extensive organisational restructuring, branch closures, cost-cutting initiatives, and digital investments. This period saw:</w:t>
      </w:r>
    </w:p>
    <w:p w14:paraId="626FC55A" w14:textId="77777777" w:rsidR="0058559B" w:rsidRPr="0058559B" w:rsidRDefault="0058559B" w:rsidP="00E01B64">
      <w:pPr>
        <w:numPr>
          <w:ilvl w:val="0"/>
          <w:numId w:val="1"/>
        </w:num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closure of hundreds of local bank branches</w:t>
      </w:r>
    </w:p>
    <w:p w14:paraId="74F30354" w14:textId="77777777" w:rsidR="0058559B" w:rsidRPr="0058559B" w:rsidRDefault="0058559B" w:rsidP="00E01B64">
      <w:pPr>
        <w:numPr>
          <w:ilvl w:val="0"/>
          <w:numId w:val="1"/>
        </w:num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significant reduction in workforce</w:t>
      </w:r>
    </w:p>
    <w:p w14:paraId="29D3B477" w14:textId="77777777" w:rsidR="0058559B" w:rsidRPr="0058559B" w:rsidRDefault="0058559B" w:rsidP="00E01B64">
      <w:pPr>
        <w:numPr>
          <w:ilvl w:val="0"/>
          <w:numId w:val="1"/>
        </w:num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introduction of mobile banking applications</w:t>
      </w:r>
    </w:p>
    <w:p w14:paraId="39BEF1F4" w14:textId="77777777" w:rsidR="0058559B" w:rsidRPr="0058559B" w:rsidRDefault="0058559B" w:rsidP="00E01B64">
      <w:pPr>
        <w:numPr>
          <w:ilvl w:val="0"/>
          <w:numId w:val="1"/>
        </w:num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investment in cybersecurity</w:t>
      </w:r>
    </w:p>
    <w:p w14:paraId="6D54E45F" w14:textId="77777777" w:rsidR="0058559B" w:rsidRPr="0058559B" w:rsidRDefault="0058559B" w:rsidP="00E01B64">
      <w:pPr>
        <w:numPr>
          <w:ilvl w:val="0"/>
          <w:numId w:val="1"/>
        </w:num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development of AI-enabled fraud detection (Accenture, 2023)</w:t>
      </w:r>
    </w:p>
    <w:p w14:paraId="6CC9FC55" w14:textId="77777777" w:rsidR="0058559B" w:rsidRPr="0058559B" w:rsidRDefault="0058559B" w:rsidP="00E01B64">
      <w:p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While digitalisation improved efficiency and customer experience, it also created internal resistance, particularly among employees accustomed to traditional banking operations.</w:t>
      </w:r>
    </w:p>
    <w:p w14:paraId="1BE23168" w14:textId="77777777" w:rsidR="0058559B" w:rsidRPr="0058559B" w:rsidRDefault="0058559B" w:rsidP="00E01B64">
      <w:pPr>
        <w:spacing w:before="100" w:beforeAutospacing="1" w:after="100" w:afterAutospacing="1" w:line="360" w:lineRule="auto"/>
        <w:rPr>
          <w:rFonts w:ascii="Arial" w:eastAsia="Times New Roman" w:hAnsi="Arial" w:cs="Arial"/>
          <w:b/>
          <w:bCs/>
          <w:lang w:eastAsia="en-GB"/>
        </w:rPr>
      </w:pPr>
      <w:r w:rsidRPr="0058559B">
        <w:rPr>
          <w:rFonts w:ascii="Arial" w:eastAsia="Times New Roman" w:hAnsi="Arial" w:cs="Arial"/>
          <w:b/>
          <w:bCs/>
          <w:lang w:eastAsia="en-GB"/>
        </w:rPr>
        <w:t>Post-COVID Shifts</w:t>
      </w:r>
    </w:p>
    <w:p w14:paraId="4F8E253E" w14:textId="36A7F175" w:rsidR="0058559B" w:rsidRPr="0058559B" w:rsidRDefault="0058559B" w:rsidP="00E01B64">
      <w:pPr>
        <w:spacing w:before="100" w:beforeAutospacing="1" w:after="100" w:afterAutospacing="1" w:line="360" w:lineRule="auto"/>
        <w:rPr>
          <w:rFonts w:ascii="Arial" w:eastAsia="Times New Roman" w:hAnsi="Arial" w:cs="Arial"/>
          <w:lang w:eastAsia="en-GB"/>
        </w:rPr>
      </w:pPr>
      <w:r w:rsidRPr="0058559B">
        <w:rPr>
          <w:rFonts w:ascii="Arial" w:eastAsia="Times New Roman" w:hAnsi="Arial" w:cs="Arial"/>
          <w:lang w:eastAsia="en-GB"/>
        </w:rPr>
        <w:t xml:space="preserve">The COVID-19 pandemic accelerated </w:t>
      </w:r>
      <w:r w:rsidRPr="00E01B64">
        <w:rPr>
          <w:rFonts w:ascii="Arial" w:eastAsia="Times New Roman" w:hAnsi="Arial" w:cs="Arial"/>
          <w:lang w:eastAsia="en-GB"/>
        </w:rPr>
        <w:t xml:space="preserve">the adoption of </w:t>
      </w:r>
      <w:r w:rsidRPr="0058559B">
        <w:rPr>
          <w:rFonts w:ascii="Arial" w:eastAsia="Times New Roman" w:hAnsi="Arial" w:cs="Arial"/>
          <w:lang w:eastAsia="en-GB"/>
        </w:rPr>
        <w:t xml:space="preserve">digital banking across the UK. Customer footfall in branches dropped dramatically, and mobile app usage surged (ONS, 2022). Lloyds responded by closing more branches and prioritising digital infrastructure, but this change generated further cultural resistance and </w:t>
      </w:r>
      <w:r w:rsidRPr="00E01B64">
        <w:rPr>
          <w:rFonts w:ascii="Arial" w:eastAsia="Times New Roman" w:hAnsi="Arial" w:cs="Arial"/>
          <w:lang w:eastAsia="en-GB"/>
        </w:rPr>
        <w:t>underscored the need for strong leadership to manage</w:t>
      </w:r>
      <w:r w:rsidRPr="0058559B">
        <w:rPr>
          <w:rFonts w:ascii="Arial" w:eastAsia="Times New Roman" w:hAnsi="Arial" w:cs="Arial"/>
          <w:lang w:eastAsia="en-GB"/>
        </w:rPr>
        <w:t xml:space="preserve"> uncertainty.</w:t>
      </w:r>
    </w:p>
    <w:p w14:paraId="40DC01C0" w14:textId="77777777" w:rsidR="0058559B" w:rsidRPr="00E01B64" w:rsidRDefault="0058559B" w:rsidP="00E01B64">
      <w:pPr>
        <w:spacing w:before="100" w:beforeAutospacing="1" w:after="100" w:afterAutospacing="1" w:line="360" w:lineRule="auto"/>
        <w:rPr>
          <w:rFonts w:ascii="Arial" w:eastAsia="Times New Roman" w:hAnsi="Arial" w:cs="Arial"/>
          <w:lang w:eastAsia="en-GB"/>
        </w:rPr>
      </w:pPr>
    </w:p>
    <w:p w14:paraId="45884113" w14:textId="77777777" w:rsidR="0058559B" w:rsidRPr="00E01B64" w:rsidRDefault="0058559B" w:rsidP="00E01B64">
      <w:pPr>
        <w:spacing w:before="100" w:beforeAutospacing="1" w:after="100" w:afterAutospacing="1" w:line="360" w:lineRule="auto"/>
        <w:rPr>
          <w:rFonts w:ascii="Arial" w:eastAsia="Times New Roman" w:hAnsi="Arial" w:cs="Arial"/>
          <w:b/>
          <w:bCs/>
          <w:lang w:eastAsia="en-GB"/>
        </w:rPr>
      </w:pPr>
    </w:p>
    <w:p w14:paraId="75F89E65" w14:textId="77777777" w:rsidR="0058559B" w:rsidRPr="00E01B64" w:rsidRDefault="0058559B" w:rsidP="00E01B64">
      <w:pPr>
        <w:spacing w:before="100" w:beforeAutospacing="1" w:after="100" w:afterAutospacing="1" w:line="360" w:lineRule="auto"/>
        <w:rPr>
          <w:rFonts w:ascii="Arial" w:eastAsia="Times New Roman" w:hAnsi="Arial" w:cs="Arial"/>
          <w:b/>
          <w:bCs/>
          <w:lang w:eastAsia="en-GB"/>
        </w:rPr>
      </w:pPr>
    </w:p>
    <w:p w14:paraId="30420B75" w14:textId="77777777" w:rsidR="0058559B" w:rsidRPr="00E01B64" w:rsidRDefault="0058559B" w:rsidP="00E01B64">
      <w:pPr>
        <w:spacing w:before="100" w:beforeAutospacing="1" w:after="100" w:afterAutospacing="1" w:line="360" w:lineRule="auto"/>
        <w:rPr>
          <w:rFonts w:ascii="Arial" w:eastAsia="Times New Roman" w:hAnsi="Arial" w:cs="Arial"/>
          <w:b/>
          <w:bCs/>
          <w:lang w:eastAsia="en-GB"/>
        </w:rPr>
      </w:pPr>
    </w:p>
    <w:p w14:paraId="505BF927" w14:textId="77777777" w:rsidR="0058559B" w:rsidRPr="00E01B64" w:rsidRDefault="0058559B" w:rsidP="00E01B64">
      <w:pPr>
        <w:spacing w:before="100" w:beforeAutospacing="1" w:after="100" w:afterAutospacing="1" w:line="360" w:lineRule="auto"/>
        <w:rPr>
          <w:rFonts w:ascii="Arial" w:eastAsia="Times New Roman" w:hAnsi="Arial" w:cs="Arial"/>
          <w:b/>
          <w:bCs/>
          <w:lang w:eastAsia="en-GB"/>
        </w:rPr>
      </w:pPr>
    </w:p>
    <w:p w14:paraId="5B501E9A" w14:textId="70BE51FB" w:rsidR="00E649A6" w:rsidRPr="00E01B64" w:rsidRDefault="00A21789" w:rsidP="00E01B64">
      <w:pPr>
        <w:spacing w:before="100" w:beforeAutospacing="1" w:after="100" w:afterAutospacing="1" w:line="360" w:lineRule="auto"/>
        <w:rPr>
          <w:rFonts w:ascii="Arial" w:eastAsia="Times New Roman" w:hAnsi="Arial" w:cs="Arial"/>
          <w:b/>
          <w:bCs/>
          <w:lang w:eastAsia="en-GB"/>
        </w:rPr>
      </w:pPr>
      <w:r w:rsidRPr="00E01B64">
        <w:rPr>
          <w:rFonts w:ascii="Arial" w:eastAsia="Times New Roman" w:hAnsi="Arial" w:cs="Arial"/>
          <w:b/>
          <w:bCs/>
          <w:lang w:eastAsia="en-GB"/>
        </w:rPr>
        <w:lastRenderedPageBreak/>
        <w:t>PESTLE Analysis – External Environmental Factors</w:t>
      </w:r>
    </w:p>
    <w:p w14:paraId="34C543F3" w14:textId="77777777" w:rsidR="00E649A6" w:rsidRPr="00E01B64" w:rsidRDefault="00E649A6" w:rsidP="00E01B64">
      <w:pPr>
        <w:spacing w:before="100" w:beforeAutospacing="1" w:after="100" w:afterAutospacing="1" w:line="360" w:lineRule="auto"/>
        <w:rPr>
          <w:rFonts w:ascii="Arial" w:eastAsia="Times New Roman" w:hAnsi="Arial" w:cs="Arial"/>
          <w:b/>
          <w:bCs/>
          <w:lang w:eastAsia="en-GB"/>
        </w:rPr>
      </w:pPr>
    </w:p>
    <w:p w14:paraId="0D144B31" w14:textId="149E3536" w:rsidR="00A21789" w:rsidRPr="00E01B64" w:rsidRDefault="006F3BBB" w:rsidP="00E01B64">
      <w:pPr>
        <w:spacing w:before="100" w:beforeAutospacing="1" w:after="100" w:afterAutospacing="1" w:line="360" w:lineRule="auto"/>
        <w:rPr>
          <w:rFonts w:ascii="Arial" w:eastAsia="Times New Roman" w:hAnsi="Arial" w:cs="Arial"/>
          <w:b/>
          <w:bCs/>
          <w:lang w:eastAsia="en-GB"/>
        </w:rPr>
      </w:pPr>
      <w:r w:rsidRPr="00E01B64">
        <w:rPr>
          <w:rFonts w:ascii="Arial" w:eastAsia="Times New Roman" w:hAnsi="Arial" w:cs="Arial"/>
          <w:lang w:eastAsia="en-GB"/>
        </w:rPr>
        <w:t xml:space="preserve">                </w:t>
      </w:r>
      <w:r w:rsidRPr="00E01B64">
        <w:rPr>
          <w:rFonts w:ascii="Arial" w:eastAsia="Times New Roman" w:hAnsi="Arial" w:cs="Arial"/>
          <w:b/>
          <w:bCs/>
          <w:lang w:eastAsia="en-GB"/>
        </w:rPr>
        <w:t>Factor                                        Issue                                            Impact</w:t>
      </w:r>
    </w:p>
    <w:tbl>
      <w:tblPr>
        <w:tblStyle w:val="TableGrid"/>
        <w:tblW w:w="0" w:type="auto"/>
        <w:tblLook w:val="04A0" w:firstRow="1" w:lastRow="0" w:firstColumn="1" w:lastColumn="0" w:noHBand="0" w:noVBand="1"/>
      </w:tblPr>
      <w:tblGrid>
        <w:gridCol w:w="3005"/>
        <w:gridCol w:w="3005"/>
        <w:gridCol w:w="3006"/>
      </w:tblGrid>
      <w:tr w:rsidR="006F3BBB" w:rsidRPr="00E01B64" w14:paraId="022B5AF8" w14:textId="77777777" w:rsidTr="006F3BBB">
        <w:tc>
          <w:tcPr>
            <w:tcW w:w="3005" w:type="dxa"/>
          </w:tcPr>
          <w:p w14:paraId="6807114F" w14:textId="1C0FF6AA"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b/>
                <w:bCs/>
                <w:lang w:eastAsia="en-GB"/>
              </w:rPr>
              <w:t>Political</w:t>
            </w:r>
          </w:p>
        </w:tc>
        <w:tc>
          <w:tcPr>
            <w:tcW w:w="3005" w:type="dxa"/>
          </w:tcPr>
          <w:p w14:paraId="722FFA02" w14:textId="31F11397"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Brexit and shifting UK government policies have affected financial regulations, trade agreements, and labour mobility (House of Commons, 2021).</w:t>
            </w:r>
          </w:p>
        </w:tc>
        <w:tc>
          <w:tcPr>
            <w:tcW w:w="3006" w:type="dxa"/>
          </w:tcPr>
          <w:p w14:paraId="35972320" w14:textId="6E4B27F1"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Lloyds, being UK-focused, faced less EU exposure but had to adapt its compliance frameworks and operations to align with new post-Brexit regulations.</w:t>
            </w:r>
          </w:p>
        </w:tc>
      </w:tr>
      <w:tr w:rsidR="006F3BBB" w:rsidRPr="00E01B64" w14:paraId="493051C4" w14:textId="77777777" w:rsidTr="006F3BBB">
        <w:tc>
          <w:tcPr>
            <w:tcW w:w="3005" w:type="dxa"/>
          </w:tcPr>
          <w:p w14:paraId="544D957D" w14:textId="4ABB6AF4"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b/>
                <w:bCs/>
                <w:lang w:eastAsia="en-GB"/>
              </w:rPr>
              <w:t>Economic</w:t>
            </w:r>
          </w:p>
        </w:tc>
        <w:tc>
          <w:tcPr>
            <w:tcW w:w="3005" w:type="dxa"/>
          </w:tcPr>
          <w:p w14:paraId="3F6CBB7F" w14:textId="172982BE"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Economic uncertainty, inflation, and fluctuating interest rates affect profitability and lending (ONS, 2023).</w:t>
            </w:r>
          </w:p>
        </w:tc>
        <w:tc>
          <w:tcPr>
            <w:tcW w:w="3006" w:type="dxa"/>
          </w:tcPr>
          <w:p w14:paraId="4961D4DF" w14:textId="5B5474A5"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Rising interest rates improved net interest margins but reduced mortgage demand, while downturns increased credit risks and defaults.</w:t>
            </w:r>
          </w:p>
        </w:tc>
      </w:tr>
      <w:tr w:rsidR="006F3BBB" w:rsidRPr="00E01B64" w14:paraId="5B139B95" w14:textId="77777777" w:rsidTr="006F3BBB">
        <w:tc>
          <w:tcPr>
            <w:tcW w:w="3005" w:type="dxa"/>
          </w:tcPr>
          <w:p w14:paraId="5DBDB57A" w14:textId="38E971F6"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b/>
                <w:bCs/>
                <w:lang w:eastAsia="en-GB"/>
              </w:rPr>
              <w:t>Social</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649A6" w:rsidRPr="00E01B64" w14:paraId="30465ED2" w14:textId="77777777">
              <w:trPr>
                <w:tblCellSpacing w:w="15" w:type="dxa"/>
              </w:trPr>
              <w:tc>
                <w:tcPr>
                  <w:tcW w:w="0" w:type="auto"/>
                  <w:vAlign w:val="center"/>
                  <w:hideMark/>
                </w:tcPr>
                <w:p w14:paraId="044D9B2A" w14:textId="77777777" w:rsidR="00E649A6" w:rsidRPr="00E01B64" w:rsidRDefault="00E649A6" w:rsidP="00E01B64">
                  <w:pPr>
                    <w:spacing w:after="0" w:line="360" w:lineRule="auto"/>
                    <w:rPr>
                      <w:rFonts w:ascii="Arial" w:eastAsia="Times New Roman" w:hAnsi="Arial" w:cs="Arial"/>
                      <w:lang w:eastAsia="en-GB"/>
                    </w:rPr>
                  </w:pPr>
                </w:p>
              </w:tc>
            </w:tr>
          </w:tbl>
          <w:p w14:paraId="16B0597C" w14:textId="77777777" w:rsidR="00E649A6" w:rsidRPr="00E01B64" w:rsidRDefault="00E649A6" w:rsidP="00E01B64">
            <w:pPr>
              <w:spacing w:line="360"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E649A6" w:rsidRPr="00E01B64" w14:paraId="06330E82" w14:textId="77777777">
              <w:trPr>
                <w:tblCellSpacing w:w="15" w:type="dxa"/>
              </w:trPr>
              <w:tc>
                <w:tcPr>
                  <w:tcW w:w="0" w:type="auto"/>
                  <w:vAlign w:val="center"/>
                  <w:hideMark/>
                </w:tcPr>
                <w:p w14:paraId="0665B08F" w14:textId="77777777" w:rsidR="00E649A6" w:rsidRPr="00E01B64" w:rsidRDefault="00E649A6" w:rsidP="00E01B64">
                  <w:pPr>
                    <w:spacing w:after="0" w:line="360" w:lineRule="auto"/>
                    <w:rPr>
                      <w:rFonts w:ascii="Arial" w:eastAsia="Times New Roman" w:hAnsi="Arial" w:cs="Arial"/>
                      <w:lang w:eastAsia="en-GB"/>
                    </w:rPr>
                  </w:pPr>
                  <w:r w:rsidRPr="00E01B64">
                    <w:rPr>
                      <w:rFonts w:ascii="Arial" w:eastAsia="Times New Roman" w:hAnsi="Arial" w:cs="Arial"/>
                      <w:lang w:eastAsia="en-GB"/>
                    </w:rPr>
                    <w:t>Changing consumer behaviour towards online banking, contactless payments, and personalised financial services (Deloitte, 2022).</w:t>
                  </w:r>
                </w:p>
              </w:tc>
            </w:tr>
          </w:tbl>
          <w:p w14:paraId="51E7EB07" w14:textId="77777777"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p>
        </w:tc>
        <w:tc>
          <w:tcPr>
            <w:tcW w:w="3006" w:type="dxa"/>
          </w:tcPr>
          <w:p w14:paraId="49303FFD" w14:textId="63583DA7"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Lloyds must balance digital innovation with maintaining physical branches to serve diverse age groups and customer preferences.</w:t>
            </w:r>
          </w:p>
        </w:tc>
      </w:tr>
      <w:tr w:rsidR="006F3BBB" w:rsidRPr="00E01B64" w14:paraId="3FD95778" w14:textId="77777777" w:rsidTr="006F3BBB">
        <w:tc>
          <w:tcPr>
            <w:tcW w:w="3005" w:type="dxa"/>
          </w:tcPr>
          <w:p w14:paraId="1A4498B2" w14:textId="349D98E3"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b/>
                <w:bCs/>
                <w:lang w:eastAsia="en-GB"/>
              </w:rPr>
              <w:t>Technological</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649A6" w:rsidRPr="00E01B64" w14:paraId="34A9DDFD" w14:textId="77777777">
              <w:trPr>
                <w:tblCellSpacing w:w="15" w:type="dxa"/>
              </w:trPr>
              <w:tc>
                <w:tcPr>
                  <w:tcW w:w="0" w:type="auto"/>
                  <w:vAlign w:val="center"/>
                  <w:hideMark/>
                </w:tcPr>
                <w:p w14:paraId="499A0475" w14:textId="77777777" w:rsidR="00E649A6" w:rsidRPr="00E01B64" w:rsidRDefault="00E649A6" w:rsidP="00E01B64">
                  <w:pPr>
                    <w:spacing w:after="0" w:line="360" w:lineRule="auto"/>
                    <w:rPr>
                      <w:rFonts w:ascii="Arial" w:eastAsia="Times New Roman" w:hAnsi="Arial" w:cs="Arial"/>
                      <w:lang w:eastAsia="en-GB"/>
                    </w:rPr>
                  </w:pPr>
                </w:p>
              </w:tc>
            </w:tr>
          </w:tbl>
          <w:p w14:paraId="73B5F272" w14:textId="77777777" w:rsidR="00E649A6" w:rsidRPr="00E01B64" w:rsidRDefault="00E649A6" w:rsidP="00E01B64">
            <w:pPr>
              <w:spacing w:line="360"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E649A6" w:rsidRPr="00E01B64" w14:paraId="27E32014" w14:textId="77777777">
              <w:trPr>
                <w:tblCellSpacing w:w="15" w:type="dxa"/>
              </w:trPr>
              <w:tc>
                <w:tcPr>
                  <w:tcW w:w="0" w:type="auto"/>
                  <w:vAlign w:val="center"/>
                  <w:hideMark/>
                </w:tcPr>
                <w:p w14:paraId="262300D1" w14:textId="77777777" w:rsidR="00E649A6" w:rsidRPr="00E01B64" w:rsidRDefault="00E649A6" w:rsidP="00E01B64">
                  <w:pPr>
                    <w:spacing w:after="0" w:line="360" w:lineRule="auto"/>
                    <w:rPr>
                      <w:rFonts w:ascii="Arial" w:eastAsia="Times New Roman" w:hAnsi="Arial" w:cs="Arial"/>
                      <w:lang w:eastAsia="en-GB"/>
                    </w:rPr>
                  </w:pPr>
                  <w:r w:rsidRPr="00E01B64">
                    <w:rPr>
                      <w:rFonts w:ascii="Arial" w:eastAsia="Times New Roman" w:hAnsi="Arial" w:cs="Arial"/>
                      <w:lang w:eastAsia="en-GB"/>
                    </w:rPr>
                    <w:t>Rapid developments in AI, fintech, blockchain, and mobile banking are transforming the financial industry (PwC, 2023).</w:t>
                  </w:r>
                </w:p>
              </w:tc>
            </w:tr>
          </w:tbl>
          <w:p w14:paraId="54A297EA" w14:textId="77777777"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p>
        </w:tc>
        <w:tc>
          <w:tcPr>
            <w:tcW w:w="3006" w:type="dxa"/>
          </w:tcPr>
          <w:p w14:paraId="7CAACF22" w14:textId="07EEE326"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Competition from digital-first banks like Monzo and Revolut pressures Lloyds to enhance digital offerings, using AI for chatbots, fraud detection, and analytics (Accenture, 2023).</w:t>
            </w:r>
          </w:p>
        </w:tc>
      </w:tr>
      <w:tr w:rsidR="006F3BBB" w:rsidRPr="00E01B64" w14:paraId="5B5F83B4" w14:textId="77777777" w:rsidTr="006F3BBB">
        <w:tc>
          <w:tcPr>
            <w:tcW w:w="3005" w:type="dxa"/>
          </w:tcPr>
          <w:p w14:paraId="0FFD63D9" w14:textId="72BF23AF"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b/>
                <w:bCs/>
                <w:lang w:eastAsia="en-GB"/>
              </w:rPr>
              <w:t>Legal</w:t>
            </w:r>
          </w:p>
        </w:tc>
        <w:tc>
          <w:tcPr>
            <w:tcW w:w="3005" w:type="dxa"/>
          </w:tcPr>
          <w:p w14:paraId="06EC39BA" w14:textId="5E523F2A"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 xml:space="preserve">Strict regulations, including GDPR, FCA rules, AML laws, and consumer </w:t>
            </w:r>
            <w:r w:rsidRPr="00E01B64">
              <w:rPr>
                <w:rFonts w:ascii="Arial" w:hAnsi="Arial" w:cs="Arial"/>
              </w:rPr>
              <w:lastRenderedPageBreak/>
              <w:t>protection requirements (FCA, 2023).</w:t>
            </w:r>
          </w:p>
        </w:tc>
        <w:tc>
          <w:tcPr>
            <w:tcW w:w="3006" w:type="dxa"/>
          </w:tcPr>
          <w:p w14:paraId="2F6F4965" w14:textId="1A27DB6B"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lastRenderedPageBreak/>
              <w:t xml:space="preserve">Non-compliance risks fines and reputational damage, leading Lloyds to invest in </w:t>
            </w:r>
            <w:r w:rsidRPr="00E01B64">
              <w:rPr>
                <w:rFonts w:ascii="Arial" w:hAnsi="Arial" w:cs="Arial"/>
              </w:rPr>
              <w:lastRenderedPageBreak/>
              <w:t>RegTech and compliance infrastructure.</w:t>
            </w:r>
          </w:p>
        </w:tc>
      </w:tr>
      <w:tr w:rsidR="006F3BBB" w:rsidRPr="00E01B64" w14:paraId="1BA8EC2D" w14:textId="77777777" w:rsidTr="006F3BBB">
        <w:tc>
          <w:tcPr>
            <w:tcW w:w="3005" w:type="dxa"/>
          </w:tcPr>
          <w:p w14:paraId="7A4C6C53" w14:textId="6FA4526D" w:rsidR="006F3BBB" w:rsidRPr="00E01B64" w:rsidRDefault="006F3BBB"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b/>
                <w:bCs/>
                <w:lang w:eastAsia="en-GB"/>
              </w:rPr>
              <w:lastRenderedPageBreak/>
              <w:t>Environmental</w:t>
            </w:r>
          </w:p>
        </w:tc>
        <w:tc>
          <w:tcPr>
            <w:tcW w:w="3005" w:type="dxa"/>
          </w:tcPr>
          <w:p w14:paraId="60E4A77C" w14:textId="7B3640B8"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Growing expectations for sustainability, ethical banking, and climate risk management (Lloyds Banking Group, 2023).</w:t>
            </w:r>
          </w:p>
        </w:tc>
        <w:tc>
          <w:tcPr>
            <w:tcW w:w="3006" w:type="dxa"/>
          </w:tcPr>
          <w:p w14:paraId="3EFA1949" w14:textId="6AEFCB7E" w:rsidR="006F3BBB"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hAnsi="Arial" w:cs="Arial"/>
              </w:rPr>
              <w:t>Lloyds promotes green finance, reduces carbon emissions, and adapts lending strategies to support eco-friendly investments.</w:t>
            </w:r>
          </w:p>
        </w:tc>
      </w:tr>
    </w:tbl>
    <w:p w14:paraId="7146911B" w14:textId="77777777" w:rsidR="00E649A6"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p>
    <w:p w14:paraId="4DD2E6FD" w14:textId="69EAD6FD" w:rsidR="00A21789" w:rsidRPr="00E01B64" w:rsidRDefault="00A21789"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b/>
          <w:bCs/>
          <w:lang w:eastAsia="en-GB"/>
        </w:rPr>
        <w:t>Internal Environmental Factors SWOT</w:t>
      </w:r>
    </w:p>
    <w:p w14:paraId="2BF90EE5" w14:textId="77777777" w:rsidR="00A21789" w:rsidRPr="00E01B64" w:rsidRDefault="00A21789" w:rsidP="00E01B64">
      <w:pPr>
        <w:spacing w:before="100" w:beforeAutospacing="1" w:after="100" w:afterAutospacing="1" w:line="360" w:lineRule="auto"/>
        <w:outlineLvl w:val="2"/>
        <w:rPr>
          <w:rFonts w:ascii="Arial" w:eastAsia="Times New Roman" w:hAnsi="Arial" w:cs="Arial"/>
          <w:b/>
          <w:bCs/>
          <w:lang w:eastAsia="en-GB"/>
        </w:rPr>
      </w:pPr>
    </w:p>
    <w:p w14:paraId="1C201ED0" w14:textId="11E7B812" w:rsidR="00A21789" w:rsidRPr="00E01B64" w:rsidRDefault="00A21789" w:rsidP="00E01B64">
      <w:pPr>
        <w:spacing w:after="0" w:line="360" w:lineRule="auto"/>
        <w:rPr>
          <w:rFonts w:ascii="Arial" w:eastAsia="Times New Roman" w:hAnsi="Arial" w:cs="Arial"/>
          <w:lang w:eastAsia="en-GB"/>
        </w:rPr>
      </w:pPr>
    </w:p>
    <w:tbl>
      <w:tblPr>
        <w:tblStyle w:val="TableGrid"/>
        <w:tblW w:w="0" w:type="auto"/>
        <w:tblLook w:val="04A0" w:firstRow="1" w:lastRow="0" w:firstColumn="1" w:lastColumn="0" w:noHBand="0" w:noVBand="1"/>
      </w:tblPr>
      <w:tblGrid>
        <w:gridCol w:w="4508"/>
        <w:gridCol w:w="4508"/>
      </w:tblGrid>
      <w:tr w:rsidR="00E649A6" w:rsidRPr="00E01B64" w14:paraId="5B29705C" w14:textId="77777777" w:rsidTr="00E649A6">
        <w:tc>
          <w:tcPr>
            <w:tcW w:w="4508" w:type="dxa"/>
          </w:tcPr>
          <w:p w14:paraId="21E3D32F" w14:textId="309DF849" w:rsidR="00E649A6"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lang w:eastAsia="en-GB"/>
              </w:rPr>
              <w:t xml:space="preserve">                     </w:t>
            </w:r>
            <w:r w:rsidRPr="00E01B64">
              <w:rPr>
                <w:rFonts w:ascii="Arial" w:eastAsia="Times New Roman" w:hAnsi="Arial" w:cs="Arial"/>
                <w:b/>
                <w:bCs/>
                <w:lang w:eastAsia="en-GB"/>
              </w:rPr>
              <w:t xml:space="preserve"> Strengths</w:t>
            </w:r>
          </w:p>
          <w:p w14:paraId="542C7A4C" w14:textId="5F6090BB" w:rsidR="00E649A6" w:rsidRPr="00E01B64" w:rsidRDefault="00E649A6" w:rsidP="00E01B64">
            <w:pPr>
              <w:spacing w:before="100" w:beforeAutospacing="1" w:after="100" w:afterAutospacing="1" w:line="360" w:lineRule="auto"/>
              <w:outlineLvl w:val="2"/>
              <w:rPr>
                <w:rFonts w:ascii="Arial" w:eastAsia="Times New Roman" w:hAnsi="Arial" w:cs="Arial"/>
                <w:lang w:eastAsia="en-GB"/>
              </w:rPr>
            </w:pPr>
            <w:r w:rsidRPr="00E01B64">
              <w:rPr>
                <w:rFonts w:ascii="Arial" w:eastAsia="Times New Roman" w:hAnsi="Arial" w:cs="Arial"/>
                <w:lang w:eastAsia="en-GB"/>
              </w:rPr>
              <w:t xml:space="preserve">Strong brand identity, </w:t>
            </w:r>
            <w:r w:rsidR="00E01B64">
              <w:rPr>
                <w:rFonts w:ascii="Arial" w:eastAsia="Times New Roman" w:hAnsi="Arial" w:cs="Arial"/>
                <w:lang w:eastAsia="en-GB"/>
              </w:rPr>
              <w:t>a large customer base (26 million), financial stability,</w:t>
            </w:r>
            <w:r w:rsidRPr="00E01B64">
              <w:rPr>
                <w:rFonts w:ascii="Arial" w:eastAsia="Times New Roman" w:hAnsi="Arial" w:cs="Arial"/>
                <w:lang w:eastAsia="en-GB"/>
              </w:rPr>
              <w:t xml:space="preserve"> and extensive digital investment.</w:t>
            </w:r>
          </w:p>
          <w:p w14:paraId="1ACC51D2" w14:textId="53F77D37" w:rsidR="00E649A6" w:rsidRPr="00E01B64" w:rsidRDefault="00E649A6" w:rsidP="00E01B64">
            <w:pPr>
              <w:spacing w:before="100" w:beforeAutospacing="1" w:after="100" w:afterAutospacing="1" w:line="360" w:lineRule="auto"/>
              <w:outlineLvl w:val="2"/>
              <w:rPr>
                <w:rFonts w:ascii="Arial" w:eastAsia="Times New Roman" w:hAnsi="Arial" w:cs="Arial"/>
                <w:lang w:eastAsia="en-GB"/>
              </w:rPr>
            </w:pPr>
          </w:p>
        </w:tc>
        <w:tc>
          <w:tcPr>
            <w:tcW w:w="4508" w:type="dxa"/>
          </w:tcPr>
          <w:p w14:paraId="7D8A90B4" w14:textId="06CAF2DA" w:rsidR="00E649A6"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lang w:eastAsia="en-GB"/>
              </w:rPr>
              <w:t xml:space="preserve">                       </w:t>
            </w:r>
            <w:r w:rsidRPr="00E01B64">
              <w:rPr>
                <w:rFonts w:ascii="Arial" w:eastAsia="Times New Roman" w:hAnsi="Arial" w:cs="Arial"/>
                <w:b/>
                <w:bCs/>
                <w:lang w:eastAsia="en-GB"/>
              </w:rPr>
              <w:t>Weaknesses</w:t>
            </w:r>
          </w:p>
          <w:p w14:paraId="2B6BA1C3" w14:textId="4C231168" w:rsidR="00E649A6" w:rsidRPr="00E01B64" w:rsidRDefault="00E649A6" w:rsidP="00E01B64">
            <w:pPr>
              <w:spacing w:before="100" w:beforeAutospacing="1" w:after="100" w:afterAutospacing="1" w:line="360" w:lineRule="auto"/>
              <w:outlineLvl w:val="2"/>
              <w:rPr>
                <w:rFonts w:ascii="Arial" w:eastAsia="Times New Roman" w:hAnsi="Arial" w:cs="Arial"/>
                <w:lang w:eastAsia="en-GB"/>
              </w:rPr>
            </w:pPr>
            <w:r w:rsidRPr="00E01B64">
              <w:rPr>
                <w:rFonts w:ascii="Arial" w:eastAsia="Times New Roman" w:hAnsi="Arial" w:cs="Arial"/>
                <w:lang w:eastAsia="en-GB"/>
              </w:rPr>
              <w:t>Legacy IT systems, reliance on physical branches, high operational costs, and resistance to change among employees.</w:t>
            </w:r>
          </w:p>
        </w:tc>
      </w:tr>
      <w:tr w:rsidR="00E649A6" w:rsidRPr="00E01B64" w14:paraId="480C053E" w14:textId="77777777" w:rsidTr="00E649A6">
        <w:tc>
          <w:tcPr>
            <w:tcW w:w="4508" w:type="dxa"/>
          </w:tcPr>
          <w:p w14:paraId="6B47C421" w14:textId="374ADDCA" w:rsidR="00E649A6"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lang w:eastAsia="en-GB"/>
              </w:rPr>
              <w:t xml:space="preserve">                    </w:t>
            </w:r>
            <w:r w:rsidRPr="00E01B64">
              <w:rPr>
                <w:rFonts w:ascii="Arial" w:eastAsia="Times New Roman" w:hAnsi="Arial" w:cs="Arial"/>
                <w:b/>
                <w:bCs/>
                <w:lang w:eastAsia="en-GB"/>
              </w:rPr>
              <w:t>Opportunities</w:t>
            </w:r>
          </w:p>
          <w:p w14:paraId="1608351F" w14:textId="02113358" w:rsidR="00E649A6" w:rsidRPr="00E01B64" w:rsidRDefault="00E649A6" w:rsidP="00E01B64">
            <w:pPr>
              <w:spacing w:before="100" w:beforeAutospacing="1" w:after="100" w:afterAutospacing="1" w:line="360" w:lineRule="auto"/>
              <w:outlineLvl w:val="2"/>
              <w:rPr>
                <w:rFonts w:ascii="Arial" w:eastAsia="Times New Roman" w:hAnsi="Arial" w:cs="Arial"/>
                <w:lang w:eastAsia="en-GB"/>
              </w:rPr>
            </w:pPr>
            <w:r w:rsidRPr="00E01B64">
              <w:rPr>
                <w:rFonts w:ascii="Arial" w:eastAsia="Times New Roman" w:hAnsi="Arial" w:cs="Arial"/>
                <w:lang w:eastAsia="en-GB"/>
              </w:rPr>
              <w:t>AI integration, expansion of digital banking, partnerships with fintech firms, and sustainability-driven investments.</w:t>
            </w:r>
          </w:p>
          <w:p w14:paraId="5FC84DF0" w14:textId="5EA7BE8C" w:rsidR="00E649A6" w:rsidRPr="00E01B64" w:rsidRDefault="00E649A6" w:rsidP="00E01B64">
            <w:pPr>
              <w:spacing w:before="100" w:beforeAutospacing="1" w:after="100" w:afterAutospacing="1" w:line="360" w:lineRule="auto"/>
              <w:outlineLvl w:val="2"/>
              <w:rPr>
                <w:rFonts w:ascii="Arial" w:eastAsia="Times New Roman" w:hAnsi="Arial" w:cs="Arial"/>
                <w:lang w:eastAsia="en-GB"/>
              </w:rPr>
            </w:pPr>
          </w:p>
        </w:tc>
        <w:tc>
          <w:tcPr>
            <w:tcW w:w="4508" w:type="dxa"/>
          </w:tcPr>
          <w:p w14:paraId="6D27D0B5" w14:textId="3B39B9E9" w:rsidR="00E649A6" w:rsidRPr="00E01B64" w:rsidRDefault="00E649A6" w:rsidP="00E01B64">
            <w:pPr>
              <w:spacing w:before="100" w:beforeAutospacing="1" w:after="100" w:afterAutospacing="1" w:line="360" w:lineRule="auto"/>
              <w:outlineLvl w:val="2"/>
              <w:rPr>
                <w:rFonts w:ascii="Arial" w:eastAsia="Times New Roman" w:hAnsi="Arial" w:cs="Arial"/>
                <w:b/>
                <w:bCs/>
                <w:lang w:eastAsia="en-GB"/>
              </w:rPr>
            </w:pPr>
            <w:r w:rsidRPr="00E01B64">
              <w:rPr>
                <w:rFonts w:ascii="Arial" w:eastAsia="Times New Roman" w:hAnsi="Arial" w:cs="Arial"/>
                <w:lang w:eastAsia="en-GB"/>
              </w:rPr>
              <w:t xml:space="preserve">                        </w:t>
            </w:r>
            <w:r w:rsidRPr="00E01B64">
              <w:rPr>
                <w:rFonts w:ascii="Arial" w:eastAsia="Times New Roman" w:hAnsi="Arial" w:cs="Arial"/>
                <w:b/>
                <w:bCs/>
                <w:lang w:eastAsia="en-GB"/>
              </w:rPr>
              <w:t>Threats</w:t>
            </w:r>
          </w:p>
          <w:p w14:paraId="2262EC32" w14:textId="3017FAB8" w:rsidR="00E649A6" w:rsidRPr="00E01B64" w:rsidRDefault="00E649A6" w:rsidP="00E01B64">
            <w:pPr>
              <w:spacing w:before="100" w:beforeAutospacing="1" w:after="100" w:afterAutospacing="1" w:line="360" w:lineRule="auto"/>
              <w:outlineLvl w:val="2"/>
              <w:rPr>
                <w:rFonts w:ascii="Arial" w:eastAsia="Times New Roman" w:hAnsi="Arial" w:cs="Arial"/>
                <w:lang w:eastAsia="en-GB"/>
              </w:rPr>
            </w:pPr>
            <w:r w:rsidRPr="00E01B64">
              <w:rPr>
                <w:rFonts w:ascii="Arial" w:eastAsia="Times New Roman" w:hAnsi="Arial" w:cs="Arial"/>
                <w:lang w:eastAsia="en-GB"/>
              </w:rPr>
              <w:t>Cybersecurity breaches, data theft, regulatory penalties, and competition from digital-only banks.</w:t>
            </w:r>
          </w:p>
        </w:tc>
      </w:tr>
    </w:tbl>
    <w:p w14:paraId="2182FBE8" w14:textId="20922391" w:rsidR="008D3508" w:rsidRPr="00E01B64" w:rsidRDefault="008D3508" w:rsidP="00E01B64">
      <w:pPr>
        <w:spacing w:before="100" w:beforeAutospacing="1" w:after="100" w:afterAutospacing="1" w:line="360" w:lineRule="auto"/>
        <w:outlineLvl w:val="2"/>
        <w:rPr>
          <w:rFonts w:ascii="Arial" w:eastAsia="Times New Roman" w:hAnsi="Arial" w:cs="Arial"/>
          <w:lang w:eastAsia="en-GB"/>
        </w:rPr>
      </w:pPr>
    </w:p>
    <w:p w14:paraId="59A61B1F" w14:textId="7BFF81E5" w:rsidR="008D3508" w:rsidRPr="00E01B64" w:rsidRDefault="00E649A6" w:rsidP="00E01B64">
      <w:pPr>
        <w:spacing w:line="360" w:lineRule="auto"/>
        <w:rPr>
          <w:rFonts w:ascii="Arial" w:hAnsi="Arial" w:cs="Arial"/>
          <w:b/>
          <w:bCs/>
        </w:rPr>
      </w:pPr>
      <w:r w:rsidRPr="00E01B64">
        <w:rPr>
          <w:rFonts w:ascii="Arial" w:hAnsi="Arial" w:cs="Arial"/>
          <w:b/>
          <w:bCs/>
        </w:rPr>
        <w:t>Porter 5 Forces</w:t>
      </w:r>
    </w:p>
    <w:p w14:paraId="0DA2BD4B" w14:textId="77777777" w:rsidR="0083210E" w:rsidRPr="00E01B64" w:rsidRDefault="0083210E" w:rsidP="00E01B64">
      <w:pPr>
        <w:spacing w:line="360" w:lineRule="auto"/>
        <w:rPr>
          <w:rFonts w:ascii="Arial" w:hAnsi="Arial" w:cs="Arial"/>
          <w:b/>
          <w:bCs/>
        </w:rPr>
      </w:pPr>
    </w:p>
    <w:p w14:paraId="34E4CAF2" w14:textId="3162F08E" w:rsidR="0083210E" w:rsidRPr="00E01B64" w:rsidRDefault="0083210E" w:rsidP="00E01B64">
      <w:pPr>
        <w:spacing w:line="360" w:lineRule="auto"/>
        <w:rPr>
          <w:rFonts w:ascii="Arial" w:hAnsi="Arial" w:cs="Arial"/>
          <w:b/>
          <w:bCs/>
        </w:rPr>
      </w:pPr>
      <w:r w:rsidRPr="00E01B64">
        <w:rPr>
          <w:rFonts w:ascii="Arial" w:hAnsi="Arial" w:cs="Arial"/>
          <w:b/>
          <w:bCs/>
        </w:rPr>
        <w:t xml:space="preserve">                  Factor                                     Issue                                       Impact</w:t>
      </w:r>
    </w:p>
    <w:tbl>
      <w:tblPr>
        <w:tblStyle w:val="TableGrid"/>
        <w:tblW w:w="0" w:type="auto"/>
        <w:tblLook w:val="04A0" w:firstRow="1" w:lastRow="0" w:firstColumn="1" w:lastColumn="0" w:noHBand="0" w:noVBand="1"/>
      </w:tblPr>
      <w:tblGrid>
        <w:gridCol w:w="3005"/>
        <w:gridCol w:w="3005"/>
        <w:gridCol w:w="3006"/>
      </w:tblGrid>
      <w:tr w:rsidR="0083210E" w:rsidRPr="00E01B64" w14:paraId="1DB3DDDD" w14:textId="77777777" w:rsidTr="0083210E">
        <w:tc>
          <w:tcPr>
            <w:tcW w:w="3005" w:type="dxa"/>
          </w:tcPr>
          <w:p w14:paraId="0DB4C452" w14:textId="71E2F5C2" w:rsidR="0083210E" w:rsidRPr="00E01B64" w:rsidRDefault="0083210E" w:rsidP="00E01B64">
            <w:pPr>
              <w:spacing w:line="360" w:lineRule="auto"/>
              <w:rPr>
                <w:rFonts w:ascii="Arial" w:hAnsi="Arial" w:cs="Arial"/>
                <w:b/>
                <w:bCs/>
              </w:rPr>
            </w:pPr>
            <w:r w:rsidRPr="00E01B64">
              <w:rPr>
                <w:rFonts w:ascii="Arial" w:hAnsi="Arial" w:cs="Arial"/>
              </w:rPr>
              <w:t xml:space="preserve"> </w:t>
            </w:r>
            <w:r w:rsidRPr="00E01B64">
              <w:rPr>
                <w:rFonts w:ascii="Arial" w:hAnsi="Arial" w:cs="Arial"/>
                <w:b/>
                <w:bCs/>
              </w:rPr>
              <w:t>Competitive Rivalry</w:t>
            </w:r>
          </w:p>
        </w:tc>
        <w:tc>
          <w:tcPr>
            <w:tcW w:w="3005" w:type="dxa"/>
          </w:tcPr>
          <w:p w14:paraId="6ADC3921" w14:textId="0336427E" w:rsidR="0083210E" w:rsidRPr="00E01B64" w:rsidRDefault="0083210E" w:rsidP="00E01B64">
            <w:pPr>
              <w:spacing w:line="360" w:lineRule="auto"/>
              <w:rPr>
                <w:rFonts w:ascii="Arial" w:hAnsi="Arial" w:cs="Arial"/>
                <w:b/>
                <w:bCs/>
              </w:rPr>
            </w:pPr>
            <w:r w:rsidRPr="00E01B64">
              <w:rPr>
                <w:rFonts w:ascii="Arial" w:hAnsi="Arial" w:cs="Arial"/>
              </w:rPr>
              <w:t xml:space="preserve">The UK banking industry is highly competitive, with </w:t>
            </w:r>
            <w:r w:rsidRPr="00E01B64">
              <w:rPr>
                <w:rFonts w:ascii="Arial" w:hAnsi="Arial" w:cs="Arial"/>
              </w:rPr>
              <w:lastRenderedPageBreak/>
              <w:t>major players such as Barclays, HSBC, NatWest, and Santander, as well as new fintech challengers like Monzo and Revolut</w:t>
            </w:r>
            <w:r w:rsidR="00FA3305" w:rsidRPr="00E01B64">
              <w:rPr>
                <w:rFonts w:ascii="Arial" w:hAnsi="Arial" w:cs="Arial"/>
              </w:rPr>
              <w:t xml:space="preserve"> (Deloitte, 2023; PwC, 2023).</w:t>
            </w:r>
          </w:p>
        </w:tc>
        <w:tc>
          <w:tcPr>
            <w:tcW w:w="3006" w:type="dxa"/>
          </w:tcPr>
          <w:p w14:paraId="1D88A1CC" w14:textId="6BEE5FA4" w:rsidR="0083210E" w:rsidRPr="00E01B64" w:rsidRDefault="0083210E" w:rsidP="00E01B64">
            <w:pPr>
              <w:spacing w:line="360" w:lineRule="auto"/>
              <w:rPr>
                <w:rFonts w:ascii="Arial" w:hAnsi="Arial" w:cs="Arial"/>
                <w:b/>
                <w:bCs/>
              </w:rPr>
            </w:pPr>
            <w:r w:rsidRPr="00E01B64">
              <w:rPr>
                <w:rFonts w:ascii="Arial" w:hAnsi="Arial" w:cs="Arial"/>
              </w:rPr>
              <w:lastRenderedPageBreak/>
              <w:t xml:space="preserve">Intense competition pressures Lloyds to </w:t>
            </w:r>
            <w:r w:rsidRPr="00E01B64">
              <w:rPr>
                <w:rFonts w:ascii="Arial" w:hAnsi="Arial" w:cs="Arial"/>
              </w:rPr>
              <w:lastRenderedPageBreak/>
              <w:t>innovate, improve digital services, and enhance customer experience to retain market share and profitability</w:t>
            </w:r>
            <w:r w:rsidR="00501F1E" w:rsidRPr="00E01B64">
              <w:rPr>
                <w:rFonts w:ascii="Arial" w:hAnsi="Arial" w:cs="Arial"/>
              </w:rPr>
              <w:t xml:space="preserve"> (Statista, 2024).</w:t>
            </w:r>
          </w:p>
        </w:tc>
      </w:tr>
      <w:tr w:rsidR="0083210E" w:rsidRPr="00E01B64" w14:paraId="4DD2BF79" w14:textId="77777777" w:rsidTr="0083210E">
        <w:tc>
          <w:tcPr>
            <w:tcW w:w="3005" w:type="dxa"/>
          </w:tcPr>
          <w:p w14:paraId="18531718" w14:textId="4C0DFDC2" w:rsidR="0083210E" w:rsidRPr="00E01B64" w:rsidRDefault="0083210E" w:rsidP="00E01B64">
            <w:pPr>
              <w:spacing w:line="360" w:lineRule="auto"/>
              <w:rPr>
                <w:rFonts w:ascii="Arial" w:hAnsi="Arial" w:cs="Arial"/>
                <w:b/>
                <w:bCs/>
              </w:rPr>
            </w:pPr>
            <w:r w:rsidRPr="00E01B64">
              <w:rPr>
                <w:rFonts w:ascii="Arial" w:hAnsi="Arial" w:cs="Arial"/>
                <w:b/>
                <w:bCs/>
              </w:rPr>
              <w:lastRenderedPageBreak/>
              <w:t>Threat of New Entrants</w:t>
            </w:r>
          </w:p>
        </w:tc>
        <w:tc>
          <w:tcPr>
            <w:tcW w:w="3005" w:type="dxa"/>
          </w:tcPr>
          <w:p w14:paraId="46A9A2D9" w14:textId="03504C4D" w:rsidR="0083210E" w:rsidRPr="00E01B64" w:rsidRDefault="0083210E" w:rsidP="00E01B64">
            <w:pPr>
              <w:spacing w:line="360" w:lineRule="auto"/>
              <w:rPr>
                <w:rFonts w:ascii="Arial" w:hAnsi="Arial" w:cs="Arial"/>
                <w:b/>
                <w:bCs/>
              </w:rPr>
            </w:pPr>
            <w:r w:rsidRPr="00E01B64">
              <w:rPr>
                <w:rFonts w:ascii="Arial" w:hAnsi="Arial" w:cs="Arial"/>
              </w:rPr>
              <w:t>Regulatory requirements, high capital costs, and strict compliance standards create significant barriers to entry. However, digital-only banks and fintech startups are entering the market more easily through online platforms</w:t>
            </w:r>
            <w:r w:rsidR="00501F1E" w:rsidRPr="00E01B64">
              <w:rPr>
                <w:rFonts w:ascii="Arial" w:hAnsi="Arial" w:cs="Arial"/>
              </w:rPr>
              <w:t xml:space="preserve"> </w:t>
            </w:r>
            <w:r w:rsidR="00551F13" w:rsidRPr="00E01B64">
              <w:rPr>
                <w:rFonts w:ascii="Arial" w:hAnsi="Arial" w:cs="Arial"/>
              </w:rPr>
              <w:t>(EY, 2023; FCA, 2024).</w:t>
            </w:r>
          </w:p>
        </w:tc>
        <w:tc>
          <w:tcPr>
            <w:tcW w:w="3006" w:type="dxa"/>
          </w:tcPr>
          <w:p w14:paraId="74D94255" w14:textId="06C428B1" w:rsidR="0083210E" w:rsidRPr="00E01B64" w:rsidRDefault="0083210E" w:rsidP="00E01B64">
            <w:pPr>
              <w:spacing w:line="360" w:lineRule="auto"/>
              <w:rPr>
                <w:rFonts w:ascii="Arial" w:hAnsi="Arial" w:cs="Arial"/>
                <w:b/>
                <w:bCs/>
              </w:rPr>
            </w:pPr>
            <w:r w:rsidRPr="00E01B64">
              <w:rPr>
                <w:rFonts w:ascii="Arial" w:hAnsi="Arial" w:cs="Arial"/>
              </w:rPr>
              <w:t>The threat remains moderate; while traditional entry is difficult, technology enables agile new competitors that can attract younger, tech-savvy customers</w:t>
            </w:r>
            <w:r w:rsidR="00467778" w:rsidRPr="00E01B64">
              <w:rPr>
                <w:rFonts w:ascii="Arial" w:hAnsi="Arial" w:cs="Arial"/>
              </w:rPr>
              <w:t xml:space="preserve"> (Accenture, 2023).</w:t>
            </w:r>
          </w:p>
        </w:tc>
      </w:tr>
      <w:tr w:rsidR="0083210E" w:rsidRPr="00E01B64" w14:paraId="3FCFC35F" w14:textId="77777777" w:rsidTr="0083210E">
        <w:tc>
          <w:tcPr>
            <w:tcW w:w="3005" w:type="dxa"/>
          </w:tcPr>
          <w:p w14:paraId="290863E5" w14:textId="1C75D997" w:rsidR="0083210E" w:rsidRPr="00E01B64" w:rsidRDefault="0083210E" w:rsidP="00E01B64">
            <w:pPr>
              <w:spacing w:line="360" w:lineRule="auto"/>
              <w:rPr>
                <w:rFonts w:ascii="Arial" w:hAnsi="Arial" w:cs="Arial"/>
                <w:b/>
                <w:bCs/>
              </w:rPr>
            </w:pPr>
            <w:r w:rsidRPr="00E01B64">
              <w:rPr>
                <w:rFonts w:ascii="Arial" w:hAnsi="Arial" w:cs="Arial"/>
                <w:b/>
                <w:bCs/>
              </w:rPr>
              <w:t>Bargaining Power of Customers</w:t>
            </w:r>
          </w:p>
        </w:tc>
        <w:tc>
          <w:tcPr>
            <w:tcW w:w="3005" w:type="dxa"/>
          </w:tcPr>
          <w:p w14:paraId="41ED00FD" w14:textId="667FEA9E" w:rsidR="0083210E" w:rsidRPr="00E01B64" w:rsidRDefault="0083210E" w:rsidP="00E01B64">
            <w:pPr>
              <w:spacing w:line="360" w:lineRule="auto"/>
              <w:rPr>
                <w:rFonts w:ascii="Arial" w:hAnsi="Arial" w:cs="Arial"/>
                <w:b/>
                <w:bCs/>
              </w:rPr>
            </w:pPr>
            <w:r w:rsidRPr="00E01B64">
              <w:rPr>
                <w:rFonts w:ascii="Arial" w:hAnsi="Arial" w:cs="Arial"/>
              </w:rPr>
              <w:t>Customers have more choices than ever, with easy access to comparison tools and online switching services</w:t>
            </w:r>
            <w:r w:rsidR="00A420DD" w:rsidRPr="00E01B64">
              <w:rPr>
                <w:rFonts w:ascii="Arial" w:hAnsi="Arial" w:cs="Arial"/>
              </w:rPr>
              <w:t xml:space="preserve"> (Open Banking Implementation Entity, 2023).</w:t>
            </w:r>
          </w:p>
        </w:tc>
        <w:tc>
          <w:tcPr>
            <w:tcW w:w="3006" w:type="dxa"/>
          </w:tcPr>
          <w:p w14:paraId="3C4BB79D" w14:textId="415EF83D" w:rsidR="0083210E" w:rsidRPr="00E01B64" w:rsidRDefault="0083210E" w:rsidP="00E01B64">
            <w:pPr>
              <w:spacing w:line="360" w:lineRule="auto"/>
              <w:rPr>
                <w:rFonts w:ascii="Arial" w:hAnsi="Arial" w:cs="Arial"/>
                <w:b/>
                <w:bCs/>
              </w:rPr>
            </w:pPr>
            <w:r w:rsidRPr="00E01B64">
              <w:rPr>
                <w:rFonts w:ascii="Arial" w:hAnsi="Arial" w:cs="Arial"/>
              </w:rPr>
              <w:t>Increased customer power forces Lloyds to offer competitive rates, personalised services, and superior digital experiences to retain loyalty</w:t>
            </w:r>
            <w:r w:rsidR="00A420DD" w:rsidRPr="00E01B64">
              <w:rPr>
                <w:rFonts w:ascii="Arial" w:hAnsi="Arial" w:cs="Arial"/>
              </w:rPr>
              <w:t xml:space="preserve"> </w:t>
            </w:r>
            <w:r w:rsidR="00BE7E3B" w:rsidRPr="00E01B64">
              <w:rPr>
                <w:rFonts w:ascii="Arial" w:hAnsi="Arial" w:cs="Arial"/>
              </w:rPr>
              <w:t>(KPMG, 2023).</w:t>
            </w:r>
          </w:p>
        </w:tc>
      </w:tr>
      <w:tr w:rsidR="0083210E" w:rsidRPr="00E01B64" w14:paraId="4F0AD6FC" w14:textId="77777777" w:rsidTr="0083210E">
        <w:tc>
          <w:tcPr>
            <w:tcW w:w="3005" w:type="dxa"/>
          </w:tcPr>
          <w:p w14:paraId="2086FC57" w14:textId="0695C48C" w:rsidR="0083210E" w:rsidRPr="00E01B64" w:rsidRDefault="0083210E" w:rsidP="00E01B64">
            <w:pPr>
              <w:spacing w:line="360" w:lineRule="auto"/>
              <w:rPr>
                <w:rFonts w:ascii="Arial" w:hAnsi="Arial" w:cs="Arial"/>
                <w:b/>
                <w:bCs/>
              </w:rPr>
            </w:pPr>
            <w:r w:rsidRPr="00E01B64">
              <w:rPr>
                <w:rFonts w:ascii="Arial" w:hAnsi="Arial" w:cs="Arial"/>
                <w:b/>
                <w:bCs/>
              </w:rPr>
              <w:t>Bargaining Power of Suppliers</w:t>
            </w:r>
          </w:p>
        </w:tc>
        <w:tc>
          <w:tcPr>
            <w:tcW w:w="3005" w:type="dxa"/>
          </w:tcPr>
          <w:p w14:paraId="758B4D80" w14:textId="278E15E4" w:rsidR="0083210E" w:rsidRPr="00E01B64" w:rsidRDefault="0083210E" w:rsidP="00E01B64">
            <w:pPr>
              <w:spacing w:line="360" w:lineRule="auto"/>
              <w:rPr>
                <w:rFonts w:ascii="Arial" w:hAnsi="Arial" w:cs="Arial"/>
                <w:b/>
                <w:bCs/>
              </w:rPr>
            </w:pPr>
            <w:r w:rsidRPr="00E01B64">
              <w:rPr>
                <w:rFonts w:ascii="Arial" w:hAnsi="Arial" w:cs="Arial"/>
              </w:rPr>
              <w:t>In banking, “suppliers” include technology providers, software vendors, and data services. Dependence on third-party fintech and IT suppliers is growing</w:t>
            </w:r>
            <w:r w:rsidR="00BE7E3B" w:rsidRPr="00E01B64">
              <w:rPr>
                <w:rFonts w:ascii="Arial" w:hAnsi="Arial" w:cs="Arial"/>
              </w:rPr>
              <w:t xml:space="preserve"> (BCG, 2023).</w:t>
            </w:r>
          </w:p>
        </w:tc>
        <w:tc>
          <w:tcPr>
            <w:tcW w:w="3006" w:type="dxa"/>
          </w:tcPr>
          <w:p w14:paraId="7C2914AB" w14:textId="59B85870" w:rsidR="0083210E" w:rsidRPr="00E01B64" w:rsidRDefault="0083210E" w:rsidP="00E01B64">
            <w:pPr>
              <w:spacing w:line="360" w:lineRule="auto"/>
              <w:rPr>
                <w:rFonts w:ascii="Arial" w:hAnsi="Arial" w:cs="Arial"/>
                <w:b/>
                <w:bCs/>
              </w:rPr>
            </w:pPr>
            <w:r w:rsidRPr="00E01B64">
              <w:rPr>
                <w:rFonts w:ascii="Arial" w:hAnsi="Arial" w:cs="Arial"/>
              </w:rPr>
              <w:t>Supplier power is moderate; switching providers can be costly and complex, which encourages Lloyds to build in-house capabilities and establish long-term partnerships</w:t>
            </w:r>
            <w:r w:rsidR="00BE7E3B" w:rsidRPr="00E01B64">
              <w:rPr>
                <w:rFonts w:ascii="Arial" w:hAnsi="Arial" w:cs="Arial"/>
              </w:rPr>
              <w:t xml:space="preserve"> </w:t>
            </w:r>
            <w:r w:rsidR="00475CDE" w:rsidRPr="00E01B64">
              <w:rPr>
                <w:rFonts w:ascii="Arial" w:hAnsi="Arial" w:cs="Arial"/>
              </w:rPr>
              <w:t>(Lloyds Banking Group, 2023).</w:t>
            </w:r>
          </w:p>
        </w:tc>
      </w:tr>
      <w:tr w:rsidR="0083210E" w:rsidRPr="00E01B64" w14:paraId="6D6CABFB" w14:textId="77777777" w:rsidTr="0083210E">
        <w:tc>
          <w:tcPr>
            <w:tcW w:w="3005" w:type="dxa"/>
          </w:tcPr>
          <w:p w14:paraId="6DE66CEB" w14:textId="3D858DEA" w:rsidR="0083210E" w:rsidRPr="00E01B64" w:rsidRDefault="0083210E" w:rsidP="00E01B64">
            <w:pPr>
              <w:spacing w:line="360" w:lineRule="auto"/>
              <w:rPr>
                <w:rFonts w:ascii="Arial" w:hAnsi="Arial" w:cs="Arial"/>
                <w:b/>
                <w:bCs/>
              </w:rPr>
            </w:pPr>
            <w:r w:rsidRPr="00E01B64">
              <w:rPr>
                <w:rFonts w:ascii="Arial" w:hAnsi="Arial" w:cs="Arial"/>
                <w:b/>
                <w:bCs/>
              </w:rPr>
              <w:t>Threat of Substitutes</w:t>
            </w:r>
          </w:p>
        </w:tc>
        <w:tc>
          <w:tcPr>
            <w:tcW w:w="3005" w:type="dxa"/>
          </w:tcPr>
          <w:p w14:paraId="3BED5860" w14:textId="7F2FD6E6" w:rsidR="0083210E" w:rsidRPr="00E01B64" w:rsidRDefault="0083210E" w:rsidP="00E01B64">
            <w:pPr>
              <w:spacing w:line="360" w:lineRule="auto"/>
              <w:rPr>
                <w:rFonts w:ascii="Arial" w:hAnsi="Arial" w:cs="Arial"/>
                <w:b/>
                <w:bCs/>
              </w:rPr>
            </w:pPr>
            <w:r w:rsidRPr="00E01B64">
              <w:rPr>
                <w:rFonts w:ascii="Arial" w:hAnsi="Arial" w:cs="Arial"/>
              </w:rPr>
              <w:t xml:space="preserve">Alternative financial solutions, such as digital wallets (Apple Pay, Google Pay), peer-to-peer lending, and cryptocurrency </w:t>
            </w:r>
            <w:r w:rsidRPr="00E01B64">
              <w:rPr>
                <w:rFonts w:ascii="Arial" w:hAnsi="Arial" w:cs="Arial"/>
              </w:rPr>
              <w:lastRenderedPageBreak/>
              <w:t>services, are gaining popularity</w:t>
            </w:r>
            <w:r w:rsidR="00475CDE" w:rsidRPr="00E01B64">
              <w:rPr>
                <w:rFonts w:ascii="Arial" w:hAnsi="Arial" w:cs="Arial"/>
              </w:rPr>
              <w:t xml:space="preserve"> (Statista, 2024; McKinsey, 2023).</w:t>
            </w:r>
          </w:p>
        </w:tc>
        <w:tc>
          <w:tcPr>
            <w:tcW w:w="3006" w:type="dxa"/>
          </w:tcPr>
          <w:p w14:paraId="1B642F06" w14:textId="011FDDDD" w:rsidR="0083210E" w:rsidRPr="00E01B64" w:rsidRDefault="0083210E" w:rsidP="00E01B64">
            <w:pPr>
              <w:spacing w:line="360" w:lineRule="auto"/>
              <w:rPr>
                <w:rFonts w:ascii="Arial" w:hAnsi="Arial" w:cs="Arial"/>
                <w:b/>
                <w:bCs/>
              </w:rPr>
            </w:pPr>
            <w:r w:rsidRPr="00E01B64">
              <w:rPr>
                <w:rFonts w:ascii="Arial" w:hAnsi="Arial" w:cs="Arial"/>
              </w:rPr>
              <w:lastRenderedPageBreak/>
              <w:t xml:space="preserve">Substitutes threaten traditional banking revenues, prompting Lloyds to diversify </w:t>
            </w:r>
            <w:r w:rsidR="00E01B64">
              <w:rPr>
                <w:rFonts w:ascii="Arial" w:hAnsi="Arial" w:cs="Arial"/>
              </w:rPr>
              <w:t>its product offerings</w:t>
            </w:r>
            <w:r w:rsidRPr="00E01B64">
              <w:rPr>
                <w:rFonts w:ascii="Arial" w:hAnsi="Arial" w:cs="Arial"/>
              </w:rPr>
              <w:t xml:space="preserve">, invest in fintech </w:t>
            </w:r>
            <w:r w:rsidRPr="00E01B64">
              <w:rPr>
                <w:rFonts w:ascii="Arial" w:hAnsi="Arial" w:cs="Arial"/>
              </w:rPr>
              <w:lastRenderedPageBreak/>
              <w:t>partnerships, and integrate digital payment solutions</w:t>
            </w:r>
            <w:r w:rsidR="00475CDE" w:rsidRPr="00E01B64">
              <w:rPr>
                <w:rFonts w:ascii="Arial" w:hAnsi="Arial" w:cs="Arial"/>
              </w:rPr>
              <w:t xml:space="preserve"> </w:t>
            </w:r>
            <w:r w:rsidR="00B1280F" w:rsidRPr="00E01B64">
              <w:rPr>
                <w:rFonts w:ascii="Arial" w:hAnsi="Arial" w:cs="Arial"/>
              </w:rPr>
              <w:t>(Lloyds Banking Group, 2023).</w:t>
            </w:r>
          </w:p>
        </w:tc>
      </w:tr>
    </w:tbl>
    <w:p w14:paraId="4003153B" w14:textId="77777777" w:rsidR="00E649A6" w:rsidRPr="00E01B64" w:rsidRDefault="00E649A6" w:rsidP="00E01B64">
      <w:pPr>
        <w:spacing w:line="360" w:lineRule="auto"/>
        <w:rPr>
          <w:rFonts w:ascii="Arial" w:hAnsi="Arial" w:cs="Arial"/>
        </w:rPr>
      </w:pPr>
    </w:p>
    <w:p w14:paraId="23AE5228" w14:textId="77777777" w:rsidR="00A54F3B" w:rsidRPr="00E01B64" w:rsidRDefault="00A54F3B" w:rsidP="00E01B64">
      <w:pPr>
        <w:spacing w:line="360" w:lineRule="auto"/>
        <w:rPr>
          <w:rFonts w:ascii="Arial" w:hAnsi="Arial" w:cs="Arial"/>
          <w:b/>
          <w:bCs/>
        </w:rPr>
      </w:pPr>
      <w:r w:rsidRPr="00A54F3B">
        <w:rPr>
          <w:rFonts w:ascii="Arial" w:hAnsi="Arial" w:cs="Arial"/>
          <w:b/>
          <w:bCs/>
        </w:rPr>
        <w:t>Kotter’s 8-Step Change Model</w:t>
      </w:r>
    </w:p>
    <w:p w14:paraId="03D22F87" w14:textId="77777777" w:rsidR="00B61820" w:rsidRPr="00A54F3B" w:rsidRDefault="00B61820" w:rsidP="00E01B64">
      <w:pPr>
        <w:spacing w:line="360" w:lineRule="auto"/>
        <w:rPr>
          <w:rFonts w:ascii="Arial" w:hAnsi="Arial" w:cs="Arial"/>
          <w:b/>
          <w:bCs/>
        </w:rPr>
      </w:pPr>
    </w:p>
    <w:p w14:paraId="71928020" w14:textId="59233F5F" w:rsidR="00A54F3B" w:rsidRPr="00A54F3B" w:rsidRDefault="00A54F3B" w:rsidP="00E01B64">
      <w:pPr>
        <w:spacing w:line="360" w:lineRule="auto"/>
        <w:rPr>
          <w:rFonts w:ascii="Arial" w:hAnsi="Arial" w:cs="Arial"/>
        </w:rPr>
      </w:pPr>
      <w:r w:rsidRPr="00A54F3B">
        <w:rPr>
          <w:rFonts w:ascii="Arial" w:hAnsi="Arial" w:cs="Arial"/>
        </w:rPr>
        <w:t>Lloyds Bank continues to face profound challenges due to widespread digital disruption, stricter regulatory requirements, the rapid rise of fintech competitors, and shifting customer expectations towards online and mobile-first banking services. These ongoing pressures demand a structured, strategic approach to organisational change. Kotter’s (1996) 8-Step Change Model provides a comprehensive and practical framework that is particularly suited to large, traditional, and heavily regulated organisations such as Lloyds. According to Kotter, successful transformation requires a sequence of well-defined stages</w:t>
      </w:r>
      <w:r w:rsidR="00CF0715" w:rsidRPr="00E01B64">
        <w:rPr>
          <w:rFonts w:ascii="Arial" w:hAnsi="Arial" w:cs="Arial"/>
        </w:rPr>
        <w:t xml:space="preserve"> that contribute</w:t>
      </w:r>
      <w:r w:rsidRPr="00A54F3B">
        <w:rPr>
          <w:rFonts w:ascii="Arial" w:hAnsi="Arial" w:cs="Arial"/>
        </w:rPr>
        <w:t xml:space="preserve"> to the overall adoption and sustainability of change. Research conducted by Appelbaum et al. (2012) confirms that the model is widely used in the financial sector due to its emphasis on leadership, communication, and organisational culture. The following section expands on how each stage of Kotter’s model applies to Lloyds Bank.</w:t>
      </w:r>
    </w:p>
    <w:p w14:paraId="1C4A434A" w14:textId="3F16FEDB" w:rsidR="00A54F3B" w:rsidRPr="00A54F3B" w:rsidRDefault="00A54F3B" w:rsidP="00E01B64">
      <w:pPr>
        <w:spacing w:line="360" w:lineRule="auto"/>
        <w:rPr>
          <w:rFonts w:ascii="Arial" w:hAnsi="Arial" w:cs="Arial"/>
        </w:rPr>
      </w:pPr>
    </w:p>
    <w:p w14:paraId="68042481" w14:textId="77777777" w:rsidR="00A54F3B" w:rsidRPr="00A54F3B" w:rsidRDefault="00A54F3B" w:rsidP="00E01B64">
      <w:pPr>
        <w:spacing w:line="360" w:lineRule="auto"/>
        <w:rPr>
          <w:rFonts w:ascii="Arial" w:hAnsi="Arial" w:cs="Arial"/>
        </w:rPr>
      </w:pPr>
      <w:r w:rsidRPr="00A54F3B">
        <w:rPr>
          <w:rFonts w:ascii="Arial" w:hAnsi="Arial" w:cs="Arial"/>
        </w:rPr>
        <w:t>1. Establishing a Sense of Urgency</w:t>
      </w:r>
    </w:p>
    <w:p w14:paraId="01F952AB" w14:textId="51EBAF02" w:rsidR="00A54F3B" w:rsidRPr="00A54F3B" w:rsidRDefault="00A54F3B" w:rsidP="00E01B64">
      <w:pPr>
        <w:spacing w:line="360" w:lineRule="auto"/>
        <w:rPr>
          <w:rFonts w:ascii="Arial" w:hAnsi="Arial" w:cs="Arial"/>
        </w:rPr>
      </w:pPr>
      <w:r w:rsidRPr="00A54F3B">
        <w:rPr>
          <w:rFonts w:ascii="Arial" w:hAnsi="Arial" w:cs="Arial"/>
        </w:rPr>
        <w:t xml:space="preserve">Kotter argues that transformation begins when an organisation fully understands the internal and external pressures that make change essential (Kotter, 1996). For Lloyds Bank, urgency is driven by several critical factors. First, the competitive threat from digital-only banks such as Monzo, Revolut, and Starling is substantial. These fintech competitors offer faster services, superior mobile functionality, and simplified user experiences that appeal to younger and increasingly tech-savvy customers (PwC, 2023). Second, outdated IT </w:t>
      </w:r>
      <w:r w:rsidR="00A7745D" w:rsidRPr="00E01B64">
        <w:rPr>
          <w:rFonts w:ascii="Arial" w:hAnsi="Arial" w:cs="Arial"/>
        </w:rPr>
        <w:t>infrastructure within Lloyds, with some systems more than 20 years old, has</w:t>
      </w:r>
      <w:r w:rsidRPr="00A54F3B">
        <w:rPr>
          <w:rFonts w:ascii="Arial" w:hAnsi="Arial" w:cs="Arial"/>
        </w:rPr>
        <w:t xml:space="preserve"> hindered innovation, reduced operational efficiency, and increased exposure to cybersecurity risks (Deloitte, 2022). Third, customer expectations have shifted dramatically: modern banking customers prioritise speed, convenience, 24/7 accessibility, and personalised services. Traditional branch-centric models can</w:t>
      </w:r>
      <w:r w:rsidR="00A7745D" w:rsidRPr="00E01B64">
        <w:rPr>
          <w:rFonts w:ascii="Arial" w:hAnsi="Arial" w:cs="Arial"/>
        </w:rPr>
        <w:t>not</w:t>
      </w:r>
      <w:r w:rsidRPr="00A54F3B">
        <w:rPr>
          <w:rFonts w:ascii="Arial" w:hAnsi="Arial" w:cs="Arial"/>
        </w:rPr>
        <w:t xml:space="preserve"> meet these expectations.</w:t>
      </w:r>
    </w:p>
    <w:p w14:paraId="54E50984" w14:textId="77777777" w:rsidR="00A54F3B" w:rsidRPr="00A54F3B" w:rsidRDefault="00A54F3B" w:rsidP="00E01B64">
      <w:pPr>
        <w:spacing w:line="360" w:lineRule="auto"/>
        <w:rPr>
          <w:rFonts w:ascii="Arial" w:hAnsi="Arial" w:cs="Arial"/>
        </w:rPr>
      </w:pPr>
      <w:r w:rsidRPr="00A54F3B">
        <w:rPr>
          <w:rFonts w:ascii="Arial" w:hAnsi="Arial" w:cs="Arial"/>
        </w:rPr>
        <w:t xml:space="preserve">To establish urgency, Lloyds needs to clearly communicate the risks of maintaining the status quo. This may include presenting data on declining customer satisfaction, rising operational costs, vulnerability to data breaches, and the market share gained by fintech </w:t>
      </w:r>
      <w:r w:rsidRPr="00A54F3B">
        <w:rPr>
          <w:rFonts w:ascii="Arial" w:hAnsi="Arial" w:cs="Arial"/>
        </w:rPr>
        <w:lastRenderedPageBreak/>
        <w:t>competitors. According to Kotter (1996), without a strong sense of urgency, organisations risk complacency, slow decision-making, and insufficient motivation for change—all of which have historically affected large banking institutions.</w:t>
      </w:r>
    </w:p>
    <w:p w14:paraId="71AAEAEA" w14:textId="58D6A43C" w:rsidR="00A54F3B" w:rsidRPr="00A54F3B" w:rsidRDefault="00A54F3B" w:rsidP="00E01B64">
      <w:pPr>
        <w:spacing w:line="360" w:lineRule="auto"/>
        <w:rPr>
          <w:rFonts w:ascii="Arial" w:hAnsi="Arial" w:cs="Arial"/>
        </w:rPr>
      </w:pPr>
    </w:p>
    <w:p w14:paraId="4502FB4F" w14:textId="77777777" w:rsidR="00A54F3B" w:rsidRPr="00A54F3B" w:rsidRDefault="00A54F3B" w:rsidP="00E01B64">
      <w:pPr>
        <w:spacing w:line="360" w:lineRule="auto"/>
        <w:rPr>
          <w:rFonts w:ascii="Arial" w:hAnsi="Arial" w:cs="Arial"/>
        </w:rPr>
      </w:pPr>
      <w:r w:rsidRPr="00A54F3B">
        <w:rPr>
          <w:rFonts w:ascii="Arial" w:hAnsi="Arial" w:cs="Arial"/>
        </w:rPr>
        <w:t>2. Forming a Powerful Guiding Coalition</w:t>
      </w:r>
    </w:p>
    <w:p w14:paraId="1E6FD98C" w14:textId="77777777" w:rsidR="00A54F3B" w:rsidRPr="00A54F3B" w:rsidRDefault="00A54F3B" w:rsidP="00E01B64">
      <w:pPr>
        <w:spacing w:line="360" w:lineRule="auto"/>
        <w:rPr>
          <w:rFonts w:ascii="Arial" w:hAnsi="Arial" w:cs="Arial"/>
        </w:rPr>
      </w:pPr>
      <w:r w:rsidRPr="00A54F3B">
        <w:rPr>
          <w:rFonts w:ascii="Arial" w:hAnsi="Arial" w:cs="Arial"/>
        </w:rPr>
        <w:t>The second step involves creating a group with enough influence, credibility, and expertise to lead the organisational change. Kotter (1996) argues that the guiding coalition must include senior leaders, technical experts, and respected individuals who can inspire others. For Lloyds, this is particularly important because banks often operate in silos, with limited collaboration between departments such as IT, risk, customer experience, compliance, and HR (McKinsey, 2023).</w:t>
      </w:r>
    </w:p>
    <w:p w14:paraId="43F98D27" w14:textId="77777777" w:rsidR="00A54F3B" w:rsidRPr="00A54F3B" w:rsidRDefault="00A54F3B" w:rsidP="00E01B64">
      <w:pPr>
        <w:spacing w:line="360" w:lineRule="auto"/>
        <w:rPr>
          <w:rFonts w:ascii="Arial" w:hAnsi="Arial" w:cs="Arial"/>
        </w:rPr>
      </w:pPr>
      <w:r w:rsidRPr="00A54F3B">
        <w:rPr>
          <w:rFonts w:ascii="Arial" w:hAnsi="Arial" w:cs="Arial"/>
        </w:rPr>
        <w:t>Lloyds can strengthen its guiding coalition by appointing leaders with strong digital expertise and cross-functional insight. This means involving leaders from digital transformation teams, cybersecurity, data analytics, operations, and customer service. Involving compliance and risk departments is also essential due to the banking industry’s regulatory requirements.</w:t>
      </w:r>
    </w:p>
    <w:p w14:paraId="57A8DAF9" w14:textId="14990F90" w:rsidR="00A54F3B" w:rsidRPr="00A54F3B" w:rsidRDefault="00A54F3B" w:rsidP="00E01B64">
      <w:pPr>
        <w:spacing w:line="360" w:lineRule="auto"/>
        <w:rPr>
          <w:rFonts w:ascii="Arial" w:hAnsi="Arial" w:cs="Arial"/>
        </w:rPr>
      </w:pPr>
      <w:r w:rsidRPr="00A54F3B">
        <w:rPr>
          <w:rFonts w:ascii="Arial" w:hAnsi="Arial" w:cs="Arial"/>
        </w:rPr>
        <w:t xml:space="preserve">Building trust among these leaders is crucial. They must work together to challenge outdated processes, champion digital innovation, and communicate a unified message. Kotter stresses that without a strong coalition, transformation efforts often collapse due to </w:t>
      </w:r>
      <w:r w:rsidR="00A7745D" w:rsidRPr="00E01B64">
        <w:rPr>
          <w:rFonts w:ascii="Arial" w:hAnsi="Arial" w:cs="Arial"/>
        </w:rPr>
        <w:t xml:space="preserve">a </w:t>
      </w:r>
      <w:r w:rsidRPr="00A54F3B">
        <w:rPr>
          <w:rFonts w:ascii="Arial" w:hAnsi="Arial" w:cs="Arial"/>
        </w:rPr>
        <w:t>lack of leadership alignment or organisational resistance.</w:t>
      </w:r>
    </w:p>
    <w:p w14:paraId="03E55914" w14:textId="5F5CB1A6" w:rsidR="00A54F3B" w:rsidRPr="00A54F3B" w:rsidRDefault="00A54F3B" w:rsidP="00E01B64">
      <w:pPr>
        <w:spacing w:line="360" w:lineRule="auto"/>
        <w:rPr>
          <w:rFonts w:ascii="Arial" w:hAnsi="Arial" w:cs="Arial"/>
        </w:rPr>
      </w:pPr>
    </w:p>
    <w:p w14:paraId="109706D8" w14:textId="77777777" w:rsidR="00A54F3B" w:rsidRPr="00A54F3B" w:rsidRDefault="00A54F3B" w:rsidP="00E01B64">
      <w:pPr>
        <w:spacing w:line="360" w:lineRule="auto"/>
        <w:rPr>
          <w:rFonts w:ascii="Arial" w:hAnsi="Arial" w:cs="Arial"/>
        </w:rPr>
      </w:pPr>
      <w:r w:rsidRPr="00A54F3B">
        <w:rPr>
          <w:rFonts w:ascii="Arial" w:hAnsi="Arial" w:cs="Arial"/>
        </w:rPr>
        <w:t>3. Creating a Vision for Change</w:t>
      </w:r>
    </w:p>
    <w:p w14:paraId="0CEE5740" w14:textId="77777777" w:rsidR="00A54F3B" w:rsidRPr="00A54F3B" w:rsidRDefault="00A54F3B" w:rsidP="00E01B64">
      <w:pPr>
        <w:spacing w:line="360" w:lineRule="auto"/>
        <w:rPr>
          <w:rFonts w:ascii="Arial" w:hAnsi="Arial" w:cs="Arial"/>
        </w:rPr>
      </w:pPr>
      <w:r w:rsidRPr="00A54F3B">
        <w:rPr>
          <w:rFonts w:ascii="Arial" w:hAnsi="Arial" w:cs="Arial"/>
        </w:rPr>
        <w:t>A compelling vision provides direction, clarity, and motivation for change (Kotter, 1996). For Lloyds, this vision centres around becoming a leading digital-first bank that delivers seamless customer experiences, strengthened security, and agile operations. Lloyds’ published strategy of transforming into a more technologically advanced and customer-centric institution reflects this (Lloyds Banking Group, 2023).</w:t>
      </w:r>
    </w:p>
    <w:p w14:paraId="2E95F05E" w14:textId="77777777" w:rsidR="00A54F3B" w:rsidRPr="00A54F3B" w:rsidRDefault="00A54F3B" w:rsidP="00E01B64">
      <w:pPr>
        <w:spacing w:line="360" w:lineRule="auto"/>
        <w:rPr>
          <w:rFonts w:ascii="Arial" w:hAnsi="Arial" w:cs="Arial"/>
        </w:rPr>
      </w:pPr>
      <w:r w:rsidRPr="00A54F3B">
        <w:rPr>
          <w:rFonts w:ascii="Arial" w:hAnsi="Arial" w:cs="Arial"/>
        </w:rPr>
        <w:t>The vision must be clear, measurable, and inspiring. For example:</w:t>
      </w:r>
    </w:p>
    <w:p w14:paraId="49330FE1" w14:textId="77777777" w:rsidR="00A54F3B" w:rsidRPr="00A54F3B" w:rsidRDefault="00A54F3B" w:rsidP="00E01B64">
      <w:pPr>
        <w:numPr>
          <w:ilvl w:val="0"/>
          <w:numId w:val="2"/>
        </w:numPr>
        <w:spacing w:line="360" w:lineRule="auto"/>
        <w:rPr>
          <w:rFonts w:ascii="Arial" w:hAnsi="Arial" w:cs="Arial"/>
        </w:rPr>
      </w:pPr>
      <w:r w:rsidRPr="00A54F3B">
        <w:rPr>
          <w:rFonts w:ascii="Arial" w:hAnsi="Arial" w:cs="Arial"/>
        </w:rPr>
        <w:t>Modernising core banking systems to reduce downtime and increase security</w:t>
      </w:r>
    </w:p>
    <w:p w14:paraId="46F4FA63" w14:textId="77777777" w:rsidR="00A54F3B" w:rsidRPr="00A54F3B" w:rsidRDefault="00A54F3B" w:rsidP="00E01B64">
      <w:pPr>
        <w:numPr>
          <w:ilvl w:val="0"/>
          <w:numId w:val="2"/>
        </w:numPr>
        <w:spacing w:line="360" w:lineRule="auto"/>
        <w:rPr>
          <w:rFonts w:ascii="Arial" w:hAnsi="Arial" w:cs="Arial"/>
        </w:rPr>
      </w:pPr>
      <w:r w:rsidRPr="00A54F3B">
        <w:rPr>
          <w:rFonts w:ascii="Arial" w:hAnsi="Arial" w:cs="Arial"/>
        </w:rPr>
        <w:t>Offering AI-driven personalised financial insights</w:t>
      </w:r>
    </w:p>
    <w:p w14:paraId="3F368507" w14:textId="77777777" w:rsidR="00A54F3B" w:rsidRPr="00A54F3B" w:rsidRDefault="00A54F3B" w:rsidP="00E01B64">
      <w:pPr>
        <w:numPr>
          <w:ilvl w:val="0"/>
          <w:numId w:val="2"/>
        </w:numPr>
        <w:spacing w:line="360" w:lineRule="auto"/>
        <w:rPr>
          <w:rFonts w:ascii="Arial" w:hAnsi="Arial" w:cs="Arial"/>
        </w:rPr>
      </w:pPr>
      <w:r w:rsidRPr="00A54F3B">
        <w:rPr>
          <w:rFonts w:ascii="Arial" w:hAnsi="Arial" w:cs="Arial"/>
        </w:rPr>
        <w:t>Streamlining online services to reduce customer effort</w:t>
      </w:r>
    </w:p>
    <w:p w14:paraId="299A27F3" w14:textId="77777777" w:rsidR="00A54F3B" w:rsidRPr="00A54F3B" w:rsidRDefault="00A54F3B" w:rsidP="00E01B64">
      <w:pPr>
        <w:numPr>
          <w:ilvl w:val="0"/>
          <w:numId w:val="2"/>
        </w:numPr>
        <w:spacing w:line="360" w:lineRule="auto"/>
        <w:rPr>
          <w:rFonts w:ascii="Arial" w:hAnsi="Arial" w:cs="Arial"/>
        </w:rPr>
      </w:pPr>
      <w:r w:rsidRPr="00A54F3B">
        <w:rPr>
          <w:rFonts w:ascii="Arial" w:hAnsi="Arial" w:cs="Arial"/>
        </w:rPr>
        <w:t>Creating a more agile organisational structure that encourages innovation</w:t>
      </w:r>
    </w:p>
    <w:p w14:paraId="19FB56EB" w14:textId="77777777" w:rsidR="00A54F3B" w:rsidRPr="00A54F3B" w:rsidRDefault="00A54F3B" w:rsidP="00E01B64">
      <w:pPr>
        <w:spacing w:line="360" w:lineRule="auto"/>
        <w:rPr>
          <w:rFonts w:ascii="Arial" w:hAnsi="Arial" w:cs="Arial"/>
        </w:rPr>
      </w:pPr>
      <w:r w:rsidRPr="00A54F3B">
        <w:rPr>
          <w:rFonts w:ascii="Arial" w:hAnsi="Arial" w:cs="Arial"/>
        </w:rPr>
        <w:lastRenderedPageBreak/>
        <w:t>A strong vision ensures employees understand not only what the organisation aims to achieve but why the change is necessary. This aligns with Gill’s (2002) argument that vision is a vital component of effective transformational leadership.</w:t>
      </w:r>
    </w:p>
    <w:p w14:paraId="5A422D57" w14:textId="1A5308D2" w:rsidR="00A54F3B" w:rsidRPr="00A54F3B" w:rsidRDefault="00A54F3B" w:rsidP="00E01B64">
      <w:pPr>
        <w:spacing w:line="360" w:lineRule="auto"/>
        <w:rPr>
          <w:rFonts w:ascii="Arial" w:hAnsi="Arial" w:cs="Arial"/>
        </w:rPr>
      </w:pPr>
    </w:p>
    <w:p w14:paraId="37D256BF" w14:textId="77777777" w:rsidR="00A54F3B" w:rsidRPr="00A54F3B" w:rsidRDefault="00A54F3B" w:rsidP="00E01B64">
      <w:pPr>
        <w:spacing w:line="360" w:lineRule="auto"/>
        <w:rPr>
          <w:rFonts w:ascii="Arial" w:hAnsi="Arial" w:cs="Arial"/>
        </w:rPr>
      </w:pPr>
      <w:r w:rsidRPr="00A54F3B">
        <w:rPr>
          <w:rFonts w:ascii="Arial" w:hAnsi="Arial" w:cs="Arial"/>
        </w:rPr>
        <w:t>4. Communicating the Vision</w:t>
      </w:r>
    </w:p>
    <w:p w14:paraId="1B56A5B2" w14:textId="479F3AE7" w:rsidR="00A54F3B" w:rsidRPr="00A54F3B" w:rsidRDefault="00A54F3B" w:rsidP="00E01B64">
      <w:pPr>
        <w:spacing w:line="360" w:lineRule="auto"/>
        <w:rPr>
          <w:rFonts w:ascii="Arial" w:hAnsi="Arial" w:cs="Arial"/>
        </w:rPr>
      </w:pPr>
      <w:r w:rsidRPr="00A54F3B">
        <w:rPr>
          <w:rFonts w:ascii="Arial" w:hAnsi="Arial" w:cs="Arial"/>
        </w:rPr>
        <w:t xml:space="preserve">Kotter (1996) emphasises that communication must be constant, </w:t>
      </w:r>
      <w:r w:rsidR="00E71131" w:rsidRPr="00E01B64">
        <w:rPr>
          <w:rFonts w:ascii="Arial" w:hAnsi="Arial" w:cs="Arial"/>
        </w:rPr>
        <w:t>precise</w:t>
      </w:r>
      <w:r w:rsidRPr="00A54F3B">
        <w:rPr>
          <w:rFonts w:ascii="Arial" w:hAnsi="Arial" w:cs="Arial"/>
        </w:rPr>
        <w:t>, and repeated through various channels. Communication failures are common in large, hierarchical institutions</w:t>
      </w:r>
      <w:r w:rsidR="00E71131" w:rsidRPr="00E01B64">
        <w:rPr>
          <w:rFonts w:ascii="Arial" w:hAnsi="Arial" w:cs="Arial"/>
        </w:rPr>
        <w:t xml:space="preserve">, </w:t>
      </w:r>
      <w:r w:rsidRPr="00A54F3B">
        <w:rPr>
          <w:rFonts w:ascii="Arial" w:hAnsi="Arial" w:cs="Arial"/>
        </w:rPr>
        <w:t>particularly banks, where decisions often take time to cascade downwards (KPMG, 2023).</w:t>
      </w:r>
    </w:p>
    <w:p w14:paraId="661F5C01" w14:textId="77777777" w:rsidR="00A54F3B" w:rsidRPr="00A54F3B" w:rsidRDefault="00A54F3B" w:rsidP="00E01B64">
      <w:pPr>
        <w:spacing w:line="360" w:lineRule="auto"/>
        <w:rPr>
          <w:rFonts w:ascii="Arial" w:hAnsi="Arial" w:cs="Arial"/>
        </w:rPr>
      </w:pPr>
      <w:r w:rsidRPr="00A54F3B">
        <w:rPr>
          <w:rFonts w:ascii="Arial" w:hAnsi="Arial" w:cs="Arial"/>
        </w:rPr>
        <w:t>For Lloyds, this means communicating the digital transformation vision through internal newsletters, team meetings, intranet updates, training programmes, and leadership workshops. Leaders should role-model change by using new technologies and encouraging new ways of working.</w:t>
      </w:r>
    </w:p>
    <w:p w14:paraId="5C1970FF" w14:textId="77777777" w:rsidR="00A54F3B" w:rsidRPr="00A54F3B" w:rsidRDefault="00A54F3B" w:rsidP="00E01B64">
      <w:pPr>
        <w:spacing w:line="360" w:lineRule="auto"/>
        <w:rPr>
          <w:rFonts w:ascii="Arial" w:hAnsi="Arial" w:cs="Arial"/>
        </w:rPr>
      </w:pPr>
      <w:r w:rsidRPr="00A54F3B">
        <w:rPr>
          <w:rFonts w:ascii="Arial" w:hAnsi="Arial" w:cs="Arial"/>
        </w:rPr>
        <w:t>Kotter argues that communication must also be two-way. Lloyds should therefore create opportunities for staff to ask questions, share concerns, and provide feedback. This is especially important because many Lloyds employees, particularly branch staff, have experienced restructuring and may feel uncertain or resistant to further changes.</w:t>
      </w:r>
    </w:p>
    <w:p w14:paraId="5710D049" w14:textId="3838871A" w:rsidR="00A54F3B" w:rsidRPr="00A54F3B" w:rsidRDefault="00A54F3B" w:rsidP="00E01B64">
      <w:pPr>
        <w:spacing w:line="360" w:lineRule="auto"/>
        <w:rPr>
          <w:rFonts w:ascii="Arial" w:hAnsi="Arial" w:cs="Arial"/>
        </w:rPr>
      </w:pPr>
      <w:r w:rsidRPr="00A54F3B">
        <w:rPr>
          <w:rFonts w:ascii="Arial" w:hAnsi="Arial" w:cs="Arial"/>
        </w:rPr>
        <w:t>Effective communication will help reduce anxiety, build trust, and strengthen employee engagement</w:t>
      </w:r>
      <w:r w:rsidR="00552892" w:rsidRPr="00E01B64">
        <w:rPr>
          <w:rFonts w:ascii="Arial" w:hAnsi="Arial" w:cs="Arial"/>
        </w:rPr>
        <w:t xml:space="preserve">, </w:t>
      </w:r>
      <w:r w:rsidRPr="00A54F3B">
        <w:rPr>
          <w:rFonts w:ascii="Arial" w:hAnsi="Arial" w:cs="Arial"/>
        </w:rPr>
        <w:t>key factors in ensuring successful digital transformation.</w:t>
      </w:r>
    </w:p>
    <w:p w14:paraId="3B135EB4" w14:textId="3497462D" w:rsidR="00A54F3B" w:rsidRPr="00A54F3B" w:rsidRDefault="00A54F3B" w:rsidP="00E01B64">
      <w:pPr>
        <w:spacing w:line="360" w:lineRule="auto"/>
        <w:rPr>
          <w:rFonts w:ascii="Arial" w:hAnsi="Arial" w:cs="Arial"/>
        </w:rPr>
      </w:pPr>
    </w:p>
    <w:p w14:paraId="71250597" w14:textId="77777777" w:rsidR="00A54F3B" w:rsidRPr="00A54F3B" w:rsidRDefault="00A54F3B" w:rsidP="00E01B64">
      <w:pPr>
        <w:spacing w:line="360" w:lineRule="auto"/>
        <w:rPr>
          <w:rFonts w:ascii="Arial" w:hAnsi="Arial" w:cs="Arial"/>
        </w:rPr>
      </w:pPr>
      <w:r w:rsidRPr="00A54F3B">
        <w:rPr>
          <w:rFonts w:ascii="Arial" w:hAnsi="Arial" w:cs="Arial"/>
        </w:rPr>
        <w:t>5. Empowering Employees and Removing Barriers</w:t>
      </w:r>
    </w:p>
    <w:p w14:paraId="345468C5" w14:textId="72E8B3EB" w:rsidR="00A54F3B" w:rsidRPr="00A54F3B" w:rsidRDefault="00A54F3B" w:rsidP="00E01B64">
      <w:pPr>
        <w:spacing w:line="360" w:lineRule="auto"/>
        <w:rPr>
          <w:rFonts w:ascii="Arial" w:hAnsi="Arial" w:cs="Arial"/>
        </w:rPr>
      </w:pPr>
      <w:r w:rsidRPr="00A54F3B">
        <w:rPr>
          <w:rFonts w:ascii="Arial" w:hAnsi="Arial" w:cs="Arial"/>
        </w:rPr>
        <w:t xml:space="preserve">Even when employees understand the change vision, they cannot contribute effectively if </w:t>
      </w:r>
      <w:r w:rsidR="00552892" w:rsidRPr="00E01B64">
        <w:rPr>
          <w:rFonts w:ascii="Arial" w:hAnsi="Arial" w:cs="Arial"/>
        </w:rPr>
        <w:t xml:space="preserve">structural, technological, or cultural barriers </w:t>
      </w:r>
      <w:r w:rsidRPr="00A54F3B">
        <w:rPr>
          <w:rFonts w:ascii="Arial" w:hAnsi="Arial" w:cs="Arial"/>
        </w:rPr>
        <w:t>remain in place. Kotter (1996) stresses that barriers must be identified and removed to empower employees.</w:t>
      </w:r>
    </w:p>
    <w:p w14:paraId="25440B3C" w14:textId="77777777" w:rsidR="00A54F3B" w:rsidRPr="00A54F3B" w:rsidRDefault="00A54F3B" w:rsidP="00E01B64">
      <w:pPr>
        <w:spacing w:line="360" w:lineRule="auto"/>
        <w:rPr>
          <w:rFonts w:ascii="Arial" w:hAnsi="Arial" w:cs="Arial"/>
        </w:rPr>
      </w:pPr>
      <w:r w:rsidRPr="00A54F3B">
        <w:rPr>
          <w:rFonts w:ascii="Arial" w:hAnsi="Arial" w:cs="Arial"/>
        </w:rPr>
        <w:t>At Lloyds, key barriers include:</w:t>
      </w:r>
    </w:p>
    <w:p w14:paraId="3E6FC314" w14:textId="77777777" w:rsidR="00A54F3B" w:rsidRPr="00A54F3B" w:rsidRDefault="00A54F3B" w:rsidP="00E01B64">
      <w:pPr>
        <w:numPr>
          <w:ilvl w:val="0"/>
          <w:numId w:val="3"/>
        </w:numPr>
        <w:spacing w:line="360" w:lineRule="auto"/>
        <w:rPr>
          <w:rFonts w:ascii="Arial" w:hAnsi="Arial" w:cs="Arial"/>
        </w:rPr>
      </w:pPr>
      <w:r w:rsidRPr="00A54F3B">
        <w:rPr>
          <w:rFonts w:ascii="Arial" w:hAnsi="Arial" w:cs="Arial"/>
        </w:rPr>
        <w:t>Outdated IT systems that limit innovation</w:t>
      </w:r>
    </w:p>
    <w:p w14:paraId="609BBEA4" w14:textId="77777777" w:rsidR="00A54F3B" w:rsidRPr="00A54F3B" w:rsidRDefault="00A54F3B" w:rsidP="00E01B64">
      <w:pPr>
        <w:numPr>
          <w:ilvl w:val="0"/>
          <w:numId w:val="3"/>
        </w:numPr>
        <w:spacing w:line="360" w:lineRule="auto"/>
        <w:rPr>
          <w:rFonts w:ascii="Arial" w:hAnsi="Arial" w:cs="Arial"/>
        </w:rPr>
      </w:pPr>
      <w:r w:rsidRPr="00A54F3B">
        <w:rPr>
          <w:rFonts w:ascii="Arial" w:hAnsi="Arial" w:cs="Arial"/>
        </w:rPr>
        <w:t>Insufficient digital skills among employees</w:t>
      </w:r>
    </w:p>
    <w:p w14:paraId="51ED7464" w14:textId="77777777" w:rsidR="00A54F3B" w:rsidRPr="00A54F3B" w:rsidRDefault="00A54F3B" w:rsidP="00E01B64">
      <w:pPr>
        <w:numPr>
          <w:ilvl w:val="0"/>
          <w:numId w:val="3"/>
        </w:numPr>
        <w:spacing w:line="360" w:lineRule="auto"/>
        <w:rPr>
          <w:rFonts w:ascii="Arial" w:hAnsi="Arial" w:cs="Arial"/>
        </w:rPr>
      </w:pPr>
      <w:r w:rsidRPr="00A54F3B">
        <w:rPr>
          <w:rFonts w:ascii="Arial" w:hAnsi="Arial" w:cs="Arial"/>
        </w:rPr>
        <w:t>Bureaucratic processes and slow decision-making</w:t>
      </w:r>
    </w:p>
    <w:p w14:paraId="1D96FFDD" w14:textId="77777777" w:rsidR="00A54F3B" w:rsidRPr="00A54F3B" w:rsidRDefault="00A54F3B" w:rsidP="00E01B64">
      <w:pPr>
        <w:numPr>
          <w:ilvl w:val="0"/>
          <w:numId w:val="3"/>
        </w:numPr>
        <w:spacing w:line="360" w:lineRule="auto"/>
        <w:rPr>
          <w:rFonts w:ascii="Arial" w:hAnsi="Arial" w:cs="Arial"/>
        </w:rPr>
      </w:pPr>
      <w:r w:rsidRPr="00A54F3B">
        <w:rPr>
          <w:rFonts w:ascii="Arial" w:hAnsi="Arial" w:cs="Arial"/>
        </w:rPr>
        <w:t>A risk-averse culture that discourages experimentation</w:t>
      </w:r>
    </w:p>
    <w:p w14:paraId="44E28B77" w14:textId="77777777" w:rsidR="00A54F3B" w:rsidRPr="00A54F3B" w:rsidRDefault="00A54F3B" w:rsidP="00E01B64">
      <w:pPr>
        <w:spacing w:line="360" w:lineRule="auto"/>
        <w:rPr>
          <w:rFonts w:ascii="Arial" w:hAnsi="Arial" w:cs="Arial"/>
        </w:rPr>
      </w:pPr>
      <w:r w:rsidRPr="00A54F3B">
        <w:rPr>
          <w:rFonts w:ascii="Arial" w:hAnsi="Arial" w:cs="Arial"/>
        </w:rPr>
        <w:t>To overcome these barriers, Lloyds must:</w:t>
      </w:r>
    </w:p>
    <w:p w14:paraId="420D2753" w14:textId="77777777" w:rsidR="00A54F3B" w:rsidRPr="00A54F3B" w:rsidRDefault="00A54F3B" w:rsidP="00E01B64">
      <w:pPr>
        <w:numPr>
          <w:ilvl w:val="0"/>
          <w:numId w:val="4"/>
        </w:numPr>
        <w:spacing w:line="360" w:lineRule="auto"/>
        <w:rPr>
          <w:rFonts w:ascii="Arial" w:hAnsi="Arial" w:cs="Arial"/>
        </w:rPr>
      </w:pPr>
      <w:r w:rsidRPr="00A54F3B">
        <w:rPr>
          <w:rFonts w:ascii="Arial" w:hAnsi="Arial" w:cs="Arial"/>
        </w:rPr>
        <w:lastRenderedPageBreak/>
        <w:t>Invest in digital training and upskilling for all staff</w:t>
      </w:r>
    </w:p>
    <w:p w14:paraId="0DAA85DB" w14:textId="77777777" w:rsidR="00A54F3B" w:rsidRPr="00A54F3B" w:rsidRDefault="00A54F3B" w:rsidP="00E01B64">
      <w:pPr>
        <w:numPr>
          <w:ilvl w:val="0"/>
          <w:numId w:val="4"/>
        </w:numPr>
        <w:spacing w:line="360" w:lineRule="auto"/>
        <w:rPr>
          <w:rFonts w:ascii="Arial" w:hAnsi="Arial" w:cs="Arial"/>
        </w:rPr>
      </w:pPr>
      <w:r w:rsidRPr="00A54F3B">
        <w:rPr>
          <w:rFonts w:ascii="Arial" w:hAnsi="Arial" w:cs="Arial"/>
        </w:rPr>
        <w:t>Streamline internal processes, reducing approvals and paperwork</w:t>
      </w:r>
    </w:p>
    <w:p w14:paraId="61DDC8D8" w14:textId="77777777" w:rsidR="00A54F3B" w:rsidRPr="00A54F3B" w:rsidRDefault="00A54F3B" w:rsidP="00E01B64">
      <w:pPr>
        <w:numPr>
          <w:ilvl w:val="0"/>
          <w:numId w:val="4"/>
        </w:numPr>
        <w:spacing w:line="360" w:lineRule="auto"/>
        <w:rPr>
          <w:rFonts w:ascii="Arial" w:hAnsi="Arial" w:cs="Arial"/>
        </w:rPr>
      </w:pPr>
      <w:r w:rsidRPr="00A54F3B">
        <w:rPr>
          <w:rFonts w:ascii="Arial" w:hAnsi="Arial" w:cs="Arial"/>
        </w:rPr>
        <w:t>Provide employees with modern tools and cloud-based systems</w:t>
      </w:r>
    </w:p>
    <w:p w14:paraId="146EFFB5" w14:textId="77777777" w:rsidR="00A54F3B" w:rsidRPr="00A54F3B" w:rsidRDefault="00A54F3B" w:rsidP="00E01B64">
      <w:pPr>
        <w:numPr>
          <w:ilvl w:val="0"/>
          <w:numId w:val="4"/>
        </w:numPr>
        <w:spacing w:line="360" w:lineRule="auto"/>
        <w:rPr>
          <w:rFonts w:ascii="Arial" w:hAnsi="Arial" w:cs="Arial"/>
        </w:rPr>
      </w:pPr>
      <w:r w:rsidRPr="00A54F3B">
        <w:rPr>
          <w:rFonts w:ascii="Arial" w:hAnsi="Arial" w:cs="Arial"/>
        </w:rPr>
        <w:t>Promote a culture that rewards innovation and continuous improvement</w:t>
      </w:r>
    </w:p>
    <w:p w14:paraId="01547230" w14:textId="77777777" w:rsidR="00A54F3B" w:rsidRPr="00A54F3B" w:rsidRDefault="00A54F3B" w:rsidP="00E01B64">
      <w:pPr>
        <w:spacing w:line="360" w:lineRule="auto"/>
        <w:rPr>
          <w:rFonts w:ascii="Arial" w:hAnsi="Arial" w:cs="Arial"/>
        </w:rPr>
      </w:pPr>
      <w:r w:rsidRPr="00A54F3B">
        <w:rPr>
          <w:rFonts w:ascii="Arial" w:hAnsi="Arial" w:cs="Arial"/>
        </w:rPr>
        <w:t>Research shows that when employees feel empowered, organisational change becomes more effective and sustainable (Armenakis &amp; Harris, 2009). For Lloyds, this empowerment will ensure staff can fully adopt new technologies and deliver a better customer experience.</w:t>
      </w:r>
    </w:p>
    <w:p w14:paraId="1FAD4E17" w14:textId="4A00CFD3" w:rsidR="00A54F3B" w:rsidRPr="00A54F3B" w:rsidRDefault="00A54F3B" w:rsidP="00E01B64">
      <w:pPr>
        <w:spacing w:line="360" w:lineRule="auto"/>
        <w:rPr>
          <w:rFonts w:ascii="Arial" w:hAnsi="Arial" w:cs="Arial"/>
        </w:rPr>
      </w:pPr>
    </w:p>
    <w:p w14:paraId="56999A1A" w14:textId="77777777" w:rsidR="00A54F3B" w:rsidRPr="00A54F3B" w:rsidRDefault="00A54F3B" w:rsidP="00E01B64">
      <w:pPr>
        <w:spacing w:line="360" w:lineRule="auto"/>
        <w:rPr>
          <w:rFonts w:ascii="Arial" w:hAnsi="Arial" w:cs="Arial"/>
        </w:rPr>
      </w:pPr>
      <w:r w:rsidRPr="00A54F3B">
        <w:rPr>
          <w:rFonts w:ascii="Arial" w:hAnsi="Arial" w:cs="Arial"/>
        </w:rPr>
        <w:t>6. Generating Short-Term Wins</w:t>
      </w:r>
    </w:p>
    <w:p w14:paraId="5DB9C34E" w14:textId="77777777" w:rsidR="00A54F3B" w:rsidRPr="00A54F3B" w:rsidRDefault="00A54F3B" w:rsidP="00E01B64">
      <w:pPr>
        <w:spacing w:line="360" w:lineRule="auto"/>
        <w:rPr>
          <w:rFonts w:ascii="Arial" w:hAnsi="Arial" w:cs="Arial"/>
        </w:rPr>
      </w:pPr>
      <w:r w:rsidRPr="00A54F3B">
        <w:rPr>
          <w:rFonts w:ascii="Arial" w:hAnsi="Arial" w:cs="Arial"/>
        </w:rPr>
        <w:t>Kotter argues that quick wins build momentum, demonstrate progress, and increase credibility (Kotter, 1996). For Lloyds, short-term wins could include:</w:t>
      </w:r>
    </w:p>
    <w:p w14:paraId="3A86600D" w14:textId="77777777" w:rsidR="00A54F3B" w:rsidRPr="00A54F3B" w:rsidRDefault="00A54F3B" w:rsidP="00E01B64">
      <w:pPr>
        <w:numPr>
          <w:ilvl w:val="0"/>
          <w:numId w:val="5"/>
        </w:numPr>
        <w:spacing w:line="360" w:lineRule="auto"/>
        <w:rPr>
          <w:rFonts w:ascii="Arial" w:hAnsi="Arial" w:cs="Arial"/>
        </w:rPr>
      </w:pPr>
      <w:r w:rsidRPr="00A54F3B">
        <w:rPr>
          <w:rFonts w:ascii="Arial" w:hAnsi="Arial" w:cs="Arial"/>
        </w:rPr>
        <w:t>Enhancing the mobile banking app with improved user interfaces</w:t>
      </w:r>
    </w:p>
    <w:p w14:paraId="501FAEF5" w14:textId="77777777" w:rsidR="00A54F3B" w:rsidRPr="00A54F3B" w:rsidRDefault="00A54F3B" w:rsidP="00E01B64">
      <w:pPr>
        <w:numPr>
          <w:ilvl w:val="0"/>
          <w:numId w:val="5"/>
        </w:numPr>
        <w:spacing w:line="360" w:lineRule="auto"/>
        <w:rPr>
          <w:rFonts w:ascii="Arial" w:hAnsi="Arial" w:cs="Arial"/>
        </w:rPr>
      </w:pPr>
      <w:r w:rsidRPr="00A54F3B">
        <w:rPr>
          <w:rFonts w:ascii="Arial" w:hAnsi="Arial" w:cs="Arial"/>
        </w:rPr>
        <w:t>Introducing AI-powered chatbots to reduce call centre workloads</w:t>
      </w:r>
    </w:p>
    <w:p w14:paraId="6A87DDD8" w14:textId="77777777" w:rsidR="00A54F3B" w:rsidRPr="00A54F3B" w:rsidRDefault="00A54F3B" w:rsidP="00E01B64">
      <w:pPr>
        <w:numPr>
          <w:ilvl w:val="0"/>
          <w:numId w:val="5"/>
        </w:numPr>
        <w:spacing w:line="360" w:lineRule="auto"/>
        <w:rPr>
          <w:rFonts w:ascii="Arial" w:hAnsi="Arial" w:cs="Arial"/>
        </w:rPr>
      </w:pPr>
      <w:r w:rsidRPr="00A54F3B">
        <w:rPr>
          <w:rFonts w:ascii="Arial" w:hAnsi="Arial" w:cs="Arial"/>
        </w:rPr>
        <w:t>Upgrading cybersecurity measures</w:t>
      </w:r>
    </w:p>
    <w:p w14:paraId="7956966F" w14:textId="77777777" w:rsidR="00A54F3B" w:rsidRPr="00A54F3B" w:rsidRDefault="00A54F3B" w:rsidP="00E01B64">
      <w:pPr>
        <w:numPr>
          <w:ilvl w:val="0"/>
          <w:numId w:val="5"/>
        </w:numPr>
        <w:spacing w:line="360" w:lineRule="auto"/>
        <w:rPr>
          <w:rFonts w:ascii="Arial" w:hAnsi="Arial" w:cs="Arial"/>
        </w:rPr>
      </w:pPr>
      <w:r w:rsidRPr="00A54F3B">
        <w:rPr>
          <w:rFonts w:ascii="Arial" w:hAnsi="Arial" w:cs="Arial"/>
        </w:rPr>
        <w:t>Implementing early stages of cloud migration</w:t>
      </w:r>
    </w:p>
    <w:p w14:paraId="09D620E8" w14:textId="77777777" w:rsidR="00A54F3B" w:rsidRPr="00A54F3B" w:rsidRDefault="00A54F3B" w:rsidP="00E01B64">
      <w:pPr>
        <w:numPr>
          <w:ilvl w:val="0"/>
          <w:numId w:val="5"/>
        </w:numPr>
        <w:spacing w:line="360" w:lineRule="auto"/>
        <w:rPr>
          <w:rFonts w:ascii="Arial" w:hAnsi="Arial" w:cs="Arial"/>
        </w:rPr>
      </w:pPr>
      <w:r w:rsidRPr="00A54F3B">
        <w:rPr>
          <w:rFonts w:ascii="Arial" w:hAnsi="Arial" w:cs="Arial"/>
        </w:rPr>
        <w:t>Reducing customer waiting times through automation</w:t>
      </w:r>
    </w:p>
    <w:p w14:paraId="76B90C11" w14:textId="77777777" w:rsidR="00A54F3B" w:rsidRPr="00A54F3B" w:rsidRDefault="00A54F3B" w:rsidP="00E01B64">
      <w:pPr>
        <w:spacing w:line="360" w:lineRule="auto"/>
        <w:rPr>
          <w:rFonts w:ascii="Arial" w:hAnsi="Arial" w:cs="Arial"/>
        </w:rPr>
      </w:pPr>
      <w:r w:rsidRPr="00A54F3B">
        <w:rPr>
          <w:rFonts w:ascii="Arial" w:hAnsi="Arial" w:cs="Arial"/>
        </w:rPr>
        <w:t>These achievements provide visible proof that transformation is working. Recognising these successes publicly can strengthen employee morale and reduce resistance. According to Accenture (2023), banks that demonstrate early digital progress are more likely to achieve long-term transformation goals.</w:t>
      </w:r>
    </w:p>
    <w:p w14:paraId="3410D353" w14:textId="0011E49A" w:rsidR="00A54F3B" w:rsidRPr="00A54F3B" w:rsidRDefault="00A54F3B" w:rsidP="00E01B64">
      <w:pPr>
        <w:spacing w:line="360" w:lineRule="auto"/>
        <w:rPr>
          <w:rFonts w:ascii="Arial" w:hAnsi="Arial" w:cs="Arial"/>
        </w:rPr>
      </w:pPr>
    </w:p>
    <w:p w14:paraId="0487E768" w14:textId="77777777" w:rsidR="00A54F3B" w:rsidRPr="00A54F3B" w:rsidRDefault="00A54F3B" w:rsidP="00E01B64">
      <w:pPr>
        <w:spacing w:line="360" w:lineRule="auto"/>
        <w:rPr>
          <w:rFonts w:ascii="Arial" w:hAnsi="Arial" w:cs="Arial"/>
        </w:rPr>
      </w:pPr>
      <w:r w:rsidRPr="00A54F3B">
        <w:rPr>
          <w:rFonts w:ascii="Arial" w:hAnsi="Arial" w:cs="Arial"/>
        </w:rPr>
        <w:t>7. Consolidating Gains and Producing More Change</w:t>
      </w:r>
    </w:p>
    <w:p w14:paraId="6CC5227F" w14:textId="77777777" w:rsidR="00A54F3B" w:rsidRPr="00A54F3B" w:rsidRDefault="00A54F3B" w:rsidP="00E01B64">
      <w:pPr>
        <w:spacing w:line="360" w:lineRule="auto"/>
        <w:rPr>
          <w:rFonts w:ascii="Arial" w:hAnsi="Arial" w:cs="Arial"/>
        </w:rPr>
      </w:pPr>
      <w:r w:rsidRPr="00A54F3B">
        <w:rPr>
          <w:rFonts w:ascii="Arial" w:hAnsi="Arial" w:cs="Arial"/>
        </w:rPr>
        <w:t>After initial wins, organisations must continue building on momentum rather than assuming the change is complete. Kotter (1996) warns that early celebration may lead to regression.</w:t>
      </w:r>
    </w:p>
    <w:p w14:paraId="61C9584C" w14:textId="77777777" w:rsidR="00A54F3B" w:rsidRPr="00A54F3B" w:rsidRDefault="00A54F3B" w:rsidP="00E01B64">
      <w:pPr>
        <w:spacing w:line="360" w:lineRule="auto"/>
        <w:rPr>
          <w:rFonts w:ascii="Arial" w:hAnsi="Arial" w:cs="Arial"/>
        </w:rPr>
      </w:pPr>
      <w:r w:rsidRPr="00A54F3B">
        <w:rPr>
          <w:rFonts w:ascii="Arial" w:hAnsi="Arial" w:cs="Arial"/>
        </w:rPr>
        <w:t>For Lloyds, this step involves:</w:t>
      </w:r>
    </w:p>
    <w:p w14:paraId="044D46B0" w14:textId="77777777" w:rsidR="00A54F3B" w:rsidRPr="00A54F3B" w:rsidRDefault="00A54F3B" w:rsidP="00E01B64">
      <w:pPr>
        <w:numPr>
          <w:ilvl w:val="0"/>
          <w:numId w:val="6"/>
        </w:numPr>
        <w:spacing w:line="360" w:lineRule="auto"/>
        <w:rPr>
          <w:rFonts w:ascii="Arial" w:hAnsi="Arial" w:cs="Arial"/>
        </w:rPr>
      </w:pPr>
      <w:r w:rsidRPr="00A54F3B">
        <w:rPr>
          <w:rFonts w:ascii="Arial" w:hAnsi="Arial" w:cs="Arial"/>
        </w:rPr>
        <w:t>Expanding digital services</w:t>
      </w:r>
    </w:p>
    <w:p w14:paraId="239D70B5" w14:textId="77777777" w:rsidR="00A54F3B" w:rsidRPr="00A54F3B" w:rsidRDefault="00A54F3B" w:rsidP="00E01B64">
      <w:pPr>
        <w:numPr>
          <w:ilvl w:val="0"/>
          <w:numId w:val="6"/>
        </w:numPr>
        <w:spacing w:line="360" w:lineRule="auto"/>
        <w:rPr>
          <w:rFonts w:ascii="Arial" w:hAnsi="Arial" w:cs="Arial"/>
        </w:rPr>
      </w:pPr>
      <w:r w:rsidRPr="00A54F3B">
        <w:rPr>
          <w:rFonts w:ascii="Arial" w:hAnsi="Arial" w:cs="Arial"/>
        </w:rPr>
        <w:t>Completing the migration away from legacy systems</w:t>
      </w:r>
    </w:p>
    <w:p w14:paraId="69F98E04" w14:textId="77777777" w:rsidR="00A54F3B" w:rsidRPr="00A54F3B" w:rsidRDefault="00A54F3B" w:rsidP="00E01B64">
      <w:pPr>
        <w:numPr>
          <w:ilvl w:val="0"/>
          <w:numId w:val="6"/>
        </w:numPr>
        <w:spacing w:line="360" w:lineRule="auto"/>
        <w:rPr>
          <w:rFonts w:ascii="Arial" w:hAnsi="Arial" w:cs="Arial"/>
        </w:rPr>
      </w:pPr>
      <w:r w:rsidRPr="00A54F3B">
        <w:rPr>
          <w:rFonts w:ascii="Arial" w:hAnsi="Arial" w:cs="Arial"/>
        </w:rPr>
        <w:t>Strengthening partnerships with fintech companies</w:t>
      </w:r>
    </w:p>
    <w:p w14:paraId="25CA2D7C" w14:textId="77777777" w:rsidR="00A54F3B" w:rsidRPr="00A54F3B" w:rsidRDefault="00A54F3B" w:rsidP="00E01B64">
      <w:pPr>
        <w:numPr>
          <w:ilvl w:val="0"/>
          <w:numId w:val="6"/>
        </w:numPr>
        <w:spacing w:line="360" w:lineRule="auto"/>
        <w:rPr>
          <w:rFonts w:ascii="Arial" w:hAnsi="Arial" w:cs="Arial"/>
        </w:rPr>
      </w:pPr>
      <w:r w:rsidRPr="00A54F3B">
        <w:rPr>
          <w:rFonts w:ascii="Arial" w:hAnsi="Arial" w:cs="Arial"/>
        </w:rPr>
        <w:lastRenderedPageBreak/>
        <w:t>Rolling out more advanced AI solutions</w:t>
      </w:r>
    </w:p>
    <w:p w14:paraId="583FB574" w14:textId="77777777" w:rsidR="00A54F3B" w:rsidRPr="00A54F3B" w:rsidRDefault="00A54F3B" w:rsidP="00E01B64">
      <w:pPr>
        <w:numPr>
          <w:ilvl w:val="0"/>
          <w:numId w:val="6"/>
        </w:numPr>
        <w:spacing w:line="360" w:lineRule="auto"/>
        <w:rPr>
          <w:rFonts w:ascii="Arial" w:hAnsi="Arial" w:cs="Arial"/>
        </w:rPr>
      </w:pPr>
      <w:r w:rsidRPr="00A54F3B">
        <w:rPr>
          <w:rFonts w:ascii="Arial" w:hAnsi="Arial" w:cs="Arial"/>
        </w:rPr>
        <w:t>Redesigning branch roles to focus on digital support and financial advice</w:t>
      </w:r>
    </w:p>
    <w:p w14:paraId="1F2100F4" w14:textId="77777777" w:rsidR="00A54F3B" w:rsidRPr="00A54F3B" w:rsidRDefault="00A54F3B" w:rsidP="00E01B64">
      <w:pPr>
        <w:spacing w:line="360" w:lineRule="auto"/>
        <w:rPr>
          <w:rFonts w:ascii="Arial" w:hAnsi="Arial" w:cs="Arial"/>
        </w:rPr>
      </w:pPr>
      <w:r w:rsidRPr="00A54F3B">
        <w:rPr>
          <w:rFonts w:ascii="Arial" w:hAnsi="Arial" w:cs="Arial"/>
        </w:rPr>
        <w:t>This stage also requires redefining organisational structures and policies to support greater agility. McKinsey (2023) notes that many banks fail at this step because they underestimate the time required for large-scale digital transformation.</w:t>
      </w:r>
    </w:p>
    <w:p w14:paraId="502E5400" w14:textId="30335337" w:rsidR="00A54F3B" w:rsidRPr="00A54F3B" w:rsidRDefault="00A54F3B" w:rsidP="00E01B64">
      <w:pPr>
        <w:spacing w:line="360" w:lineRule="auto"/>
        <w:rPr>
          <w:rFonts w:ascii="Arial" w:hAnsi="Arial" w:cs="Arial"/>
        </w:rPr>
      </w:pPr>
    </w:p>
    <w:p w14:paraId="1C596928" w14:textId="77777777" w:rsidR="00A54F3B" w:rsidRPr="00A54F3B" w:rsidRDefault="00A54F3B" w:rsidP="00E01B64">
      <w:pPr>
        <w:spacing w:line="360" w:lineRule="auto"/>
        <w:rPr>
          <w:rFonts w:ascii="Arial" w:hAnsi="Arial" w:cs="Arial"/>
        </w:rPr>
      </w:pPr>
      <w:r w:rsidRPr="00A54F3B">
        <w:rPr>
          <w:rFonts w:ascii="Arial" w:hAnsi="Arial" w:cs="Arial"/>
        </w:rPr>
        <w:t>8. Anchoring New Approaches into the Culture</w:t>
      </w:r>
    </w:p>
    <w:p w14:paraId="2D23DF40" w14:textId="77777777" w:rsidR="00A54F3B" w:rsidRPr="00A54F3B" w:rsidRDefault="00A54F3B" w:rsidP="00E01B64">
      <w:pPr>
        <w:spacing w:line="360" w:lineRule="auto"/>
        <w:rPr>
          <w:rFonts w:ascii="Arial" w:hAnsi="Arial" w:cs="Arial"/>
        </w:rPr>
      </w:pPr>
      <w:r w:rsidRPr="00A54F3B">
        <w:rPr>
          <w:rFonts w:ascii="Arial" w:hAnsi="Arial" w:cs="Arial"/>
        </w:rPr>
        <w:t>The final stage ensures the change becomes part of the organisation’s culture. Kotter (1996) argues that without cultural reinforcement, new practices may disappear when leadership changes or when the organisation faces pressure.</w:t>
      </w:r>
    </w:p>
    <w:p w14:paraId="54386B2C" w14:textId="77777777" w:rsidR="00A54F3B" w:rsidRPr="00A54F3B" w:rsidRDefault="00A54F3B" w:rsidP="00E01B64">
      <w:pPr>
        <w:spacing w:line="360" w:lineRule="auto"/>
        <w:rPr>
          <w:rFonts w:ascii="Arial" w:hAnsi="Arial" w:cs="Arial"/>
        </w:rPr>
      </w:pPr>
      <w:r w:rsidRPr="00A54F3B">
        <w:rPr>
          <w:rFonts w:ascii="Arial" w:hAnsi="Arial" w:cs="Arial"/>
        </w:rPr>
        <w:t>Lloyds has historically had a risk-averse, compliance-driven culture—an understandable outcome of regulatory scrutiny. However, to embed digital transformation, Lloyds must cultivate a culture that values innovation, continuous learning, and adaptability.</w:t>
      </w:r>
    </w:p>
    <w:p w14:paraId="1374576C" w14:textId="77777777" w:rsidR="00A54F3B" w:rsidRPr="00A54F3B" w:rsidRDefault="00A54F3B" w:rsidP="00E01B64">
      <w:pPr>
        <w:spacing w:line="360" w:lineRule="auto"/>
        <w:rPr>
          <w:rFonts w:ascii="Arial" w:hAnsi="Arial" w:cs="Arial"/>
        </w:rPr>
      </w:pPr>
      <w:r w:rsidRPr="00A54F3B">
        <w:rPr>
          <w:rFonts w:ascii="Arial" w:hAnsi="Arial" w:cs="Arial"/>
        </w:rPr>
        <w:t>This can be achieved by:</w:t>
      </w:r>
    </w:p>
    <w:p w14:paraId="714A74F1" w14:textId="77777777" w:rsidR="00A54F3B" w:rsidRPr="00A54F3B" w:rsidRDefault="00A54F3B" w:rsidP="00E01B64">
      <w:pPr>
        <w:numPr>
          <w:ilvl w:val="0"/>
          <w:numId w:val="7"/>
        </w:numPr>
        <w:spacing w:line="360" w:lineRule="auto"/>
        <w:rPr>
          <w:rFonts w:ascii="Arial" w:hAnsi="Arial" w:cs="Arial"/>
        </w:rPr>
      </w:pPr>
      <w:r w:rsidRPr="00A54F3B">
        <w:rPr>
          <w:rFonts w:ascii="Arial" w:hAnsi="Arial" w:cs="Arial"/>
        </w:rPr>
        <w:t>Embedding digital competencies into performance reviews</w:t>
      </w:r>
    </w:p>
    <w:p w14:paraId="50752FEB" w14:textId="77777777" w:rsidR="00A54F3B" w:rsidRPr="00A54F3B" w:rsidRDefault="00A54F3B" w:rsidP="00E01B64">
      <w:pPr>
        <w:numPr>
          <w:ilvl w:val="0"/>
          <w:numId w:val="7"/>
        </w:numPr>
        <w:spacing w:line="360" w:lineRule="auto"/>
        <w:rPr>
          <w:rFonts w:ascii="Arial" w:hAnsi="Arial" w:cs="Arial"/>
        </w:rPr>
      </w:pPr>
      <w:r w:rsidRPr="00A54F3B">
        <w:rPr>
          <w:rFonts w:ascii="Arial" w:hAnsi="Arial" w:cs="Arial"/>
        </w:rPr>
        <w:t>Rewarding innovative behaviours</w:t>
      </w:r>
    </w:p>
    <w:p w14:paraId="3ABC39A4" w14:textId="77777777" w:rsidR="00A54F3B" w:rsidRPr="00A54F3B" w:rsidRDefault="00A54F3B" w:rsidP="00E01B64">
      <w:pPr>
        <w:numPr>
          <w:ilvl w:val="0"/>
          <w:numId w:val="7"/>
        </w:numPr>
        <w:spacing w:line="360" w:lineRule="auto"/>
        <w:rPr>
          <w:rFonts w:ascii="Arial" w:hAnsi="Arial" w:cs="Arial"/>
        </w:rPr>
      </w:pPr>
      <w:r w:rsidRPr="00A54F3B">
        <w:rPr>
          <w:rFonts w:ascii="Arial" w:hAnsi="Arial" w:cs="Arial"/>
        </w:rPr>
        <w:t>Integrating digital training into career development</w:t>
      </w:r>
    </w:p>
    <w:p w14:paraId="61FC184D" w14:textId="77777777" w:rsidR="00A54F3B" w:rsidRPr="00A54F3B" w:rsidRDefault="00A54F3B" w:rsidP="00E01B64">
      <w:pPr>
        <w:numPr>
          <w:ilvl w:val="0"/>
          <w:numId w:val="7"/>
        </w:numPr>
        <w:spacing w:line="360" w:lineRule="auto"/>
        <w:rPr>
          <w:rFonts w:ascii="Arial" w:hAnsi="Arial" w:cs="Arial"/>
        </w:rPr>
      </w:pPr>
      <w:r w:rsidRPr="00A54F3B">
        <w:rPr>
          <w:rFonts w:ascii="Arial" w:hAnsi="Arial" w:cs="Arial"/>
        </w:rPr>
        <w:t>Maintaining leadership commitment to digital-first operations</w:t>
      </w:r>
    </w:p>
    <w:p w14:paraId="1F3D2601" w14:textId="77777777" w:rsidR="00A54F3B" w:rsidRPr="00A54F3B" w:rsidRDefault="00A54F3B" w:rsidP="00E01B64">
      <w:pPr>
        <w:numPr>
          <w:ilvl w:val="0"/>
          <w:numId w:val="7"/>
        </w:numPr>
        <w:spacing w:line="360" w:lineRule="auto"/>
        <w:rPr>
          <w:rFonts w:ascii="Arial" w:hAnsi="Arial" w:cs="Arial"/>
        </w:rPr>
      </w:pPr>
      <w:r w:rsidRPr="00A54F3B">
        <w:rPr>
          <w:rFonts w:ascii="Arial" w:hAnsi="Arial" w:cs="Arial"/>
        </w:rPr>
        <w:t>Reinforcing customer-centric values across all departments</w:t>
      </w:r>
    </w:p>
    <w:p w14:paraId="07E7BAA6" w14:textId="77777777" w:rsidR="00A54F3B" w:rsidRPr="00A54F3B" w:rsidRDefault="00A54F3B" w:rsidP="00E01B64">
      <w:pPr>
        <w:spacing w:line="360" w:lineRule="auto"/>
        <w:rPr>
          <w:rFonts w:ascii="Arial" w:hAnsi="Arial" w:cs="Arial"/>
        </w:rPr>
      </w:pPr>
      <w:r w:rsidRPr="00A54F3B">
        <w:rPr>
          <w:rFonts w:ascii="Arial" w:hAnsi="Arial" w:cs="Arial"/>
        </w:rPr>
        <w:t>Schein (2017) emphasises that cultural change requires consistent behaviours from leaders and alignment between systems, values, and employee practices. By anchoring change into its culture, Lloyds will ensure long-term sustainability of its transformation.</w:t>
      </w:r>
    </w:p>
    <w:p w14:paraId="5FF03451" w14:textId="13E2787F" w:rsidR="00A54F3B" w:rsidRPr="00A54F3B" w:rsidRDefault="00A54F3B" w:rsidP="00E01B64">
      <w:pPr>
        <w:spacing w:line="360" w:lineRule="auto"/>
        <w:rPr>
          <w:rFonts w:ascii="Arial" w:hAnsi="Arial" w:cs="Arial"/>
        </w:rPr>
      </w:pPr>
    </w:p>
    <w:p w14:paraId="1D13E23E" w14:textId="77777777" w:rsidR="00A54F3B" w:rsidRPr="00A54F3B" w:rsidRDefault="00A54F3B" w:rsidP="00E01B64">
      <w:pPr>
        <w:spacing w:line="360" w:lineRule="auto"/>
        <w:rPr>
          <w:rFonts w:ascii="Arial" w:hAnsi="Arial" w:cs="Arial"/>
        </w:rPr>
      </w:pPr>
      <w:r w:rsidRPr="00A54F3B">
        <w:rPr>
          <w:rFonts w:ascii="Arial" w:hAnsi="Arial" w:cs="Arial"/>
        </w:rPr>
        <w:t>Evaluation of Kotter’s Model</w:t>
      </w:r>
    </w:p>
    <w:p w14:paraId="1EDB1DB2" w14:textId="109B4021" w:rsidR="00A54F3B" w:rsidRPr="00A54F3B" w:rsidRDefault="00A54F3B" w:rsidP="00E01B64">
      <w:pPr>
        <w:spacing w:line="360" w:lineRule="auto"/>
        <w:rPr>
          <w:rFonts w:ascii="Arial" w:hAnsi="Arial" w:cs="Arial"/>
        </w:rPr>
      </w:pPr>
      <w:r w:rsidRPr="00A54F3B">
        <w:rPr>
          <w:rFonts w:ascii="Arial" w:hAnsi="Arial" w:cs="Arial"/>
        </w:rPr>
        <w:t>Kotter’s model offers a clear, step-by-step framework that emphasises leadership, communication</w:t>
      </w:r>
      <w:r w:rsidR="00020B07" w:rsidRPr="00E01B64">
        <w:rPr>
          <w:rFonts w:ascii="Arial" w:hAnsi="Arial" w:cs="Arial"/>
        </w:rPr>
        <w:t xml:space="preserve"> and </w:t>
      </w:r>
      <w:r w:rsidRPr="00E01B64">
        <w:rPr>
          <w:rFonts w:ascii="Arial" w:hAnsi="Arial" w:cs="Arial"/>
        </w:rPr>
        <w:t>culture, key</w:t>
      </w:r>
      <w:r w:rsidRPr="00A54F3B">
        <w:rPr>
          <w:rFonts w:ascii="Arial" w:hAnsi="Arial" w:cs="Arial"/>
        </w:rPr>
        <w:t xml:space="preserve"> elements for successful transformation in the banking sector (Appelbaum et al., 2012). Its structured approach is </w:t>
      </w:r>
      <w:r w:rsidRPr="00E01B64">
        <w:rPr>
          <w:rFonts w:ascii="Arial" w:hAnsi="Arial" w:cs="Arial"/>
        </w:rPr>
        <w:t>beneficial</w:t>
      </w:r>
      <w:r w:rsidRPr="00A54F3B">
        <w:rPr>
          <w:rFonts w:ascii="Arial" w:hAnsi="Arial" w:cs="Arial"/>
        </w:rPr>
        <w:t xml:space="preserve"> for large, traditional organisations like Lloyds that require detailed planning and risk management.</w:t>
      </w:r>
    </w:p>
    <w:p w14:paraId="570EFFD8" w14:textId="77777777" w:rsidR="00A54F3B" w:rsidRPr="00A54F3B" w:rsidRDefault="00A54F3B" w:rsidP="00E01B64">
      <w:pPr>
        <w:spacing w:line="360" w:lineRule="auto"/>
        <w:rPr>
          <w:rFonts w:ascii="Arial" w:hAnsi="Arial" w:cs="Arial"/>
        </w:rPr>
      </w:pPr>
      <w:r w:rsidRPr="00A54F3B">
        <w:rPr>
          <w:rFonts w:ascii="Arial" w:hAnsi="Arial" w:cs="Arial"/>
        </w:rPr>
        <w:lastRenderedPageBreak/>
        <w:t>However, some scholars argue that the model is too linear and may not suit organisations facing rapidly changing environments (Hayes, 2018). Digital transformation often requires iterative, agile approaches, which the model does not fully capture.</w:t>
      </w:r>
    </w:p>
    <w:p w14:paraId="7579D490" w14:textId="5CD562C7" w:rsidR="00A54F3B" w:rsidRPr="00A54F3B" w:rsidRDefault="00A54F3B" w:rsidP="00E01B64">
      <w:pPr>
        <w:spacing w:line="360" w:lineRule="auto"/>
        <w:rPr>
          <w:rFonts w:ascii="Arial" w:hAnsi="Arial" w:cs="Arial"/>
        </w:rPr>
      </w:pPr>
      <w:r w:rsidRPr="00A54F3B">
        <w:rPr>
          <w:rFonts w:ascii="Arial" w:hAnsi="Arial" w:cs="Arial"/>
        </w:rPr>
        <w:t>For Lloyds, a hybrid approach may be more effective</w:t>
      </w:r>
      <w:r w:rsidRPr="00E01B64">
        <w:rPr>
          <w:rFonts w:ascii="Arial" w:hAnsi="Arial" w:cs="Arial"/>
        </w:rPr>
        <w:t xml:space="preserve">, </w:t>
      </w:r>
      <w:r w:rsidRPr="00A54F3B">
        <w:rPr>
          <w:rFonts w:ascii="Arial" w:hAnsi="Arial" w:cs="Arial"/>
        </w:rPr>
        <w:t>using Kotter as the overarching framework while integrating agile methods such as incremental development, rapid prototyping, and continuous feedback loops.</w:t>
      </w:r>
    </w:p>
    <w:p w14:paraId="6F3D1749" w14:textId="77777777" w:rsidR="00B4198F" w:rsidRPr="00E01B64" w:rsidRDefault="00B4198F" w:rsidP="00E01B64">
      <w:pPr>
        <w:spacing w:line="360" w:lineRule="auto"/>
        <w:rPr>
          <w:rFonts w:ascii="Arial" w:hAnsi="Arial" w:cs="Arial"/>
          <w:b/>
          <w:bCs/>
        </w:rPr>
      </w:pPr>
    </w:p>
    <w:p w14:paraId="188F9F6D" w14:textId="14D52642" w:rsidR="00B4198F" w:rsidRPr="00E01B64" w:rsidRDefault="00B4198F" w:rsidP="00E01B64">
      <w:pPr>
        <w:spacing w:line="360" w:lineRule="auto"/>
        <w:rPr>
          <w:rFonts w:ascii="Arial" w:hAnsi="Arial" w:cs="Arial"/>
          <w:b/>
          <w:bCs/>
        </w:rPr>
      </w:pPr>
      <w:r w:rsidRPr="00E01B64">
        <w:rPr>
          <w:rFonts w:ascii="Arial" w:hAnsi="Arial" w:cs="Arial"/>
          <w:b/>
          <w:bCs/>
        </w:rPr>
        <w:t>Evaluation of How Change Was Managed: Leadership and Organisational Culture</w:t>
      </w:r>
    </w:p>
    <w:p w14:paraId="254AAAF7" w14:textId="77777777" w:rsidR="00971AD0" w:rsidRPr="00E01B64" w:rsidRDefault="00971AD0" w:rsidP="00E01B64">
      <w:pPr>
        <w:spacing w:line="360" w:lineRule="auto"/>
        <w:rPr>
          <w:rFonts w:ascii="Arial" w:hAnsi="Arial" w:cs="Arial"/>
        </w:rPr>
      </w:pPr>
      <w:r w:rsidRPr="00E01B64">
        <w:rPr>
          <w:rFonts w:ascii="Arial" w:hAnsi="Arial" w:cs="Arial"/>
        </w:rPr>
        <w:t>Effective change needs strong leadership and a culture that encourages innovation. Lloyds’ digital transformation shows how leadership style and cultural factors affect outcomes.</w:t>
      </w:r>
    </w:p>
    <w:p w14:paraId="3C8D8BDD" w14:textId="77777777" w:rsidR="00971AD0" w:rsidRPr="00E01B64" w:rsidRDefault="00971AD0" w:rsidP="00E01B64">
      <w:pPr>
        <w:spacing w:line="360" w:lineRule="auto"/>
        <w:rPr>
          <w:rFonts w:ascii="Arial" w:hAnsi="Arial" w:cs="Arial"/>
        </w:rPr>
      </w:pPr>
    </w:p>
    <w:p w14:paraId="1D3B77BA" w14:textId="77777777" w:rsidR="00971AD0" w:rsidRPr="00E01B64" w:rsidRDefault="00971AD0" w:rsidP="00E01B64">
      <w:pPr>
        <w:spacing w:line="360" w:lineRule="auto"/>
        <w:rPr>
          <w:rFonts w:ascii="Arial" w:hAnsi="Arial" w:cs="Arial"/>
        </w:rPr>
      </w:pPr>
      <w:r w:rsidRPr="00E01B64">
        <w:rPr>
          <w:rFonts w:ascii="Arial" w:hAnsi="Arial" w:cs="Arial"/>
        </w:rPr>
        <w:t>Leadership Approach</w:t>
      </w:r>
    </w:p>
    <w:p w14:paraId="0D6CD744" w14:textId="77777777" w:rsidR="00971AD0" w:rsidRPr="00E01B64" w:rsidRDefault="00971AD0" w:rsidP="00E01B64">
      <w:pPr>
        <w:spacing w:line="360" w:lineRule="auto"/>
        <w:rPr>
          <w:rFonts w:ascii="Arial" w:hAnsi="Arial" w:cs="Arial"/>
        </w:rPr>
      </w:pPr>
    </w:p>
    <w:p w14:paraId="238B0420" w14:textId="1307EF0B" w:rsidR="00971AD0" w:rsidRPr="00E01B64" w:rsidRDefault="00971AD0" w:rsidP="00E01B64">
      <w:pPr>
        <w:spacing w:line="360" w:lineRule="auto"/>
        <w:rPr>
          <w:rFonts w:ascii="Arial" w:hAnsi="Arial" w:cs="Arial"/>
        </w:rPr>
      </w:pPr>
      <w:r w:rsidRPr="00E01B64">
        <w:rPr>
          <w:rFonts w:ascii="Arial" w:hAnsi="Arial" w:cs="Arial"/>
        </w:rPr>
        <w:t>Transformational leadership is often linked to successful organizational change (Bass &amp; Riggio, 2006). Lloyds’ leaders have shown many transformational behaviours, such as sharing a clear digital vision and encouraging employees to embrace new technologies (Lloyds Banking Group, 2023).</w:t>
      </w:r>
    </w:p>
    <w:p w14:paraId="272A10D9" w14:textId="77777777" w:rsidR="00971AD0" w:rsidRPr="00E01B64" w:rsidRDefault="00971AD0" w:rsidP="00E01B64">
      <w:pPr>
        <w:spacing w:line="360" w:lineRule="auto"/>
        <w:rPr>
          <w:rFonts w:ascii="Arial" w:hAnsi="Arial" w:cs="Arial"/>
        </w:rPr>
      </w:pPr>
    </w:p>
    <w:p w14:paraId="13D52AC7" w14:textId="650D6DC3" w:rsidR="00971AD0" w:rsidRPr="00E01B64" w:rsidRDefault="00971AD0" w:rsidP="00E01B64">
      <w:pPr>
        <w:spacing w:line="360" w:lineRule="auto"/>
        <w:rPr>
          <w:rFonts w:ascii="Arial" w:hAnsi="Arial" w:cs="Arial"/>
        </w:rPr>
      </w:pPr>
      <w:r w:rsidRPr="00E01B64">
        <w:rPr>
          <w:rFonts w:ascii="Arial" w:hAnsi="Arial" w:cs="Arial"/>
        </w:rPr>
        <w:t xml:space="preserve">Transformational leadership promotes innovation, motivates followers, and builds long-term commitment to the organization (Gill, 2002). Lloyds </w:t>
      </w:r>
      <w:r w:rsidR="00130DD2" w:rsidRPr="00E01B64">
        <w:rPr>
          <w:rFonts w:ascii="Arial" w:hAnsi="Arial" w:cs="Arial"/>
        </w:rPr>
        <w:t xml:space="preserve">demonstrated this by investing significantly in digital training and employee development, and by </w:t>
      </w:r>
      <w:r w:rsidRPr="00E01B64">
        <w:rPr>
          <w:rFonts w:ascii="Arial" w:hAnsi="Arial" w:cs="Arial"/>
        </w:rPr>
        <w:t>working with fintech partners (Deloitte, 2022).</w:t>
      </w:r>
    </w:p>
    <w:p w14:paraId="73D6D4E1" w14:textId="77777777" w:rsidR="00971AD0" w:rsidRPr="00E01B64" w:rsidRDefault="00971AD0" w:rsidP="00E01B64">
      <w:pPr>
        <w:spacing w:line="360" w:lineRule="auto"/>
        <w:rPr>
          <w:rFonts w:ascii="Arial" w:hAnsi="Arial" w:cs="Arial"/>
        </w:rPr>
      </w:pPr>
    </w:p>
    <w:p w14:paraId="13B1AB9C" w14:textId="77777777" w:rsidR="00971AD0" w:rsidRPr="00E01B64" w:rsidRDefault="00971AD0" w:rsidP="00E01B64">
      <w:pPr>
        <w:spacing w:line="360" w:lineRule="auto"/>
        <w:rPr>
          <w:rFonts w:ascii="Arial" w:hAnsi="Arial" w:cs="Arial"/>
        </w:rPr>
      </w:pPr>
      <w:r w:rsidRPr="00E01B64">
        <w:rPr>
          <w:rFonts w:ascii="Arial" w:hAnsi="Arial" w:cs="Arial"/>
        </w:rPr>
        <w:t>Impact of Leadership on Change</w:t>
      </w:r>
    </w:p>
    <w:p w14:paraId="22113A7E" w14:textId="77777777" w:rsidR="00971AD0" w:rsidRPr="00E01B64" w:rsidRDefault="00971AD0" w:rsidP="00E01B64">
      <w:pPr>
        <w:spacing w:line="360" w:lineRule="auto"/>
        <w:rPr>
          <w:rFonts w:ascii="Arial" w:hAnsi="Arial" w:cs="Arial"/>
        </w:rPr>
      </w:pPr>
    </w:p>
    <w:p w14:paraId="09AE88A2" w14:textId="2F8409EA" w:rsidR="00B4198F" w:rsidRPr="00E01B64" w:rsidRDefault="00971AD0" w:rsidP="00E01B64">
      <w:pPr>
        <w:spacing w:line="360" w:lineRule="auto"/>
        <w:rPr>
          <w:rFonts w:ascii="Arial" w:hAnsi="Arial" w:cs="Arial"/>
        </w:rPr>
      </w:pPr>
      <w:r w:rsidRPr="00E01B64">
        <w:rPr>
          <w:rFonts w:ascii="Arial" w:hAnsi="Arial" w:cs="Arial"/>
        </w:rPr>
        <w:t>Leadership played a key role in shaping employee attitudes. Transformational practices have been shown to boost engagement and reduce resistance to digital tools (Gill, 2002). However, the hierarchical structure in banks can slow down decision-making and prevent swift changes (McKinsey, 2023). As a result, the effectiveness of leadership varied from one department to another.</w:t>
      </w:r>
    </w:p>
    <w:p w14:paraId="52EA7256" w14:textId="77777777" w:rsidR="00FD14EE" w:rsidRPr="00E01B64" w:rsidRDefault="00FD14EE" w:rsidP="00E01B64">
      <w:pPr>
        <w:spacing w:line="360" w:lineRule="auto"/>
        <w:rPr>
          <w:rFonts w:ascii="Arial" w:hAnsi="Arial" w:cs="Arial"/>
        </w:rPr>
      </w:pPr>
    </w:p>
    <w:p w14:paraId="048DD3DE" w14:textId="57B4ECBA" w:rsidR="00FD14EE" w:rsidRPr="00E01B64" w:rsidRDefault="00FD14EE" w:rsidP="00E01B64">
      <w:pPr>
        <w:spacing w:line="360" w:lineRule="auto"/>
        <w:rPr>
          <w:rFonts w:ascii="Arial" w:hAnsi="Arial" w:cs="Arial"/>
        </w:rPr>
      </w:pPr>
      <w:r w:rsidRPr="00E01B64">
        <w:rPr>
          <w:rFonts w:ascii="Arial" w:hAnsi="Arial" w:cs="Arial"/>
        </w:rPr>
        <w:t>Organisational Culture and Change</w:t>
      </w:r>
    </w:p>
    <w:p w14:paraId="50058C8B" w14:textId="77777777" w:rsidR="00FD14EE" w:rsidRPr="00E01B64" w:rsidRDefault="00FD14EE" w:rsidP="00E01B64">
      <w:pPr>
        <w:spacing w:line="360" w:lineRule="auto"/>
        <w:rPr>
          <w:rFonts w:ascii="Arial" w:hAnsi="Arial" w:cs="Arial"/>
        </w:rPr>
      </w:pPr>
    </w:p>
    <w:p w14:paraId="7FED805E" w14:textId="082F65C1" w:rsidR="00FD14EE" w:rsidRPr="00E01B64" w:rsidRDefault="00FD14EE" w:rsidP="00E01B64">
      <w:pPr>
        <w:spacing w:line="360" w:lineRule="auto"/>
        <w:rPr>
          <w:rFonts w:ascii="Arial" w:hAnsi="Arial" w:cs="Arial"/>
        </w:rPr>
      </w:pPr>
      <w:r w:rsidRPr="00E01B64">
        <w:rPr>
          <w:rFonts w:ascii="Arial" w:hAnsi="Arial" w:cs="Arial"/>
        </w:rPr>
        <w:t>Lloyds has historically maintained a risk-averse, compliance-driven culture due to regulatory requirements (FCA, 2023). While this approach ensures safety and stability, it can also restrict innovation (Schein, 2017). Employees accustomed to traditional branch operations exhibited signs of cultural resistance.</w:t>
      </w:r>
    </w:p>
    <w:p w14:paraId="5562881D" w14:textId="77777777" w:rsidR="00FD14EE" w:rsidRPr="00E01B64" w:rsidRDefault="00FD14EE" w:rsidP="00E01B64">
      <w:pPr>
        <w:spacing w:line="360" w:lineRule="auto"/>
        <w:rPr>
          <w:rFonts w:ascii="Arial" w:hAnsi="Arial" w:cs="Arial"/>
        </w:rPr>
      </w:pPr>
    </w:p>
    <w:p w14:paraId="400CA504" w14:textId="1D21E49E" w:rsidR="00FD14EE" w:rsidRPr="00E01B64" w:rsidRDefault="00FD14EE" w:rsidP="00E01B64">
      <w:pPr>
        <w:spacing w:line="360" w:lineRule="auto"/>
        <w:rPr>
          <w:rFonts w:ascii="Arial" w:hAnsi="Arial" w:cs="Arial"/>
        </w:rPr>
      </w:pPr>
      <w:r w:rsidRPr="00E01B64">
        <w:rPr>
          <w:rFonts w:ascii="Arial" w:hAnsi="Arial" w:cs="Arial"/>
        </w:rPr>
        <w:t xml:space="preserve">However, Lloyds is now promoting a more agile, digitally skilled culture that fits its transformation strategy (Lloyds Banking Group, 2023). Initiatives for cultural change, such as innovation labs, digital academies, and new performance frameworks, are helping to instill new </w:t>
      </w:r>
      <w:r w:rsidR="007266A0" w:rsidRPr="00E01B64">
        <w:rPr>
          <w:rFonts w:ascii="Arial" w:hAnsi="Arial" w:cs="Arial"/>
        </w:rPr>
        <w:t>behaviours</w:t>
      </w:r>
      <w:r w:rsidRPr="00E01B64">
        <w:rPr>
          <w:rFonts w:ascii="Arial" w:hAnsi="Arial" w:cs="Arial"/>
        </w:rPr>
        <w:t>.</w:t>
      </w:r>
    </w:p>
    <w:p w14:paraId="4023542F" w14:textId="77777777" w:rsidR="00FD14EE" w:rsidRPr="00E01B64" w:rsidRDefault="00FD14EE" w:rsidP="00E01B64">
      <w:pPr>
        <w:spacing w:line="360" w:lineRule="auto"/>
        <w:rPr>
          <w:rFonts w:ascii="Arial" w:hAnsi="Arial" w:cs="Arial"/>
        </w:rPr>
      </w:pPr>
    </w:p>
    <w:p w14:paraId="26615EBA" w14:textId="77777777" w:rsidR="00FD14EE" w:rsidRPr="00E01B64" w:rsidRDefault="00FD14EE" w:rsidP="00E01B64">
      <w:pPr>
        <w:spacing w:line="360" w:lineRule="auto"/>
        <w:rPr>
          <w:rFonts w:ascii="Arial" w:hAnsi="Arial" w:cs="Arial"/>
        </w:rPr>
      </w:pPr>
      <w:r w:rsidRPr="00E01B64">
        <w:rPr>
          <w:rFonts w:ascii="Arial" w:hAnsi="Arial" w:cs="Arial"/>
        </w:rPr>
        <w:t>Overall Evaluation</w:t>
      </w:r>
    </w:p>
    <w:p w14:paraId="007BBC46" w14:textId="77777777" w:rsidR="00FD14EE" w:rsidRPr="00E01B64" w:rsidRDefault="00FD14EE" w:rsidP="00E01B64">
      <w:pPr>
        <w:spacing w:line="360" w:lineRule="auto"/>
        <w:rPr>
          <w:rFonts w:ascii="Arial" w:hAnsi="Arial" w:cs="Arial"/>
        </w:rPr>
      </w:pPr>
    </w:p>
    <w:p w14:paraId="55C18E05" w14:textId="60A90F1F" w:rsidR="00971AD0" w:rsidRPr="00E01B64" w:rsidRDefault="00FD14EE" w:rsidP="00E01B64">
      <w:pPr>
        <w:spacing w:line="360" w:lineRule="auto"/>
        <w:rPr>
          <w:rFonts w:ascii="Arial" w:hAnsi="Arial" w:cs="Arial"/>
        </w:rPr>
      </w:pPr>
      <w:r w:rsidRPr="00E01B64">
        <w:rPr>
          <w:rFonts w:ascii="Arial" w:hAnsi="Arial" w:cs="Arial"/>
        </w:rPr>
        <w:t xml:space="preserve">Leadership at Lloyds has been </w:t>
      </w:r>
      <w:r w:rsidR="007266A0" w:rsidRPr="00E01B64">
        <w:rPr>
          <w:rFonts w:ascii="Arial" w:hAnsi="Arial" w:cs="Arial"/>
        </w:rPr>
        <w:t xml:space="preserve">instrumental in driving digital transformation through clear vision, effective </w:t>
      </w:r>
      <w:r w:rsidRPr="00E01B64">
        <w:rPr>
          <w:rFonts w:ascii="Arial" w:hAnsi="Arial" w:cs="Arial"/>
        </w:rPr>
        <w:t>communication, and employee empowerment. Although organisational culture initially served as a barrier, it is slowly changing to support innovation. The mix of transformational leadership and cultural change has enhanced the bank’s ability to manage ongoing transformation.</w:t>
      </w:r>
    </w:p>
    <w:p w14:paraId="79D5BC62" w14:textId="77777777" w:rsidR="004B79FE" w:rsidRPr="00E01B64" w:rsidRDefault="004B79FE" w:rsidP="00E01B64">
      <w:pPr>
        <w:spacing w:line="360" w:lineRule="auto"/>
        <w:rPr>
          <w:rFonts w:ascii="Arial" w:hAnsi="Arial" w:cs="Arial"/>
          <w:b/>
          <w:bCs/>
        </w:rPr>
      </w:pPr>
    </w:p>
    <w:p w14:paraId="0AD59A8F" w14:textId="0ABC6E07" w:rsidR="007266A0" w:rsidRPr="00E01B64" w:rsidRDefault="004B79FE" w:rsidP="00E01B64">
      <w:pPr>
        <w:spacing w:line="360" w:lineRule="auto"/>
        <w:rPr>
          <w:rFonts w:ascii="Arial" w:hAnsi="Arial" w:cs="Arial"/>
          <w:b/>
          <w:bCs/>
        </w:rPr>
      </w:pPr>
      <w:r w:rsidRPr="00E01B64">
        <w:rPr>
          <w:rFonts w:ascii="Arial" w:hAnsi="Arial" w:cs="Arial"/>
          <w:b/>
          <w:bCs/>
        </w:rPr>
        <w:t>Proposed Change Management Plan</w:t>
      </w:r>
    </w:p>
    <w:p w14:paraId="43176789" w14:textId="630711B9" w:rsidR="008C7372" w:rsidRPr="00E01B64" w:rsidRDefault="008C7372" w:rsidP="00E01B64">
      <w:pPr>
        <w:spacing w:line="360" w:lineRule="auto"/>
        <w:rPr>
          <w:rFonts w:ascii="Arial" w:hAnsi="Arial" w:cs="Arial"/>
        </w:rPr>
      </w:pPr>
      <w:r w:rsidRPr="00E01B64">
        <w:rPr>
          <w:rFonts w:ascii="Arial" w:hAnsi="Arial" w:cs="Arial"/>
        </w:rPr>
        <w:t>Building on previous sections, the following change plan aims to accelerate Lloyds’ digital transformation and enhance competitiveness.</w:t>
      </w:r>
    </w:p>
    <w:p w14:paraId="73EBD453" w14:textId="77777777" w:rsidR="008C7372" w:rsidRPr="00E01B64" w:rsidRDefault="008C7372" w:rsidP="00E01B64">
      <w:pPr>
        <w:spacing w:line="360" w:lineRule="auto"/>
        <w:rPr>
          <w:rFonts w:ascii="Arial" w:hAnsi="Arial" w:cs="Arial"/>
        </w:rPr>
      </w:pPr>
    </w:p>
    <w:p w14:paraId="393D6106" w14:textId="77777777" w:rsidR="008C7372" w:rsidRPr="00E01B64" w:rsidRDefault="008C7372" w:rsidP="00E01B64">
      <w:pPr>
        <w:spacing w:line="360" w:lineRule="auto"/>
        <w:rPr>
          <w:rFonts w:ascii="Arial" w:hAnsi="Arial" w:cs="Arial"/>
        </w:rPr>
      </w:pPr>
      <w:r w:rsidRPr="00E01B64">
        <w:rPr>
          <w:rFonts w:ascii="Arial" w:hAnsi="Arial" w:cs="Arial"/>
        </w:rPr>
        <w:t>1. Proposed Change Objective</w:t>
      </w:r>
    </w:p>
    <w:p w14:paraId="02BFFA2D" w14:textId="77777777" w:rsidR="008C7372" w:rsidRPr="00E01B64" w:rsidRDefault="008C7372" w:rsidP="00E01B64">
      <w:pPr>
        <w:spacing w:line="360" w:lineRule="auto"/>
        <w:rPr>
          <w:rFonts w:ascii="Arial" w:hAnsi="Arial" w:cs="Arial"/>
        </w:rPr>
      </w:pPr>
    </w:p>
    <w:p w14:paraId="19ED3F68" w14:textId="24224A34" w:rsidR="008C7372" w:rsidRPr="00E01B64" w:rsidRDefault="008C7372" w:rsidP="00E01B64">
      <w:pPr>
        <w:spacing w:line="360" w:lineRule="auto"/>
        <w:rPr>
          <w:rFonts w:ascii="Arial" w:hAnsi="Arial" w:cs="Arial"/>
        </w:rPr>
      </w:pPr>
      <w:r w:rsidRPr="00E01B64">
        <w:rPr>
          <w:rFonts w:ascii="Arial" w:hAnsi="Arial" w:cs="Arial"/>
        </w:rPr>
        <w:t>The primary objective is to modernize Lloyds’ digital infrastructure and enhance the customer experience through mobile banking, personalized AI features, and improved IT resilience (PwC, 2023).</w:t>
      </w:r>
    </w:p>
    <w:p w14:paraId="3DA62EF5" w14:textId="77777777" w:rsidR="008C7372" w:rsidRPr="00E01B64" w:rsidRDefault="008C7372" w:rsidP="00E01B64">
      <w:pPr>
        <w:spacing w:line="360" w:lineRule="auto"/>
        <w:rPr>
          <w:rFonts w:ascii="Arial" w:hAnsi="Arial" w:cs="Arial"/>
        </w:rPr>
      </w:pPr>
    </w:p>
    <w:p w14:paraId="2B6443FF" w14:textId="77777777" w:rsidR="008C7372" w:rsidRPr="00E01B64" w:rsidRDefault="008C7372" w:rsidP="00E01B64">
      <w:pPr>
        <w:spacing w:line="360" w:lineRule="auto"/>
        <w:rPr>
          <w:rFonts w:ascii="Arial" w:hAnsi="Arial" w:cs="Arial"/>
        </w:rPr>
      </w:pPr>
      <w:r w:rsidRPr="00E01B64">
        <w:rPr>
          <w:rFonts w:ascii="Arial" w:hAnsi="Arial" w:cs="Arial"/>
        </w:rPr>
        <w:t>SMART Objectives</w:t>
      </w:r>
    </w:p>
    <w:p w14:paraId="4091630E" w14:textId="77777777" w:rsidR="008C7372" w:rsidRPr="00E01B64" w:rsidRDefault="008C7372" w:rsidP="00E01B64">
      <w:pPr>
        <w:spacing w:line="360" w:lineRule="auto"/>
        <w:rPr>
          <w:rFonts w:ascii="Arial" w:hAnsi="Arial" w:cs="Arial"/>
        </w:rPr>
      </w:pPr>
    </w:p>
    <w:p w14:paraId="2491ECA0" w14:textId="77777777" w:rsidR="008C7372" w:rsidRPr="00E01B64" w:rsidRDefault="008C7372" w:rsidP="00E01B64">
      <w:pPr>
        <w:spacing w:line="360" w:lineRule="auto"/>
        <w:rPr>
          <w:rFonts w:ascii="Arial" w:hAnsi="Arial" w:cs="Arial"/>
        </w:rPr>
      </w:pPr>
      <w:r w:rsidRPr="00E01B64">
        <w:rPr>
          <w:rFonts w:ascii="Arial" w:hAnsi="Arial" w:cs="Arial"/>
        </w:rPr>
        <w:t>Improve mobile functionality within 12 months (Lloyds Banking Group, 2023).</w:t>
      </w:r>
    </w:p>
    <w:p w14:paraId="0D2F761E" w14:textId="77777777" w:rsidR="008C7372" w:rsidRPr="00E01B64" w:rsidRDefault="008C7372" w:rsidP="00E01B64">
      <w:pPr>
        <w:spacing w:line="360" w:lineRule="auto"/>
        <w:rPr>
          <w:rFonts w:ascii="Arial" w:hAnsi="Arial" w:cs="Arial"/>
        </w:rPr>
      </w:pPr>
    </w:p>
    <w:p w14:paraId="70D31504" w14:textId="77777777" w:rsidR="008C7372" w:rsidRPr="00E01B64" w:rsidRDefault="008C7372" w:rsidP="00E01B64">
      <w:pPr>
        <w:spacing w:line="360" w:lineRule="auto"/>
        <w:rPr>
          <w:rFonts w:ascii="Arial" w:hAnsi="Arial" w:cs="Arial"/>
        </w:rPr>
      </w:pPr>
      <w:r w:rsidRPr="00E01B64">
        <w:rPr>
          <w:rFonts w:ascii="Arial" w:hAnsi="Arial" w:cs="Arial"/>
        </w:rPr>
        <w:t>Reduce IT operational costs by 10% in 18 months through cloud migration (Deloitte, 2022).</w:t>
      </w:r>
    </w:p>
    <w:p w14:paraId="6CDA3C87" w14:textId="77777777" w:rsidR="008C7372" w:rsidRPr="00E01B64" w:rsidRDefault="008C7372" w:rsidP="00E01B64">
      <w:pPr>
        <w:spacing w:line="360" w:lineRule="auto"/>
        <w:rPr>
          <w:rFonts w:ascii="Arial" w:hAnsi="Arial" w:cs="Arial"/>
        </w:rPr>
      </w:pPr>
    </w:p>
    <w:p w14:paraId="0B50ED79" w14:textId="77777777" w:rsidR="008C7372" w:rsidRPr="00E01B64" w:rsidRDefault="008C7372" w:rsidP="00E01B64">
      <w:pPr>
        <w:spacing w:line="360" w:lineRule="auto"/>
        <w:rPr>
          <w:rFonts w:ascii="Arial" w:hAnsi="Arial" w:cs="Arial"/>
        </w:rPr>
      </w:pPr>
      <w:r w:rsidRPr="00E01B64">
        <w:rPr>
          <w:rFonts w:ascii="Arial" w:hAnsi="Arial" w:cs="Arial"/>
        </w:rPr>
        <w:t>Increase digital engagement by 20% with better user design (Accenture, 2023).</w:t>
      </w:r>
    </w:p>
    <w:p w14:paraId="3AB2FA1F" w14:textId="77777777" w:rsidR="008C7372" w:rsidRPr="00E01B64" w:rsidRDefault="008C7372" w:rsidP="00E01B64">
      <w:pPr>
        <w:spacing w:line="360" w:lineRule="auto"/>
        <w:rPr>
          <w:rFonts w:ascii="Arial" w:hAnsi="Arial" w:cs="Arial"/>
        </w:rPr>
      </w:pPr>
    </w:p>
    <w:p w14:paraId="7F3255D1" w14:textId="77777777" w:rsidR="008C7372" w:rsidRPr="00E01B64" w:rsidRDefault="008C7372" w:rsidP="00E01B64">
      <w:pPr>
        <w:spacing w:line="360" w:lineRule="auto"/>
        <w:rPr>
          <w:rFonts w:ascii="Arial" w:hAnsi="Arial" w:cs="Arial"/>
        </w:rPr>
      </w:pPr>
      <w:r w:rsidRPr="00E01B64">
        <w:rPr>
          <w:rFonts w:ascii="Arial" w:hAnsi="Arial" w:cs="Arial"/>
        </w:rPr>
        <w:t>Train 80% of staff in digital skills within 12 months (KPMG, 2023).</w:t>
      </w:r>
    </w:p>
    <w:p w14:paraId="49133BF8" w14:textId="77777777" w:rsidR="008C7372" w:rsidRPr="00E01B64" w:rsidRDefault="008C7372" w:rsidP="00E01B64">
      <w:pPr>
        <w:spacing w:line="360" w:lineRule="auto"/>
        <w:rPr>
          <w:rFonts w:ascii="Arial" w:hAnsi="Arial" w:cs="Arial"/>
        </w:rPr>
      </w:pPr>
    </w:p>
    <w:p w14:paraId="01F07B7B" w14:textId="77777777" w:rsidR="008C7372" w:rsidRPr="00E01B64" w:rsidRDefault="008C7372" w:rsidP="00E01B64">
      <w:pPr>
        <w:spacing w:line="360" w:lineRule="auto"/>
        <w:rPr>
          <w:rFonts w:ascii="Arial" w:hAnsi="Arial" w:cs="Arial"/>
        </w:rPr>
      </w:pPr>
      <w:r w:rsidRPr="00E01B64">
        <w:rPr>
          <w:rFonts w:ascii="Arial" w:hAnsi="Arial" w:cs="Arial"/>
        </w:rPr>
        <w:t>2. Financial Plan</w:t>
      </w:r>
    </w:p>
    <w:p w14:paraId="01BDBDC2" w14:textId="77777777" w:rsidR="008C7372" w:rsidRPr="00E01B64" w:rsidRDefault="008C7372" w:rsidP="00E01B64">
      <w:pPr>
        <w:spacing w:line="360" w:lineRule="auto"/>
        <w:rPr>
          <w:rFonts w:ascii="Arial" w:hAnsi="Arial" w:cs="Arial"/>
        </w:rPr>
      </w:pPr>
    </w:p>
    <w:p w14:paraId="67256510" w14:textId="77777777" w:rsidR="008C7372" w:rsidRPr="00E01B64" w:rsidRDefault="008C7372" w:rsidP="00E01B64">
      <w:pPr>
        <w:spacing w:line="360" w:lineRule="auto"/>
        <w:rPr>
          <w:rFonts w:ascii="Arial" w:hAnsi="Arial" w:cs="Arial"/>
        </w:rPr>
      </w:pPr>
      <w:r w:rsidRPr="00E01B64">
        <w:rPr>
          <w:rFonts w:ascii="Arial" w:hAnsi="Arial" w:cs="Arial"/>
        </w:rPr>
        <w:t>Investing in digital transformation is crucial for long-term efficiency (McKinsey, 2023). Estimated costs include:</w:t>
      </w:r>
    </w:p>
    <w:p w14:paraId="20A30062" w14:textId="77777777" w:rsidR="008C7372" w:rsidRPr="00E01B64" w:rsidRDefault="008C7372" w:rsidP="00E01B64">
      <w:pPr>
        <w:spacing w:line="360" w:lineRule="auto"/>
        <w:rPr>
          <w:rFonts w:ascii="Arial" w:hAnsi="Arial" w:cs="Arial"/>
        </w:rPr>
      </w:pPr>
    </w:p>
    <w:p w14:paraId="28527F2D" w14:textId="77777777" w:rsidR="008C7372" w:rsidRPr="00E01B64" w:rsidRDefault="008C7372" w:rsidP="00E01B64">
      <w:pPr>
        <w:spacing w:line="360" w:lineRule="auto"/>
        <w:rPr>
          <w:rFonts w:ascii="Arial" w:hAnsi="Arial" w:cs="Arial"/>
        </w:rPr>
      </w:pPr>
      <w:r w:rsidRPr="00E01B64">
        <w:rPr>
          <w:rFonts w:ascii="Arial" w:hAnsi="Arial" w:cs="Arial"/>
        </w:rPr>
        <w:t>IT modernization: £120m</w:t>
      </w:r>
    </w:p>
    <w:p w14:paraId="7FE5B770" w14:textId="77777777" w:rsidR="008C7372" w:rsidRPr="00E01B64" w:rsidRDefault="008C7372" w:rsidP="00E01B64">
      <w:pPr>
        <w:spacing w:line="360" w:lineRule="auto"/>
        <w:rPr>
          <w:rFonts w:ascii="Arial" w:hAnsi="Arial" w:cs="Arial"/>
        </w:rPr>
      </w:pPr>
    </w:p>
    <w:p w14:paraId="2ABB3894" w14:textId="77777777" w:rsidR="008C7372" w:rsidRPr="00E01B64" w:rsidRDefault="008C7372" w:rsidP="00E01B64">
      <w:pPr>
        <w:spacing w:line="360" w:lineRule="auto"/>
        <w:rPr>
          <w:rFonts w:ascii="Arial" w:hAnsi="Arial" w:cs="Arial"/>
        </w:rPr>
      </w:pPr>
      <w:r w:rsidRPr="00E01B64">
        <w:rPr>
          <w:rFonts w:ascii="Arial" w:hAnsi="Arial" w:cs="Arial"/>
        </w:rPr>
        <w:t>Cloud migration: £40m</w:t>
      </w:r>
    </w:p>
    <w:p w14:paraId="6B764707" w14:textId="77777777" w:rsidR="008C7372" w:rsidRPr="00E01B64" w:rsidRDefault="008C7372" w:rsidP="00E01B64">
      <w:pPr>
        <w:spacing w:line="360" w:lineRule="auto"/>
        <w:rPr>
          <w:rFonts w:ascii="Arial" w:hAnsi="Arial" w:cs="Arial"/>
        </w:rPr>
      </w:pPr>
    </w:p>
    <w:p w14:paraId="338FB967" w14:textId="77777777" w:rsidR="008C7372" w:rsidRPr="00E01B64" w:rsidRDefault="008C7372" w:rsidP="00E01B64">
      <w:pPr>
        <w:spacing w:line="360" w:lineRule="auto"/>
        <w:rPr>
          <w:rFonts w:ascii="Arial" w:hAnsi="Arial" w:cs="Arial"/>
        </w:rPr>
      </w:pPr>
      <w:r w:rsidRPr="00E01B64">
        <w:rPr>
          <w:rFonts w:ascii="Arial" w:hAnsi="Arial" w:cs="Arial"/>
        </w:rPr>
        <w:t>AI customer tools: £25m</w:t>
      </w:r>
    </w:p>
    <w:p w14:paraId="2BC86096" w14:textId="77777777" w:rsidR="008C7372" w:rsidRPr="00E01B64" w:rsidRDefault="008C7372" w:rsidP="00E01B64">
      <w:pPr>
        <w:spacing w:line="360" w:lineRule="auto"/>
        <w:rPr>
          <w:rFonts w:ascii="Arial" w:hAnsi="Arial" w:cs="Arial"/>
        </w:rPr>
      </w:pPr>
    </w:p>
    <w:p w14:paraId="412E2EDD" w14:textId="77777777" w:rsidR="008C7372" w:rsidRPr="00E01B64" w:rsidRDefault="008C7372" w:rsidP="00E01B64">
      <w:pPr>
        <w:spacing w:line="360" w:lineRule="auto"/>
        <w:rPr>
          <w:rFonts w:ascii="Arial" w:hAnsi="Arial" w:cs="Arial"/>
        </w:rPr>
      </w:pPr>
      <w:r w:rsidRPr="00E01B64">
        <w:rPr>
          <w:rFonts w:ascii="Arial" w:hAnsi="Arial" w:cs="Arial"/>
        </w:rPr>
        <w:t>Staff training: £15m</w:t>
      </w:r>
    </w:p>
    <w:p w14:paraId="23C89BFE" w14:textId="77777777" w:rsidR="008C7372" w:rsidRPr="00E01B64" w:rsidRDefault="008C7372" w:rsidP="00E01B64">
      <w:pPr>
        <w:spacing w:line="360" w:lineRule="auto"/>
        <w:rPr>
          <w:rFonts w:ascii="Arial" w:hAnsi="Arial" w:cs="Arial"/>
        </w:rPr>
      </w:pPr>
    </w:p>
    <w:p w14:paraId="62153298" w14:textId="77777777" w:rsidR="008C7372" w:rsidRPr="00E01B64" w:rsidRDefault="008C7372" w:rsidP="00E01B64">
      <w:pPr>
        <w:spacing w:line="360" w:lineRule="auto"/>
        <w:rPr>
          <w:rFonts w:ascii="Arial" w:hAnsi="Arial" w:cs="Arial"/>
        </w:rPr>
      </w:pPr>
      <w:r w:rsidRPr="00E01B64">
        <w:rPr>
          <w:rFonts w:ascii="Arial" w:hAnsi="Arial" w:cs="Arial"/>
        </w:rPr>
        <w:t>Communication plan: £5m</w:t>
      </w:r>
    </w:p>
    <w:p w14:paraId="6242CA75" w14:textId="77777777" w:rsidR="008C7372" w:rsidRPr="00E01B64" w:rsidRDefault="008C7372" w:rsidP="00E01B64">
      <w:pPr>
        <w:spacing w:line="360" w:lineRule="auto"/>
        <w:rPr>
          <w:rFonts w:ascii="Arial" w:hAnsi="Arial" w:cs="Arial"/>
        </w:rPr>
      </w:pPr>
    </w:p>
    <w:p w14:paraId="375DD128" w14:textId="77777777" w:rsidR="008C7372" w:rsidRPr="00E01B64" w:rsidRDefault="008C7372" w:rsidP="00E01B64">
      <w:pPr>
        <w:spacing w:line="360" w:lineRule="auto"/>
        <w:rPr>
          <w:rFonts w:ascii="Arial" w:hAnsi="Arial" w:cs="Arial"/>
        </w:rPr>
      </w:pPr>
      <w:r w:rsidRPr="00E01B64">
        <w:rPr>
          <w:rFonts w:ascii="Arial" w:hAnsi="Arial" w:cs="Arial"/>
        </w:rPr>
        <w:lastRenderedPageBreak/>
        <w:t>This matches industry standards for large-scale digital projects (Deloitte, 2022).</w:t>
      </w:r>
    </w:p>
    <w:p w14:paraId="252DBF87" w14:textId="77777777" w:rsidR="008C7372" w:rsidRPr="00E01B64" w:rsidRDefault="008C7372" w:rsidP="00E01B64">
      <w:pPr>
        <w:spacing w:line="360" w:lineRule="auto"/>
        <w:rPr>
          <w:rFonts w:ascii="Arial" w:hAnsi="Arial" w:cs="Arial"/>
        </w:rPr>
      </w:pPr>
    </w:p>
    <w:p w14:paraId="67196945" w14:textId="77777777" w:rsidR="008C7372" w:rsidRPr="00E01B64" w:rsidRDefault="008C7372" w:rsidP="00E01B64">
      <w:pPr>
        <w:spacing w:line="360" w:lineRule="auto"/>
        <w:rPr>
          <w:rFonts w:ascii="Arial" w:hAnsi="Arial" w:cs="Arial"/>
        </w:rPr>
      </w:pPr>
      <w:r w:rsidRPr="00E01B64">
        <w:rPr>
          <w:rFonts w:ascii="Arial" w:hAnsi="Arial" w:cs="Arial"/>
        </w:rPr>
        <w:t>3. Communication Plan</w:t>
      </w:r>
    </w:p>
    <w:p w14:paraId="54E863FE" w14:textId="77777777" w:rsidR="008C7372" w:rsidRPr="00E01B64" w:rsidRDefault="008C7372" w:rsidP="00E01B64">
      <w:pPr>
        <w:spacing w:line="360" w:lineRule="auto"/>
        <w:rPr>
          <w:rFonts w:ascii="Arial" w:hAnsi="Arial" w:cs="Arial"/>
        </w:rPr>
      </w:pPr>
    </w:p>
    <w:p w14:paraId="7250DEA3" w14:textId="77777777" w:rsidR="008C7372" w:rsidRPr="00E01B64" w:rsidRDefault="008C7372" w:rsidP="00E01B64">
      <w:pPr>
        <w:spacing w:line="360" w:lineRule="auto"/>
        <w:rPr>
          <w:rFonts w:ascii="Arial" w:hAnsi="Arial" w:cs="Arial"/>
        </w:rPr>
      </w:pPr>
      <w:r w:rsidRPr="00E01B64">
        <w:rPr>
          <w:rFonts w:ascii="Arial" w:hAnsi="Arial" w:cs="Arial"/>
        </w:rPr>
        <w:t>Clear communication helps reduce resistance and improve transparency (Kotter, 1996). Lloyds should use various channels for communication including internal briefings, training sessions, intranet updates, and customer email campaigns.</w:t>
      </w:r>
    </w:p>
    <w:p w14:paraId="237A0B7A" w14:textId="77777777" w:rsidR="008C7372" w:rsidRPr="00E01B64" w:rsidRDefault="008C7372" w:rsidP="00E01B64">
      <w:pPr>
        <w:spacing w:line="360" w:lineRule="auto"/>
        <w:rPr>
          <w:rFonts w:ascii="Arial" w:hAnsi="Arial" w:cs="Arial"/>
        </w:rPr>
      </w:pPr>
    </w:p>
    <w:p w14:paraId="4A1E5095" w14:textId="1C170F54" w:rsidR="004B79FE" w:rsidRPr="00E01B64" w:rsidRDefault="008C7372" w:rsidP="00E01B64">
      <w:pPr>
        <w:spacing w:line="360" w:lineRule="auto"/>
        <w:rPr>
          <w:rFonts w:ascii="Arial" w:hAnsi="Arial" w:cs="Arial"/>
        </w:rPr>
      </w:pPr>
      <w:r w:rsidRPr="00E01B64">
        <w:rPr>
          <w:rFonts w:ascii="Arial" w:hAnsi="Arial" w:cs="Arial"/>
        </w:rPr>
        <w:t>Key principles include clarity, timeliness, feedback loops, and stakeholder involvement (Hayes, 2018).</w:t>
      </w:r>
    </w:p>
    <w:p w14:paraId="266C05F4" w14:textId="77777777" w:rsidR="004A7FE3" w:rsidRPr="00E01B64" w:rsidRDefault="004A7FE3" w:rsidP="00E01B64">
      <w:pPr>
        <w:spacing w:line="360" w:lineRule="auto"/>
        <w:rPr>
          <w:rFonts w:ascii="Arial" w:hAnsi="Arial" w:cs="Arial"/>
        </w:rPr>
      </w:pPr>
      <w:r w:rsidRPr="00E01B64">
        <w:rPr>
          <w:rFonts w:ascii="Arial" w:hAnsi="Arial" w:cs="Arial"/>
        </w:rPr>
        <w:t>4. Evaluation Plan</w:t>
      </w:r>
    </w:p>
    <w:p w14:paraId="192D224E" w14:textId="77777777" w:rsidR="004A7FE3" w:rsidRPr="00E01B64" w:rsidRDefault="004A7FE3" w:rsidP="00E01B64">
      <w:pPr>
        <w:spacing w:line="360" w:lineRule="auto"/>
        <w:rPr>
          <w:rFonts w:ascii="Arial" w:hAnsi="Arial" w:cs="Arial"/>
        </w:rPr>
      </w:pPr>
    </w:p>
    <w:p w14:paraId="7389DACE" w14:textId="77777777" w:rsidR="004A7FE3" w:rsidRPr="00E01B64" w:rsidRDefault="004A7FE3" w:rsidP="00E01B64">
      <w:pPr>
        <w:spacing w:line="360" w:lineRule="auto"/>
        <w:rPr>
          <w:rFonts w:ascii="Arial" w:hAnsi="Arial" w:cs="Arial"/>
        </w:rPr>
      </w:pPr>
      <w:r w:rsidRPr="00E01B64">
        <w:rPr>
          <w:rFonts w:ascii="Arial" w:hAnsi="Arial" w:cs="Arial"/>
        </w:rPr>
        <w:t>Monitoring ensures that change goals are met (Armenakis &amp; Harris, 2009). The evaluation plan includes:</w:t>
      </w:r>
    </w:p>
    <w:p w14:paraId="0A9C1430" w14:textId="77777777" w:rsidR="004A7FE3" w:rsidRPr="00E01B64" w:rsidRDefault="004A7FE3" w:rsidP="00E01B64">
      <w:pPr>
        <w:spacing w:line="360" w:lineRule="auto"/>
        <w:rPr>
          <w:rFonts w:ascii="Arial" w:hAnsi="Arial" w:cs="Arial"/>
        </w:rPr>
      </w:pPr>
    </w:p>
    <w:p w14:paraId="20BF38F3" w14:textId="77777777" w:rsidR="004A7FE3" w:rsidRPr="00E01B64" w:rsidRDefault="004A7FE3" w:rsidP="00E01B64">
      <w:pPr>
        <w:spacing w:line="360" w:lineRule="auto"/>
        <w:rPr>
          <w:rFonts w:ascii="Arial" w:hAnsi="Arial" w:cs="Arial"/>
        </w:rPr>
      </w:pPr>
      <w:r w:rsidRPr="00E01B64">
        <w:rPr>
          <w:rFonts w:ascii="Arial" w:hAnsi="Arial" w:cs="Arial"/>
        </w:rPr>
        <w:t>KPIs for digital adoption, customer satisfaction, operational efficiency, and employee confidence (Deloitte, 2022).</w:t>
      </w:r>
    </w:p>
    <w:p w14:paraId="62F88F01" w14:textId="77777777" w:rsidR="004A7FE3" w:rsidRPr="00E01B64" w:rsidRDefault="004A7FE3" w:rsidP="00E01B64">
      <w:pPr>
        <w:spacing w:line="360" w:lineRule="auto"/>
        <w:rPr>
          <w:rFonts w:ascii="Arial" w:hAnsi="Arial" w:cs="Arial"/>
        </w:rPr>
      </w:pPr>
    </w:p>
    <w:p w14:paraId="7492F333" w14:textId="77777777" w:rsidR="004A7FE3" w:rsidRPr="00E01B64" w:rsidRDefault="004A7FE3" w:rsidP="00E01B64">
      <w:pPr>
        <w:spacing w:line="360" w:lineRule="auto"/>
        <w:rPr>
          <w:rFonts w:ascii="Arial" w:hAnsi="Arial" w:cs="Arial"/>
        </w:rPr>
      </w:pPr>
      <w:r w:rsidRPr="00E01B64">
        <w:rPr>
          <w:rFonts w:ascii="Arial" w:hAnsi="Arial" w:cs="Arial"/>
        </w:rPr>
        <w:t>Quarterly progress reviews with leadership (Lloyds Banking Group, 2023).</w:t>
      </w:r>
    </w:p>
    <w:p w14:paraId="4488E390" w14:textId="77777777" w:rsidR="004A7FE3" w:rsidRPr="00E01B64" w:rsidRDefault="004A7FE3" w:rsidP="00E01B64">
      <w:pPr>
        <w:spacing w:line="360" w:lineRule="auto"/>
        <w:rPr>
          <w:rFonts w:ascii="Arial" w:hAnsi="Arial" w:cs="Arial"/>
        </w:rPr>
      </w:pPr>
    </w:p>
    <w:p w14:paraId="528EE4DA" w14:textId="77777777" w:rsidR="004A7FE3" w:rsidRPr="00E01B64" w:rsidRDefault="004A7FE3" w:rsidP="00E01B64">
      <w:pPr>
        <w:spacing w:line="360" w:lineRule="auto"/>
        <w:rPr>
          <w:rFonts w:ascii="Arial" w:hAnsi="Arial" w:cs="Arial"/>
        </w:rPr>
      </w:pPr>
      <w:r w:rsidRPr="00E01B64">
        <w:rPr>
          <w:rFonts w:ascii="Arial" w:hAnsi="Arial" w:cs="Arial"/>
        </w:rPr>
        <w:t>Customer feedback, staff surveys, and post-implementation audits (KPMG, 2023).</w:t>
      </w:r>
    </w:p>
    <w:p w14:paraId="4EEE5B5B" w14:textId="77777777" w:rsidR="004A7FE3" w:rsidRPr="00E01B64" w:rsidRDefault="004A7FE3" w:rsidP="00E01B64">
      <w:pPr>
        <w:spacing w:line="360" w:lineRule="auto"/>
        <w:rPr>
          <w:rFonts w:ascii="Arial" w:hAnsi="Arial" w:cs="Arial"/>
        </w:rPr>
      </w:pPr>
    </w:p>
    <w:p w14:paraId="0FC5AD6B" w14:textId="29339BEF" w:rsidR="008C7372" w:rsidRPr="00E01B64" w:rsidRDefault="004A7FE3" w:rsidP="00E01B64">
      <w:pPr>
        <w:spacing w:line="360" w:lineRule="auto"/>
        <w:rPr>
          <w:rFonts w:ascii="Arial" w:hAnsi="Arial" w:cs="Arial"/>
        </w:rPr>
      </w:pPr>
      <w:r w:rsidRPr="00E01B64">
        <w:rPr>
          <w:rFonts w:ascii="Arial" w:hAnsi="Arial" w:cs="Arial"/>
        </w:rPr>
        <w:t>Ongoing evaluation promotes accountability and supports long-term improvement.</w:t>
      </w:r>
    </w:p>
    <w:p w14:paraId="00CF6CDB" w14:textId="77777777" w:rsidR="00F603E3" w:rsidRDefault="00F603E3" w:rsidP="004A7FE3">
      <w:pPr>
        <w:spacing w:line="360" w:lineRule="auto"/>
        <w:rPr>
          <w:rFonts w:ascii="Arial" w:hAnsi="Arial" w:cs="Arial"/>
        </w:rPr>
      </w:pPr>
    </w:p>
    <w:p w14:paraId="172C5997" w14:textId="77777777" w:rsidR="00F603E3" w:rsidRDefault="00F603E3" w:rsidP="004A7FE3">
      <w:pPr>
        <w:spacing w:line="360" w:lineRule="auto"/>
        <w:rPr>
          <w:rFonts w:ascii="Arial" w:hAnsi="Arial" w:cs="Arial"/>
        </w:rPr>
      </w:pPr>
    </w:p>
    <w:p w14:paraId="364D6925" w14:textId="77777777" w:rsidR="00F603E3" w:rsidRDefault="00F603E3" w:rsidP="004A7FE3">
      <w:pPr>
        <w:spacing w:line="360" w:lineRule="auto"/>
        <w:rPr>
          <w:rFonts w:ascii="Arial" w:hAnsi="Arial" w:cs="Arial"/>
          <w:b/>
          <w:bCs/>
        </w:rPr>
      </w:pPr>
    </w:p>
    <w:p w14:paraId="4A647119" w14:textId="77777777" w:rsidR="00F603E3" w:rsidRDefault="00F603E3" w:rsidP="004A7FE3">
      <w:pPr>
        <w:spacing w:line="360" w:lineRule="auto"/>
        <w:rPr>
          <w:rFonts w:ascii="Arial" w:hAnsi="Arial" w:cs="Arial"/>
          <w:b/>
          <w:bCs/>
        </w:rPr>
      </w:pPr>
    </w:p>
    <w:p w14:paraId="0E060B6F" w14:textId="52C77F1E" w:rsidR="00F603E3" w:rsidRDefault="00F603E3" w:rsidP="004A7FE3">
      <w:pPr>
        <w:spacing w:line="360" w:lineRule="auto"/>
        <w:rPr>
          <w:rFonts w:ascii="Arial" w:hAnsi="Arial" w:cs="Arial"/>
          <w:b/>
          <w:bCs/>
        </w:rPr>
      </w:pPr>
      <w:r w:rsidRPr="00F603E3">
        <w:rPr>
          <w:rFonts w:ascii="Arial" w:hAnsi="Arial" w:cs="Arial"/>
          <w:b/>
          <w:bCs/>
        </w:rPr>
        <w:lastRenderedPageBreak/>
        <w:t>References</w:t>
      </w:r>
    </w:p>
    <w:p w14:paraId="460880CB" w14:textId="77777777" w:rsidR="00F603E3" w:rsidRDefault="00F603E3" w:rsidP="00E01B64">
      <w:pPr>
        <w:spacing w:line="360" w:lineRule="auto"/>
        <w:rPr>
          <w:rFonts w:ascii="Arial" w:hAnsi="Arial" w:cs="Arial"/>
          <w:b/>
          <w:bCs/>
        </w:rPr>
      </w:pPr>
    </w:p>
    <w:p w14:paraId="17406E5C" w14:textId="77777777" w:rsidR="004E2236" w:rsidRDefault="004E2236" w:rsidP="00E01B64">
      <w:pPr>
        <w:pStyle w:val="NormalWeb"/>
        <w:numPr>
          <w:ilvl w:val="0"/>
          <w:numId w:val="8"/>
        </w:numPr>
        <w:spacing w:line="360" w:lineRule="auto"/>
      </w:pPr>
      <w:r>
        <w:t xml:space="preserve">Accenture (2023) </w:t>
      </w:r>
      <w:r>
        <w:rPr>
          <w:rStyle w:val="Emphasis"/>
          <w:rFonts w:eastAsiaTheme="majorEastAsia"/>
        </w:rPr>
        <w:t>Banking Technology Vision 2023: The Future of Financial Services</w:t>
      </w:r>
      <w:r>
        <w:t xml:space="preserve">. Available at: </w:t>
      </w:r>
      <w:hyperlink r:id="rId6" w:tgtFrame="_new" w:history="1">
        <w:r>
          <w:rPr>
            <w:rStyle w:val="Hyperlink"/>
            <w:rFonts w:eastAsiaTheme="majorEastAsia"/>
          </w:rPr>
          <w:t>https://www.accenture.com</w:t>
        </w:r>
      </w:hyperlink>
      <w:r>
        <w:t xml:space="preserve"> (Accessed: 12 November 2025).</w:t>
      </w:r>
    </w:p>
    <w:p w14:paraId="1DD6894E" w14:textId="77777777" w:rsidR="004E2236" w:rsidRDefault="004E2236" w:rsidP="00E01B64">
      <w:pPr>
        <w:pStyle w:val="NormalWeb"/>
        <w:numPr>
          <w:ilvl w:val="0"/>
          <w:numId w:val="8"/>
        </w:numPr>
        <w:spacing w:line="360" w:lineRule="auto"/>
      </w:pPr>
      <w:r>
        <w:t xml:space="preserve">BCG (2023). </w:t>
      </w:r>
      <w:r>
        <w:rPr>
          <w:rStyle w:val="Emphasis"/>
          <w:rFonts w:eastAsiaTheme="majorEastAsia"/>
        </w:rPr>
        <w:t>The Future of Banking: Building Resilience through Technology Partnerships</w:t>
      </w:r>
      <w:r>
        <w:t>. Boston Consulting Group.</w:t>
      </w:r>
    </w:p>
    <w:p w14:paraId="4A5E2C8F" w14:textId="0818C703" w:rsidR="004E2236" w:rsidRDefault="004E2236" w:rsidP="00E01B64">
      <w:pPr>
        <w:pStyle w:val="NormalWeb"/>
        <w:numPr>
          <w:ilvl w:val="0"/>
          <w:numId w:val="8"/>
        </w:numPr>
        <w:spacing w:line="360" w:lineRule="auto"/>
      </w:pPr>
      <w:r>
        <w:t>Deloitte (2023)</w:t>
      </w:r>
      <w:r>
        <w:t xml:space="preserve">. </w:t>
      </w:r>
      <w:r>
        <w:rPr>
          <w:rStyle w:val="Emphasis"/>
          <w:rFonts w:eastAsiaTheme="majorEastAsia"/>
        </w:rPr>
        <w:t>UK Banking and Capital Markets Outlook 2023</w:t>
      </w:r>
      <w:r>
        <w:t>. Deloitte Insights.</w:t>
      </w:r>
    </w:p>
    <w:p w14:paraId="19E03EC5" w14:textId="77777777" w:rsidR="004E2236" w:rsidRDefault="004E2236" w:rsidP="00E01B64">
      <w:pPr>
        <w:pStyle w:val="NormalWeb"/>
        <w:numPr>
          <w:ilvl w:val="0"/>
          <w:numId w:val="8"/>
        </w:numPr>
        <w:spacing w:line="360" w:lineRule="auto"/>
      </w:pPr>
      <w:r>
        <w:t xml:space="preserve">EY (2023). </w:t>
      </w:r>
      <w:r>
        <w:rPr>
          <w:rStyle w:val="Emphasis"/>
          <w:rFonts w:eastAsiaTheme="majorEastAsia"/>
        </w:rPr>
        <w:t>How Digital Banks are Redefining Financial Services in the UK</w:t>
      </w:r>
      <w:r>
        <w:t>. Ernst &amp; Young.</w:t>
      </w:r>
    </w:p>
    <w:p w14:paraId="4AD4D6B8" w14:textId="664AFD55" w:rsidR="004E2236" w:rsidRDefault="004E2236" w:rsidP="00E01B64">
      <w:pPr>
        <w:pStyle w:val="NormalWeb"/>
        <w:numPr>
          <w:ilvl w:val="0"/>
          <w:numId w:val="8"/>
        </w:numPr>
        <w:spacing w:line="360" w:lineRule="auto"/>
      </w:pPr>
      <w:r>
        <w:t>FCA (2024)</w:t>
      </w:r>
      <w:r w:rsidR="00E01B64">
        <w:t xml:space="preserve">. </w:t>
      </w:r>
      <w:r>
        <w:rPr>
          <w:rStyle w:val="Emphasis"/>
          <w:rFonts w:eastAsiaTheme="majorEastAsia"/>
        </w:rPr>
        <w:t xml:space="preserve">Financial Conduct Authority Annual Report </w:t>
      </w:r>
      <w:r w:rsidR="00E01B64">
        <w:rPr>
          <w:rStyle w:val="Emphasis"/>
          <w:rFonts w:eastAsiaTheme="majorEastAsia"/>
        </w:rPr>
        <w:t>(2023–2024)</w:t>
      </w:r>
      <w:r>
        <w:t>. London: FCA.</w:t>
      </w:r>
    </w:p>
    <w:p w14:paraId="623E31CD" w14:textId="2DFA0028" w:rsidR="004E2236" w:rsidRDefault="004E2236" w:rsidP="00E01B64">
      <w:pPr>
        <w:pStyle w:val="NormalWeb"/>
        <w:numPr>
          <w:ilvl w:val="0"/>
          <w:numId w:val="8"/>
        </w:numPr>
        <w:spacing w:line="360" w:lineRule="auto"/>
      </w:pPr>
      <w:r>
        <w:t>KPMG (2023)</w:t>
      </w:r>
      <w:r w:rsidR="00E01B64">
        <w:t xml:space="preserve">. </w:t>
      </w:r>
      <w:r>
        <w:rPr>
          <w:rStyle w:val="Emphasis"/>
          <w:rFonts w:eastAsiaTheme="majorEastAsia"/>
        </w:rPr>
        <w:t>Customer Experience in Banking 2023: The Digital Imperative</w:t>
      </w:r>
      <w:r>
        <w:t>. KPMG UK.</w:t>
      </w:r>
    </w:p>
    <w:p w14:paraId="070960F7" w14:textId="5057A1D0" w:rsidR="004E2236" w:rsidRDefault="004E2236" w:rsidP="00E01B64">
      <w:pPr>
        <w:pStyle w:val="NormalWeb"/>
        <w:numPr>
          <w:ilvl w:val="0"/>
          <w:numId w:val="8"/>
        </w:numPr>
        <w:spacing w:line="360" w:lineRule="auto"/>
      </w:pPr>
      <w:r>
        <w:t>Lloyds Banking Group (2023)</w:t>
      </w:r>
      <w:r>
        <w:t>.</w:t>
      </w:r>
      <w:r>
        <w:t xml:space="preserve"> </w:t>
      </w:r>
      <w:r>
        <w:rPr>
          <w:rStyle w:val="Emphasis"/>
          <w:rFonts w:eastAsiaTheme="majorEastAsia"/>
        </w:rPr>
        <w:t>Annual Report and Accounts 2023</w:t>
      </w:r>
      <w:r>
        <w:t>. Lloyds Banking Group plc.</w:t>
      </w:r>
    </w:p>
    <w:p w14:paraId="0DD98EE4" w14:textId="1DA33E59" w:rsidR="004E2236" w:rsidRDefault="004E2236" w:rsidP="00E01B64">
      <w:pPr>
        <w:pStyle w:val="NormalWeb"/>
        <w:numPr>
          <w:ilvl w:val="0"/>
          <w:numId w:val="8"/>
        </w:numPr>
        <w:spacing w:line="360" w:lineRule="auto"/>
      </w:pPr>
      <w:r>
        <w:t>McKinsey &amp; Company (2023)</w:t>
      </w:r>
      <w:r>
        <w:t>.</w:t>
      </w:r>
      <w:r>
        <w:t xml:space="preserve"> </w:t>
      </w:r>
      <w:r>
        <w:rPr>
          <w:rStyle w:val="Emphasis"/>
          <w:rFonts w:eastAsiaTheme="majorEastAsia"/>
        </w:rPr>
        <w:t>Global Banking Annual Review 2023: Rethinking the Value Proposition</w:t>
      </w:r>
      <w:r>
        <w:t>.</w:t>
      </w:r>
    </w:p>
    <w:p w14:paraId="6E4B8C47" w14:textId="2134EC91" w:rsidR="004E2236" w:rsidRDefault="004E2236" w:rsidP="00E01B64">
      <w:pPr>
        <w:pStyle w:val="NormalWeb"/>
        <w:numPr>
          <w:ilvl w:val="0"/>
          <w:numId w:val="8"/>
        </w:numPr>
        <w:spacing w:line="360" w:lineRule="auto"/>
      </w:pPr>
      <w:r>
        <w:t>Open Banking Implementation Entity (2023)</w:t>
      </w:r>
      <w:r>
        <w:t>.</w:t>
      </w:r>
      <w:r>
        <w:t xml:space="preserve"> </w:t>
      </w:r>
      <w:r>
        <w:rPr>
          <w:rStyle w:val="Emphasis"/>
          <w:rFonts w:eastAsiaTheme="majorEastAsia"/>
        </w:rPr>
        <w:t>Open Banking Impact Report 2023</w:t>
      </w:r>
      <w:r>
        <w:t>. OBIE.</w:t>
      </w:r>
    </w:p>
    <w:p w14:paraId="63517C9F" w14:textId="77777777" w:rsidR="004E2236" w:rsidRDefault="004E2236" w:rsidP="00E01B64">
      <w:pPr>
        <w:pStyle w:val="NormalWeb"/>
        <w:numPr>
          <w:ilvl w:val="0"/>
          <w:numId w:val="8"/>
        </w:numPr>
        <w:spacing w:line="360" w:lineRule="auto"/>
      </w:pPr>
      <w:r>
        <w:t xml:space="preserve">PwC (2023) </w:t>
      </w:r>
      <w:r>
        <w:rPr>
          <w:rStyle w:val="Emphasis"/>
          <w:rFonts w:eastAsiaTheme="majorEastAsia"/>
        </w:rPr>
        <w:t>UK Banking 2023: The Digital Competition Era</w:t>
      </w:r>
      <w:r>
        <w:t>. PricewaterhouseCoopers.</w:t>
      </w:r>
    </w:p>
    <w:p w14:paraId="4826D147" w14:textId="77777777" w:rsidR="004E2236" w:rsidRDefault="004E2236" w:rsidP="00E01B64">
      <w:pPr>
        <w:pStyle w:val="NormalWeb"/>
        <w:numPr>
          <w:ilvl w:val="0"/>
          <w:numId w:val="8"/>
        </w:numPr>
        <w:spacing w:line="360" w:lineRule="auto"/>
      </w:pPr>
      <w:r>
        <w:t xml:space="preserve">Statista (2024) </w:t>
      </w:r>
      <w:r>
        <w:rPr>
          <w:rStyle w:val="Emphasis"/>
          <w:rFonts w:eastAsiaTheme="majorEastAsia"/>
        </w:rPr>
        <w:t>Market share of leading banks in the United Kingdom (UK)</w:t>
      </w:r>
      <w:r>
        <w:t xml:space="preserve">. Available at: </w:t>
      </w:r>
      <w:hyperlink r:id="rId7" w:tgtFrame="_new" w:history="1">
        <w:r>
          <w:rPr>
            <w:rStyle w:val="Hyperlink"/>
            <w:rFonts w:eastAsiaTheme="majorEastAsia"/>
          </w:rPr>
          <w:t>https://www.statista.com</w:t>
        </w:r>
      </w:hyperlink>
      <w:r>
        <w:t xml:space="preserve"> (Accessed: 12 November 2025).</w:t>
      </w:r>
    </w:p>
    <w:p w14:paraId="143771C1" w14:textId="77777777"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Accenture (2023) </w:t>
      </w:r>
      <w:r w:rsidRPr="00E01B64">
        <w:rPr>
          <w:rFonts w:ascii="Times New Roman" w:eastAsia="Times New Roman" w:hAnsi="Times New Roman" w:cs="Times New Roman"/>
          <w:i/>
          <w:iCs/>
          <w:sz w:val="24"/>
          <w:szCs w:val="24"/>
          <w:lang w:eastAsia="en-GB"/>
        </w:rPr>
        <w:t>Banking Technology Vision 2023</w:t>
      </w:r>
      <w:r w:rsidRPr="00E01B64">
        <w:rPr>
          <w:rFonts w:ascii="Times New Roman" w:eastAsia="Times New Roman" w:hAnsi="Times New Roman" w:cs="Times New Roman"/>
          <w:sz w:val="24"/>
          <w:szCs w:val="24"/>
          <w:lang w:eastAsia="en-GB"/>
        </w:rPr>
        <w:t xml:space="preserve">. Available at: </w:t>
      </w:r>
      <w:hyperlink r:id="rId8" w:tgtFrame="_new" w:history="1">
        <w:r w:rsidRPr="00E01B64">
          <w:rPr>
            <w:rFonts w:ascii="Times New Roman" w:eastAsia="Times New Roman" w:hAnsi="Times New Roman" w:cs="Times New Roman"/>
            <w:color w:val="0000FF"/>
            <w:sz w:val="24"/>
            <w:szCs w:val="24"/>
            <w:u w:val="single"/>
            <w:lang w:eastAsia="en-GB"/>
          </w:rPr>
          <w:t>https://www.accenture.com</w:t>
        </w:r>
      </w:hyperlink>
      <w:r w:rsidRPr="00E01B64">
        <w:rPr>
          <w:rFonts w:ascii="Times New Roman" w:eastAsia="Times New Roman" w:hAnsi="Times New Roman" w:cs="Times New Roman"/>
          <w:sz w:val="24"/>
          <w:szCs w:val="24"/>
          <w:lang w:eastAsia="en-GB"/>
        </w:rPr>
        <w:t xml:space="preserve"> (Accessed: 12 November 2025).</w:t>
      </w:r>
    </w:p>
    <w:p w14:paraId="2E13AE3D" w14:textId="211EA856"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Appelbaum, S.H., Habashy, S., Malo, </w:t>
      </w:r>
      <w:r w:rsidRPr="00E01B64">
        <w:rPr>
          <w:rFonts w:ascii="Times New Roman" w:eastAsia="Times New Roman" w:hAnsi="Times New Roman" w:cs="Times New Roman"/>
          <w:sz w:val="24"/>
          <w:szCs w:val="24"/>
          <w:lang w:eastAsia="en-GB"/>
        </w:rPr>
        <w:t>J.-L.</w:t>
      </w:r>
      <w:r w:rsidRPr="00E01B64">
        <w:rPr>
          <w:rFonts w:ascii="Times New Roman" w:eastAsia="Times New Roman" w:hAnsi="Times New Roman" w:cs="Times New Roman"/>
          <w:sz w:val="24"/>
          <w:szCs w:val="24"/>
          <w:lang w:eastAsia="en-GB"/>
        </w:rPr>
        <w:t xml:space="preserve"> </w:t>
      </w:r>
      <w:r w:rsidRPr="00E01B64">
        <w:rPr>
          <w:rFonts w:ascii="Times New Roman" w:eastAsia="Times New Roman" w:hAnsi="Times New Roman" w:cs="Times New Roman"/>
          <w:sz w:val="24"/>
          <w:szCs w:val="24"/>
          <w:lang w:eastAsia="en-GB"/>
        </w:rPr>
        <w:t>&amp;</w:t>
      </w:r>
      <w:r w:rsidRPr="00E01B64">
        <w:rPr>
          <w:rFonts w:ascii="Times New Roman" w:eastAsia="Times New Roman" w:hAnsi="Times New Roman" w:cs="Times New Roman"/>
          <w:sz w:val="24"/>
          <w:szCs w:val="24"/>
          <w:lang w:eastAsia="en-GB"/>
        </w:rPr>
        <w:t xml:space="preserve"> Shafiq, H. (2012)</w:t>
      </w:r>
      <w:r w:rsidRPr="00E01B64">
        <w:rPr>
          <w:rFonts w:ascii="Times New Roman" w:eastAsia="Times New Roman" w:hAnsi="Times New Roman" w:cs="Times New Roman"/>
          <w:sz w:val="24"/>
          <w:szCs w:val="24"/>
          <w:lang w:eastAsia="en-GB"/>
        </w:rPr>
        <w:t>.</w:t>
      </w:r>
      <w:r w:rsidRPr="00E01B64">
        <w:rPr>
          <w:rFonts w:ascii="Times New Roman" w:eastAsia="Times New Roman" w:hAnsi="Times New Roman" w:cs="Times New Roman"/>
          <w:sz w:val="24"/>
          <w:szCs w:val="24"/>
          <w:lang w:eastAsia="en-GB"/>
        </w:rPr>
        <w:t xml:space="preserve"> ‘Back to the future: Revisiting Kotter’s 1996 change model’, </w:t>
      </w:r>
      <w:r w:rsidRPr="00E01B64">
        <w:rPr>
          <w:rFonts w:ascii="Times New Roman" w:eastAsia="Times New Roman" w:hAnsi="Times New Roman" w:cs="Times New Roman"/>
          <w:i/>
          <w:iCs/>
          <w:sz w:val="24"/>
          <w:szCs w:val="24"/>
          <w:lang w:eastAsia="en-GB"/>
        </w:rPr>
        <w:t>Journal of Management Development</w:t>
      </w:r>
      <w:r w:rsidRPr="00E01B64">
        <w:rPr>
          <w:rFonts w:ascii="Times New Roman" w:eastAsia="Times New Roman" w:hAnsi="Times New Roman" w:cs="Times New Roman"/>
          <w:sz w:val="24"/>
          <w:szCs w:val="24"/>
          <w:lang w:eastAsia="en-GB"/>
        </w:rPr>
        <w:t>, 31(8), pp. 764–782.</w:t>
      </w:r>
    </w:p>
    <w:p w14:paraId="44102BAF" w14:textId="45FA9920"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Armenakis, A. </w:t>
      </w:r>
      <w:r w:rsidRPr="00E01B64">
        <w:rPr>
          <w:rFonts w:ascii="Times New Roman" w:eastAsia="Times New Roman" w:hAnsi="Times New Roman" w:cs="Times New Roman"/>
          <w:sz w:val="24"/>
          <w:szCs w:val="24"/>
          <w:lang w:eastAsia="en-GB"/>
        </w:rPr>
        <w:t>&amp;</w:t>
      </w:r>
      <w:r w:rsidRPr="00E01B64">
        <w:rPr>
          <w:rFonts w:ascii="Times New Roman" w:eastAsia="Times New Roman" w:hAnsi="Times New Roman" w:cs="Times New Roman"/>
          <w:sz w:val="24"/>
          <w:szCs w:val="24"/>
          <w:lang w:eastAsia="en-GB"/>
        </w:rPr>
        <w:t xml:space="preserve"> Harris, S. (2009)</w:t>
      </w:r>
      <w:r w:rsidRPr="00E01B64">
        <w:rPr>
          <w:rFonts w:ascii="Times New Roman" w:eastAsia="Times New Roman" w:hAnsi="Times New Roman" w:cs="Times New Roman"/>
          <w:sz w:val="24"/>
          <w:szCs w:val="24"/>
          <w:lang w:eastAsia="en-GB"/>
        </w:rPr>
        <w:t>.</w:t>
      </w:r>
      <w:r w:rsidRPr="00E01B64">
        <w:rPr>
          <w:rFonts w:ascii="Times New Roman" w:eastAsia="Times New Roman" w:hAnsi="Times New Roman" w:cs="Times New Roman"/>
          <w:sz w:val="24"/>
          <w:szCs w:val="24"/>
          <w:lang w:eastAsia="en-GB"/>
        </w:rPr>
        <w:t xml:space="preserve"> ‘Reflections: Our Journey in Organizational Change Research and Practice’, </w:t>
      </w:r>
      <w:r w:rsidRPr="00E01B64">
        <w:rPr>
          <w:rFonts w:ascii="Times New Roman" w:eastAsia="Times New Roman" w:hAnsi="Times New Roman" w:cs="Times New Roman"/>
          <w:i/>
          <w:iCs/>
          <w:sz w:val="24"/>
          <w:szCs w:val="24"/>
          <w:lang w:eastAsia="en-GB"/>
        </w:rPr>
        <w:t>Journal of Change Management</w:t>
      </w:r>
      <w:r w:rsidRPr="00E01B64">
        <w:rPr>
          <w:rFonts w:ascii="Times New Roman" w:eastAsia="Times New Roman" w:hAnsi="Times New Roman" w:cs="Times New Roman"/>
          <w:sz w:val="24"/>
          <w:szCs w:val="24"/>
          <w:lang w:eastAsia="en-GB"/>
        </w:rPr>
        <w:t>, 9(2), pp. 127–142.</w:t>
      </w:r>
    </w:p>
    <w:p w14:paraId="3B68A407" w14:textId="6BB6C0E2"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Bass, B.M. </w:t>
      </w:r>
      <w:r w:rsidRPr="00E01B64">
        <w:rPr>
          <w:rFonts w:ascii="Times New Roman" w:eastAsia="Times New Roman" w:hAnsi="Times New Roman" w:cs="Times New Roman"/>
          <w:sz w:val="24"/>
          <w:szCs w:val="24"/>
          <w:lang w:eastAsia="en-GB"/>
        </w:rPr>
        <w:t>&amp;</w:t>
      </w:r>
      <w:r w:rsidRPr="00E01B64">
        <w:rPr>
          <w:rFonts w:ascii="Times New Roman" w:eastAsia="Times New Roman" w:hAnsi="Times New Roman" w:cs="Times New Roman"/>
          <w:sz w:val="24"/>
          <w:szCs w:val="24"/>
          <w:lang w:eastAsia="en-GB"/>
        </w:rPr>
        <w:t xml:space="preserve"> Riggio, R.E. (2006). </w:t>
      </w:r>
      <w:r w:rsidRPr="00E01B64">
        <w:rPr>
          <w:rFonts w:ascii="Times New Roman" w:eastAsia="Times New Roman" w:hAnsi="Times New Roman" w:cs="Times New Roman"/>
          <w:i/>
          <w:iCs/>
          <w:sz w:val="24"/>
          <w:szCs w:val="24"/>
          <w:lang w:eastAsia="en-GB"/>
        </w:rPr>
        <w:t>Transformational Leadership</w:t>
      </w:r>
      <w:r w:rsidRPr="00E01B64">
        <w:rPr>
          <w:rFonts w:ascii="Times New Roman" w:eastAsia="Times New Roman" w:hAnsi="Times New Roman" w:cs="Times New Roman"/>
          <w:sz w:val="24"/>
          <w:szCs w:val="24"/>
          <w:lang w:eastAsia="en-GB"/>
        </w:rPr>
        <w:t>. 2nd edn. New York: Psychology Press.</w:t>
      </w:r>
    </w:p>
    <w:p w14:paraId="38697703" w14:textId="5412EE9C"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lastRenderedPageBreak/>
        <w:t>Deloitte (2022)</w:t>
      </w:r>
      <w:r w:rsidRPr="00E01B64">
        <w:rPr>
          <w:rFonts w:ascii="Times New Roman" w:eastAsia="Times New Roman" w:hAnsi="Times New Roman" w:cs="Times New Roman"/>
          <w:sz w:val="24"/>
          <w:szCs w:val="24"/>
          <w:lang w:eastAsia="en-GB"/>
        </w:rPr>
        <w:t xml:space="preserve">. </w:t>
      </w:r>
      <w:r w:rsidRPr="00E01B64">
        <w:rPr>
          <w:rFonts w:ascii="Times New Roman" w:eastAsia="Times New Roman" w:hAnsi="Times New Roman" w:cs="Times New Roman"/>
          <w:i/>
          <w:iCs/>
          <w:sz w:val="24"/>
          <w:szCs w:val="24"/>
          <w:lang w:eastAsia="en-GB"/>
        </w:rPr>
        <w:t>UK Banking and Capital Markets Outlook 2022</w:t>
      </w:r>
      <w:r w:rsidRPr="00E01B64">
        <w:rPr>
          <w:rFonts w:ascii="Times New Roman" w:eastAsia="Times New Roman" w:hAnsi="Times New Roman" w:cs="Times New Roman"/>
          <w:sz w:val="24"/>
          <w:szCs w:val="24"/>
          <w:lang w:eastAsia="en-GB"/>
        </w:rPr>
        <w:t xml:space="preserve">. Deloitte Insights. Available at: </w:t>
      </w:r>
      <w:hyperlink r:id="rId9" w:tgtFrame="_new" w:history="1">
        <w:r w:rsidRPr="00E01B64">
          <w:rPr>
            <w:rFonts w:ascii="Times New Roman" w:eastAsia="Times New Roman" w:hAnsi="Times New Roman" w:cs="Times New Roman"/>
            <w:color w:val="0000FF"/>
            <w:sz w:val="24"/>
            <w:szCs w:val="24"/>
            <w:u w:val="single"/>
            <w:lang w:eastAsia="en-GB"/>
          </w:rPr>
          <w:t>https://www2.deloitte.com</w:t>
        </w:r>
      </w:hyperlink>
      <w:r w:rsidRPr="00E01B64">
        <w:rPr>
          <w:rFonts w:ascii="Times New Roman" w:eastAsia="Times New Roman" w:hAnsi="Times New Roman" w:cs="Times New Roman"/>
          <w:sz w:val="24"/>
          <w:szCs w:val="24"/>
          <w:lang w:eastAsia="en-GB"/>
        </w:rPr>
        <w:t xml:space="preserve"> (Accessed: 12 November 2025).</w:t>
      </w:r>
    </w:p>
    <w:p w14:paraId="41077918" w14:textId="66ACD5BC"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Deloitte (2023)</w:t>
      </w:r>
      <w:r w:rsidRPr="00E01B64">
        <w:rPr>
          <w:rFonts w:ascii="Times New Roman" w:eastAsia="Times New Roman" w:hAnsi="Times New Roman" w:cs="Times New Roman"/>
          <w:sz w:val="24"/>
          <w:szCs w:val="24"/>
          <w:lang w:eastAsia="en-GB"/>
        </w:rPr>
        <w:t xml:space="preserve">. </w:t>
      </w:r>
      <w:r w:rsidRPr="00E01B64">
        <w:rPr>
          <w:rFonts w:ascii="Times New Roman" w:eastAsia="Times New Roman" w:hAnsi="Times New Roman" w:cs="Times New Roman"/>
          <w:i/>
          <w:iCs/>
          <w:sz w:val="24"/>
          <w:szCs w:val="24"/>
          <w:lang w:eastAsia="en-GB"/>
        </w:rPr>
        <w:t>Digital Transformation in Banking 2023</w:t>
      </w:r>
      <w:r w:rsidRPr="00E01B64">
        <w:rPr>
          <w:rFonts w:ascii="Times New Roman" w:eastAsia="Times New Roman" w:hAnsi="Times New Roman" w:cs="Times New Roman"/>
          <w:sz w:val="24"/>
          <w:szCs w:val="24"/>
          <w:lang w:eastAsia="en-GB"/>
        </w:rPr>
        <w:t>. Deloitte UK.</w:t>
      </w:r>
    </w:p>
    <w:p w14:paraId="56BD60BD" w14:textId="77777777"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FCA (2023) </w:t>
      </w:r>
      <w:r w:rsidRPr="00E01B64">
        <w:rPr>
          <w:rFonts w:ascii="Times New Roman" w:eastAsia="Times New Roman" w:hAnsi="Times New Roman" w:cs="Times New Roman"/>
          <w:i/>
          <w:iCs/>
          <w:sz w:val="24"/>
          <w:szCs w:val="24"/>
          <w:lang w:eastAsia="en-GB"/>
        </w:rPr>
        <w:t>Financial Conduct Authority Annual Report 2023</w:t>
      </w:r>
      <w:r w:rsidRPr="00E01B64">
        <w:rPr>
          <w:rFonts w:ascii="Times New Roman" w:eastAsia="Times New Roman" w:hAnsi="Times New Roman" w:cs="Times New Roman"/>
          <w:sz w:val="24"/>
          <w:szCs w:val="24"/>
          <w:lang w:eastAsia="en-GB"/>
        </w:rPr>
        <w:t>. London: FCA.</w:t>
      </w:r>
    </w:p>
    <w:p w14:paraId="3A351664" w14:textId="6CAB30D6"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Gill, R. (2002)</w:t>
      </w:r>
      <w:r w:rsidRPr="00E01B64">
        <w:rPr>
          <w:rFonts w:ascii="Times New Roman" w:eastAsia="Times New Roman" w:hAnsi="Times New Roman" w:cs="Times New Roman"/>
          <w:sz w:val="24"/>
          <w:szCs w:val="24"/>
          <w:lang w:eastAsia="en-GB"/>
        </w:rPr>
        <w:t>.</w:t>
      </w:r>
      <w:r w:rsidRPr="00E01B64">
        <w:rPr>
          <w:rFonts w:ascii="Times New Roman" w:eastAsia="Times New Roman" w:hAnsi="Times New Roman" w:cs="Times New Roman"/>
          <w:sz w:val="24"/>
          <w:szCs w:val="24"/>
          <w:lang w:eastAsia="en-GB"/>
        </w:rPr>
        <w:t xml:space="preserve"> ‘Change management—or change leadership?’, </w:t>
      </w:r>
      <w:r w:rsidRPr="00E01B64">
        <w:rPr>
          <w:rFonts w:ascii="Times New Roman" w:eastAsia="Times New Roman" w:hAnsi="Times New Roman" w:cs="Times New Roman"/>
          <w:i/>
          <w:iCs/>
          <w:sz w:val="24"/>
          <w:szCs w:val="24"/>
          <w:lang w:eastAsia="en-GB"/>
        </w:rPr>
        <w:t>Journal of Change Management</w:t>
      </w:r>
      <w:r w:rsidRPr="00E01B64">
        <w:rPr>
          <w:rFonts w:ascii="Times New Roman" w:eastAsia="Times New Roman" w:hAnsi="Times New Roman" w:cs="Times New Roman"/>
          <w:sz w:val="24"/>
          <w:szCs w:val="24"/>
          <w:lang w:eastAsia="en-GB"/>
        </w:rPr>
        <w:t>, 3(4), pp. 307–318.</w:t>
      </w:r>
    </w:p>
    <w:p w14:paraId="21A8CB1A" w14:textId="77777777"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Hayes, J. (2018). </w:t>
      </w:r>
      <w:r w:rsidRPr="00E01B64">
        <w:rPr>
          <w:rFonts w:ascii="Times New Roman" w:eastAsia="Times New Roman" w:hAnsi="Times New Roman" w:cs="Times New Roman"/>
          <w:i/>
          <w:iCs/>
          <w:sz w:val="24"/>
          <w:szCs w:val="24"/>
          <w:lang w:eastAsia="en-GB"/>
        </w:rPr>
        <w:t>The Theory and Practice of Change Management</w:t>
      </w:r>
      <w:r w:rsidRPr="00E01B64">
        <w:rPr>
          <w:rFonts w:ascii="Times New Roman" w:eastAsia="Times New Roman" w:hAnsi="Times New Roman" w:cs="Times New Roman"/>
          <w:sz w:val="24"/>
          <w:szCs w:val="24"/>
          <w:lang w:eastAsia="en-GB"/>
        </w:rPr>
        <w:t>. 6th edn. London: Palgrave Macmillan.</w:t>
      </w:r>
    </w:p>
    <w:p w14:paraId="638476F1" w14:textId="13A51AD7"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KPMG (2023)</w:t>
      </w:r>
      <w:r w:rsidRPr="00E01B64">
        <w:rPr>
          <w:rFonts w:ascii="Times New Roman" w:eastAsia="Times New Roman" w:hAnsi="Times New Roman" w:cs="Times New Roman"/>
          <w:sz w:val="24"/>
          <w:szCs w:val="24"/>
          <w:lang w:eastAsia="en-GB"/>
        </w:rPr>
        <w:t xml:space="preserve">. </w:t>
      </w:r>
      <w:r w:rsidRPr="00E01B64">
        <w:rPr>
          <w:rFonts w:ascii="Times New Roman" w:eastAsia="Times New Roman" w:hAnsi="Times New Roman" w:cs="Times New Roman"/>
          <w:i/>
          <w:iCs/>
          <w:sz w:val="24"/>
          <w:szCs w:val="24"/>
          <w:lang w:eastAsia="en-GB"/>
        </w:rPr>
        <w:t>Customer Experience in Banking 2023</w:t>
      </w:r>
      <w:r w:rsidRPr="00E01B64">
        <w:rPr>
          <w:rFonts w:ascii="Times New Roman" w:eastAsia="Times New Roman" w:hAnsi="Times New Roman" w:cs="Times New Roman"/>
          <w:sz w:val="24"/>
          <w:szCs w:val="24"/>
          <w:lang w:eastAsia="en-GB"/>
        </w:rPr>
        <w:t>. KPMG UK.</w:t>
      </w:r>
    </w:p>
    <w:p w14:paraId="6BD3D4DD" w14:textId="77777777"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Kotter, J.P. (1996). </w:t>
      </w:r>
      <w:r w:rsidRPr="00E01B64">
        <w:rPr>
          <w:rFonts w:ascii="Times New Roman" w:eastAsia="Times New Roman" w:hAnsi="Times New Roman" w:cs="Times New Roman"/>
          <w:i/>
          <w:iCs/>
          <w:sz w:val="24"/>
          <w:szCs w:val="24"/>
          <w:lang w:eastAsia="en-GB"/>
        </w:rPr>
        <w:t>Leading Change</w:t>
      </w:r>
      <w:r w:rsidRPr="00E01B64">
        <w:rPr>
          <w:rFonts w:ascii="Times New Roman" w:eastAsia="Times New Roman" w:hAnsi="Times New Roman" w:cs="Times New Roman"/>
          <w:sz w:val="24"/>
          <w:szCs w:val="24"/>
          <w:lang w:eastAsia="en-GB"/>
        </w:rPr>
        <w:t>. Boston: Harvard Business School Press.</w:t>
      </w:r>
    </w:p>
    <w:p w14:paraId="389A0FE8" w14:textId="4D9F61CB"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Lloyds Banking Group (2023)</w:t>
      </w:r>
      <w:r w:rsidRPr="00E01B64">
        <w:rPr>
          <w:rFonts w:ascii="Times New Roman" w:eastAsia="Times New Roman" w:hAnsi="Times New Roman" w:cs="Times New Roman"/>
          <w:sz w:val="24"/>
          <w:szCs w:val="24"/>
          <w:lang w:eastAsia="en-GB"/>
        </w:rPr>
        <w:t>.</w:t>
      </w:r>
      <w:r w:rsidRPr="00E01B64">
        <w:rPr>
          <w:rFonts w:ascii="Times New Roman" w:eastAsia="Times New Roman" w:hAnsi="Times New Roman" w:cs="Times New Roman"/>
          <w:sz w:val="24"/>
          <w:szCs w:val="24"/>
          <w:lang w:eastAsia="en-GB"/>
        </w:rPr>
        <w:t xml:space="preserve"> </w:t>
      </w:r>
      <w:r w:rsidRPr="00E01B64">
        <w:rPr>
          <w:rFonts w:ascii="Times New Roman" w:eastAsia="Times New Roman" w:hAnsi="Times New Roman" w:cs="Times New Roman"/>
          <w:i/>
          <w:iCs/>
          <w:sz w:val="24"/>
          <w:szCs w:val="24"/>
          <w:lang w:eastAsia="en-GB"/>
        </w:rPr>
        <w:t>Annual Report and Accounts 2023</w:t>
      </w:r>
      <w:r w:rsidRPr="00E01B64">
        <w:rPr>
          <w:rFonts w:ascii="Times New Roman" w:eastAsia="Times New Roman" w:hAnsi="Times New Roman" w:cs="Times New Roman"/>
          <w:sz w:val="24"/>
          <w:szCs w:val="24"/>
          <w:lang w:eastAsia="en-GB"/>
        </w:rPr>
        <w:t>. Lloyds Banking Group plc.</w:t>
      </w:r>
    </w:p>
    <w:p w14:paraId="0961073C" w14:textId="77777777"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McKinsey &amp; Company (2023). </w:t>
      </w:r>
      <w:r w:rsidRPr="00E01B64">
        <w:rPr>
          <w:rFonts w:ascii="Times New Roman" w:eastAsia="Times New Roman" w:hAnsi="Times New Roman" w:cs="Times New Roman"/>
          <w:i/>
          <w:iCs/>
          <w:sz w:val="24"/>
          <w:szCs w:val="24"/>
          <w:lang w:eastAsia="en-GB"/>
        </w:rPr>
        <w:t>Global Banking Annual Review 2023: Reinventing Financial Services</w:t>
      </w:r>
      <w:r w:rsidRPr="00E01B64">
        <w:rPr>
          <w:rFonts w:ascii="Times New Roman" w:eastAsia="Times New Roman" w:hAnsi="Times New Roman" w:cs="Times New Roman"/>
          <w:sz w:val="24"/>
          <w:szCs w:val="24"/>
          <w:lang w:eastAsia="en-GB"/>
        </w:rPr>
        <w:t>. McKinsey.</w:t>
      </w:r>
    </w:p>
    <w:p w14:paraId="6A5F3501" w14:textId="77777777"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PwC (2023) </w:t>
      </w:r>
      <w:r w:rsidRPr="00E01B64">
        <w:rPr>
          <w:rFonts w:ascii="Times New Roman" w:eastAsia="Times New Roman" w:hAnsi="Times New Roman" w:cs="Times New Roman"/>
          <w:i/>
          <w:iCs/>
          <w:sz w:val="24"/>
          <w:szCs w:val="24"/>
          <w:lang w:eastAsia="en-GB"/>
        </w:rPr>
        <w:t>UK Banking and Capital Markets Outlook 2023</w:t>
      </w:r>
      <w:r w:rsidRPr="00E01B64">
        <w:rPr>
          <w:rFonts w:ascii="Times New Roman" w:eastAsia="Times New Roman" w:hAnsi="Times New Roman" w:cs="Times New Roman"/>
          <w:sz w:val="24"/>
          <w:szCs w:val="24"/>
          <w:lang w:eastAsia="en-GB"/>
        </w:rPr>
        <w:t>. PricewaterhouseCoopers.</w:t>
      </w:r>
    </w:p>
    <w:p w14:paraId="618147A5" w14:textId="77777777" w:rsidR="004E2236" w:rsidRPr="00E01B64" w:rsidRDefault="004E2236" w:rsidP="00E01B64">
      <w:pPr>
        <w:pStyle w:val="ListParagraph"/>
        <w:numPr>
          <w:ilvl w:val="0"/>
          <w:numId w:val="8"/>
        </w:numPr>
        <w:spacing w:before="100" w:beforeAutospacing="1" w:after="100" w:afterAutospacing="1" w:line="360" w:lineRule="auto"/>
        <w:rPr>
          <w:rFonts w:ascii="Times New Roman" w:eastAsia="Times New Roman" w:hAnsi="Times New Roman" w:cs="Times New Roman"/>
          <w:sz w:val="24"/>
          <w:szCs w:val="24"/>
          <w:lang w:eastAsia="en-GB"/>
        </w:rPr>
      </w:pPr>
      <w:r w:rsidRPr="00E01B64">
        <w:rPr>
          <w:rFonts w:ascii="Times New Roman" w:eastAsia="Times New Roman" w:hAnsi="Times New Roman" w:cs="Times New Roman"/>
          <w:sz w:val="24"/>
          <w:szCs w:val="24"/>
          <w:lang w:eastAsia="en-GB"/>
        </w:rPr>
        <w:t xml:space="preserve">Schein, E.H. (2017). </w:t>
      </w:r>
      <w:r w:rsidRPr="00E01B64">
        <w:rPr>
          <w:rFonts w:ascii="Times New Roman" w:eastAsia="Times New Roman" w:hAnsi="Times New Roman" w:cs="Times New Roman"/>
          <w:i/>
          <w:iCs/>
          <w:sz w:val="24"/>
          <w:szCs w:val="24"/>
          <w:lang w:eastAsia="en-GB"/>
        </w:rPr>
        <w:t>Organizational Culture and Leadership</w:t>
      </w:r>
      <w:r w:rsidRPr="00E01B64">
        <w:rPr>
          <w:rFonts w:ascii="Times New Roman" w:eastAsia="Times New Roman" w:hAnsi="Times New Roman" w:cs="Times New Roman"/>
          <w:sz w:val="24"/>
          <w:szCs w:val="24"/>
          <w:lang w:eastAsia="en-GB"/>
        </w:rPr>
        <w:t>. 5th edn. Hoboken: Wiley.</w:t>
      </w:r>
    </w:p>
    <w:p w14:paraId="2B0EE89A" w14:textId="77777777" w:rsidR="00F603E3" w:rsidRPr="00F603E3" w:rsidRDefault="00F603E3" w:rsidP="00E01B64">
      <w:pPr>
        <w:spacing w:line="360" w:lineRule="auto"/>
        <w:rPr>
          <w:rFonts w:ascii="Arial" w:hAnsi="Arial" w:cs="Arial"/>
          <w:b/>
          <w:bCs/>
        </w:rPr>
      </w:pPr>
    </w:p>
    <w:sectPr w:rsidR="00F603E3" w:rsidRPr="00F603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62C6F"/>
    <w:multiLevelType w:val="multilevel"/>
    <w:tmpl w:val="B5340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C4A67"/>
    <w:multiLevelType w:val="multilevel"/>
    <w:tmpl w:val="11DC7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DF27B6"/>
    <w:multiLevelType w:val="multilevel"/>
    <w:tmpl w:val="3C42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B26240"/>
    <w:multiLevelType w:val="multilevel"/>
    <w:tmpl w:val="07720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3515D4"/>
    <w:multiLevelType w:val="multilevel"/>
    <w:tmpl w:val="103E7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457B1B"/>
    <w:multiLevelType w:val="multilevel"/>
    <w:tmpl w:val="34701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A86AF1"/>
    <w:multiLevelType w:val="hybridMultilevel"/>
    <w:tmpl w:val="013CC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3D54F2"/>
    <w:multiLevelType w:val="multilevel"/>
    <w:tmpl w:val="3FB4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8200451">
    <w:abstractNumId w:val="2"/>
  </w:num>
  <w:num w:numId="2" w16cid:durableId="1544902670">
    <w:abstractNumId w:val="5"/>
  </w:num>
  <w:num w:numId="3" w16cid:durableId="1669021686">
    <w:abstractNumId w:val="4"/>
  </w:num>
  <w:num w:numId="4" w16cid:durableId="2141343269">
    <w:abstractNumId w:val="7"/>
  </w:num>
  <w:num w:numId="5" w16cid:durableId="300624125">
    <w:abstractNumId w:val="1"/>
  </w:num>
  <w:num w:numId="6" w16cid:durableId="1644961592">
    <w:abstractNumId w:val="0"/>
  </w:num>
  <w:num w:numId="7" w16cid:durableId="733432797">
    <w:abstractNumId w:val="3"/>
  </w:num>
  <w:num w:numId="8" w16cid:durableId="1560715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508"/>
    <w:rsid w:val="00020B07"/>
    <w:rsid w:val="000A5CA9"/>
    <w:rsid w:val="000E5885"/>
    <w:rsid w:val="000E6BFD"/>
    <w:rsid w:val="00130DD2"/>
    <w:rsid w:val="001E7063"/>
    <w:rsid w:val="00250B90"/>
    <w:rsid w:val="00297C5A"/>
    <w:rsid w:val="003017F2"/>
    <w:rsid w:val="00312309"/>
    <w:rsid w:val="003448D2"/>
    <w:rsid w:val="00466915"/>
    <w:rsid w:val="00467778"/>
    <w:rsid w:val="00475CDE"/>
    <w:rsid w:val="004A7FE3"/>
    <w:rsid w:val="004B79FE"/>
    <w:rsid w:val="004E2236"/>
    <w:rsid w:val="00501F1E"/>
    <w:rsid w:val="00540F13"/>
    <w:rsid w:val="00551F13"/>
    <w:rsid w:val="00552892"/>
    <w:rsid w:val="0058559B"/>
    <w:rsid w:val="005C31E8"/>
    <w:rsid w:val="00612925"/>
    <w:rsid w:val="006907C8"/>
    <w:rsid w:val="006F3BBB"/>
    <w:rsid w:val="00704391"/>
    <w:rsid w:val="007266A0"/>
    <w:rsid w:val="00730C7E"/>
    <w:rsid w:val="007B661D"/>
    <w:rsid w:val="0083210E"/>
    <w:rsid w:val="008760B6"/>
    <w:rsid w:val="008C34F9"/>
    <w:rsid w:val="008C7372"/>
    <w:rsid w:val="008D3508"/>
    <w:rsid w:val="00955BFD"/>
    <w:rsid w:val="00965A3A"/>
    <w:rsid w:val="00971AD0"/>
    <w:rsid w:val="0099657D"/>
    <w:rsid w:val="00A15034"/>
    <w:rsid w:val="00A21789"/>
    <w:rsid w:val="00A420DD"/>
    <w:rsid w:val="00A54F3B"/>
    <w:rsid w:val="00A7745D"/>
    <w:rsid w:val="00AC76E8"/>
    <w:rsid w:val="00B1280F"/>
    <w:rsid w:val="00B32D3C"/>
    <w:rsid w:val="00B4198F"/>
    <w:rsid w:val="00B41A6F"/>
    <w:rsid w:val="00B61820"/>
    <w:rsid w:val="00BE7E3B"/>
    <w:rsid w:val="00C0563F"/>
    <w:rsid w:val="00CA678D"/>
    <w:rsid w:val="00CF0715"/>
    <w:rsid w:val="00D141E0"/>
    <w:rsid w:val="00DF3C10"/>
    <w:rsid w:val="00E01B64"/>
    <w:rsid w:val="00E14620"/>
    <w:rsid w:val="00E64964"/>
    <w:rsid w:val="00E649A6"/>
    <w:rsid w:val="00E71131"/>
    <w:rsid w:val="00F54160"/>
    <w:rsid w:val="00F573C4"/>
    <w:rsid w:val="00F603E3"/>
    <w:rsid w:val="00FA3305"/>
    <w:rsid w:val="00FC7363"/>
    <w:rsid w:val="00FD1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A92E4C"/>
  <w15:chartTrackingRefBased/>
  <w15:docId w15:val="{D71C828D-F971-4D7F-89E7-45D51A158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5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35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35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5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5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5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5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5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5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5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35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35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5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5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5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5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5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508"/>
    <w:rPr>
      <w:rFonts w:eastAsiaTheme="majorEastAsia" w:cstheme="majorBidi"/>
      <w:color w:val="272727" w:themeColor="text1" w:themeTint="D8"/>
    </w:rPr>
  </w:style>
  <w:style w:type="paragraph" w:styleId="Title">
    <w:name w:val="Title"/>
    <w:basedOn w:val="Normal"/>
    <w:next w:val="Normal"/>
    <w:link w:val="TitleChar"/>
    <w:uiPriority w:val="10"/>
    <w:qFormat/>
    <w:rsid w:val="008D35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5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5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5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508"/>
    <w:pPr>
      <w:spacing w:before="160"/>
      <w:jc w:val="center"/>
    </w:pPr>
    <w:rPr>
      <w:i/>
      <w:iCs/>
      <w:color w:val="404040" w:themeColor="text1" w:themeTint="BF"/>
    </w:rPr>
  </w:style>
  <w:style w:type="character" w:customStyle="1" w:styleId="QuoteChar">
    <w:name w:val="Quote Char"/>
    <w:basedOn w:val="DefaultParagraphFont"/>
    <w:link w:val="Quote"/>
    <w:uiPriority w:val="29"/>
    <w:rsid w:val="008D3508"/>
    <w:rPr>
      <w:i/>
      <w:iCs/>
      <w:color w:val="404040" w:themeColor="text1" w:themeTint="BF"/>
    </w:rPr>
  </w:style>
  <w:style w:type="paragraph" w:styleId="ListParagraph">
    <w:name w:val="List Paragraph"/>
    <w:basedOn w:val="Normal"/>
    <w:uiPriority w:val="34"/>
    <w:qFormat/>
    <w:rsid w:val="008D3508"/>
    <w:pPr>
      <w:ind w:left="720"/>
      <w:contextualSpacing/>
    </w:pPr>
  </w:style>
  <w:style w:type="character" w:styleId="IntenseEmphasis">
    <w:name w:val="Intense Emphasis"/>
    <w:basedOn w:val="DefaultParagraphFont"/>
    <w:uiPriority w:val="21"/>
    <w:qFormat/>
    <w:rsid w:val="008D3508"/>
    <w:rPr>
      <w:i/>
      <w:iCs/>
      <w:color w:val="0F4761" w:themeColor="accent1" w:themeShade="BF"/>
    </w:rPr>
  </w:style>
  <w:style w:type="paragraph" w:styleId="IntenseQuote">
    <w:name w:val="Intense Quote"/>
    <w:basedOn w:val="Normal"/>
    <w:next w:val="Normal"/>
    <w:link w:val="IntenseQuoteChar"/>
    <w:uiPriority w:val="30"/>
    <w:qFormat/>
    <w:rsid w:val="008D35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508"/>
    <w:rPr>
      <w:i/>
      <w:iCs/>
      <w:color w:val="0F4761" w:themeColor="accent1" w:themeShade="BF"/>
    </w:rPr>
  </w:style>
  <w:style w:type="character" w:styleId="IntenseReference">
    <w:name w:val="Intense Reference"/>
    <w:basedOn w:val="DefaultParagraphFont"/>
    <w:uiPriority w:val="32"/>
    <w:qFormat/>
    <w:rsid w:val="008D3508"/>
    <w:rPr>
      <w:b/>
      <w:bCs/>
      <w:smallCaps/>
      <w:color w:val="0F4761" w:themeColor="accent1" w:themeShade="BF"/>
      <w:spacing w:val="5"/>
    </w:rPr>
  </w:style>
  <w:style w:type="paragraph" w:styleId="NormalWeb">
    <w:name w:val="Normal (Web)"/>
    <w:basedOn w:val="Normal"/>
    <w:uiPriority w:val="99"/>
    <w:semiHidden/>
    <w:unhideWhenUsed/>
    <w:rsid w:val="003017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017F2"/>
    <w:rPr>
      <w:b/>
      <w:bCs/>
    </w:rPr>
  </w:style>
  <w:style w:type="table" w:styleId="TableGrid">
    <w:name w:val="Table Grid"/>
    <w:basedOn w:val="TableNormal"/>
    <w:uiPriority w:val="39"/>
    <w:rsid w:val="006F3B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E2236"/>
    <w:rPr>
      <w:i/>
      <w:iCs/>
    </w:rPr>
  </w:style>
  <w:style w:type="character" w:styleId="Hyperlink">
    <w:name w:val="Hyperlink"/>
    <w:basedOn w:val="DefaultParagraphFont"/>
    <w:uiPriority w:val="99"/>
    <w:semiHidden/>
    <w:unhideWhenUsed/>
    <w:rsid w:val="004E223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 TargetMode="External"/><Relationship Id="rId3" Type="http://schemas.openxmlformats.org/officeDocument/2006/relationships/styles" Target="styles.xml"/><Relationship Id="rId7" Type="http://schemas.openxmlformats.org/officeDocument/2006/relationships/hyperlink" Target="https://www.statist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centure.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2.deloit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1AF76-80E7-4397-8447-B783E7B51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19</Pages>
  <Words>3883</Words>
  <Characters>25398</Characters>
  <Application>Microsoft Office Word</Application>
  <DocSecurity>0</DocSecurity>
  <Lines>644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Vlad</dc:creator>
  <cp:keywords/>
  <dc:description/>
  <cp:lastModifiedBy>Ana-Maria Vlad</cp:lastModifiedBy>
  <cp:revision>43</cp:revision>
  <dcterms:created xsi:type="dcterms:W3CDTF">2025-11-12T20:50:00Z</dcterms:created>
  <dcterms:modified xsi:type="dcterms:W3CDTF">2025-11-19T11:59:00Z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69c93e20-5818-4ae9-8a9f-d5e09162893e</vt:lpwstr>
  </property>
</Properties>
</file>