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B6CD0DB" w14:textId="1DD3092F"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6B14">
              <w:rPr>
                <w:rFonts w:ascii="Times New Roman" w:hAnsi="Times New Roman" w:cs="Times New Roman"/>
                <w:b/>
                <w:color w:val="auto"/>
                <w:sz w:val="48"/>
              </w:rPr>
              <w:t>Michelle Skelland</w:t>
            </w:r>
          </w:p>
          <w:p w14:paraId="522BE39D" w14:textId="77777777" w:rsidR="00936B14" w:rsidRDefault="00936B14"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5C31F508" w:rsidR="00986B43" w:rsidRDefault="00936B14" w:rsidP="005D3F07">
            <w:pPr>
              <w:overflowPunct/>
              <w:autoSpaceDE/>
              <w:autoSpaceDN/>
              <w:adjustRightInd/>
              <w:ind w:right="-957"/>
              <w:textAlignment w:val="auto"/>
              <w:rPr>
                <w:rFonts w:ascii="Times New Roman" w:hAnsi="Times New Roman" w:cs="Times New Roman"/>
                <w:b/>
                <w:sz w:val="48"/>
              </w:rPr>
            </w:pPr>
            <w:r>
              <w:rPr>
                <w:rFonts w:ascii="Times New Roman" w:hAnsi="Times New Roman" w:cs="Times New Roman"/>
                <w:b/>
                <w:sz w:val="48"/>
              </w:rPr>
              <w:t>2237148@student.uwtsd.ac.uk</w:t>
            </w:r>
          </w:p>
          <w:p w14:paraId="5B43F748" w14:textId="77777777" w:rsidR="00936B14" w:rsidRDefault="00936B14"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35E0F46" w14:textId="77777777" w:rsidR="00936B14" w:rsidRPr="005D3F07" w:rsidRDefault="00936B14" w:rsidP="00936B14">
            <w:pPr>
              <w:ind w:right="-957"/>
              <w:rPr>
                <w:rFonts w:ascii="Times New Roman" w:hAnsi="Times New Roman" w:cs="Times New Roman"/>
                <w:b/>
                <w:sz w:val="48"/>
              </w:rPr>
            </w:pPr>
            <w:r>
              <w:rPr>
                <w:rFonts w:ascii="Times New Roman" w:hAnsi="Times New Roman" w:cs="Times New Roman"/>
                <w:b/>
                <w:sz w:val="48"/>
              </w:rPr>
              <w:t>2237148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68DA91" w14:textId="718DB83F" w:rsidR="00D3203C" w:rsidRDefault="00D3203C" w:rsidP="00936B14">
      <w:pPr>
        <w:rPr>
          <w:rFonts w:ascii="Times New Roman" w:hAnsi="Times New Roman" w:cs="Times New Roman"/>
          <w:color w:val="auto"/>
          <w:sz w:val="24"/>
        </w:rPr>
      </w:pPr>
    </w:p>
    <w:p w14:paraId="56F5964B" w14:textId="77777777" w:rsidR="00936B14" w:rsidRDefault="00936B14" w:rsidP="00936B14">
      <w:pPr>
        <w:rPr>
          <w:b/>
          <w:sz w:val="24"/>
          <w:szCs w:val="24"/>
        </w:rPr>
      </w:pP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0318E819" w14:textId="77777777" w:rsidR="00FC0334" w:rsidRPr="00936B14" w:rsidRDefault="00FC0334" w:rsidP="00936B14">
            <w:pPr>
              <w:spacing w:line="360" w:lineRule="auto"/>
              <w:jc w:val="both"/>
              <w:rPr>
                <w:rFonts w:ascii="Calibri" w:hAnsi="Calibri" w:cs="Calibri"/>
                <w:sz w:val="24"/>
                <w:szCs w:val="24"/>
              </w:rPr>
            </w:pPr>
          </w:p>
          <w:p w14:paraId="269399F5" w14:textId="77777777" w:rsidR="00936B14" w:rsidRPr="003C400F" w:rsidRDefault="00936B14" w:rsidP="00936B14">
            <w:pPr>
              <w:spacing w:line="360" w:lineRule="auto"/>
              <w:ind w:left="312" w:right="908"/>
              <w:jc w:val="both"/>
              <w:rPr>
                <w:sz w:val="24"/>
                <w:szCs w:val="24"/>
              </w:rPr>
            </w:pPr>
            <w:r w:rsidRPr="003C400F">
              <w:rPr>
                <w:sz w:val="24"/>
                <w:szCs w:val="24"/>
              </w:rPr>
              <w:t>The Social Services and Wellbeing (Wales) Act (2014) (SSWBA14) established a formal definition of the term ‘adult a risk’ and established adult safeguarding as a statutory requirement as it has been for the safeguarding of children since the Children act (1989). There are three components to the SSWBA14 definition of the term ‘adult a risk’ which are that the adult is experiencing or is at risk of abuse or neglect, has care and support needs (regardless of the need being met) and is unable to protect themselves against the abuse or neglect or the risk of it.</w:t>
            </w:r>
          </w:p>
          <w:p w14:paraId="07861643" w14:textId="77777777" w:rsidR="00936B14" w:rsidRPr="003C400F" w:rsidRDefault="00936B14" w:rsidP="00936B14">
            <w:pPr>
              <w:spacing w:line="360" w:lineRule="auto"/>
              <w:ind w:left="312" w:right="908"/>
              <w:jc w:val="both"/>
              <w:rPr>
                <w:sz w:val="24"/>
                <w:szCs w:val="24"/>
              </w:rPr>
            </w:pPr>
          </w:p>
          <w:p w14:paraId="3E10BC0A" w14:textId="77777777" w:rsidR="00936B14" w:rsidRPr="003C400F" w:rsidRDefault="00936B14" w:rsidP="00936B14">
            <w:pPr>
              <w:spacing w:line="360" w:lineRule="auto"/>
              <w:ind w:left="312" w:right="908"/>
              <w:jc w:val="both"/>
              <w:rPr>
                <w:sz w:val="24"/>
                <w:szCs w:val="24"/>
              </w:rPr>
            </w:pPr>
            <w:r w:rsidRPr="003C400F">
              <w:rPr>
                <w:sz w:val="24"/>
                <w:szCs w:val="24"/>
              </w:rPr>
              <w:t xml:space="preserve">The SSWBA14 also set a requirement for the establishment of a national independent safeguarding board and separate adult safeguarding boards across Wales. They have the functions of providing support and advice, monitoring safeguarding policies and procedures to ensure they are being effectively and equitably enforced. In addition, they are charged with providing an annual report of safeguarding activities and making recommendations to Welsh ministers towards the improvement of safeguarding nationally. </w:t>
            </w:r>
          </w:p>
          <w:p w14:paraId="230AB236" w14:textId="77777777" w:rsidR="00936B14" w:rsidRPr="003C400F" w:rsidRDefault="00936B14" w:rsidP="00936B14">
            <w:pPr>
              <w:spacing w:line="360" w:lineRule="auto"/>
              <w:ind w:left="312" w:right="908"/>
              <w:jc w:val="both"/>
              <w:rPr>
                <w:sz w:val="24"/>
                <w:szCs w:val="24"/>
              </w:rPr>
            </w:pPr>
          </w:p>
          <w:p w14:paraId="6C638EA4" w14:textId="77777777" w:rsidR="00936B14" w:rsidRPr="003C400F" w:rsidRDefault="00936B14" w:rsidP="00936B14">
            <w:pPr>
              <w:spacing w:line="360" w:lineRule="auto"/>
              <w:ind w:left="312" w:right="908"/>
              <w:jc w:val="both"/>
              <w:rPr>
                <w:sz w:val="24"/>
                <w:szCs w:val="24"/>
              </w:rPr>
            </w:pPr>
            <w:r w:rsidRPr="003C400F">
              <w:rPr>
                <w:sz w:val="24"/>
                <w:szCs w:val="24"/>
              </w:rPr>
              <w:t xml:space="preserve">Local authorities have a statutory duty to safeguard adults under s134 of the SSWBA14. ‘Working Together to Safeguard People: Volume 6 - Handling Individual Cases to Protect Adults at Risk’ sets out the national protocols and procedures for safeguarding adults. Key aspects of these duties are the duty to </w:t>
            </w:r>
            <w:r w:rsidRPr="003C400F">
              <w:rPr>
                <w:sz w:val="24"/>
                <w:szCs w:val="24"/>
              </w:rPr>
              <w:lastRenderedPageBreak/>
              <w:t>report any adult who is suspected of being at risk. There is the duty to make enquiries about any adult who is suspected of being at risk and establish if there is reason to believe the adult is at risk. Section 131 of the SSWBA also gave powers for Adult Protection</w:t>
            </w:r>
            <w:r w:rsidRPr="003C400F">
              <w:rPr>
                <w:spacing w:val="-11"/>
                <w:sz w:val="24"/>
                <w:szCs w:val="24"/>
              </w:rPr>
              <w:t xml:space="preserve"> </w:t>
            </w:r>
            <w:r w:rsidRPr="003C400F">
              <w:rPr>
                <w:sz w:val="24"/>
                <w:szCs w:val="24"/>
              </w:rPr>
              <w:t>and</w:t>
            </w:r>
            <w:r w:rsidRPr="003C400F">
              <w:rPr>
                <w:spacing w:val="-11"/>
                <w:sz w:val="24"/>
                <w:szCs w:val="24"/>
              </w:rPr>
              <w:t xml:space="preserve"> </w:t>
            </w:r>
            <w:r w:rsidRPr="003C400F">
              <w:rPr>
                <w:sz w:val="24"/>
                <w:szCs w:val="24"/>
              </w:rPr>
              <w:t>Support</w:t>
            </w:r>
            <w:r w:rsidRPr="003C400F">
              <w:rPr>
                <w:spacing w:val="-9"/>
                <w:sz w:val="24"/>
                <w:szCs w:val="24"/>
              </w:rPr>
              <w:t xml:space="preserve"> </w:t>
            </w:r>
            <w:r w:rsidRPr="003C400F">
              <w:rPr>
                <w:sz w:val="24"/>
                <w:szCs w:val="24"/>
              </w:rPr>
              <w:t>Orders</w:t>
            </w:r>
            <w:r w:rsidRPr="003C400F">
              <w:rPr>
                <w:spacing w:val="-10"/>
                <w:sz w:val="24"/>
                <w:szCs w:val="24"/>
              </w:rPr>
              <w:t xml:space="preserve"> </w:t>
            </w:r>
            <w:r w:rsidRPr="003C400F">
              <w:rPr>
                <w:sz w:val="24"/>
                <w:szCs w:val="24"/>
              </w:rPr>
              <w:t>(APSO’s) for an ‘authorised officer’ to, if necessary, gain entry to speak with any suspected ‘adult at risk’ in private so it can be established whether the person is ‘at risk’ and any action should be taken. Another important aspect of this is that the officers are required</w:t>
            </w:r>
            <w:r w:rsidRPr="003C400F">
              <w:rPr>
                <w:spacing w:val="-12"/>
                <w:sz w:val="24"/>
                <w:szCs w:val="24"/>
              </w:rPr>
              <w:t xml:space="preserve"> </w:t>
            </w:r>
            <w:r w:rsidRPr="003C400F">
              <w:rPr>
                <w:sz w:val="24"/>
                <w:szCs w:val="24"/>
              </w:rPr>
              <w:t>to</w:t>
            </w:r>
            <w:r w:rsidRPr="003C400F">
              <w:rPr>
                <w:spacing w:val="-11"/>
                <w:sz w:val="24"/>
                <w:szCs w:val="24"/>
              </w:rPr>
              <w:t xml:space="preserve"> </w:t>
            </w:r>
            <w:r w:rsidRPr="003C400F">
              <w:rPr>
                <w:sz w:val="24"/>
                <w:szCs w:val="24"/>
              </w:rPr>
              <w:t>make</w:t>
            </w:r>
            <w:r w:rsidRPr="003C400F">
              <w:rPr>
                <w:spacing w:val="-13"/>
                <w:sz w:val="24"/>
                <w:szCs w:val="24"/>
              </w:rPr>
              <w:t xml:space="preserve"> </w:t>
            </w:r>
            <w:r w:rsidRPr="003C400F">
              <w:rPr>
                <w:sz w:val="24"/>
                <w:szCs w:val="24"/>
              </w:rPr>
              <w:t>an</w:t>
            </w:r>
            <w:r w:rsidRPr="003C400F">
              <w:rPr>
                <w:spacing w:val="-11"/>
                <w:sz w:val="24"/>
                <w:szCs w:val="24"/>
              </w:rPr>
              <w:t xml:space="preserve"> </w:t>
            </w:r>
            <w:r w:rsidRPr="003C400F">
              <w:rPr>
                <w:sz w:val="24"/>
                <w:szCs w:val="24"/>
              </w:rPr>
              <w:t>“Active</w:t>
            </w:r>
            <w:r w:rsidRPr="003C400F">
              <w:rPr>
                <w:spacing w:val="-12"/>
                <w:sz w:val="24"/>
                <w:szCs w:val="24"/>
              </w:rPr>
              <w:t xml:space="preserve"> </w:t>
            </w:r>
            <w:r w:rsidRPr="003C400F">
              <w:rPr>
                <w:sz w:val="24"/>
                <w:szCs w:val="24"/>
              </w:rPr>
              <w:t>Offer”</w:t>
            </w:r>
            <w:r w:rsidRPr="003C400F">
              <w:rPr>
                <w:spacing w:val="-13"/>
                <w:sz w:val="24"/>
                <w:szCs w:val="24"/>
              </w:rPr>
              <w:t xml:space="preserve"> </w:t>
            </w:r>
            <w:r w:rsidRPr="003C400F">
              <w:rPr>
                <w:sz w:val="24"/>
                <w:szCs w:val="24"/>
              </w:rPr>
              <w:t>under</w:t>
            </w:r>
            <w:r w:rsidRPr="003C400F">
              <w:rPr>
                <w:spacing w:val="-12"/>
                <w:sz w:val="24"/>
                <w:szCs w:val="24"/>
              </w:rPr>
              <w:t xml:space="preserve"> </w:t>
            </w:r>
            <w:r w:rsidRPr="003C400F">
              <w:rPr>
                <w:sz w:val="24"/>
                <w:szCs w:val="24"/>
              </w:rPr>
              <w:t xml:space="preserve">the </w:t>
            </w:r>
            <w:r w:rsidRPr="003C400F">
              <w:rPr>
                <w:spacing w:val="-64"/>
                <w:sz w:val="24"/>
                <w:szCs w:val="24"/>
              </w:rPr>
              <w:t xml:space="preserve">  </w:t>
            </w:r>
            <w:r w:rsidRPr="003C400F">
              <w:rPr>
                <w:sz w:val="24"/>
                <w:szCs w:val="24"/>
              </w:rPr>
              <w:t>Welsh Language Measure (2011).</w:t>
            </w:r>
          </w:p>
          <w:p w14:paraId="42641F4A" w14:textId="77777777" w:rsidR="00936B14" w:rsidRPr="003C400F" w:rsidRDefault="00936B14" w:rsidP="00936B14">
            <w:pPr>
              <w:spacing w:line="360" w:lineRule="auto"/>
              <w:ind w:left="312" w:right="908"/>
              <w:jc w:val="both"/>
              <w:rPr>
                <w:sz w:val="24"/>
                <w:szCs w:val="24"/>
              </w:rPr>
            </w:pPr>
          </w:p>
          <w:p w14:paraId="16114183" w14:textId="77777777" w:rsidR="00936B14" w:rsidRPr="003C400F" w:rsidRDefault="00936B14" w:rsidP="00936B14">
            <w:pPr>
              <w:spacing w:line="360" w:lineRule="auto"/>
              <w:ind w:left="312" w:right="908"/>
              <w:jc w:val="both"/>
              <w:rPr>
                <w:sz w:val="24"/>
                <w:szCs w:val="24"/>
              </w:rPr>
            </w:pPr>
            <w:r w:rsidRPr="003C400F">
              <w:rPr>
                <w:sz w:val="24"/>
                <w:szCs w:val="24"/>
              </w:rPr>
              <w:t>Within my organizational structure we use the online resource ‘Wales Safeguarding Procedures’ and are each individually accountable to follow these procedures to raise safeguarding concerns to the local authority. Oversight of this is carried out by a nominated ‘responsible individual’ to supervise and ensure that these procedures are being carried out in line with the legislative framework set out above.</w:t>
            </w:r>
          </w:p>
          <w:p w14:paraId="2F0AFA16" w14:textId="77777777" w:rsidR="00936B14" w:rsidRPr="003C400F" w:rsidRDefault="00936B14" w:rsidP="00936B14">
            <w:pPr>
              <w:spacing w:line="360" w:lineRule="auto"/>
              <w:ind w:left="312" w:right="908"/>
              <w:jc w:val="both"/>
              <w:rPr>
                <w:sz w:val="24"/>
                <w:szCs w:val="24"/>
              </w:rPr>
            </w:pPr>
          </w:p>
          <w:p w14:paraId="5328DA02" w14:textId="77777777" w:rsidR="00936B14" w:rsidRPr="003C400F" w:rsidRDefault="00936B14" w:rsidP="00936B14">
            <w:pPr>
              <w:spacing w:line="360" w:lineRule="auto"/>
              <w:ind w:left="312" w:right="908"/>
              <w:jc w:val="both"/>
              <w:rPr>
                <w:sz w:val="24"/>
                <w:szCs w:val="24"/>
              </w:rPr>
            </w:pPr>
            <w:r w:rsidRPr="003C400F">
              <w:rPr>
                <w:sz w:val="24"/>
                <w:szCs w:val="24"/>
              </w:rPr>
              <w:t>There are several other relevant legislative frameworks to be aware of when handling safeguarding concerns for ‘adults at risk’. In particular: The Mental Capacity Act (2005) (MCA05), the Mental Health</w:t>
            </w:r>
            <w:r w:rsidRPr="003C400F">
              <w:rPr>
                <w:spacing w:val="1"/>
                <w:sz w:val="24"/>
                <w:szCs w:val="24"/>
              </w:rPr>
              <w:t xml:space="preserve"> </w:t>
            </w:r>
            <w:r w:rsidRPr="003C400F">
              <w:rPr>
                <w:spacing w:val="-1"/>
                <w:sz w:val="24"/>
                <w:szCs w:val="24"/>
              </w:rPr>
              <w:t>Act</w:t>
            </w:r>
            <w:r w:rsidRPr="003C400F">
              <w:rPr>
                <w:spacing w:val="-15"/>
                <w:sz w:val="24"/>
                <w:szCs w:val="24"/>
              </w:rPr>
              <w:t xml:space="preserve"> </w:t>
            </w:r>
            <w:r w:rsidRPr="003C400F">
              <w:rPr>
                <w:spacing w:val="-1"/>
                <w:sz w:val="24"/>
                <w:szCs w:val="24"/>
              </w:rPr>
              <w:t>(1983) (MHA83),</w:t>
            </w:r>
            <w:r w:rsidRPr="003C400F">
              <w:rPr>
                <w:spacing w:val="-16"/>
                <w:sz w:val="24"/>
                <w:szCs w:val="24"/>
              </w:rPr>
              <w:t xml:space="preserve"> </w:t>
            </w:r>
            <w:r w:rsidRPr="003C400F">
              <w:rPr>
                <w:sz w:val="24"/>
                <w:szCs w:val="24"/>
              </w:rPr>
              <w:t>Domestic</w:t>
            </w:r>
            <w:r w:rsidRPr="003C400F">
              <w:rPr>
                <w:spacing w:val="-14"/>
                <w:sz w:val="24"/>
                <w:szCs w:val="24"/>
              </w:rPr>
              <w:t xml:space="preserve"> </w:t>
            </w:r>
            <w:r w:rsidRPr="003C400F">
              <w:rPr>
                <w:sz w:val="24"/>
                <w:szCs w:val="24"/>
              </w:rPr>
              <w:t>Abuse</w:t>
            </w:r>
            <w:r w:rsidRPr="003C400F">
              <w:rPr>
                <w:spacing w:val="-65"/>
                <w:sz w:val="24"/>
                <w:szCs w:val="24"/>
              </w:rPr>
              <w:t xml:space="preserve"> </w:t>
            </w:r>
            <w:r w:rsidRPr="003C400F">
              <w:rPr>
                <w:sz w:val="24"/>
                <w:szCs w:val="24"/>
              </w:rPr>
              <w:t>(Violence</w:t>
            </w:r>
            <w:r w:rsidRPr="003C400F">
              <w:rPr>
                <w:spacing w:val="-6"/>
                <w:sz w:val="24"/>
                <w:szCs w:val="24"/>
              </w:rPr>
              <w:t xml:space="preserve"> </w:t>
            </w:r>
            <w:r w:rsidRPr="003C400F">
              <w:rPr>
                <w:sz w:val="24"/>
                <w:szCs w:val="24"/>
              </w:rPr>
              <w:t>against</w:t>
            </w:r>
            <w:r w:rsidRPr="003C400F">
              <w:rPr>
                <w:spacing w:val="-8"/>
                <w:sz w:val="24"/>
                <w:szCs w:val="24"/>
              </w:rPr>
              <w:t xml:space="preserve"> </w:t>
            </w:r>
            <w:r w:rsidRPr="003C400F">
              <w:rPr>
                <w:sz w:val="24"/>
                <w:szCs w:val="24"/>
              </w:rPr>
              <w:t>Women,</w:t>
            </w:r>
            <w:r w:rsidRPr="003C400F">
              <w:rPr>
                <w:spacing w:val="-5"/>
                <w:sz w:val="24"/>
                <w:szCs w:val="24"/>
              </w:rPr>
              <w:t xml:space="preserve"> </w:t>
            </w:r>
            <w:r w:rsidRPr="003C400F">
              <w:rPr>
                <w:sz w:val="24"/>
                <w:szCs w:val="24"/>
              </w:rPr>
              <w:t>Domestic</w:t>
            </w:r>
            <w:r w:rsidRPr="003C400F">
              <w:rPr>
                <w:spacing w:val="-7"/>
                <w:sz w:val="24"/>
                <w:szCs w:val="24"/>
              </w:rPr>
              <w:t xml:space="preserve"> </w:t>
            </w:r>
            <w:r w:rsidRPr="003C400F">
              <w:rPr>
                <w:sz w:val="24"/>
                <w:szCs w:val="24"/>
              </w:rPr>
              <w:t>Abuse</w:t>
            </w:r>
            <w:r w:rsidRPr="003C400F">
              <w:rPr>
                <w:spacing w:val="-7"/>
                <w:sz w:val="24"/>
                <w:szCs w:val="24"/>
              </w:rPr>
              <w:t xml:space="preserve"> </w:t>
            </w:r>
            <w:r w:rsidRPr="003C400F">
              <w:rPr>
                <w:sz w:val="24"/>
                <w:szCs w:val="24"/>
              </w:rPr>
              <w:t>and</w:t>
            </w:r>
            <w:r w:rsidRPr="003C400F">
              <w:rPr>
                <w:spacing w:val="-6"/>
                <w:sz w:val="24"/>
                <w:szCs w:val="24"/>
              </w:rPr>
              <w:t xml:space="preserve"> </w:t>
            </w:r>
            <w:r w:rsidRPr="003C400F">
              <w:rPr>
                <w:sz w:val="24"/>
                <w:szCs w:val="24"/>
              </w:rPr>
              <w:t>Sexual</w:t>
            </w:r>
            <w:r w:rsidRPr="003C400F">
              <w:rPr>
                <w:spacing w:val="-7"/>
                <w:sz w:val="24"/>
                <w:szCs w:val="24"/>
              </w:rPr>
              <w:t xml:space="preserve"> </w:t>
            </w:r>
            <w:r w:rsidRPr="003C400F">
              <w:rPr>
                <w:sz w:val="24"/>
                <w:szCs w:val="24"/>
              </w:rPr>
              <w:t>Violence</w:t>
            </w:r>
            <w:r w:rsidRPr="003C400F">
              <w:rPr>
                <w:spacing w:val="-5"/>
                <w:sz w:val="24"/>
                <w:szCs w:val="24"/>
              </w:rPr>
              <w:t xml:space="preserve"> </w:t>
            </w:r>
            <w:r w:rsidRPr="003C400F">
              <w:rPr>
                <w:sz w:val="24"/>
                <w:szCs w:val="24"/>
              </w:rPr>
              <w:t>(Wales)</w:t>
            </w:r>
            <w:r w:rsidRPr="003C400F">
              <w:rPr>
                <w:spacing w:val="-7"/>
                <w:sz w:val="24"/>
                <w:szCs w:val="24"/>
              </w:rPr>
              <w:t xml:space="preserve"> </w:t>
            </w:r>
            <w:r w:rsidRPr="003C400F">
              <w:rPr>
                <w:sz w:val="24"/>
                <w:szCs w:val="24"/>
              </w:rPr>
              <w:t>Act</w:t>
            </w:r>
            <w:r w:rsidRPr="003C400F">
              <w:rPr>
                <w:spacing w:val="-6"/>
                <w:sz w:val="24"/>
                <w:szCs w:val="24"/>
              </w:rPr>
              <w:t xml:space="preserve"> </w:t>
            </w:r>
            <w:r w:rsidRPr="003C400F">
              <w:rPr>
                <w:sz w:val="24"/>
                <w:szCs w:val="24"/>
              </w:rPr>
              <w:t>(2015) and Female</w:t>
            </w:r>
            <w:r w:rsidRPr="003C400F">
              <w:rPr>
                <w:spacing w:val="-14"/>
                <w:sz w:val="24"/>
                <w:szCs w:val="24"/>
              </w:rPr>
              <w:t xml:space="preserve"> </w:t>
            </w:r>
            <w:r w:rsidRPr="003C400F">
              <w:rPr>
                <w:sz w:val="24"/>
                <w:szCs w:val="24"/>
              </w:rPr>
              <w:t>Genital</w:t>
            </w:r>
            <w:r w:rsidRPr="003C400F">
              <w:rPr>
                <w:spacing w:val="-16"/>
                <w:sz w:val="24"/>
                <w:szCs w:val="24"/>
              </w:rPr>
              <w:t xml:space="preserve"> </w:t>
            </w:r>
            <w:r w:rsidRPr="003C400F">
              <w:rPr>
                <w:sz w:val="24"/>
                <w:szCs w:val="24"/>
              </w:rPr>
              <w:t>Mutilation</w:t>
            </w:r>
            <w:r w:rsidRPr="003C400F">
              <w:rPr>
                <w:spacing w:val="-16"/>
                <w:sz w:val="24"/>
                <w:szCs w:val="24"/>
              </w:rPr>
              <w:t xml:space="preserve"> </w:t>
            </w:r>
            <w:r w:rsidRPr="003C400F">
              <w:rPr>
                <w:sz w:val="24"/>
                <w:szCs w:val="24"/>
              </w:rPr>
              <w:t>and</w:t>
            </w:r>
            <w:r w:rsidRPr="003C400F">
              <w:rPr>
                <w:spacing w:val="-17"/>
                <w:sz w:val="24"/>
                <w:szCs w:val="24"/>
              </w:rPr>
              <w:t xml:space="preserve"> </w:t>
            </w:r>
            <w:r w:rsidRPr="003C400F">
              <w:rPr>
                <w:sz w:val="24"/>
                <w:szCs w:val="24"/>
              </w:rPr>
              <w:t>the</w:t>
            </w:r>
            <w:r w:rsidRPr="003C400F">
              <w:rPr>
                <w:spacing w:val="-17"/>
                <w:sz w:val="24"/>
                <w:szCs w:val="24"/>
              </w:rPr>
              <w:t xml:space="preserve"> </w:t>
            </w:r>
            <w:r w:rsidRPr="003C400F">
              <w:rPr>
                <w:sz w:val="24"/>
                <w:szCs w:val="24"/>
              </w:rPr>
              <w:t>Modern</w:t>
            </w:r>
            <w:r w:rsidRPr="003C400F">
              <w:rPr>
                <w:spacing w:val="-14"/>
                <w:sz w:val="24"/>
                <w:szCs w:val="24"/>
              </w:rPr>
              <w:t xml:space="preserve"> </w:t>
            </w:r>
            <w:r w:rsidRPr="003C400F">
              <w:rPr>
                <w:sz w:val="24"/>
                <w:szCs w:val="24"/>
              </w:rPr>
              <w:t>Slavery</w:t>
            </w:r>
            <w:r w:rsidRPr="003C400F">
              <w:rPr>
                <w:spacing w:val="-16"/>
                <w:sz w:val="24"/>
                <w:szCs w:val="24"/>
              </w:rPr>
              <w:t xml:space="preserve"> </w:t>
            </w:r>
            <w:r w:rsidRPr="003C400F">
              <w:rPr>
                <w:sz w:val="24"/>
                <w:szCs w:val="24"/>
              </w:rPr>
              <w:t>Act</w:t>
            </w:r>
            <w:r w:rsidRPr="003C400F">
              <w:rPr>
                <w:spacing w:val="-14"/>
                <w:sz w:val="24"/>
                <w:szCs w:val="24"/>
              </w:rPr>
              <w:t xml:space="preserve"> </w:t>
            </w:r>
            <w:r w:rsidRPr="003C400F">
              <w:rPr>
                <w:sz w:val="24"/>
                <w:szCs w:val="24"/>
              </w:rPr>
              <w:t xml:space="preserve">(2015). Of these legislative frameworks, the MCA05 is by far the most important, as adult safeguarding hinges on individual’s capacity to make independent decisions. The principles of the act </w:t>
            </w:r>
            <w:proofErr w:type="gramStart"/>
            <w:r w:rsidRPr="003C400F">
              <w:rPr>
                <w:sz w:val="24"/>
                <w:szCs w:val="24"/>
              </w:rPr>
              <w:t>are;</w:t>
            </w:r>
            <w:proofErr w:type="gramEnd"/>
            <w:r w:rsidRPr="003C400F">
              <w:rPr>
                <w:sz w:val="24"/>
                <w:szCs w:val="24"/>
              </w:rPr>
              <w:t xml:space="preserve"> to assume capacity in every person until proven otherwise, adults can make unwise decisions and still have capacity, capacity can be fluctuating and should be assessed for each decision independently, if an individual is deemed to lack capacity any decision made on their behalf must be made in their best interests and be the least restrictive option. A capacity assessment has 4 elements to it which are a </w:t>
            </w:r>
            <w:proofErr w:type="spellStart"/>
            <w:proofErr w:type="gramStart"/>
            <w:r w:rsidRPr="003C400F">
              <w:rPr>
                <w:sz w:val="24"/>
                <w:szCs w:val="24"/>
              </w:rPr>
              <w:t>persons</w:t>
            </w:r>
            <w:proofErr w:type="spellEnd"/>
            <w:proofErr w:type="gramEnd"/>
            <w:r w:rsidRPr="003C400F">
              <w:rPr>
                <w:sz w:val="24"/>
                <w:szCs w:val="24"/>
              </w:rPr>
              <w:t xml:space="preserve"> ability to understand, retain, weigh up and communicate a decision. All reasonable attempts should be made </w:t>
            </w:r>
            <w:r w:rsidRPr="003C400F">
              <w:rPr>
                <w:sz w:val="24"/>
                <w:szCs w:val="24"/>
              </w:rPr>
              <w:lastRenderedPageBreak/>
              <w:t>to assist the individual in making the decision (e.g. providing alternative forms of communication) before deeming a person to lack capacity.</w:t>
            </w:r>
          </w:p>
          <w:p w14:paraId="61406B85" w14:textId="77777777" w:rsidR="00936B14" w:rsidRPr="003C400F" w:rsidRDefault="00936B14" w:rsidP="00936B14">
            <w:pPr>
              <w:spacing w:line="360" w:lineRule="auto"/>
              <w:ind w:left="312" w:right="908"/>
              <w:jc w:val="both"/>
              <w:rPr>
                <w:sz w:val="24"/>
                <w:szCs w:val="24"/>
              </w:rPr>
            </w:pPr>
          </w:p>
          <w:p w14:paraId="7F69C3A0" w14:textId="465F7C8A" w:rsidR="00936B14" w:rsidRPr="003C400F" w:rsidRDefault="00936B14" w:rsidP="003C400F">
            <w:pPr>
              <w:spacing w:line="360" w:lineRule="auto"/>
              <w:ind w:left="312" w:right="908"/>
              <w:jc w:val="center"/>
              <w:rPr>
                <w:sz w:val="24"/>
                <w:szCs w:val="24"/>
              </w:rPr>
            </w:pPr>
            <w:r w:rsidRPr="003C400F">
              <w:rPr>
                <w:sz w:val="24"/>
                <w:szCs w:val="24"/>
              </w:rPr>
              <w:t>Word count: 550</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77777777" w:rsidR="00FC0334" w:rsidRDefault="00FC0334" w:rsidP="00FC0334">
            <w:pPr>
              <w:jc w:val="both"/>
              <w:rPr>
                <w:sz w:val="24"/>
                <w:szCs w:val="24"/>
              </w:rPr>
            </w:pPr>
          </w:p>
          <w:p w14:paraId="38212385" w14:textId="77777777" w:rsidR="00936B14" w:rsidRPr="003C400F" w:rsidRDefault="00936B14" w:rsidP="00936B14">
            <w:pPr>
              <w:pStyle w:val="BodyText"/>
              <w:spacing w:line="360" w:lineRule="auto"/>
              <w:ind w:left="312" w:right="907"/>
              <w:jc w:val="both"/>
              <w:rPr>
                <w:b w:val="0"/>
                <w:bCs/>
              </w:rPr>
            </w:pPr>
            <w:r w:rsidRPr="003C400F">
              <w:rPr>
                <w:b w:val="0"/>
                <w:bCs/>
              </w:rPr>
              <w:t>Having separate effective legislation, policies and procedures for adults is important for several reasons. Firstly, children and adults face different sets of issues and whilst there might be some crossover between the issues faced approaching the safeguarding of adults with the same set mindset and of principles as for children is likely to violate adult autonomy.   Secondly, procedures for reporting the abuse and handling cases are not the same and there are several of categories of harm that apply specifically to adults such as financial abuse and self-neglect. Finally, adding an ‘adult at risk’ policy to children’s safeguarding policies dilutes the message about adults and adult safeguarding has historically not been consistently coherent with respect to its delivery or considered as important an issue as child safeguarding. In a written statement published by the Welsh government in 2010, Gwenda Thomas, Deputy Minister for Social Services spoke of an increasing recognition and understanding of adult abuse and called for greater legal protection to be afforded to adults as it is for children.</w:t>
            </w:r>
          </w:p>
          <w:p w14:paraId="6A5C78A2" w14:textId="77777777" w:rsidR="00936B14" w:rsidRPr="003C400F" w:rsidRDefault="00936B14" w:rsidP="00936B14">
            <w:pPr>
              <w:pStyle w:val="BodyText"/>
              <w:spacing w:line="360" w:lineRule="auto"/>
              <w:ind w:left="312" w:right="907"/>
              <w:jc w:val="both"/>
              <w:rPr>
                <w:b w:val="0"/>
                <w:bCs/>
              </w:rPr>
            </w:pPr>
          </w:p>
          <w:p w14:paraId="788CDE74" w14:textId="77777777" w:rsidR="00936B14" w:rsidRPr="003C400F" w:rsidRDefault="00936B14" w:rsidP="00936B14">
            <w:pPr>
              <w:pStyle w:val="BodyText"/>
              <w:spacing w:line="360" w:lineRule="auto"/>
              <w:ind w:left="312" w:right="907"/>
              <w:jc w:val="both"/>
              <w:rPr>
                <w:b w:val="0"/>
                <w:bCs/>
              </w:rPr>
            </w:pPr>
            <w:r w:rsidRPr="003C400F">
              <w:rPr>
                <w:b w:val="0"/>
                <w:bCs/>
              </w:rPr>
              <w:t xml:space="preserve">Emphasized throughout the legislation and guidance is the most important aspect of adult safeguarding, that of adult self-determination. This differs from the guidance around child safeguarding as whilst every effort should be made to listen to a child’s wishes and for their voice to be heard, ultimately a child at risk will not have the final say with respect to their care. In accord with the SSWBA14 every adult regardless of their characteristics are best suited to determine their own </w:t>
            </w:r>
            <w:r w:rsidRPr="003C400F">
              <w:rPr>
                <w:b w:val="0"/>
                <w:bCs/>
              </w:rPr>
              <w:lastRenderedPageBreak/>
              <w:t>wellbeing. Achieving ‘what matters’ to them should be supported by social workers and this right to self-determination is only taken away in the most extreme circumstances. This is in line with the principles set out in the Human Rights Act (1998) and the European Convention</w:t>
            </w:r>
            <w:r w:rsidRPr="003C400F">
              <w:rPr>
                <w:b w:val="0"/>
                <w:bCs/>
                <w:spacing w:val="1"/>
              </w:rPr>
              <w:t xml:space="preserve"> </w:t>
            </w:r>
            <w:r w:rsidRPr="003C400F">
              <w:rPr>
                <w:b w:val="0"/>
                <w:bCs/>
              </w:rPr>
              <w:t>on Human Rights which highlights right to self-autonomy. The 3</w:t>
            </w:r>
            <w:r w:rsidRPr="003C400F">
              <w:rPr>
                <w:b w:val="0"/>
                <w:bCs/>
                <w:vertAlign w:val="superscript"/>
              </w:rPr>
              <w:t>rd</w:t>
            </w:r>
            <w:r w:rsidRPr="003C400F">
              <w:rPr>
                <w:b w:val="0"/>
                <w:bCs/>
              </w:rPr>
              <w:t xml:space="preserve"> principle of the MCA05 makes clear that an adult that has capacity has the legal right to make unwise decisions. It is also important to note that just because an adult may not have capacity to make one decision does not mean they should be assumed to lack capacity for any other decision. However, if an adult is deemed not to have capacity under the MCA05 or is incapacitated by mental illness under the MHA83 then decisions about the care of that adult can be made by other parties in the adults’ best interests. </w:t>
            </w:r>
          </w:p>
          <w:p w14:paraId="4F3EEECB" w14:textId="77777777" w:rsidR="00936B14" w:rsidRPr="003C400F" w:rsidRDefault="00936B14" w:rsidP="00936B14">
            <w:pPr>
              <w:pStyle w:val="BodyText"/>
              <w:spacing w:line="360" w:lineRule="auto"/>
              <w:ind w:left="312" w:right="907"/>
              <w:jc w:val="both"/>
              <w:rPr>
                <w:b w:val="0"/>
                <w:bCs/>
              </w:rPr>
            </w:pPr>
          </w:p>
          <w:p w14:paraId="3C5BB5E4" w14:textId="77777777" w:rsidR="00936B14" w:rsidRPr="003C400F" w:rsidRDefault="00936B14" w:rsidP="00936B14">
            <w:pPr>
              <w:pStyle w:val="BodyText"/>
              <w:spacing w:line="360" w:lineRule="auto"/>
              <w:ind w:left="312" w:right="907"/>
              <w:jc w:val="both"/>
              <w:rPr>
                <w:b w:val="0"/>
                <w:bCs/>
              </w:rPr>
            </w:pPr>
            <w:r w:rsidRPr="003C400F">
              <w:rPr>
                <w:b w:val="0"/>
                <w:bCs/>
              </w:rPr>
              <w:t>Another clear difference between adult and child safeguarding is that there is no legislation that allows an ‘adult at risk’ to be removed from a residence by the ‘authorised officer’ acting under an APSO whereas the legislation does allow for the removal of a ‘child at risk’. This again reflects the law’s strong regard for adult self-determination.</w:t>
            </w:r>
          </w:p>
          <w:p w14:paraId="255DC4FF" w14:textId="77777777" w:rsidR="00936B14" w:rsidRPr="003C400F" w:rsidRDefault="00936B14" w:rsidP="00936B14">
            <w:pPr>
              <w:pStyle w:val="BodyText"/>
              <w:spacing w:line="360" w:lineRule="auto"/>
              <w:ind w:left="312" w:right="907"/>
              <w:jc w:val="both"/>
              <w:rPr>
                <w:b w:val="0"/>
                <w:bCs/>
              </w:rPr>
            </w:pPr>
          </w:p>
          <w:p w14:paraId="195B23F6" w14:textId="0EF249F5" w:rsidR="00936B14" w:rsidRPr="003C400F" w:rsidRDefault="00936B14" w:rsidP="003C400F">
            <w:pPr>
              <w:pStyle w:val="BodyText"/>
              <w:spacing w:line="360" w:lineRule="auto"/>
              <w:ind w:left="312" w:right="907"/>
              <w:jc w:val="center"/>
              <w:rPr>
                <w:b w:val="0"/>
                <w:bCs/>
              </w:rPr>
            </w:pPr>
            <w:r w:rsidRPr="003C400F">
              <w:rPr>
                <w:b w:val="0"/>
                <w:bCs/>
              </w:rPr>
              <w:t>Word count: 440</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5D1F8D">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2036C" w14:textId="77777777" w:rsidR="005D1F8D" w:rsidRDefault="005D1F8D">
      <w:r>
        <w:separator/>
      </w:r>
    </w:p>
  </w:endnote>
  <w:endnote w:type="continuationSeparator" w:id="0">
    <w:p w14:paraId="4AA1996E" w14:textId="77777777" w:rsidR="005D1F8D" w:rsidRDefault="005D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74982" w14:textId="77777777" w:rsidR="005D1F8D" w:rsidRDefault="005D1F8D">
      <w:r>
        <w:separator/>
      </w:r>
    </w:p>
  </w:footnote>
  <w:footnote w:type="continuationSeparator" w:id="0">
    <w:p w14:paraId="04AABA45" w14:textId="77777777" w:rsidR="005D1F8D" w:rsidRDefault="005D1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332"/>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00F"/>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1F8D"/>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B14"/>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36B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Michelle Skelland</cp:lastModifiedBy>
  <cp:revision>4</cp:revision>
  <cp:lastPrinted>2020-02-11T19:20:00Z</cp:lastPrinted>
  <dcterms:created xsi:type="dcterms:W3CDTF">2024-02-14T13:56:00Z</dcterms:created>
  <dcterms:modified xsi:type="dcterms:W3CDTF">2024-02-14T19:43:00Z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