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F822791" w:rsidR="00986B43" w:rsidRPr="00536853" w:rsidRDefault="00986B43" w:rsidP="005D3F07">
            <w:pPr>
              <w:overflowPunct/>
              <w:autoSpaceDE/>
              <w:autoSpaceDN/>
              <w:adjustRightInd/>
              <w:ind w:right="-957"/>
              <w:textAlignment w:val="auto"/>
              <w:rPr>
                <w:rFonts w:ascii="Times New Roman" w:hAnsi="Times New Roman" w:cs="Times New Roman"/>
                <w:b/>
                <w:color w:val="auto"/>
                <w:sz w:val="40"/>
                <w:szCs w:val="16"/>
              </w:rPr>
            </w:pPr>
            <w:r w:rsidRPr="00536853">
              <w:rPr>
                <w:rFonts w:ascii="Times New Roman" w:hAnsi="Times New Roman" w:cs="Times New Roman"/>
                <w:b/>
                <w:color w:val="auto"/>
                <w:sz w:val="40"/>
                <w:szCs w:val="16"/>
              </w:rPr>
              <w:t>Learner’s name:</w:t>
            </w:r>
            <w:r w:rsidR="00247265" w:rsidRPr="00536853">
              <w:rPr>
                <w:rFonts w:ascii="Times New Roman" w:hAnsi="Times New Roman" w:cs="Times New Roman"/>
                <w:b/>
                <w:color w:val="auto"/>
                <w:sz w:val="40"/>
                <w:szCs w:val="16"/>
              </w:rPr>
              <w:t xml:space="preserve"> </w:t>
            </w:r>
            <w:r w:rsidR="00536853" w:rsidRPr="00536853">
              <w:rPr>
                <w:rFonts w:ascii="Times New Roman" w:hAnsi="Times New Roman" w:cs="Times New Roman"/>
                <w:b/>
                <w:color w:val="auto"/>
                <w:sz w:val="40"/>
                <w:szCs w:val="16"/>
              </w:rPr>
              <w:t>Emily Bhogal</w:t>
            </w:r>
          </w:p>
          <w:p w14:paraId="0B6CD0DB" w14:textId="689515B5" w:rsidR="009C337F" w:rsidRPr="00536853" w:rsidRDefault="009C337F" w:rsidP="005D3F07">
            <w:pPr>
              <w:overflowPunct/>
              <w:autoSpaceDE/>
              <w:autoSpaceDN/>
              <w:adjustRightInd/>
              <w:ind w:right="-957"/>
              <w:textAlignment w:val="auto"/>
              <w:rPr>
                <w:rFonts w:ascii="Times New Roman" w:hAnsi="Times New Roman" w:cs="Times New Roman"/>
                <w:b/>
                <w:color w:val="auto"/>
                <w:sz w:val="40"/>
                <w:szCs w:val="16"/>
              </w:rPr>
            </w:pPr>
          </w:p>
          <w:p w14:paraId="3A6EAAC7" w14:textId="2E8E6D68" w:rsidR="009C337F" w:rsidRPr="00536853" w:rsidRDefault="009C337F" w:rsidP="005D3F07">
            <w:pPr>
              <w:overflowPunct/>
              <w:autoSpaceDE/>
              <w:autoSpaceDN/>
              <w:adjustRightInd/>
              <w:ind w:right="-957"/>
              <w:textAlignment w:val="auto"/>
              <w:rPr>
                <w:rFonts w:ascii="Times New Roman" w:hAnsi="Times New Roman" w:cs="Times New Roman"/>
                <w:b/>
                <w:color w:val="auto"/>
                <w:sz w:val="40"/>
                <w:szCs w:val="16"/>
              </w:rPr>
            </w:pPr>
            <w:r w:rsidRPr="00536853">
              <w:rPr>
                <w:rFonts w:ascii="Times New Roman" w:hAnsi="Times New Roman" w:cs="Times New Roman"/>
                <w:b/>
                <w:color w:val="auto"/>
                <w:sz w:val="40"/>
                <w:szCs w:val="16"/>
              </w:rPr>
              <w:t>Email address:</w:t>
            </w:r>
            <w:r w:rsidR="00536853" w:rsidRPr="00536853">
              <w:rPr>
                <w:rFonts w:ascii="Times New Roman" w:hAnsi="Times New Roman" w:cs="Times New Roman"/>
                <w:b/>
                <w:color w:val="auto"/>
                <w:sz w:val="40"/>
                <w:szCs w:val="16"/>
              </w:rPr>
              <w:t xml:space="preserve"> emily</w:t>
            </w:r>
            <w:r w:rsidR="00624362">
              <w:rPr>
                <w:rFonts w:ascii="Times New Roman" w:hAnsi="Times New Roman" w:cs="Times New Roman"/>
                <w:b/>
                <w:color w:val="auto"/>
                <w:sz w:val="40"/>
                <w:szCs w:val="16"/>
              </w:rPr>
              <w:t>mullock93@gmail.com</w:t>
            </w:r>
          </w:p>
          <w:p w14:paraId="22E38809" w14:textId="77777777" w:rsidR="00986B43" w:rsidRPr="00536853" w:rsidRDefault="00986B43" w:rsidP="005D3F07">
            <w:pPr>
              <w:overflowPunct/>
              <w:autoSpaceDE/>
              <w:autoSpaceDN/>
              <w:adjustRightInd/>
              <w:ind w:right="-957"/>
              <w:textAlignment w:val="auto"/>
              <w:rPr>
                <w:rFonts w:ascii="Times New Roman" w:hAnsi="Times New Roman" w:cs="Times New Roman"/>
                <w:b/>
                <w:color w:val="auto"/>
                <w:sz w:val="40"/>
                <w:szCs w:val="16"/>
              </w:rPr>
            </w:pPr>
          </w:p>
          <w:p w14:paraId="0DE696B2" w14:textId="362B6CD9" w:rsidR="00F927A1" w:rsidRPr="00536853" w:rsidRDefault="0085230E" w:rsidP="005D3F07">
            <w:pPr>
              <w:overflowPunct/>
              <w:autoSpaceDE/>
              <w:autoSpaceDN/>
              <w:adjustRightInd/>
              <w:ind w:right="-957"/>
              <w:textAlignment w:val="auto"/>
              <w:rPr>
                <w:rFonts w:ascii="Times New Roman" w:hAnsi="Times New Roman" w:cs="Times New Roman"/>
                <w:b/>
                <w:color w:val="auto"/>
                <w:sz w:val="40"/>
                <w:szCs w:val="16"/>
              </w:rPr>
            </w:pPr>
            <w:r w:rsidRPr="00536853">
              <w:rPr>
                <w:rFonts w:ascii="Times New Roman" w:hAnsi="Times New Roman" w:cs="Times New Roman"/>
                <w:b/>
                <w:color w:val="auto"/>
                <w:sz w:val="40"/>
                <w:szCs w:val="16"/>
              </w:rPr>
              <w:t>Learner’s University Registration</w:t>
            </w:r>
            <w:r w:rsidR="00F927A1" w:rsidRPr="00536853">
              <w:rPr>
                <w:rFonts w:ascii="Times New Roman" w:hAnsi="Times New Roman" w:cs="Times New Roman"/>
                <w:b/>
                <w:color w:val="auto"/>
                <w:sz w:val="40"/>
                <w:szCs w:val="16"/>
              </w:rPr>
              <w:t xml:space="preserve"> Number:</w:t>
            </w:r>
            <w:r w:rsidR="00536853" w:rsidRPr="00536853">
              <w:rPr>
                <w:rFonts w:ascii="Times New Roman" w:hAnsi="Times New Roman" w:cs="Times New Roman"/>
                <w:b/>
                <w:color w:val="auto"/>
                <w:sz w:val="40"/>
                <w:szCs w:val="16"/>
              </w:rPr>
              <w:t>2418543</w:t>
            </w:r>
          </w:p>
          <w:p w14:paraId="622FD17A" w14:textId="77777777" w:rsidR="0085230E" w:rsidRPr="00536853" w:rsidRDefault="0085230E" w:rsidP="005D3F07">
            <w:pPr>
              <w:overflowPunct/>
              <w:autoSpaceDE/>
              <w:autoSpaceDN/>
              <w:adjustRightInd/>
              <w:ind w:right="-957"/>
              <w:textAlignment w:val="auto"/>
              <w:rPr>
                <w:rFonts w:ascii="Times New Roman" w:hAnsi="Times New Roman" w:cs="Times New Roman"/>
                <w:b/>
                <w:color w:val="auto"/>
                <w:sz w:val="40"/>
                <w:szCs w:val="16"/>
              </w:rPr>
            </w:pPr>
          </w:p>
          <w:p w14:paraId="5F84129B" w14:textId="59949ED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536853">
              <w:rPr>
                <w:rFonts w:ascii="Times New Roman" w:hAnsi="Times New Roman" w:cs="Times New Roman"/>
                <w:b/>
                <w:color w:val="auto"/>
                <w:sz w:val="40"/>
                <w:szCs w:val="16"/>
              </w:rPr>
              <w:t xml:space="preserve">Cohort: </w:t>
            </w:r>
            <w:r w:rsidR="0049374F" w:rsidRPr="00536853">
              <w:rPr>
                <w:rFonts w:ascii="Times New Roman" w:hAnsi="Times New Roman" w:cs="Times New Roman"/>
                <w:b/>
                <w:color w:val="auto"/>
                <w:sz w:val="40"/>
                <w:szCs w:val="16"/>
              </w:rPr>
              <w:t>2</w:t>
            </w:r>
            <w:r w:rsidR="004E71E8">
              <w:rPr>
                <w:rFonts w:ascii="Times New Roman" w:hAnsi="Times New Roman" w:cs="Times New Roman"/>
                <w:b/>
                <w:color w:val="auto"/>
                <w:sz w:val="40"/>
                <w:szCs w:val="16"/>
              </w:rPr>
              <w:t>4</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4883BA0" w14:textId="4FFEC419" w:rsidR="00FC0334"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323FE474" w14:textId="77777777" w:rsidR="00624362" w:rsidRDefault="00624362" w:rsidP="008F22A3">
            <w:pPr>
              <w:spacing w:line="360" w:lineRule="auto"/>
              <w:jc w:val="both"/>
              <w:rPr>
                <w:sz w:val="24"/>
                <w:szCs w:val="24"/>
              </w:rPr>
            </w:pPr>
          </w:p>
          <w:p w14:paraId="4143EB94" w14:textId="77777777" w:rsidR="00EE6E30" w:rsidRDefault="00EE6E30" w:rsidP="008F22A3">
            <w:pPr>
              <w:spacing w:line="360" w:lineRule="auto"/>
              <w:jc w:val="both"/>
              <w:rPr>
                <w:sz w:val="24"/>
                <w:szCs w:val="24"/>
              </w:rPr>
            </w:pPr>
          </w:p>
          <w:p w14:paraId="1CFC3724" w14:textId="1D57178F" w:rsidR="00A5536B" w:rsidRPr="00962893" w:rsidRDefault="00652EAC" w:rsidP="00A5536B">
            <w:pPr>
              <w:spacing w:line="360" w:lineRule="auto"/>
              <w:jc w:val="both"/>
              <w:rPr>
                <w:sz w:val="24"/>
                <w:szCs w:val="24"/>
              </w:rPr>
            </w:pPr>
            <w:r w:rsidRPr="00652EAC">
              <w:rPr>
                <w:sz w:val="24"/>
                <w:szCs w:val="24"/>
              </w:rPr>
              <w:t xml:space="preserve">Safeguarding children in Wales is governed by the </w:t>
            </w:r>
            <w:r w:rsidRPr="00652EAC">
              <w:rPr>
                <w:i/>
                <w:iCs/>
                <w:sz w:val="24"/>
                <w:szCs w:val="24"/>
              </w:rPr>
              <w:t>Social Services and Well-being (Wales) Act 2014 (SSWWA 2014)</w:t>
            </w:r>
            <w:r w:rsidRPr="00652EAC">
              <w:rPr>
                <w:sz w:val="24"/>
                <w:szCs w:val="24"/>
              </w:rPr>
              <w:t xml:space="preserve"> and elements of the </w:t>
            </w:r>
            <w:r w:rsidRPr="00652EAC">
              <w:rPr>
                <w:i/>
                <w:iCs/>
                <w:sz w:val="24"/>
                <w:szCs w:val="24"/>
              </w:rPr>
              <w:t>Children Act 1989 (CA 1989).</w:t>
            </w:r>
            <w:r w:rsidRPr="00652EAC">
              <w:rPr>
                <w:sz w:val="24"/>
                <w:szCs w:val="24"/>
              </w:rPr>
              <w:t xml:space="preserve"> While the </w:t>
            </w:r>
            <w:r w:rsidRPr="00FC42ED">
              <w:rPr>
                <w:i/>
                <w:iCs/>
                <w:sz w:val="24"/>
                <w:szCs w:val="24"/>
              </w:rPr>
              <w:t>CA 1989</w:t>
            </w:r>
            <w:r w:rsidRPr="00652EAC">
              <w:rPr>
                <w:sz w:val="24"/>
                <w:szCs w:val="24"/>
              </w:rPr>
              <w:t xml:space="preserve"> remains the principal legislation for safeguarding, several provisions</w:t>
            </w:r>
            <w:r>
              <w:rPr>
                <w:sz w:val="24"/>
                <w:szCs w:val="24"/>
              </w:rPr>
              <w:t xml:space="preserve">, </w:t>
            </w:r>
            <w:r w:rsidRPr="00652EAC">
              <w:rPr>
                <w:sz w:val="24"/>
                <w:szCs w:val="24"/>
              </w:rPr>
              <w:t>such as Part III, which relates to children in need and looked-after children</w:t>
            </w:r>
            <w:r>
              <w:rPr>
                <w:sz w:val="24"/>
                <w:szCs w:val="24"/>
              </w:rPr>
              <w:t xml:space="preserve">, </w:t>
            </w:r>
            <w:r w:rsidRPr="00652EAC">
              <w:rPr>
                <w:sz w:val="24"/>
                <w:szCs w:val="24"/>
              </w:rPr>
              <w:t xml:space="preserve">have been repealed in Wales and replaced by Parts 3, 4, and 6 of the </w:t>
            </w:r>
            <w:r w:rsidRPr="00652EAC">
              <w:rPr>
                <w:i/>
                <w:iCs/>
                <w:sz w:val="24"/>
                <w:szCs w:val="24"/>
              </w:rPr>
              <w:t>SSWWA 2014</w:t>
            </w:r>
            <w:r w:rsidRPr="00652EAC">
              <w:rPr>
                <w:sz w:val="24"/>
                <w:szCs w:val="24"/>
              </w:rPr>
              <w:t>, covering assessment of care and support needs, provision of support, and duties for looked-after children.</w:t>
            </w:r>
            <w:r>
              <w:rPr>
                <w:sz w:val="24"/>
                <w:szCs w:val="24"/>
              </w:rPr>
              <w:t xml:space="preserve"> </w:t>
            </w:r>
            <w:r w:rsidR="00A5536B" w:rsidRPr="00962893">
              <w:rPr>
                <w:sz w:val="24"/>
                <w:szCs w:val="24"/>
              </w:rPr>
              <w:t xml:space="preserve">Together, these Acts underpin child protection practice across Wales. </w:t>
            </w:r>
          </w:p>
          <w:p w14:paraId="07BDF211" w14:textId="12DC2610" w:rsidR="00A5536B" w:rsidRDefault="00A5536B" w:rsidP="00F76583">
            <w:pPr>
              <w:spacing w:line="360" w:lineRule="auto"/>
              <w:jc w:val="both"/>
              <w:rPr>
                <w:sz w:val="24"/>
                <w:szCs w:val="24"/>
              </w:rPr>
            </w:pPr>
          </w:p>
          <w:p w14:paraId="6D0E89FC" w14:textId="7353F98C" w:rsidR="00F76583" w:rsidRDefault="00F76583" w:rsidP="00F76583">
            <w:pPr>
              <w:spacing w:line="360" w:lineRule="auto"/>
              <w:jc w:val="both"/>
              <w:rPr>
                <w:sz w:val="24"/>
                <w:szCs w:val="24"/>
              </w:rPr>
            </w:pPr>
            <w:r>
              <w:rPr>
                <w:sz w:val="24"/>
                <w:szCs w:val="24"/>
              </w:rPr>
              <w:t>In 2004, t</w:t>
            </w:r>
            <w:r w:rsidRPr="00BA00BB">
              <w:rPr>
                <w:sz w:val="24"/>
                <w:szCs w:val="24"/>
              </w:rPr>
              <w:t>he Welsh Government adopted the</w:t>
            </w:r>
            <w:r w:rsidR="00C15779">
              <w:rPr>
                <w:sz w:val="24"/>
                <w:szCs w:val="24"/>
              </w:rPr>
              <w:t xml:space="preserve"> </w:t>
            </w:r>
            <w:r w:rsidRPr="00BA00BB">
              <w:rPr>
                <w:sz w:val="24"/>
                <w:szCs w:val="24"/>
              </w:rPr>
              <w:t>United Nations Convention on the Rights of the Child (UNCRC) into Welsh policy and law</w:t>
            </w:r>
            <w:r>
              <w:rPr>
                <w:sz w:val="24"/>
                <w:szCs w:val="24"/>
              </w:rPr>
              <w:t xml:space="preserve">, </w:t>
            </w:r>
            <w:r w:rsidRPr="00BA00BB">
              <w:rPr>
                <w:sz w:val="24"/>
                <w:szCs w:val="24"/>
              </w:rPr>
              <w:t>reinforc</w:t>
            </w:r>
            <w:r>
              <w:rPr>
                <w:sz w:val="24"/>
                <w:szCs w:val="24"/>
              </w:rPr>
              <w:t>ing</w:t>
            </w:r>
            <w:r w:rsidRPr="00BA00BB">
              <w:rPr>
                <w:sz w:val="24"/>
                <w:szCs w:val="24"/>
              </w:rPr>
              <w:t xml:space="preserve"> safeguarding principles in Wales</w:t>
            </w:r>
            <w:r w:rsidR="007870FA">
              <w:rPr>
                <w:sz w:val="24"/>
                <w:szCs w:val="24"/>
              </w:rPr>
              <w:t xml:space="preserve"> (</w:t>
            </w:r>
            <w:r w:rsidR="007F451C">
              <w:rPr>
                <w:sz w:val="24"/>
                <w:szCs w:val="24"/>
              </w:rPr>
              <w:t>Welsh Government, 2019)</w:t>
            </w:r>
            <w:r>
              <w:rPr>
                <w:sz w:val="24"/>
                <w:szCs w:val="24"/>
              </w:rPr>
              <w:t xml:space="preserve">. </w:t>
            </w:r>
            <w:r w:rsidRPr="001F22EC">
              <w:rPr>
                <w:sz w:val="24"/>
                <w:szCs w:val="24"/>
              </w:rPr>
              <w:t xml:space="preserve">Wales embedded the UNCRC into domestic law through the </w:t>
            </w:r>
            <w:r w:rsidRPr="007F007B">
              <w:rPr>
                <w:i/>
                <w:iCs/>
                <w:sz w:val="24"/>
                <w:szCs w:val="24"/>
              </w:rPr>
              <w:t>Rights of Children and Young Persons (Wales) Measure 2011</w:t>
            </w:r>
            <w:r w:rsidRPr="001F22EC">
              <w:rPr>
                <w:sz w:val="24"/>
                <w:szCs w:val="24"/>
              </w:rPr>
              <w:t>, placing children’s rights at the heart of policy and practice</w:t>
            </w:r>
            <w:r>
              <w:rPr>
                <w:sz w:val="24"/>
                <w:szCs w:val="24"/>
              </w:rPr>
              <w:t>.</w:t>
            </w:r>
            <w:r w:rsidR="00A5536B">
              <w:rPr>
                <w:sz w:val="24"/>
                <w:szCs w:val="24"/>
              </w:rPr>
              <w:t xml:space="preserve"> </w:t>
            </w:r>
          </w:p>
          <w:p w14:paraId="38ABDFFE" w14:textId="77777777" w:rsidR="00B5384E" w:rsidRPr="00044F8E" w:rsidRDefault="00B5384E" w:rsidP="00B5384E">
            <w:pPr>
              <w:spacing w:line="360" w:lineRule="auto"/>
              <w:jc w:val="both"/>
              <w:rPr>
                <w:sz w:val="24"/>
                <w:szCs w:val="24"/>
              </w:rPr>
            </w:pPr>
          </w:p>
          <w:p w14:paraId="3FE38B83" w14:textId="51DE7AA4" w:rsidR="00B5384E" w:rsidRDefault="00B5384E" w:rsidP="00B5384E">
            <w:pPr>
              <w:spacing w:line="360" w:lineRule="auto"/>
              <w:jc w:val="both"/>
              <w:rPr>
                <w:sz w:val="24"/>
                <w:szCs w:val="24"/>
              </w:rPr>
            </w:pPr>
            <w:r w:rsidRPr="00044F8E">
              <w:rPr>
                <w:sz w:val="24"/>
                <w:szCs w:val="24"/>
              </w:rPr>
              <w:t xml:space="preserve">Part 7 of the </w:t>
            </w:r>
            <w:r w:rsidRPr="00C558E5">
              <w:rPr>
                <w:i/>
                <w:iCs/>
                <w:sz w:val="24"/>
                <w:szCs w:val="24"/>
              </w:rPr>
              <w:t>SSWWA 2014</w:t>
            </w:r>
            <w:r w:rsidRPr="00044F8E">
              <w:rPr>
                <w:sz w:val="24"/>
                <w:szCs w:val="24"/>
              </w:rPr>
              <w:t xml:space="preserve"> addresses safeguarding children under 18. Section 130 defines a</w:t>
            </w:r>
            <w:r>
              <w:rPr>
                <w:sz w:val="24"/>
                <w:szCs w:val="24"/>
              </w:rPr>
              <w:t xml:space="preserve"> c</w:t>
            </w:r>
            <w:r w:rsidRPr="00331173">
              <w:rPr>
                <w:i/>
                <w:iCs/>
                <w:sz w:val="24"/>
                <w:szCs w:val="24"/>
              </w:rPr>
              <w:t xml:space="preserve">hild at </w:t>
            </w:r>
            <w:r>
              <w:rPr>
                <w:i/>
                <w:iCs/>
                <w:sz w:val="24"/>
                <w:szCs w:val="24"/>
              </w:rPr>
              <w:t>risk</w:t>
            </w:r>
            <w:r w:rsidRPr="00044F8E">
              <w:rPr>
                <w:sz w:val="24"/>
                <w:szCs w:val="24"/>
              </w:rPr>
              <w:t xml:space="preserve"> as one experiencing or likely to experience abuse, neglect, or other harm, and in need of care and support. Abuse is defined in the </w:t>
            </w:r>
            <w:r w:rsidRPr="00044F8E">
              <w:rPr>
                <w:i/>
                <w:iCs/>
                <w:sz w:val="24"/>
                <w:szCs w:val="24"/>
              </w:rPr>
              <w:t xml:space="preserve">Wales Safeguarding Procedures </w:t>
            </w:r>
            <w:r w:rsidRPr="00044F8E">
              <w:rPr>
                <w:sz w:val="24"/>
                <w:szCs w:val="24"/>
              </w:rPr>
              <w:t xml:space="preserve">as physical, emotional, sexual harm or neglect that causes or is likely to cause significant harm. Indicators </w:t>
            </w:r>
            <w:r w:rsidRPr="00044F8E">
              <w:rPr>
                <w:sz w:val="24"/>
                <w:szCs w:val="24"/>
              </w:rPr>
              <w:lastRenderedPageBreak/>
              <w:t>may include unexplained injuries, developmental delays, withdrawal, fearfulness, poor hygiene</w:t>
            </w:r>
            <w:r>
              <w:rPr>
                <w:sz w:val="24"/>
                <w:szCs w:val="24"/>
              </w:rPr>
              <w:t xml:space="preserve"> (Social Care Wales, 2019; </w:t>
            </w:r>
            <w:r w:rsidR="008F525C" w:rsidRPr="008F525C">
              <w:rPr>
                <w:sz w:val="24"/>
                <w:szCs w:val="24"/>
              </w:rPr>
              <w:t>National Institute for Health and Care Excellence</w:t>
            </w:r>
            <w:r>
              <w:rPr>
                <w:sz w:val="24"/>
                <w:szCs w:val="24"/>
              </w:rPr>
              <w:t>, 2009)</w:t>
            </w:r>
            <w:r w:rsidRPr="00044F8E">
              <w:rPr>
                <w:sz w:val="24"/>
                <w:szCs w:val="24"/>
              </w:rPr>
              <w:t>. Practitioners must remain alert to these signs and exercise professional curiosity, particularly where disguised compliance or fluctuating risk is present (Burton and Revell, 2018).</w:t>
            </w:r>
          </w:p>
          <w:p w14:paraId="34BCDD9A" w14:textId="176BFD6E" w:rsidR="00B5384E" w:rsidRDefault="00B5384E" w:rsidP="00B5384E">
            <w:pPr>
              <w:spacing w:line="360" w:lineRule="auto"/>
              <w:jc w:val="both"/>
              <w:rPr>
                <w:sz w:val="24"/>
                <w:szCs w:val="24"/>
              </w:rPr>
            </w:pPr>
          </w:p>
          <w:p w14:paraId="3EB63ED6" w14:textId="61495F7C" w:rsidR="00044F8E" w:rsidRDefault="00044F8E" w:rsidP="00044F8E">
            <w:pPr>
              <w:spacing w:line="360" w:lineRule="auto"/>
              <w:jc w:val="both"/>
              <w:rPr>
                <w:sz w:val="24"/>
                <w:szCs w:val="24"/>
              </w:rPr>
            </w:pPr>
            <w:r w:rsidRPr="00044F8E">
              <w:rPr>
                <w:sz w:val="24"/>
                <w:szCs w:val="24"/>
              </w:rPr>
              <w:t xml:space="preserve">Under Section 47 of the </w:t>
            </w:r>
            <w:r w:rsidR="00A756D6">
              <w:rPr>
                <w:i/>
                <w:iCs/>
                <w:sz w:val="24"/>
                <w:szCs w:val="24"/>
              </w:rPr>
              <w:t>CA</w:t>
            </w:r>
            <w:r w:rsidRPr="00C558E5">
              <w:rPr>
                <w:i/>
                <w:iCs/>
                <w:sz w:val="24"/>
                <w:szCs w:val="24"/>
              </w:rPr>
              <w:t xml:space="preserve"> 1989</w:t>
            </w:r>
            <w:r w:rsidRPr="00044F8E">
              <w:rPr>
                <w:sz w:val="24"/>
                <w:szCs w:val="24"/>
              </w:rPr>
              <w:t xml:space="preserve">, </w:t>
            </w:r>
            <w:r w:rsidR="00EB244E">
              <w:rPr>
                <w:sz w:val="24"/>
                <w:szCs w:val="24"/>
              </w:rPr>
              <w:t>L</w:t>
            </w:r>
            <w:r w:rsidRPr="00044F8E">
              <w:rPr>
                <w:sz w:val="24"/>
                <w:szCs w:val="24"/>
              </w:rPr>
              <w:t xml:space="preserve">ocal </w:t>
            </w:r>
            <w:r w:rsidR="00EB244E">
              <w:rPr>
                <w:sz w:val="24"/>
                <w:szCs w:val="24"/>
              </w:rPr>
              <w:t>A</w:t>
            </w:r>
            <w:r w:rsidRPr="00044F8E">
              <w:rPr>
                <w:sz w:val="24"/>
                <w:szCs w:val="24"/>
              </w:rPr>
              <w:t>uthorities must investigate if a child is suspected to be at risk of significant harm. If concerns are substantiated, a child protection conference is convened, followed by a protection plan. Children remain on the child protection register until a multi-agency decision is made to remove them.</w:t>
            </w:r>
            <w:r w:rsidR="008102E1">
              <w:rPr>
                <w:sz w:val="24"/>
                <w:szCs w:val="24"/>
              </w:rPr>
              <w:t xml:space="preserve"> </w:t>
            </w:r>
            <w:r w:rsidR="008102E1" w:rsidRPr="007802A0">
              <w:rPr>
                <w:color w:val="auto"/>
                <w:sz w:val="24"/>
                <w:szCs w:val="24"/>
              </w:rPr>
              <w:t xml:space="preserve">Under Section 135 of the </w:t>
            </w:r>
            <w:r w:rsidR="00552B23" w:rsidRPr="00552B23">
              <w:rPr>
                <w:i/>
                <w:iCs/>
                <w:color w:val="auto"/>
                <w:sz w:val="24"/>
                <w:szCs w:val="24"/>
              </w:rPr>
              <w:t>SSWWA 2014</w:t>
            </w:r>
            <w:r w:rsidR="008102E1" w:rsidRPr="007802A0">
              <w:rPr>
                <w:color w:val="auto"/>
                <w:sz w:val="24"/>
                <w:szCs w:val="24"/>
              </w:rPr>
              <w:t xml:space="preserve">, </w:t>
            </w:r>
            <w:r w:rsidR="00F26731">
              <w:rPr>
                <w:color w:val="auto"/>
                <w:sz w:val="24"/>
                <w:szCs w:val="24"/>
              </w:rPr>
              <w:t>r</w:t>
            </w:r>
            <w:r w:rsidR="008102E1" w:rsidRPr="007802A0">
              <w:rPr>
                <w:color w:val="auto"/>
                <w:sz w:val="24"/>
                <w:szCs w:val="24"/>
              </w:rPr>
              <w:t>egional Safeguarding Boards were established, comprising representatives from local authorities, police, health boards, youth offending teams, and other relevant agencies. These Boards are responsible for coordinating and ensuring the effectiveness of multi-agency safeguarding efforts across their areas.</w:t>
            </w:r>
          </w:p>
          <w:p w14:paraId="0457D8F2" w14:textId="77777777" w:rsidR="00044F8E" w:rsidRPr="00044F8E" w:rsidRDefault="00044F8E" w:rsidP="00044F8E">
            <w:pPr>
              <w:spacing w:line="360" w:lineRule="auto"/>
              <w:jc w:val="both"/>
              <w:rPr>
                <w:sz w:val="24"/>
                <w:szCs w:val="24"/>
              </w:rPr>
            </w:pPr>
          </w:p>
          <w:p w14:paraId="71AA036A" w14:textId="1E22D6AE" w:rsidR="00160771" w:rsidRDefault="00044F8E" w:rsidP="00160771">
            <w:pPr>
              <w:spacing w:line="360" w:lineRule="auto"/>
              <w:jc w:val="both"/>
              <w:rPr>
                <w:sz w:val="24"/>
                <w:szCs w:val="24"/>
              </w:rPr>
            </w:pPr>
            <w:r w:rsidRPr="00044F8E">
              <w:rPr>
                <w:sz w:val="24"/>
                <w:szCs w:val="24"/>
              </w:rPr>
              <w:t xml:space="preserve">Where risks persist, the Public Law Outline may be initiated, signalling potential court proceedings. Children may remain with parents under safety plans or be placed in foster care, residential settings, or with extended family during assessments. In some cases, parents may voluntarily accommodate their child under Section 76 of the </w:t>
            </w:r>
            <w:r w:rsidRPr="00C558E5">
              <w:rPr>
                <w:i/>
                <w:iCs/>
                <w:sz w:val="24"/>
                <w:szCs w:val="24"/>
              </w:rPr>
              <w:t>SSWWA</w:t>
            </w:r>
            <w:r w:rsidR="00C558E5" w:rsidRPr="00C558E5">
              <w:rPr>
                <w:i/>
                <w:iCs/>
                <w:sz w:val="24"/>
                <w:szCs w:val="24"/>
              </w:rPr>
              <w:t xml:space="preserve"> 2014</w:t>
            </w:r>
            <w:r w:rsidRPr="00C558E5">
              <w:rPr>
                <w:i/>
                <w:iCs/>
                <w:sz w:val="24"/>
                <w:szCs w:val="24"/>
              </w:rPr>
              <w:t>.</w:t>
            </w:r>
            <w:r w:rsidR="00160771">
              <w:rPr>
                <w:i/>
                <w:iCs/>
                <w:sz w:val="24"/>
                <w:szCs w:val="24"/>
              </w:rPr>
              <w:t xml:space="preserve"> </w:t>
            </w:r>
            <w:r w:rsidR="00160771" w:rsidRPr="00044F8E">
              <w:rPr>
                <w:sz w:val="24"/>
                <w:szCs w:val="24"/>
              </w:rPr>
              <w:t>Thresholds for intervention</w:t>
            </w:r>
            <w:r w:rsidR="008D5298">
              <w:rPr>
                <w:sz w:val="24"/>
                <w:szCs w:val="24"/>
              </w:rPr>
              <w:t xml:space="preserve"> are </w:t>
            </w:r>
            <w:r w:rsidR="008D5298" w:rsidRPr="008D5298">
              <w:rPr>
                <w:sz w:val="24"/>
                <w:szCs w:val="24"/>
              </w:rPr>
              <w:t>guided by a combination of legislation,</w:t>
            </w:r>
            <w:r w:rsidR="008D5298">
              <w:rPr>
                <w:sz w:val="24"/>
                <w:szCs w:val="24"/>
              </w:rPr>
              <w:t xml:space="preserve"> </w:t>
            </w:r>
            <w:r w:rsidR="008D5298" w:rsidRPr="008D5298">
              <w:rPr>
                <w:sz w:val="24"/>
                <w:szCs w:val="24"/>
              </w:rPr>
              <w:t>statutory guidance and regional protocols.</w:t>
            </w:r>
            <w:r w:rsidR="008D5298">
              <w:rPr>
                <w:sz w:val="24"/>
                <w:szCs w:val="24"/>
              </w:rPr>
              <w:t xml:space="preserve"> </w:t>
            </w:r>
            <w:r w:rsidR="00160771" w:rsidRPr="00044F8E">
              <w:rPr>
                <w:sz w:val="24"/>
                <w:szCs w:val="24"/>
              </w:rPr>
              <w:t>Early help and preventative safeguarding, as promoted in Welsh guidance, aim</w:t>
            </w:r>
            <w:r w:rsidR="00160771">
              <w:rPr>
                <w:sz w:val="24"/>
                <w:szCs w:val="24"/>
              </w:rPr>
              <w:t>s</w:t>
            </w:r>
            <w:r w:rsidR="00160771" w:rsidRPr="00044F8E">
              <w:rPr>
                <w:sz w:val="24"/>
                <w:szCs w:val="24"/>
              </w:rPr>
              <w:t xml:space="preserve"> to reduce escalation and strengthen family resilience before statutory action is needed.</w:t>
            </w:r>
          </w:p>
          <w:p w14:paraId="701D6416" w14:textId="77777777" w:rsidR="00044F8E" w:rsidRPr="00044F8E" w:rsidRDefault="00044F8E" w:rsidP="00044F8E">
            <w:pPr>
              <w:spacing w:line="360" w:lineRule="auto"/>
              <w:jc w:val="both"/>
              <w:rPr>
                <w:sz w:val="24"/>
                <w:szCs w:val="24"/>
              </w:rPr>
            </w:pPr>
          </w:p>
          <w:p w14:paraId="769F0D8B" w14:textId="7CF93942" w:rsidR="00044F8E" w:rsidRPr="00044F8E" w:rsidRDefault="0081749E" w:rsidP="00044F8E">
            <w:pPr>
              <w:spacing w:line="360" w:lineRule="auto"/>
              <w:jc w:val="both"/>
              <w:rPr>
                <w:sz w:val="24"/>
                <w:szCs w:val="24"/>
              </w:rPr>
            </w:pPr>
            <w:r w:rsidRPr="0081749E">
              <w:rPr>
                <w:color w:val="auto"/>
                <w:sz w:val="24"/>
                <w:szCs w:val="24"/>
              </w:rPr>
              <w:t xml:space="preserve">Statutory guidance relating to Part 7 of the </w:t>
            </w:r>
            <w:r w:rsidRPr="00331173">
              <w:rPr>
                <w:i/>
                <w:iCs/>
                <w:color w:val="auto"/>
                <w:sz w:val="24"/>
                <w:szCs w:val="24"/>
              </w:rPr>
              <w:t>S</w:t>
            </w:r>
            <w:r w:rsidR="00331173" w:rsidRPr="00331173">
              <w:rPr>
                <w:i/>
                <w:iCs/>
                <w:color w:val="auto"/>
                <w:sz w:val="24"/>
                <w:szCs w:val="24"/>
              </w:rPr>
              <w:t>SWWA 2014</w:t>
            </w:r>
            <w:r w:rsidRPr="0081749E">
              <w:rPr>
                <w:color w:val="auto"/>
                <w:sz w:val="24"/>
                <w:szCs w:val="24"/>
              </w:rPr>
              <w:t xml:space="preserve"> was issued under the title </w:t>
            </w:r>
            <w:r w:rsidRPr="0081749E">
              <w:rPr>
                <w:i/>
                <w:iCs/>
                <w:color w:val="auto"/>
                <w:sz w:val="24"/>
                <w:szCs w:val="24"/>
              </w:rPr>
              <w:t>Working Together to Safeguard People</w:t>
            </w:r>
            <w:r w:rsidRPr="0081749E">
              <w:rPr>
                <w:color w:val="auto"/>
                <w:sz w:val="24"/>
                <w:szCs w:val="24"/>
              </w:rPr>
              <w:t xml:space="preserve">, supporting professionals to apply safeguarding legislation. This includes the statutory </w:t>
            </w:r>
            <w:r>
              <w:rPr>
                <w:color w:val="auto"/>
                <w:sz w:val="24"/>
                <w:szCs w:val="24"/>
              </w:rPr>
              <w:t>‘</w:t>
            </w:r>
            <w:r w:rsidRPr="0081749E">
              <w:rPr>
                <w:i/>
                <w:iCs/>
                <w:color w:val="auto"/>
                <w:sz w:val="24"/>
                <w:szCs w:val="24"/>
              </w:rPr>
              <w:t>duty to report</w:t>
            </w:r>
            <w:r>
              <w:rPr>
                <w:i/>
                <w:iCs/>
                <w:color w:val="auto"/>
                <w:sz w:val="24"/>
                <w:szCs w:val="24"/>
              </w:rPr>
              <w:t>’</w:t>
            </w:r>
            <w:r w:rsidRPr="0081749E">
              <w:rPr>
                <w:color w:val="auto"/>
                <w:sz w:val="24"/>
                <w:szCs w:val="24"/>
              </w:rPr>
              <w:t xml:space="preserve"> a child</w:t>
            </w:r>
            <w:r w:rsidR="0057654F">
              <w:rPr>
                <w:color w:val="auto"/>
                <w:sz w:val="24"/>
                <w:szCs w:val="24"/>
              </w:rPr>
              <w:t xml:space="preserve"> at risk</w:t>
            </w:r>
            <w:r w:rsidRPr="0081749E">
              <w:rPr>
                <w:color w:val="auto"/>
                <w:sz w:val="24"/>
                <w:szCs w:val="24"/>
              </w:rPr>
              <w:t xml:space="preserve">, which applies to relevant partners and </w:t>
            </w:r>
            <w:r>
              <w:rPr>
                <w:color w:val="auto"/>
                <w:sz w:val="24"/>
                <w:szCs w:val="24"/>
              </w:rPr>
              <w:t>L</w:t>
            </w:r>
            <w:r w:rsidRPr="0081749E">
              <w:rPr>
                <w:color w:val="auto"/>
                <w:sz w:val="24"/>
                <w:szCs w:val="24"/>
              </w:rPr>
              <w:t xml:space="preserve">ocal </w:t>
            </w:r>
            <w:r>
              <w:rPr>
                <w:color w:val="auto"/>
                <w:sz w:val="24"/>
                <w:szCs w:val="24"/>
              </w:rPr>
              <w:t>A</w:t>
            </w:r>
            <w:r w:rsidRPr="0081749E">
              <w:rPr>
                <w:color w:val="auto"/>
                <w:sz w:val="24"/>
                <w:szCs w:val="24"/>
              </w:rPr>
              <w:t>uthorities</w:t>
            </w:r>
            <w:r>
              <w:rPr>
                <w:color w:val="auto"/>
                <w:sz w:val="24"/>
                <w:szCs w:val="24"/>
              </w:rPr>
              <w:t xml:space="preserve">. </w:t>
            </w:r>
            <w:r w:rsidR="00E73369" w:rsidRPr="00E73369">
              <w:rPr>
                <w:color w:val="auto"/>
                <w:sz w:val="24"/>
                <w:szCs w:val="24"/>
              </w:rPr>
              <w:t xml:space="preserve">This is further complemented by national digital guidance known as the </w:t>
            </w:r>
            <w:r w:rsidR="00E73369" w:rsidRPr="00E73369">
              <w:rPr>
                <w:i/>
                <w:iCs/>
                <w:color w:val="auto"/>
                <w:sz w:val="24"/>
                <w:szCs w:val="24"/>
              </w:rPr>
              <w:t>Wales Safeguarding Procedures</w:t>
            </w:r>
            <w:r w:rsidR="00E73369" w:rsidRPr="00E73369">
              <w:rPr>
                <w:color w:val="auto"/>
                <w:sz w:val="24"/>
                <w:szCs w:val="24"/>
              </w:rPr>
              <w:t xml:space="preserve">, </w:t>
            </w:r>
            <w:r w:rsidR="00F76583" w:rsidRPr="00E73369">
              <w:rPr>
                <w:color w:val="auto"/>
                <w:sz w:val="24"/>
                <w:szCs w:val="24"/>
              </w:rPr>
              <w:t>offer</w:t>
            </w:r>
            <w:r w:rsidR="00F76583">
              <w:rPr>
                <w:color w:val="auto"/>
                <w:sz w:val="24"/>
                <w:szCs w:val="24"/>
              </w:rPr>
              <w:t>ing</w:t>
            </w:r>
            <w:r w:rsidR="0057654F">
              <w:rPr>
                <w:color w:val="auto"/>
                <w:sz w:val="24"/>
                <w:szCs w:val="24"/>
              </w:rPr>
              <w:t xml:space="preserve"> </w:t>
            </w:r>
            <w:r w:rsidR="00E73369" w:rsidRPr="00E73369">
              <w:rPr>
                <w:color w:val="auto"/>
                <w:sz w:val="24"/>
                <w:szCs w:val="24"/>
              </w:rPr>
              <w:t>practice-based guidanc</w:t>
            </w:r>
            <w:r w:rsidR="002F346D">
              <w:rPr>
                <w:color w:val="auto"/>
                <w:sz w:val="24"/>
                <w:szCs w:val="24"/>
              </w:rPr>
              <w:t>e</w:t>
            </w:r>
            <w:r w:rsidR="0057654F">
              <w:rPr>
                <w:color w:val="auto"/>
                <w:sz w:val="24"/>
                <w:szCs w:val="24"/>
              </w:rPr>
              <w:t xml:space="preserve">. </w:t>
            </w:r>
            <w:r w:rsidR="00044F8E" w:rsidRPr="00044F8E">
              <w:rPr>
                <w:sz w:val="24"/>
                <w:szCs w:val="24"/>
              </w:rPr>
              <w:t>They emphasise safeguarding is everyone’s responsibility and advocate a child-centred approach</w:t>
            </w:r>
            <w:r w:rsidR="00123726">
              <w:rPr>
                <w:sz w:val="24"/>
                <w:szCs w:val="24"/>
              </w:rPr>
              <w:t xml:space="preserve"> </w:t>
            </w:r>
            <w:r w:rsidR="009A495C">
              <w:rPr>
                <w:sz w:val="24"/>
                <w:szCs w:val="24"/>
              </w:rPr>
              <w:t>(Social Care Wales, 2019).</w:t>
            </w:r>
          </w:p>
          <w:p w14:paraId="409A120D" w14:textId="77777777" w:rsidR="001F22EC" w:rsidRPr="00044F8E" w:rsidRDefault="001F22EC" w:rsidP="00044F8E">
            <w:pPr>
              <w:spacing w:line="360" w:lineRule="auto"/>
              <w:jc w:val="both"/>
              <w:rPr>
                <w:sz w:val="24"/>
                <w:szCs w:val="24"/>
              </w:rPr>
            </w:pPr>
          </w:p>
          <w:p w14:paraId="12170AB1" w14:textId="2870D4AB" w:rsidR="00044F8E" w:rsidRPr="00044F8E" w:rsidRDefault="00044F8E" w:rsidP="00044F8E">
            <w:pPr>
              <w:spacing w:line="360" w:lineRule="auto"/>
              <w:jc w:val="both"/>
              <w:rPr>
                <w:sz w:val="24"/>
                <w:szCs w:val="24"/>
              </w:rPr>
            </w:pPr>
            <w:r w:rsidRPr="00044F8E">
              <w:rPr>
                <w:sz w:val="24"/>
                <w:szCs w:val="24"/>
              </w:rPr>
              <w:lastRenderedPageBreak/>
              <w:t xml:space="preserve">Locally, </w:t>
            </w:r>
            <w:r w:rsidR="00171E81">
              <w:rPr>
                <w:sz w:val="24"/>
                <w:szCs w:val="24"/>
              </w:rPr>
              <w:t xml:space="preserve">there are </w:t>
            </w:r>
            <w:r w:rsidRPr="00044F8E">
              <w:rPr>
                <w:sz w:val="24"/>
                <w:szCs w:val="24"/>
              </w:rPr>
              <w:t>contextual safeguarding teams address</w:t>
            </w:r>
            <w:r w:rsidR="00171E81">
              <w:rPr>
                <w:sz w:val="24"/>
                <w:szCs w:val="24"/>
              </w:rPr>
              <w:t>ing</w:t>
            </w:r>
            <w:r w:rsidRPr="00044F8E">
              <w:rPr>
                <w:sz w:val="24"/>
                <w:szCs w:val="24"/>
              </w:rPr>
              <w:t xml:space="preserve"> risks beyond the family setting, including peer-on-peer abuse and criminal exploitation</w:t>
            </w:r>
            <w:r w:rsidR="00171E81">
              <w:rPr>
                <w:sz w:val="24"/>
                <w:szCs w:val="24"/>
              </w:rPr>
              <w:t xml:space="preserve"> which </w:t>
            </w:r>
            <w:r w:rsidRPr="00044F8E">
              <w:rPr>
                <w:sz w:val="24"/>
                <w:szCs w:val="24"/>
              </w:rPr>
              <w:t>reflect</w:t>
            </w:r>
            <w:r w:rsidR="00171E81">
              <w:rPr>
                <w:sz w:val="24"/>
                <w:szCs w:val="24"/>
              </w:rPr>
              <w:t>s</w:t>
            </w:r>
            <w:r w:rsidRPr="00044F8E">
              <w:rPr>
                <w:sz w:val="24"/>
                <w:szCs w:val="24"/>
              </w:rPr>
              <w:t xml:space="preserve"> evolving safeguarding priorities in Wales.</w:t>
            </w:r>
          </w:p>
          <w:p w14:paraId="099CFEBC" w14:textId="77777777" w:rsidR="008F22A3" w:rsidRPr="008F22A3" w:rsidRDefault="008F22A3" w:rsidP="008F22A3">
            <w:pPr>
              <w:spacing w:line="360" w:lineRule="auto"/>
              <w:jc w:val="both"/>
              <w:rPr>
                <w:sz w:val="24"/>
                <w:szCs w:val="24"/>
              </w:rPr>
            </w:pPr>
          </w:p>
          <w:p w14:paraId="49641ACD" w14:textId="101FD3BA" w:rsidR="00FC0334" w:rsidRPr="00171E81" w:rsidRDefault="00171E81" w:rsidP="008F22A3">
            <w:pPr>
              <w:spacing w:line="360" w:lineRule="auto"/>
              <w:jc w:val="both"/>
              <w:rPr>
                <w:color w:val="auto"/>
                <w:sz w:val="24"/>
                <w:szCs w:val="24"/>
              </w:rPr>
            </w:pPr>
            <w:r>
              <w:rPr>
                <w:color w:val="auto"/>
                <w:sz w:val="24"/>
                <w:szCs w:val="24"/>
              </w:rPr>
              <w:t>Total word count: 5</w:t>
            </w:r>
            <w:r w:rsidR="008F525C">
              <w:rPr>
                <w:color w:val="auto"/>
                <w:sz w:val="24"/>
                <w:szCs w:val="24"/>
              </w:rPr>
              <w:t>4</w:t>
            </w:r>
            <w:r w:rsidR="00FC42ED">
              <w:rPr>
                <w:color w:val="auto"/>
                <w:sz w:val="24"/>
                <w:szCs w:val="24"/>
              </w:rPr>
              <w:t>8</w:t>
            </w:r>
          </w:p>
          <w:p w14:paraId="03BD6D93" w14:textId="56AD433A" w:rsidR="007A628F" w:rsidRPr="008B28E7" w:rsidRDefault="007A628F" w:rsidP="00171E81">
            <w:pPr>
              <w:jc w:val="both"/>
              <w:rPr>
                <w:b/>
                <w:sz w:val="24"/>
                <w:szCs w:val="24"/>
              </w:rPr>
            </w:pPr>
          </w:p>
        </w:tc>
      </w:tr>
      <w:tr w:rsidR="00427C72" w:rsidRPr="008B28E7" w14:paraId="1FD81845" w14:textId="77777777" w:rsidTr="006108C9">
        <w:tc>
          <w:tcPr>
            <w:tcW w:w="10188" w:type="dxa"/>
          </w:tcPr>
          <w:p w14:paraId="18556A34" w14:textId="54FECC26" w:rsidR="00427C72" w:rsidRPr="00EB695F" w:rsidRDefault="00427C72"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9587667" w14:textId="77777777" w:rsidR="008B5DBD" w:rsidRDefault="008B5DBD" w:rsidP="00FC0334">
            <w:pPr>
              <w:jc w:val="both"/>
              <w:rPr>
                <w:sz w:val="24"/>
                <w:szCs w:val="24"/>
              </w:rPr>
            </w:pPr>
          </w:p>
          <w:p w14:paraId="54E3D6D7" w14:textId="0B4C2857" w:rsidR="00CB193D" w:rsidRDefault="00CB193D" w:rsidP="008B5DBD">
            <w:pPr>
              <w:spacing w:line="360" w:lineRule="auto"/>
              <w:jc w:val="both"/>
              <w:rPr>
                <w:sz w:val="24"/>
                <w:szCs w:val="24"/>
              </w:rPr>
            </w:pPr>
            <w:r w:rsidRPr="00CB193D">
              <w:rPr>
                <w:sz w:val="24"/>
                <w:szCs w:val="24"/>
              </w:rPr>
              <w:t xml:space="preserve">Children’s safeguarding legislation is built around their developing understanding, vulnerability, and need for protection. There is a statutory duty to intervene, regardless of consent, and practitioners must act in the child’s best interests. Children are generally presumed to lack full decision-making capacity. </w:t>
            </w:r>
            <w:r w:rsidR="0056443D" w:rsidRPr="00CB193D">
              <w:rPr>
                <w:sz w:val="24"/>
                <w:szCs w:val="24"/>
              </w:rPr>
              <w:t>However,</w:t>
            </w:r>
            <w:r w:rsidR="00926785">
              <w:rPr>
                <w:sz w:val="24"/>
                <w:szCs w:val="24"/>
              </w:rPr>
              <w:t xml:space="preserve"> if under 16 years old</w:t>
            </w:r>
            <w:r w:rsidRPr="00CB193D">
              <w:rPr>
                <w:sz w:val="24"/>
                <w:szCs w:val="24"/>
              </w:rPr>
              <w:t>, Gillick competence is used to assess a child’s ability to consent to medical treatmen</w:t>
            </w:r>
            <w:r w:rsidR="00926785">
              <w:rPr>
                <w:sz w:val="24"/>
                <w:szCs w:val="24"/>
              </w:rPr>
              <w:t>t</w:t>
            </w:r>
            <w:r w:rsidRPr="00CB193D">
              <w:rPr>
                <w:sz w:val="24"/>
                <w:szCs w:val="24"/>
              </w:rPr>
              <w:t>, while the Fraser guidelines support decision-making around contraception and sexual health advice</w:t>
            </w:r>
            <w:r w:rsidR="00396701">
              <w:rPr>
                <w:sz w:val="24"/>
                <w:szCs w:val="24"/>
              </w:rPr>
              <w:t xml:space="preserve"> (NSPCC Learning, 2022)</w:t>
            </w:r>
            <w:r w:rsidRPr="00CB193D">
              <w:rPr>
                <w:sz w:val="24"/>
                <w:szCs w:val="24"/>
              </w:rPr>
              <w:t xml:space="preserve">. From age 16, the </w:t>
            </w:r>
            <w:r w:rsidRPr="00396701">
              <w:rPr>
                <w:i/>
                <w:iCs/>
                <w:sz w:val="24"/>
                <w:szCs w:val="24"/>
              </w:rPr>
              <w:t>Mental Capacity Act 2005</w:t>
            </w:r>
            <w:r w:rsidRPr="00CB193D">
              <w:rPr>
                <w:sz w:val="24"/>
                <w:szCs w:val="24"/>
              </w:rPr>
              <w:t xml:space="preserve"> </w:t>
            </w:r>
            <w:r w:rsidR="00396701" w:rsidRPr="00396701">
              <w:rPr>
                <w:i/>
                <w:iCs/>
                <w:sz w:val="24"/>
                <w:szCs w:val="24"/>
              </w:rPr>
              <w:t>(MCA 2005)</w:t>
            </w:r>
            <w:r w:rsidR="00396701">
              <w:rPr>
                <w:sz w:val="24"/>
                <w:szCs w:val="24"/>
              </w:rPr>
              <w:t xml:space="preserve"> </w:t>
            </w:r>
            <w:r w:rsidRPr="00CB193D">
              <w:rPr>
                <w:sz w:val="24"/>
                <w:szCs w:val="24"/>
              </w:rPr>
              <w:t xml:space="preserve">applies to decisions about medical treatment, </w:t>
            </w:r>
            <w:r w:rsidR="00F81A39">
              <w:rPr>
                <w:sz w:val="24"/>
                <w:szCs w:val="24"/>
              </w:rPr>
              <w:t>al</w:t>
            </w:r>
            <w:r w:rsidRPr="00CB193D">
              <w:rPr>
                <w:sz w:val="24"/>
                <w:szCs w:val="24"/>
              </w:rPr>
              <w:t>though full adult safeguarding frameworks begin at 18</w:t>
            </w:r>
            <w:r w:rsidR="009D4D68">
              <w:rPr>
                <w:sz w:val="24"/>
                <w:szCs w:val="24"/>
              </w:rPr>
              <w:t xml:space="preserve"> years</w:t>
            </w:r>
            <w:r w:rsidR="00C52349">
              <w:rPr>
                <w:sz w:val="24"/>
                <w:szCs w:val="24"/>
              </w:rPr>
              <w:t xml:space="preserve"> old</w:t>
            </w:r>
            <w:r w:rsidRPr="00CB193D">
              <w:rPr>
                <w:sz w:val="24"/>
                <w:szCs w:val="24"/>
              </w:rPr>
              <w:t>.</w:t>
            </w:r>
          </w:p>
          <w:p w14:paraId="4C3DC1D1" w14:textId="77777777" w:rsidR="008B5DBD" w:rsidRPr="00CB193D" w:rsidRDefault="008B5DBD" w:rsidP="008B5DBD">
            <w:pPr>
              <w:spacing w:line="360" w:lineRule="auto"/>
              <w:jc w:val="both"/>
              <w:rPr>
                <w:sz w:val="24"/>
                <w:szCs w:val="24"/>
              </w:rPr>
            </w:pPr>
          </w:p>
          <w:p w14:paraId="43B5D69E" w14:textId="6EDCBA38" w:rsidR="00CB193D" w:rsidRDefault="00CB193D" w:rsidP="008B5DBD">
            <w:pPr>
              <w:spacing w:line="360" w:lineRule="auto"/>
              <w:jc w:val="both"/>
              <w:rPr>
                <w:sz w:val="24"/>
                <w:szCs w:val="24"/>
              </w:rPr>
            </w:pPr>
            <w:r w:rsidRPr="00CB193D">
              <w:rPr>
                <w:sz w:val="24"/>
                <w:szCs w:val="24"/>
              </w:rPr>
              <w:t xml:space="preserve">In contrast, adult safeguarding is guided by the principle of autonomy and the right to self-determination. Adults are presumed to have capacity under the </w:t>
            </w:r>
            <w:r w:rsidRPr="00396701">
              <w:rPr>
                <w:i/>
                <w:iCs/>
                <w:sz w:val="24"/>
                <w:szCs w:val="24"/>
              </w:rPr>
              <w:t>MCA</w:t>
            </w:r>
            <w:r w:rsidR="00B36B3A" w:rsidRPr="00396701">
              <w:rPr>
                <w:i/>
                <w:iCs/>
                <w:sz w:val="24"/>
                <w:szCs w:val="24"/>
              </w:rPr>
              <w:t xml:space="preserve"> 2005</w:t>
            </w:r>
            <w:r w:rsidRPr="00CB193D">
              <w:rPr>
                <w:sz w:val="24"/>
                <w:szCs w:val="24"/>
              </w:rPr>
              <w:t xml:space="preserve"> and must consent to support or intervention</w:t>
            </w:r>
            <w:r w:rsidR="00396701">
              <w:rPr>
                <w:sz w:val="24"/>
                <w:szCs w:val="24"/>
              </w:rPr>
              <w:t xml:space="preserve">, </w:t>
            </w:r>
            <w:r w:rsidRPr="00CB193D">
              <w:rPr>
                <w:sz w:val="24"/>
                <w:szCs w:val="24"/>
              </w:rPr>
              <w:t>even where abuse or neglect is present. Crucially, adults have the right to make unwise decisions, and intervention is only lawful if they lack capacity or give informed consent. This creates a fundamental difference in how risk is managed and responded to.</w:t>
            </w:r>
          </w:p>
          <w:p w14:paraId="37C64E44" w14:textId="77777777" w:rsidR="00396701" w:rsidRPr="00CB193D" w:rsidRDefault="00396701" w:rsidP="008B5DBD">
            <w:pPr>
              <w:spacing w:line="360" w:lineRule="auto"/>
              <w:jc w:val="both"/>
              <w:rPr>
                <w:sz w:val="24"/>
                <w:szCs w:val="24"/>
              </w:rPr>
            </w:pPr>
          </w:p>
          <w:p w14:paraId="31F73414" w14:textId="264A887C" w:rsidR="00CB193D" w:rsidRDefault="00CB193D" w:rsidP="008B5DBD">
            <w:pPr>
              <w:spacing w:line="360" w:lineRule="auto"/>
              <w:jc w:val="both"/>
              <w:rPr>
                <w:sz w:val="24"/>
                <w:szCs w:val="24"/>
              </w:rPr>
            </w:pPr>
            <w:r w:rsidRPr="00CB193D">
              <w:rPr>
                <w:sz w:val="24"/>
                <w:szCs w:val="24"/>
              </w:rPr>
              <w:t>Children may require advocacy to ensure their voice is heard, particularly in complex safeguarding cases. In adult safeguarding, individuals with capacity are expected to self-advocate, and their choices must be respected, even if they differ from professional recommendations.</w:t>
            </w:r>
            <w:r w:rsidR="00AC0C71">
              <w:rPr>
                <w:sz w:val="24"/>
                <w:szCs w:val="24"/>
              </w:rPr>
              <w:t xml:space="preserve"> </w:t>
            </w:r>
          </w:p>
          <w:p w14:paraId="7D27D84D" w14:textId="77777777" w:rsidR="00C52349" w:rsidRPr="00CB193D" w:rsidRDefault="00C52349" w:rsidP="008B5DBD">
            <w:pPr>
              <w:spacing w:line="360" w:lineRule="auto"/>
              <w:jc w:val="both"/>
              <w:rPr>
                <w:sz w:val="24"/>
                <w:szCs w:val="24"/>
              </w:rPr>
            </w:pPr>
          </w:p>
          <w:p w14:paraId="7395C472" w14:textId="37E503C0" w:rsidR="00CB193D" w:rsidRDefault="00CB193D" w:rsidP="008B5DBD">
            <w:pPr>
              <w:spacing w:line="360" w:lineRule="auto"/>
              <w:jc w:val="both"/>
              <w:rPr>
                <w:sz w:val="24"/>
                <w:szCs w:val="24"/>
              </w:rPr>
            </w:pPr>
            <w:r w:rsidRPr="00CB193D">
              <w:rPr>
                <w:sz w:val="24"/>
                <w:szCs w:val="24"/>
              </w:rPr>
              <w:t xml:space="preserve">The transition to adulthood at 18 </w:t>
            </w:r>
            <w:r w:rsidR="002C5C1E">
              <w:rPr>
                <w:sz w:val="24"/>
                <w:szCs w:val="24"/>
              </w:rPr>
              <w:t xml:space="preserve">years of age </w:t>
            </w:r>
            <w:r w:rsidRPr="00CB193D">
              <w:rPr>
                <w:sz w:val="24"/>
                <w:szCs w:val="24"/>
              </w:rPr>
              <w:t>can create challenges, as safeguarding shifts from proactive protection to capacity-led decision-making. For young people with ongoing vulnerabilities</w:t>
            </w:r>
            <w:r w:rsidR="00AC0C71">
              <w:rPr>
                <w:sz w:val="24"/>
                <w:szCs w:val="24"/>
              </w:rPr>
              <w:t xml:space="preserve">, </w:t>
            </w:r>
            <w:r w:rsidRPr="00CB193D">
              <w:rPr>
                <w:sz w:val="24"/>
                <w:szCs w:val="24"/>
              </w:rPr>
              <w:t>such as learning disabilities, mental health needs, or care experience</w:t>
            </w:r>
            <w:r w:rsidR="00AC0C71">
              <w:rPr>
                <w:sz w:val="24"/>
                <w:szCs w:val="24"/>
              </w:rPr>
              <w:t xml:space="preserve">, </w:t>
            </w:r>
            <w:r w:rsidRPr="00CB193D">
              <w:rPr>
                <w:sz w:val="24"/>
                <w:szCs w:val="24"/>
              </w:rPr>
              <w:t xml:space="preserve">safeguarding into adulthood must be carefully planned. One example is county lines exploitation, where young people coerced into criminal activity during adolescence may remain at risk into adulthood. Transitional safeguarding recognises that vulnerability does not end </w:t>
            </w:r>
            <w:r w:rsidR="00AC0C71">
              <w:rPr>
                <w:sz w:val="24"/>
                <w:szCs w:val="24"/>
              </w:rPr>
              <w:t xml:space="preserve">at the age of </w:t>
            </w:r>
            <w:r w:rsidRPr="00CB193D">
              <w:rPr>
                <w:sz w:val="24"/>
                <w:szCs w:val="24"/>
              </w:rPr>
              <w:t xml:space="preserve">18 and </w:t>
            </w:r>
            <w:r w:rsidR="00AC0C71">
              <w:rPr>
                <w:sz w:val="24"/>
                <w:szCs w:val="24"/>
              </w:rPr>
              <w:t>requires a</w:t>
            </w:r>
            <w:r w:rsidRPr="00CB193D">
              <w:rPr>
                <w:sz w:val="24"/>
                <w:szCs w:val="24"/>
              </w:rPr>
              <w:t xml:space="preserve"> flexible, developmentally appropriate response</w:t>
            </w:r>
            <w:r w:rsidR="00AC0C71">
              <w:rPr>
                <w:sz w:val="24"/>
                <w:szCs w:val="24"/>
              </w:rPr>
              <w:t xml:space="preserve"> from </w:t>
            </w:r>
            <w:r w:rsidR="0074266C">
              <w:rPr>
                <w:sz w:val="24"/>
                <w:szCs w:val="24"/>
              </w:rPr>
              <w:t xml:space="preserve">practitioners to </w:t>
            </w:r>
            <w:r w:rsidRPr="00CB193D">
              <w:rPr>
                <w:sz w:val="24"/>
                <w:szCs w:val="24"/>
              </w:rPr>
              <w:t>bridge</w:t>
            </w:r>
            <w:r w:rsidR="0074266C">
              <w:rPr>
                <w:sz w:val="24"/>
                <w:szCs w:val="24"/>
              </w:rPr>
              <w:t xml:space="preserve"> the gap between</w:t>
            </w:r>
            <w:r w:rsidRPr="00CB193D">
              <w:rPr>
                <w:sz w:val="24"/>
                <w:szCs w:val="24"/>
              </w:rPr>
              <w:t xml:space="preserve"> child and adult services</w:t>
            </w:r>
            <w:r w:rsidR="009C3713">
              <w:rPr>
                <w:sz w:val="24"/>
                <w:szCs w:val="24"/>
              </w:rPr>
              <w:t xml:space="preserve"> </w:t>
            </w:r>
            <w:r w:rsidR="009C3713" w:rsidRPr="009C3713">
              <w:rPr>
                <w:sz w:val="24"/>
                <w:szCs w:val="24"/>
              </w:rPr>
              <w:t>(Maxwell et al., 2022</w:t>
            </w:r>
            <w:r w:rsidR="009C3713">
              <w:rPr>
                <w:sz w:val="24"/>
                <w:szCs w:val="24"/>
              </w:rPr>
              <w:t>).</w:t>
            </w:r>
          </w:p>
          <w:p w14:paraId="7289B544" w14:textId="77777777" w:rsidR="004436AC" w:rsidRPr="00CB193D" w:rsidRDefault="004436AC" w:rsidP="008B5DBD">
            <w:pPr>
              <w:spacing w:line="360" w:lineRule="auto"/>
              <w:jc w:val="both"/>
              <w:rPr>
                <w:sz w:val="24"/>
                <w:szCs w:val="24"/>
              </w:rPr>
            </w:pPr>
          </w:p>
          <w:p w14:paraId="781C7F5B" w14:textId="425AD611" w:rsidR="00CB193D" w:rsidRPr="00CB193D" w:rsidRDefault="002979FC" w:rsidP="008B5DBD">
            <w:pPr>
              <w:spacing w:line="360" w:lineRule="auto"/>
              <w:jc w:val="both"/>
              <w:rPr>
                <w:sz w:val="24"/>
                <w:szCs w:val="24"/>
              </w:rPr>
            </w:pPr>
            <w:r w:rsidRPr="002979FC">
              <w:rPr>
                <w:sz w:val="24"/>
                <w:szCs w:val="24"/>
              </w:rPr>
              <w:t xml:space="preserve">Both adult and child safeguarding are overseen by </w:t>
            </w:r>
            <w:r w:rsidR="000A365B">
              <w:rPr>
                <w:sz w:val="24"/>
                <w:szCs w:val="24"/>
              </w:rPr>
              <w:t>r</w:t>
            </w:r>
            <w:r w:rsidRPr="002979FC">
              <w:rPr>
                <w:sz w:val="24"/>
                <w:szCs w:val="24"/>
              </w:rPr>
              <w:t xml:space="preserve">egional Safeguarding Boards in Wales, established under Section 135 of the </w:t>
            </w:r>
            <w:r w:rsidRPr="00B94221">
              <w:rPr>
                <w:i/>
                <w:iCs/>
                <w:sz w:val="24"/>
                <w:szCs w:val="24"/>
              </w:rPr>
              <w:t>S</w:t>
            </w:r>
            <w:r w:rsidR="003F0FCD">
              <w:rPr>
                <w:i/>
                <w:iCs/>
                <w:sz w:val="24"/>
                <w:szCs w:val="24"/>
              </w:rPr>
              <w:t>ocial Services and Well-being (Wales) Act</w:t>
            </w:r>
            <w:r w:rsidR="00B94221" w:rsidRPr="00B94221">
              <w:rPr>
                <w:i/>
                <w:iCs/>
                <w:sz w:val="24"/>
                <w:szCs w:val="24"/>
              </w:rPr>
              <w:t xml:space="preserve"> 2014</w:t>
            </w:r>
            <w:r w:rsidRPr="002979FC">
              <w:rPr>
                <w:sz w:val="24"/>
                <w:szCs w:val="24"/>
              </w:rPr>
              <w:t xml:space="preserve">. These boards coordinate multi-agency responses and develop procedures tailored to local needs. While the </w:t>
            </w:r>
            <w:r w:rsidRPr="00B94221">
              <w:rPr>
                <w:i/>
                <w:iCs/>
                <w:sz w:val="24"/>
                <w:szCs w:val="24"/>
              </w:rPr>
              <w:t xml:space="preserve">Wales Safeguarding Procedures </w:t>
            </w:r>
            <w:r w:rsidRPr="002979FC">
              <w:rPr>
                <w:sz w:val="24"/>
                <w:szCs w:val="24"/>
              </w:rPr>
              <w:t>provide unified guidance, the application of safeguarding differs significantly depending on whether the individual is a child or an adult. Practitioners must adapt their approach based on age, capacity, legal status, and the nature of consent</w:t>
            </w:r>
            <w:r w:rsidR="0048672C">
              <w:rPr>
                <w:sz w:val="24"/>
                <w:szCs w:val="24"/>
              </w:rPr>
              <w:t xml:space="preserve">. </w:t>
            </w:r>
            <w:r w:rsidR="0072289D">
              <w:rPr>
                <w:sz w:val="24"/>
                <w:szCs w:val="24"/>
              </w:rPr>
              <w:t>Where</w:t>
            </w:r>
            <w:r w:rsidRPr="002979FC">
              <w:rPr>
                <w:sz w:val="24"/>
                <w:szCs w:val="24"/>
              </w:rPr>
              <w:t xml:space="preserve"> children requir</w:t>
            </w:r>
            <w:r w:rsidR="0072289D">
              <w:rPr>
                <w:sz w:val="24"/>
                <w:szCs w:val="24"/>
              </w:rPr>
              <w:t>e</w:t>
            </w:r>
            <w:r w:rsidRPr="002979FC">
              <w:rPr>
                <w:sz w:val="24"/>
                <w:szCs w:val="24"/>
              </w:rPr>
              <w:t xml:space="preserve"> protective intervention</w:t>
            </w:r>
            <w:r w:rsidR="0072289D">
              <w:rPr>
                <w:sz w:val="24"/>
                <w:szCs w:val="24"/>
              </w:rPr>
              <w:t>,</w:t>
            </w:r>
            <w:r w:rsidRPr="002979FC">
              <w:rPr>
                <w:sz w:val="24"/>
                <w:szCs w:val="24"/>
              </w:rPr>
              <w:t xml:space="preserve"> </w:t>
            </w:r>
            <w:r w:rsidR="0072289D">
              <w:rPr>
                <w:sz w:val="24"/>
                <w:szCs w:val="24"/>
              </w:rPr>
              <w:t xml:space="preserve">adults must consent to intervention </w:t>
            </w:r>
            <w:r w:rsidRPr="002979FC">
              <w:rPr>
                <w:sz w:val="24"/>
                <w:szCs w:val="24"/>
              </w:rPr>
              <w:t xml:space="preserve">unless they lack capacity. </w:t>
            </w:r>
            <w:r w:rsidR="00CB193D" w:rsidRPr="00CB193D">
              <w:rPr>
                <w:sz w:val="24"/>
                <w:szCs w:val="24"/>
              </w:rPr>
              <w:t>Ultimately, safeguarding children prioritises welfare and protection, while adult safeguarding balances safety with respect for autonomy.</w:t>
            </w:r>
          </w:p>
          <w:p w14:paraId="5535D487" w14:textId="43BF4333" w:rsidR="00AC6060" w:rsidRDefault="002979FC" w:rsidP="00FC0334">
            <w:pPr>
              <w:jc w:val="both"/>
              <w:rPr>
                <w:sz w:val="24"/>
                <w:szCs w:val="24"/>
              </w:rPr>
            </w:pPr>
            <w:r>
              <w:rPr>
                <w:sz w:val="24"/>
                <w:szCs w:val="24"/>
              </w:rPr>
              <w:t xml:space="preserve"> </w:t>
            </w:r>
          </w:p>
          <w:p w14:paraId="5E003309" w14:textId="77777777" w:rsidR="002979FC" w:rsidRDefault="002979FC" w:rsidP="00FC0334">
            <w:pPr>
              <w:jc w:val="both"/>
              <w:rPr>
                <w:sz w:val="24"/>
                <w:szCs w:val="24"/>
              </w:rPr>
            </w:pPr>
          </w:p>
          <w:p w14:paraId="0E55166C" w14:textId="09B53AAD" w:rsidR="002979FC" w:rsidRDefault="00171E81" w:rsidP="00FC0334">
            <w:pPr>
              <w:jc w:val="both"/>
              <w:rPr>
                <w:sz w:val="24"/>
                <w:szCs w:val="24"/>
              </w:rPr>
            </w:pPr>
            <w:r>
              <w:rPr>
                <w:sz w:val="24"/>
                <w:szCs w:val="24"/>
              </w:rPr>
              <w:t xml:space="preserve">Total word count: </w:t>
            </w:r>
            <w:r w:rsidR="002979FC">
              <w:rPr>
                <w:sz w:val="24"/>
                <w:szCs w:val="24"/>
              </w:rPr>
              <w:t>4</w:t>
            </w:r>
            <w:r w:rsidR="00926785">
              <w:rPr>
                <w:sz w:val="24"/>
                <w:szCs w:val="24"/>
              </w:rPr>
              <w:t>2</w:t>
            </w:r>
            <w:r w:rsidR="003F0FCD">
              <w:rPr>
                <w:sz w:val="24"/>
                <w:szCs w:val="24"/>
              </w:rPr>
              <w:t>5</w:t>
            </w:r>
            <w:r w:rsidR="002979FC">
              <w:rPr>
                <w:sz w:val="24"/>
                <w:szCs w:val="24"/>
              </w:rPr>
              <w:t xml:space="preserve"> words</w:t>
            </w:r>
          </w:p>
          <w:p w14:paraId="7C037C07" w14:textId="77777777" w:rsidR="008B5DBD" w:rsidRDefault="008B5DBD" w:rsidP="00FC0334">
            <w:pPr>
              <w:jc w:val="both"/>
              <w:rPr>
                <w:sz w:val="24"/>
                <w:szCs w:val="24"/>
              </w:rPr>
            </w:pPr>
          </w:p>
          <w:p w14:paraId="38684BA1" w14:textId="77777777" w:rsidR="00D76D9E" w:rsidRDefault="00D76D9E" w:rsidP="00FC0334">
            <w:pPr>
              <w:jc w:val="both"/>
              <w:rPr>
                <w:sz w:val="24"/>
                <w:szCs w:val="24"/>
              </w:rPr>
            </w:pPr>
          </w:p>
          <w:p w14:paraId="3C8AFC61" w14:textId="77777777" w:rsidR="00FC0334" w:rsidRDefault="00FC0334" w:rsidP="00FC0334">
            <w:pPr>
              <w:jc w:val="both"/>
              <w:rPr>
                <w:sz w:val="24"/>
                <w:szCs w:val="24"/>
              </w:rPr>
            </w:pPr>
          </w:p>
          <w:p w14:paraId="2A572CAD" w14:textId="77777777" w:rsidR="000F16E7" w:rsidRDefault="000F16E7" w:rsidP="00FC0334">
            <w:pPr>
              <w:jc w:val="both"/>
              <w:rPr>
                <w:sz w:val="24"/>
                <w:szCs w:val="24"/>
              </w:rPr>
            </w:pPr>
          </w:p>
          <w:p w14:paraId="268ED71F" w14:textId="77777777" w:rsidR="000F16E7" w:rsidRDefault="000F16E7" w:rsidP="00FC0334">
            <w:pPr>
              <w:jc w:val="both"/>
              <w:rPr>
                <w:sz w:val="24"/>
                <w:szCs w:val="24"/>
              </w:rPr>
            </w:pPr>
          </w:p>
          <w:p w14:paraId="2A9286DD" w14:textId="77777777" w:rsidR="000F16E7" w:rsidRDefault="000F16E7" w:rsidP="00FC0334">
            <w:pPr>
              <w:jc w:val="both"/>
              <w:rPr>
                <w:sz w:val="24"/>
                <w:szCs w:val="24"/>
              </w:rPr>
            </w:pPr>
          </w:p>
          <w:p w14:paraId="5FCD7F78" w14:textId="77777777" w:rsidR="000F16E7" w:rsidRDefault="000F16E7" w:rsidP="00FC0334">
            <w:pPr>
              <w:jc w:val="both"/>
              <w:rPr>
                <w:sz w:val="24"/>
                <w:szCs w:val="24"/>
              </w:rPr>
            </w:pPr>
          </w:p>
          <w:p w14:paraId="789DF6A9" w14:textId="77777777" w:rsidR="000F16E7" w:rsidRDefault="000F16E7" w:rsidP="00FC0334">
            <w:pPr>
              <w:jc w:val="both"/>
              <w:rPr>
                <w:sz w:val="24"/>
                <w:szCs w:val="24"/>
              </w:rPr>
            </w:pPr>
          </w:p>
          <w:p w14:paraId="08760B3D" w14:textId="3C5E7CC8" w:rsidR="00B11733" w:rsidRPr="008F22A3" w:rsidRDefault="00B11733" w:rsidP="00545768">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5941" w14:textId="77777777" w:rsidR="007A429C" w:rsidRDefault="007A429C">
      <w:r>
        <w:separator/>
      </w:r>
    </w:p>
  </w:endnote>
  <w:endnote w:type="continuationSeparator" w:id="0">
    <w:p w14:paraId="5608E569" w14:textId="77777777" w:rsidR="007A429C" w:rsidRDefault="007A4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2F027" w14:textId="77777777" w:rsidR="007A429C" w:rsidRDefault="007A429C">
      <w:r>
        <w:separator/>
      </w:r>
    </w:p>
  </w:footnote>
  <w:footnote w:type="continuationSeparator" w:id="0">
    <w:p w14:paraId="7C83735E" w14:textId="77777777" w:rsidR="007A429C" w:rsidRDefault="007A4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52352E"/>
    <w:multiLevelType w:val="hybridMultilevel"/>
    <w:tmpl w:val="EA2ADC0A"/>
    <w:lvl w:ilvl="0" w:tplc="6F6CF65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AF3BBB"/>
    <w:multiLevelType w:val="multilevel"/>
    <w:tmpl w:val="8D2E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7"/>
  </w:num>
  <w:num w:numId="4" w16cid:durableId="1850633156">
    <w:abstractNumId w:val="49"/>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1"/>
  </w:num>
  <w:num w:numId="10" w16cid:durableId="693307142">
    <w:abstractNumId w:val="35"/>
  </w:num>
  <w:num w:numId="11" w16cid:durableId="141846751">
    <w:abstractNumId w:val="18"/>
  </w:num>
  <w:num w:numId="12" w16cid:durableId="1310867263">
    <w:abstractNumId w:val="17"/>
  </w:num>
  <w:num w:numId="13" w16cid:durableId="65736213">
    <w:abstractNumId w:val="29"/>
  </w:num>
  <w:num w:numId="14" w16cid:durableId="825441142">
    <w:abstractNumId w:val="9"/>
  </w:num>
  <w:num w:numId="15" w16cid:durableId="1016493186">
    <w:abstractNumId w:val="28"/>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5"/>
  </w:num>
  <w:num w:numId="22" w16cid:durableId="352731724">
    <w:abstractNumId w:val="12"/>
  </w:num>
  <w:num w:numId="23" w16cid:durableId="456266206">
    <w:abstractNumId w:val="30"/>
  </w:num>
  <w:num w:numId="24" w16cid:durableId="317615789">
    <w:abstractNumId w:val="21"/>
  </w:num>
  <w:num w:numId="25" w16cid:durableId="856430468">
    <w:abstractNumId w:val="43"/>
  </w:num>
  <w:num w:numId="26" w16cid:durableId="1104690971">
    <w:abstractNumId w:val="37"/>
  </w:num>
  <w:num w:numId="27" w16cid:durableId="1201670287">
    <w:abstractNumId w:val="42"/>
  </w:num>
  <w:num w:numId="28" w16cid:durableId="598562144">
    <w:abstractNumId w:val="22"/>
  </w:num>
  <w:num w:numId="29" w16cid:durableId="871068292">
    <w:abstractNumId w:val="45"/>
  </w:num>
  <w:num w:numId="30" w16cid:durableId="482159744">
    <w:abstractNumId w:val="33"/>
  </w:num>
  <w:num w:numId="31" w16cid:durableId="1565527110">
    <w:abstractNumId w:val="13"/>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7"/>
  </w:num>
  <w:num w:numId="42" w16cid:durableId="2082366208">
    <w:abstractNumId w:val="8"/>
  </w:num>
  <w:num w:numId="43" w16cid:durableId="488403910">
    <w:abstractNumId w:val="3"/>
  </w:num>
  <w:num w:numId="44" w16cid:durableId="210268195">
    <w:abstractNumId w:val="40"/>
  </w:num>
  <w:num w:numId="45" w16cid:durableId="891695978">
    <w:abstractNumId w:val="0"/>
  </w:num>
  <w:num w:numId="46" w16cid:durableId="827289017">
    <w:abstractNumId w:val="15"/>
  </w:num>
  <w:num w:numId="47" w16cid:durableId="167212813">
    <w:abstractNumId w:val="50"/>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0"/>
  </w:num>
  <w:num w:numId="51" w16cid:durableId="536360681">
    <w:abstractNumId w:val="26"/>
  </w:num>
  <w:num w:numId="52" w16cid:durableId="1666274935">
    <w:abstractNumId w:val="23"/>
  </w:num>
  <w:num w:numId="53" w16cid:durableId="435172075">
    <w:abstractNumId w:val="2"/>
  </w:num>
  <w:num w:numId="54" w16cid:durableId="185677848">
    <w:abstractNumId w:val="7"/>
  </w:num>
  <w:num w:numId="55" w16cid:durableId="598413028">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9E"/>
    <w:rsid w:val="0000138E"/>
    <w:rsid w:val="00002C7A"/>
    <w:rsid w:val="000045B8"/>
    <w:rsid w:val="00011F6E"/>
    <w:rsid w:val="000128BC"/>
    <w:rsid w:val="00012B16"/>
    <w:rsid w:val="00013207"/>
    <w:rsid w:val="0002019C"/>
    <w:rsid w:val="00020EEC"/>
    <w:rsid w:val="0002440E"/>
    <w:rsid w:val="0002759A"/>
    <w:rsid w:val="00027B1F"/>
    <w:rsid w:val="0003088B"/>
    <w:rsid w:val="000325D9"/>
    <w:rsid w:val="000372B2"/>
    <w:rsid w:val="0004079F"/>
    <w:rsid w:val="00041216"/>
    <w:rsid w:val="00043543"/>
    <w:rsid w:val="00044F8E"/>
    <w:rsid w:val="00045B87"/>
    <w:rsid w:val="00045C07"/>
    <w:rsid w:val="00045C40"/>
    <w:rsid w:val="00046861"/>
    <w:rsid w:val="00054A07"/>
    <w:rsid w:val="00055D43"/>
    <w:rsid w:val="000560B6"/>
    <w:rsid w:val="00056FAC"/>
    <w:rsid w:val="00057751"/>
    <w:rsid w:val="00062E39"/>
    <w:rsid w:val="00064063"/>
    <w:rsid w:val="0006581A"/>
    <w:rsid w:val="00067875"/>
    <w:rsid w:val="00074461"/>
    <w:rsid w:val="000766EC"/>
    <w:rsid w:val="0008024F"/>
    <w:rsid w:val="00080E58"/>
    <w:rsid w:val="00083D99"/>
    <w:rsid w:val="00084DA6"/>
    <w:rsid w:val="00085699"/>
    <w:rsid w:val="00087ACA"/>
    <w:rsid w:val="00090160"/>
    <w:rsid w:val="00091F52"/>
    <w:rsid w:val="00092970"/>
    <w:rsid w:val="00093720"/>
    <w:rsid w:val="000938E6"/>
    <w:rsid w:val="00093B3C"/>
    <w:rsid w:val="0009488C"/>
    <w:rsid w:val="00095C1B"/>
    <w:rsid w:val="00096DEA"/>
    <w:rsid w:val="000A365B"/>
    <w:rsid w:val="000A4240"/>
    <w:rsid w:val="000A469A"/>
    <w:rsid w:val="000A584A"/>
    <w:rsid w:val="000A6458"/>
    <w:rsid w:val="000B57C4"/>
    <w:rsid w:val="000C378F"/>
    <w:rsid w:val="000C6892"/>
    <w:rsid w:val="000C6FFE"/>
    <w:rsid w:val="000D0BB6"/>
    <w:rsid w:val="000D0BF4"/>
    <w:rsid w:val="000D2370"/>
    <w:rsid w:val="000D2ED2"/>
    <w:rsid w:val="000D6653"/>
    <w:rsid w:val="000E0D51"/>
    <w:rsid w:val="000E1119"/>
    <w:rsid w:val="000E26B0"/>
    <w:rsid w:val="000E37C2"/>
    <w:rsid w:val="000E38C3"/>
    <w:rsid w:val="000F1599"/>
    <w:rsid w:val="000F16E7"/>
    <w:rsid w:val="000F1769"/>
    <w:rsid w:val="000F1A97"/>
    <w:rsid w:val="000F3D81"/>
    <w:rsid w:val="000F42AE"/>
    <w:rsid w:val="000F6196"/>
    <w:rsid w:val="000F6BC3"/>
    <w:rsid w:val="00102F43"/>
    <w:rsid w:val="0010312C"/>
    <w:rsid w:val="00105026"/>
    <w:rsid w:val="0010662B"/>
    <w:rsid w:val="001069D6"/>
    <w:rsid w:val="00106DC7"/>
    <w:rsid w:val="00112391"/>
    <w:rsid w:val="00114F52"/>
    <w:rsid w:val="00123726"/>
    <w:rsid w:val="00127C3B"/>
    <w:rsid w:val="00130119"/>
    <w:rsid w:val="00132812"/>
    <w:rsid w:val="001347F8"/>
    <w:rsid w:val="001359EE"/>
    <w:rsid w:val="00137BB5"/>
    <w:rsid w:val="00137E05"/>
    <w:rsid w:val="001447F6"/>
    <w:rsid w:val="00147DE3"/>
    <w:rsid w:val="00150194"/>
    <w:rsid w:val="00150794"/>
    <w:rsid w:val="00151DA6"/>
    <w:rsid w:val="001562D8"/>
    <w:rsid w:val="00160771"/>
    <w:rsid w:val="001608C4"/>
    <w:rsid w:val="00164832"/>
    <w:rsid w:val="00166FC5"/>
    <w:rsid w:val="00171418"/>
    <w:rsid w:val="00171E81"/>
    <w:rsid w:val="00171EC7"/>
    <w:rsid w:val="0017438A"/>
    <w:rsid w:val="001772BF"/>
    <w:rsid w:val="001772DE"/>
    <w:rsid w:val="0018384B"/>
    <w:rsid w:val="0019496C"/>
    <w:rsid w:val="00195185"/>
    <w:rsid w:val="001961CF"/>
    <w:rsid w:val="001A59BB"/>
    <w:rsid w:val="001A607E"/>
    <w:rsid w:val="001A6A51"/>
    <w:rsid w:val="001A79C4"/>
    <w:rsid w:val="001B331A"/>
    <w:rsid w:val="001C0237"/>
    <w:rsid w:val="001C0E74"/>
    <w:rsid w:val="001C4DB8"/>
    <w:rsid w:val="001C50B8"/>
    <w:rsid w:val="001C5AC0"/>
    <w:rsid w:val="001C753E"/>
    <w:rsid w:val="001D1BE6"/>
    <w:rsid w:val="001D229F"/>
    <w:rsid w:val="001D6C4C"/>
    <w:rsid w:val="001E2EB6"/>
    <w:rsid w:val="001E3FD7"/>
    <w:rsid w:val="001E57FE"/>
    <w:rsid w:val="001F0659"/>
    <w:rsid w:val="001F22EC"/>
    <w:rsid w:val="001F4552"/>
    <w:rsid w:val="002019EB"/>
    <w:rsid w:val="0020290C"/>
    <w:rsid w:val="00204B58"/>
    <w:rsid w:val="00205051"/>
    <w:rsid w:val="00207BB6"/>
    <w:rsid w:val="00211F65"/>
    <w:rsid w:val="00214047"/>
    <w:rsid w:val="00216563"/>
    <w:rsid w:val="0021698F"/>
    <w:rsid w:val="0021792F"/>
    <w:rsid w:val="00220D06"/>
    <w:rsid w:val="00221F2A"/>
    <w:rsid w:val="00223A99"/>
    <w:rsid w:val="002246A0"/>
    <w:rsid w:val="00230439"/>
    <w:rsid w:val="00232A09"/>
    <w:rsid w:val="00235176"/>
    <w:rsid w:val="00236061"/>
    <w:rsid w:val="0024100E"/>
    <w:rsid w:val="00241C1B"/>
    <w:rsid w:val="0024288B"/>
    <w:rsid w:val="00243DB0"/>
    <w:rsid w:val="00245027"/>
    <w:rsid w:val="00247265"/>
    <w:rsid w:val="00254F23"/>
    <w:rsid w:val="00260663"/>
    <w:rsid w:val="002657E9"/>
    <w:rsid w:val="00265ECE"/>
    <w:rsid w:val="0026665E"/>
    <w:rsid w:val="0027147E"/>
    <w:rsid w:val="002761F4"/>
    <w:rsid w:val="002775E1"/>
    <w:rsid w:val="00277979"/>
    <w:rsid w:val="00291ADD"/>
    <w:rsid w:val="00291DA2"/>
    <w:rsid w:val="002920DF"/>
    <w:rsid w:val="00292F3D"/>
    <w:rsid w:val="00295C03"/>
    <w:rsid w:val="00295CA1"/>
    <w:rsid w:val="002979FC"/>
    <w:rsid w:val="002A0E51"/>
    <w:rsid w:val="002A1A44"/>
    <w:rsid w:val="002A291A"/>
    <w:rsid w:val="002A2C54"/>
    <w:rsid w:val="002A4E2E"/>
    <w:rsid w:val="002A5604"/>
    <w:rsid w:val="002B1701"/>
    <w:rsid w:val="002B23C3"/>
    <w:rsid w:val="002B443A"/>
    <w:rsid w:val="002B527E"/>
    <w:rsid w:val="002B5B35"/>
    <w:rsid w:val="002B7AEE"/>
    <w:rsid w:val="002C2536"/>
    <w:rsid w:val="002C256A"/>
    <w:rsid w:val="002C3031"/>
    <w:rsid w:val="002C3AA7"/>
    <w:rsid w:val="002C4233"/>
    <w:rsid w:val="002C496D"/>
    <w:rsid w:val="002C5C1E"/>
    <w:rsid w:val="002D05EB"/>
    <w:rsid w:val="002D11A8"/>
    <w:rsid w:val="002D2F29"/>
    <w:rsid w:val="002D46C0"/>
    <w:rsid w:val="002D5A92"/>
    <w:rsid w:val="002D65D2"/>
    <w:rsid w:val="002D6B31"/>
    <w:rsid w:val="002E6D17"/>
    <w:rsid w:val="002E7017"/>
    <w:rsid w:val="002E7F2C"/>
    <w:rsid w:val="002F1FC7"/>
    <w:rsid w:val="002F2185"/>
    <w:rsid w:val="002F346D"/>
    <w:rsid w:val="002F4F6E"/>
    <w:rsid w:val="002F668F"/>
    <w:rsid w:val="003015C3"/>
    <w:rsid w:val="00303758"/>
    <w:rsid w:val="003106DB"/>
    <w:rsid w:val="00310F8F"/>
    <w:rsid w:val="0031350A"/>
    <w:rsid w:val="00315E1C"/>
    <w:rsid w:val="003161CC"/>
    <w:rsid w:val="00316815"/>
    <w:rsid w:val="003168CA"/>
    <w:rsid w:val="00321255"/>
    <w:rsid w:val="0032230D"/>
    <w:rsid w:val="00322A0B"/>
    <w:rsid w:val="00323528"/>
    <w:rsid w:val="003252DF"/>
    <w:rsid w:val="00330881"/>
    <w:rsid w:val="00331173"/>
    <w:rsid w:val="00331341"/>
    <w:rsid w:val="00331CD2"/>
    <w:rsid w:val="00332426"/>
    <w:rsid w:val="00333DE6"/>
    <w:rsid w:val="00335C41"/>
    <w:rsid w:val="00335FC5"/>
    <w:rsid w:val="0033771E"/>
    <w:rsid w:val="00337FEF"/>
    <w:rsid w:val="00346BD5"/>
    <w:rsid w:val="00354B6D"/>
    <w:rsid w:val="00354D4B"/>
    <w:rsid w:val="00355210"/>
    <w:rsid w:val="00355CFD"/>
    <w:rsid w:val="00365DF9"/>
    <w:rsid w:val="0037066E"/>
    <w:rsid w:val="00370E85"/>
    <w:rsid w:val="00372DB4"/>
    <w:rsid w:val="00373A36"/>
    <w:rsid w:val="0037419E"/>
    <w:rsid w:val="00375AF5"/>
    <w:rsid w:val="003761BD"/>
    <w:rsid w:val="00377448"/>
    <w:rsid w:val="00377884"/>
    <w:rsid w:val="003826BD"/>
    <w:rsid w:val="00385414"/>
    <w:rsid w:val="00385F19"/>
    <w:rsid w:val="00390074"/>
    <w:rsid w:val="00392F73"/>
    <w:rsid w:val="00393600"/>
    <w:rsid w:val="00396701"/>
    <w:rsid w:val="00396DFC"/>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4"/>
    <w:rsid w:val="003E5FBA"/>
    <w:rsid w:val="003F0FCD"/>
    <w:rsid w:val="003F1233"/>
    <w:rsid w:val="003F67A4"/>
    <w:rsid w:val="00400786"/>
    <w:rsid w:val="00401FDA"/>
    <w:rsid w:val="0040327C"/>
    <w:rsid w:val="004046F0"/>
    <w:rsid w:val="0040668F"/>
    <w:rsid w:val="00411EF7"/>
    <w:rsid w:val="00412677"/>
    <w:rsid w:val="00415895"/>
    <w:rsid w:val="00421A01"/>
    <w:rsid w:val="00425160"/>
    <w:rsid w:val="00427C72"/>
    <w:rsid w:val="004302B8"/>
    <w:rsid w:val="00430DE3"/>
    <w:rsid w:val="004348AE"/>
    <w:rsid w:val="00435BDB"/>
    <w:rsid w:val="004376C0"/>
    <w:rsid w:val="0044223A"/>
    <w:rsid w:val="004436AC"/>
    <w:rsid w:val="004507CC"/>
    <w:rsid w:val="00450B67"/>
    <w:rsid w:val="00451851"/>
    <w:rsid w:val="0045189A"/>
    <w:rsid w:val="00453343"/>
    <w:rsid w:val="004538C3"/>
    <w:rsid w:val="00455D04"/>
    <w:rsid w:val="004560CB"/>
    <w:rsid w:val="004608B9"/>
    <w:rsid w:val="004636CF"/>
    <w:rsid w:val="00463B55"/>
    <w:rsid w:val="00465947"/>
    <w:rsid w:val="004667B1"/>
    <w:rsid w:val="00466963"/>
    <w:rsid w:val="00467F66"/>
    <w:rsid w:val="00470461"/>
    <w:rsid w:val="00470BB1"/>
    <w:rsid w:val="0047218A"/>
    <w:rsid w:val="00473153"/>
    <w:rsid w:val="0047350F"/>
    <w:rsid w:val="004743AF"/>
    <w:rsid w:val="00482C17"/>
    <w:rsid w:val="00482F09"/>
    <w:rsid w:val="00484608"/>
    <w:rsid w:val="00484CE3"/>
    <w:rsid w:val="004853F3"/>
    <w:rsid w:val="0048672C"/>
    <w:rsid w:val="004911B4"/>
    <w:rsid w:val="0049196A"/>
    <w:rsid w:val="004923DA"/>
    <w:rsid w:val="00492EEB"/>
    <w:rsid w:val="00493434"/>
    <w:rsid w:val="0049374F"/>
    <w:rsid w:val="004968E2"/>
    <w:rsid w:val="004A2A49"/>
    <w:rsid w:val="004A4998"/>
    <w:rsid w:val="004A5A64"/>
    <w:rsid w:val="004B5553"/>
    <w:rsid w:val="004B5E8B"/>
    <w:rsid w:val="004B600B"/>
    <w:rsid w:val="004B6822"/>
    <w:rsid w:val="004B69F6"/>
    <w:rsid w:val="004C2D3A"/>
    <w:rsid w:val="004D03C4"/>
    <w:rsid w:val="004D0BF1"/>
    <w:rsid w:val="004D0F4E"/>
    <w:rsid w:val="004D3278"/>
    <w:rsid w:val="004D35A4"/>
    <w:rsid w:val="004D445F"/>
    <w:rsid w:val="004E087B"/>
    <w:rsid w:val="004E44A4"/>
    <w:rsid w:val="004E5DF2"/>
    <w:rsid w:val="004E71E8"/>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1D4"/>
    <w:rsid w:val="00513C7D"/>
    <w:rsid w:val="00521123"/>
    <w:rsid w:val="00521221"/>
    <w:rsid w:val="0052250B"/>
    <w:rsid w:val="005305C6"/>
    <w:rsid w:val="00536853"/>
    <w:rsid w:val="00540EEC"/>
    <w:rsid w:val="005414F4"/>
    <w:rsid w:val="005428CE"/>
    <w:rsid w:val="00545768"/>
    <w:rsid w:val="00546187"/>
    <w:rsid w:val="00546F5F"/>
    <w:rsid w:val="00547B11"/>
    <w:rsid w:val="00552B23"/>
    <w:rsid w:val="0055677C"/>
    <w:rsid w:val="00557D77"/>
    <w:rsid w:val="00557FDA"/>
    <w:rsid w:val="00562EAA"/>
    <w:rsid w:val="00563B58"/>
    <w:rsid w:val="005640C4"/>
    <w:rsid w:val="0056443D"/>
    <w:rsid w:val="0056684C"/>
    <w:rsid w:val="00574A0C"/>
    <w:rsid w:val="0057654F"/>
    <w:rsid w:val="0057780F"/>
    <w:rsid w:val="00581E0A"/>
    <w:rsid w:val="0058529D"/>
    <w:rsid w:val="00586D89"/>
    <w:rsid w:val="005877C8"/>
    <w:rsid w:val="00587923"/>
    <w:rsid w:val="00594F9F"/>
    <w:rsid w:val="005A1B4C"/>
    <w:rsid w:val="005A545C"/>
    <w:rsid w:val="005B271A"/>
    <w:rsid w:val="005B3A2D"/>
    <w:rsid w:val="005C1567"/>
    <w:rsid w:val="005C28D3"/>
    <w:rsid w:val="005C2DFF"/>
    <w:rsid w:val="005C6CE5"/>
    <w:rsid w:val="005D105E"/>
    <w:rsid w:val="005D3F07"/>
    <w:rsid w:val="005D4A1E"/>
    <w:rsid w:val="005D4F72"/>
    <w:rsid w:val="005D59B1"/>
    <w:rsid w:val="005E13EA"/>
    <w:rsid w:val="005E17F1"/>
    <w:rsid w:val="005E31DC"/>
    <w:rsid w:val="005F2B32"/>
    <w:rsid w:val="005F64AA"/>
    <w:rsid w:val="005F7851"/>
    <w:rsid w:val="005F7F7E"/>
    <w:rsid w:val="00606E27"/>
    <w:rsid w:val="006108C9"/>
    <w:rsid w:val="006133FD"/>
    <w:rsid w:val="00613B81"/>
    <w:rsid w:val="00614DF7"/>
    <w:rsid w:val="00615706"/>
    <w:rsid w:val="006179BB"/>
    <w:rsid w:val="0062158D"/>
    <w:rsid w:val="006223FD"/>
    <w:rsid w:val="00624362"/>
    <w:rsid w:val="00630F97"/>
    <w:rsid w:val="006326D1"/>
    <w:rsid w:val="00632E0A"/>
    <w:rsid w:val="00633165"/>
    <w:rsid w:val="00637430"/>
    <w:rsid w:val="00637E99"/>
    <w:rsid w:val="006447DE"/>
    <w:rsid w:val="00644889"/>
    <w:rsid w:val="00645554"/>
    <w:rsid w:val="0065276E"/>
    <w:rsid w:val="00652EAC"/>
    <w:rsid w:val="00653075"/>
    <w:rsid w:val="00654329"/>
    <w:rsid w:val="00654CEC"/>
    <w:rsid w:val="00655507"/>
    <w:rsid w:val="00657439"/>
    <w:rsid w:val="006579FD"/>
    <w:rsid w:val="006635E3"/>
    <w:rsid w:val="006669F3"/>
    <w:rsid w:val="006712A7"/>
    <w:rsid w:val="00672CED"/>
    <w:rsid w:val="006736CC"/>
    <w:rsid w:val="00674FC2"/>
    <w:rsid w:val="00676E35"/>
    <w:rsid w:val="00677E42"/>
    <w:rsid w:val="00682334"/>
    <w:rsid w:val="00684732"/>
    <w:rsid w:val="00684B16"/>
    <w:rsid w:val="00687016"/>
    <w:rsid w:val="006872A0"/>
    <w:rsid w:val="0069625A"/>
    <w:rsid w:val="00696A88"/>
    <w:rsid w:val="00696F65"/>
    <w:rsid w:val="00697572"/>
    <w:rsid w:val="006A581F"/>
    <w:rsid w:val="006A6FD7"/>
    <w:rsid w:val="006B4496"/>
    <w:rsid w:val="006B5E67"/>
    <w:rsid w:val="006B6612"/>
    <w:rsid w:val="006C2EB5"/>
    <w:rsid w:val="006C6579"/>
    <w:rsid w:val="006D18A3"/>
    <w:rsid w:val="006D5970"/>
    <w:rsid w:val="006D5D53"/>
    <w:rsid w:val="006E1405"/>
    <w:rsid w:val="006E481E"/>
    <w:rsid w:val="006E795F"/>
    <w:rsid w:val="006F0862"/>
    <w:rsid w:val="006F1438"/>
    <w:rsid w:val="006F2A9E"/>
    <w:rsid w:val="006F2AE9"/>
    <w:rsid w:val="006F4E3E"/>
    <w:rsid w:val="006F5ED3"/>
    <w:rsid w:val="00700249"/>
    <w:rsid w:val="007069CD"/>
    <w:rsid w:val="00706BB5"/>
    <w:rsid w:val="007102FD"/>
    <w:rsid w:val="0071231A"/>
    <w:rsid w:val="00712E90"/>
    <w:rsid w:val="00713B7E"/>
    <w:rsid w:val="00721F2D"/>
    <w:rsid w:val="0072289D"/>
    <w:rsid w:val="0072678F"/>
    <w:rsid w:val="007276E5"/>
    <w:rsid w:val="00727C4C"/>
    <w:rsid w:val="00734809"/>
    <w:rsid w:val="0073714E"/>
    <w:rsid w:val="007374EF"/>
    <w:rsid w:val="007406E1"/>
    <w:rsid w:val="0074266C"/>
    <w:rsid w:val="00743E40"/>
    <w:rsid w:val="00745016"/>
    <w:rsid w:val="0075031F"/>
    <w:rsid w:val="00750538"/>
    <w:rsid w:val="00751263"/>
    <w:rsid w:val="007544FC"/>
    <w:rsid w:val="00755427"/>
    <w:rsid w:val="00756548"/>
    <w:rsid w:val="0075673A"/>
    <w:rsid w:val="0075704F"/>
    <w:rsid w:val="00763B2D"/>
    <w:rsid w:val="00764C84"/>
    <w:rsid w:val="007710AD"/>
    <w:rsid w:val="00772924"/>
    <w:rsid w:val="00773AE6"/>
    <w:rsid w:val="007802A0"/>
    <w:rsid w:val="0078112D"/>
    <w:rsid w:val="007870FA"/>
    <w:rsid w:val="007872F2"/>
    <w:rsid w:val="007873F9"/>
    <w:rsid w:val="007908E0"/>
    <w:rsid w:val="00793EB3"/>
    <w:rsid w:val="00794205"/>
    <w:rsid w:val="0079422A"/>
    <w:rsid w:val="007A1F6A"/>
    <w:rsid w:val="007A2940"/>
    <w:rsid w:val="007A429C"/>
    <w:rsid w:val="007A628F"/>
    <w:rsid w:val="007B0DE3"/>
    <w:rsid w:val="007B1BFD"/>
    <w:rsid w:val="007B3898"/>
    <w:rsid w:val="007B7191"/>
    <w:rsid w:val="007B71C1"/>
    <w:rsid w:val="007C1D94"/>
    <w:rsid w:val="007C556F"/>
    <w:rsid w:val="007C5ABE"/>
    <w:rsid w:val="007C6A87"/>
    <w:rsid w:val="007D0A07"/>
    <w:rsid w:val="007D0F11"/>
    <w:rsid w:val="007D133D"/>
    <w:rsid w:val="007D3EB4"/>
    <w:rsid w:val="007D3F16"/>
    <w:rsid w:val="007F007B"/>
    <w:rsid w:val="007F10BD"/>
    <w:rsid w:val="007F312E"/>
    <w:rsid w:val="007F3F7E"/>
    <w:rsid w:val="007F451C"/>
    <w:rsid w:val="007F4BA4"/>
    <w:rsid w:val="00804D87"/>
    <w:rsid w:val="008102E1"/>
    <w:rsid w:val="00813CEC"/>
    <w:rsid w:val="00813F82"/>
    <w:rsid w:val="0081534C"/>
    <w:rsid w:val="00816CE7"/>
    <w:rsid w:val="008171E4"/>
    <w:rsid w:val="0081749E"/>
    <w:rsid w:val="008208EA"/>
    <w:rsid w:val="00822B44"/>
    <w:rsid w:val="00824E67"/>
    <w:rsid w:val="00825A64"/>
    <w:rsid w:val="00826F48"/>
    <w:rsid w:val="0083056E"/>
    <w:rsid w:val="008308AE"/>
    <w:rsid w:val="00830DD1"/>
    <w:rsid w:val="0083166E"/>
    <w:rsid w:val="008318A0"/>
    <w:rsid w:val="00831DC3"/>
    <w:rsid w:val="008322C7"/>
    <w:rsid w:val="008340BA"/>
    <w:rsid w:val="00834F1D"/>
    <w:rsid w:val="00836FEC"/>
    <w:rsid w:val="00841F9D"/>
    <w:rsid w:val="008420E1"/>
    <w:rsid w:val="00842CA8"/>
    <w:rsid w:val="00844D98"/>
    <w:rsid w:val="00846D84"/>
    <w:rsid w:val="00847B85"/>
    <w:rsid w:val="00850233"/>
    <w:rsid w:val="0085230E"/>
    <w:rsid w:val="008550A1"/>
    <w:rsid w:val="00861038"/>
    <w:rsid w:val="00865B58"/>
    <w:rsid w:val="00866B50"/>
    <w:rsid w:val="00867A63"/>
    <w:rsid w:val="008708F1"/>
    <w:rsid w:val="00871665"/>
    <w:rsid w:val="00871960"/>
    <w:rsid w:val="0087369F"/>
    <w:rsid w:val="00877A22"/>
    <w:rsid w:val="00880539"/>
    <w:rsid w:val="008859E8"/>
    <w:rsid w:val="0088737B"/>
    <w:rsid w:val="00891078"/>
    <w:rsid w:val="00892716"/>
    <w:rsid w:val="00893067"/>
    <w:rsid w:val="008933DE"/>
    <w:rsid w:val="00895FCE"/>
    <w:rsid w:val="00897F3E"/>
    <w:rsid w:val="008A21B4"/>
    <w:rsid w:val="008B07DE"/>
    <w:rsid w:val="008B1309"/>
    <w:rsid w:val="008B28E7"/>
    <w:rsid w:val="008B5DBD"/>
    <w:rsid w:val="008B67F6"/>
    <w:rsid w:val="008C0191"/>
    <w:rsid w:val="008C14C7"/>
    <w:rsid w:val="008C2FFB"/>
    <w:rsid w:val="008C633F"/>
    <w:rsid w:val="008C6EEA"/>
    <w:rsid w:val="008C7770"/>
    <w:rsid w:val="008C79C7"/>
    <w:rsid w:val="008D03B0"/>
    <w:rsid w:val="008D2150"/>
    <w:rsid w:val="008D5298"/>
    <w:rsid w:val="008D5813"/>
    <w:rsid w:val="008D5999"/>
    <w:rsid w:val="008D634E"/>
    <w:rsid w:val="008D778A"/>
    <w:rsid w:val="008D78C9"/>
    <w:rsid w:val="008E3195"/>
    <w:rsid w:val="008E5A35"/>
    <w:rsid w:val="008F127E"/>
    <w:rsid w:val="008F22A3"/>
    <w:rsid w:val="008F32D9"/>
    <w:rsid w:val="008F525C"/>
    <w:rsid w:val="00901E9D"/>
    <w:rsid w:val="00902A65"/>
    <w:rsid w:val="00903932"/>
    <w:rsid w:val="00906D3F"/>
    <w:rsid w:val="009079BD"/>
    <w:rsid w:val="009106E9"/>
    <w:rsid w:val="00912BD9"/>
    <w:rsid w:val="009144EC"/>
    <w:rsid w:val="00916FB2"/>
    <w:rsid w:val="00920E5B"/>
    <w:rsid w:val="00926436"/>
    <w:rsid w:val="00926785"/>
    <w:rsid w:val="00926C53"/>
    <w:rsid w:val="0093018C"/>
    <w:rsid w:val="00940CF2"/>
    <w:rsid w:val="0094495F"/>
    <w:rsid w:val="00945933"/>
    <w:rsid w:val="009544C0"/>
    <w:rsid w:val="00954FA4"/>
    <w:rsid w:val="009551EE"/>
    <w:rsid w:val="00956AE9"/>
    <w:rsid w:val="00957F8B"/>
    <w:rsid w:val="0096075B"/>
    <w:rsid w:val="00962893"/>
    <w:rsid w:val="00964CC6"/>
    <w:rsid w:val="00966577"/>
    <w:rsid w:val="00966C5E"/>
    <w:rsid w:val="00967BFA"/>
    <w:rsid w:val="00976626"/>
    <w:rsid w:val="0098262C"/>
    <w:rsid w:val="0098427C"/>
    <w:rsid w:val="00986B43"/>
    <w:rsid w:val="00986C0B"/>
    <w:rsid w:val="00986D46"/>
    <w:rsid w:val="00991FDA"/>
    <w:rsid w:val="00992ACA"/>
    <w:rsid w:val="009A225F"/>
    <w:rsid w:val="009A495C"/>
    <w:rsid w:val="009A5F3B"/>
    <w:rsid w:val="009A5F79"/>
    <w:rsid w:val="009A6F87"/>
    <w:rsid w:val="009B0B61"/>
    <w:rsid w:val="009B28C0"/>
    <w:rsid w:val="009B3178"/>
    <w:rsid w:val="009B3E46"/>
    <w:rsid w:val="009B7136"/>
    <w:rsid w:val="009C337F"/>
    <w:rsid w:val="009C3713"/>
    <w:rsid w:val="009C44E8"/>
    <w:rsid w:val="009C53E7"/>
    <w:rsid w:val="009C6092"/>
    <w:rsid w:val="009C7342"/>
    <w:rsid w:val="009D2048"/>
    <w:rsid w:val="009D3BA5"/>
    <w:rsid w:val="009D4365"/>
    <w:rsid w:val="009D477B"/>
    <w:rsid w:val="009D4D68"/>
    <w:rsid w:val="009D4E3B"/>
    <w:rsid w:val="009D59C2"/>
    <w:rsid w:val="009D7BC9"/>
    <w:rsid w:val="009E122F"/>
    <w:rsid w:val="009E1982"/>
    <w:rsid w:val="009E4D2C"/>
    <w:rsid w:val="009F0978"/>
    <w:rsid w:val="009F3AEC"/>
    <w:rsid w:val="009F6801"/>
    <w:rsid w:val="00A00081"/>
    <w:rsid w:val="00A01C2E"/>
    <w:rsid w:val="00A06422"/>
    <w:rsid w:val="00A10D56"/>
    <w:rsid w:val="00A12AAE"/>
    <w:rsid w:val="00A12F22"/>
    <w:rsid w:val="00A16DD1"/>
    <w:rsid w:val="00A1790B"/>
    <w:rsid w:val="00A21EED"/>
    <w:rsid w:val="00A22441"/>
    <w:rsid w:val="00A23F3B"/>
    <w:rsid w:val="00A24406"/>
    <w:rsid w:val="00A25F64"/>
    <w:rsid w:val="00A275F6"/>
    <w:rsid w:val="00A303B9"/>
    <w:rsid w:val="00A37416"/>
    <w:rsid w:val="00A40ED6"/>
    <w:rsid w:val="00A47281"/>
    <w:rsid w:val="00A47621"/>
    <w:rsid w:val="00A479CD"/>
    <w:rsid w:val="00A50CFC"/>
    <w:rsid w:val="00A54D67"/>
    <w:rsid w:val="00A5536B"/>
    <w:rsid w:val="00A55A3F"/>
    <w:rsid w:val="00A5656A"/>
    <w:rsid w:val="00A60103"/>
    <w:rsid w:val="00A63022"/>
    <w:rsid w:val="00A64EF3"/>
    <w:rsid w:val="00A652F6"/>
    <w:rsid w:val="00A65861"/>
    <w:rsid w:val="00A732EA"/>
    <w:rsid w:val="00A7489E"/>
    <w:rsid w:val="00A74A20"/>
    <w:rsid w:val="00A756D6"/>
    <w:rsid w:val="00A8015F"/>
    <w:rsid w:val="00A85039"/>
    <w:rsid w:val="00A906AA"/>
    <w:rsid w:val="00A94C5E"/>
    <w:rsid w:val="00AA252C"/>
    <w:rsid w:val="00AA3A43"/>
    <w:rsid w:val="00AA666E"/>
    <w:rsid w:val="00AA70E6"/>
    <w:rsid w:val="00AA7960"/>
    <w:rsid w:val="00AB1776"/>
    <w:rsid w:val="00AB17CC"/>
    <w:rsid w:val="00AB5518"/>
    <w:rsid w:val="00AC0C71"/>
    <w:rsid w:val="00AC3A0E"/>
    <w:rsid w:val="00AC4A04"/>
    <w:rsid w:val="00AC5679"/>
    <w:rsid w:val="00AC6060"/>
    <w:rsid w:val="00AC6EDB"/>
    <w:rsid w:val="00AC7353"/>
    <w:rsid w:val="00AD31E3"/>
    <w:rsid w:val="00AD336F"/>
    <w:rsid w:val="00AE134C"/>
    <w:rsid w:val="00AE1868"/>
    <w:rsid w:val="00AE2564"/>
    <w:rsid w:val="00AE301F"/>
    <w:rsid w:val="00AE3302"/>
    <w:rsid w:val="00AE5BA6"/>
    <w:rsid w:val="00AE6231"/>
    <w:rsid w:val="00AE7077"/>
    <w:rsid w:val="00AF61C2"/>
    <w:rsid w:val="00AF6CC6"/>
    <w:rsid w:val="00B024CE"/>
    <w:rsid w:val="00B0296A"/>
    <w:rsid w:val="00B07E79"/>
    <w:rsid w:val="00B11733"/>
    <w:rsid w:val="00B12295"/>
    <w:rsid w:val="00B137BE"/>
    <w:rsid w:val="00B15998"/>
    <w:rsid w:val="00B16E71"/>
    <w:rsid w:val="00B17FA0"/>
    <w:rsid w:val="00B2292C"/>
    <w:rsid w:val="00B22C3C"/>
    <w:rsid w:val="00B24344"/>
    <w:rsid w:val="00B26769"/>
    <w:rsid w:val="00B2754B"/>
    <w:rsid w:val="00B31C91"/>
    <w:rsid w:val="00B36B3A"/>
    <w:rsid w:val="00B3747F"/>
    <w:rsid w:val="00B42E76"/>
    <w:rsid w:val="00B42FC4"/>
    <w:rsid w:val="00B43194"/>
    <w:rsid w:val="00B432B4"/>
    <w:rsid w:val="00B436BF"/>
    <w:rsid w:val="00B47734"/>
    <w:rsid w:val="00B50FBA"/>
    <w:rsid w:val="00B5384E"/>
    <w:rsid w:val="00B54D04"/>
    <w:rsid w:val="00B558EB"/>
    <w:rsid w:val="00B568AE"/>
    <w:rsid w:val="00B577D3"/>
    <w:rsid w:val="00B60466"/>
    <w:rsid w:val="00B63F77"/>
    <w:rsid w:val="00B6548F"/>
    <w:rsid w:val="00B71A32"/>
    <w:rsid w:val="00B7502A"/>
    <w:rsid w:val="00B77305"/>
    <w:rsid w:val="00B774BD"/>
    <w:rsid w:val="00B77636"/>
    <w:rsid w:val="00B82CC2"/>
    <w:rsid w:val="00B84A89"/>
    <w:rsid w:val="00B9256C"/>
    <w:rsid w:val="00B92BEF"/>
    <w:rsid w:val="00B93717"/>
    <w:rsid w:val="00B94221"/>
    <w:rsid w:val="00B94443"/>
    <w:rsid w:val="00B9689A"/>
    <w:rsid w:val="00B97056"/>
    <w:rsid w:val="00BA00BB"/>
    <w:rsid w:val="00BA531E"/>
    <w:rsid w:val="00BA728B"/>
    <w:rsid w:val="00BB06CB"/>
    <w:rsid w:val="00BB261F"/>
    <w:rsid w:val="00BB2887"/>
    <w:rsid w:val="00BB3B56"/>
    <w:rsid w:val="00BB5378"/>
    <w:rsid w:val="00BB5EAA"/>
    <w:rsid w:val="00BB5F11"/>
    <w:rsid w:val="00BB6638"/>
    <w:rsid w:val="00BB7FD2"/>
    <w:rsid w:val="00BC04FA"/>
    <w:rsid w:val="00BC1C22"/>
    <w:rsid w:val="00BC27FB"/>
    <w:rsid w:val="00BC460B"/>
    <w:rsid w:val="00BC4ED3"/>
    <w:rsid w:val="00BC5725"/>
    <w:rsid w:val="00BC67DD"/>
    <w:rsid w:val="00BD30B1"/>
    <w:rsid w:val="00BD5C21"/>
    <w:rsid w:val="00BE0F7B"/>
    <w:rsid w:val="00BE10C2"/>
    <w:rsid w:val="00BE20EE"/>
    <w:rsid w:val="00BF0D6C"/>
    <w:rsid w:val="00C01D14"/>
    <w:rsid w:val="00C01D97"/>
    <w:rsid w:val="00C02588"/>
    <w:rsid w:val="00C025B4"/>
    <w:rsid w:val="00C029EC"/>
    <w:rsid w:val="00C064BA"/>
    <w:rsid w:val="00C15779"/>
    <w:rsid w:val="00C161FD"/>
    <w:rsid w:val="00C17C9F"/>
    <w:rsid w:val="00C23F17"/>
    <w:rsid w:val="00C246F2"/>
    <w:rsid w:val="00C26D0D"/>
    <w:rsid w:val="00C27C95"/>
    <w:rsid w:val="00C300D2"/>
    <w:rsid w:val="00C3270F"/>
    <w:rsid w:val="00C3278B"/>
    <w:rsid w:val="00C33375"/>
    <w:rsid w:val="00C34C23"/>
    <w:rsid w:val="00C36804"/>
    <w:rsid w:val="00C368FA"/>
    <w:rsid w:val="00C42005"/>
    <w:rsid w:val="00C4664D"/>
    <w:rsid w:val="00C46F1E"/>
    <w:rsid w:val="00C4713C"/>
    <w:rsid w:val="00C472AA"/>
    <w:rsid w:val="00C50A05"/>
    <w:rsid w:val="00C52349"/>
    <w:rsid w:val="00C54AED"/>
    <w:rsid w:val="00C555FC"/>
    <w:rsid w:val="00C558E5"/>
    <w:rsid w:val="00C55E9B"/>
    <w:rsid w:val="00C56D09"/>
    <w:rsid w:val="00C57D24"/>
    <w:rsid w:val="00C604D6"/>
    <w:rsid w:val="00C63CAB"/>
    <w:rsid w:val="00C63D00"/>
    <w:rsid w:val="00C6441B"/>
    <w:rsid w:val="00C65921"/>
    <w:rsid w:val="00C7108B"/>
    <w:rsid w:val="00C75883"/>
    <w:rsid w:val="00C75A63"/>
    <w:rsid w:val="00C76685"/>
    <w:rsid w:val="00C77FA5"/>
    <w:rsid w:val="00C8089F"/>
    <w:rsid w:val="00C835FE"/>
    <w:rsid w:val="00C836CC"/>
    <w:rsid w:val="00C852D6"/>
    <w:rsid w:val="00C87724"/>
    <w:rsid w:val="00C87A74"/>
    <w:rsid w:val="00C92C71"/>
    <w:rsid w:val="00C930B8"/>
    <w:rsid w:val="00C93F8F"/>
    <w:rsid w:val="00C971FD"/>
    <w:rsid w:val="00CA0894"/>
    <w:rsid w:val="00CA3593"/>
    <w:rsid w:val="00CA5726"/>
    <w:rsid w:val="00CA7E6A"/>
    <w:rsid w:val="00CB193D"/>
    <w:rsid w:val="00CB258E"/>
    <w:rsid w:val="00CB3C8F"/>
    <w:rsid w:val="00CB4FD4"/>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9A4"/>
    <w:rsid w:val="00CF3DB3"/>
    <w:rsid w:val="00D0176E"/>
    <w:rsid w:val="00D0274B"/>
    <w:rsid w:val="00D0503D"/>
    <w:rsid w:val="00D052BC"/>
    <w:rsid w:val="00D07026"/>
    <w:rsid w:val="00D146AE"/>
    <w:rsid w:val="00D1479C"/>
    <w:rsid w:val="00D147BA"/>
    <w:rsid w:val="00D22C8F"/>
    <w:rsid w:val="00D25C01"/>
    <w:rsid w:val="00D3203C"/>
    <w:rsid w:val="00D33491"/>
    <w:rsid w:val="00D3442D"/>
    <w:rsid w:val="00D36F00"/>
    <w:rsid w:val="00D375C4"/>
    <w:rsid w:val="00D41EE2"/>
    <w:rsid w:val="00D44B67"/>
    <w:rsid w:val="00D44F8E"/>
    <w:rsid w:val="00D45D81"/>
    <w:rsid w:val="00D51B92"/>
    <w:rsid w:val="00D51FD5"/>
    <w:rsid w:val="00D52D8E"/>
    <w:rsid w:val="00D55DE0"/>
    <w:rsid w:val="00D607EF"/>
    <w:rsid w:val="00D60F88"/>
    <w:rsid w:val="00D646BD"/>
    <w:rsid w:val="00D65558"/>
    <w:rsid w:val="00D71201"/>
    <w:rsid w:val="00D720C7"/>
    <w:rsid w:val="00D73E43"/>
    <w:rsid w:val="00D76D9E"/>
    <w:rsid w:val="00D84841"/>
    <w:rsid w:val="00D876E6"/>
    <w:rsid w:val="00D90958"/>
    <w:rsid w:val="00D90E1C"/>
    <w:rsid w:val="00DA1025"/>
    <w:rsid w:val="00DA22EC"/>
    <w:rsid w:val="00DA5682"/>
    <w:rsid w:val="00DA5860"/>
    <w:rsid w:val="00DA5C0C"/>
    <w:rsid w:val="00DB2767"/>
    <w:rsid w:val="00DC1B10"/>
    <w:rsid w:val="00DC2924"/>
    <w:rsid w:val="00DC401D"/>
    <w:rsid w:val="00DC4729"/>
    <w:rsid w:val="00DC5AD6"/>
    <w:rsid w:val="00DD22C1"/>
    <w:rsid w:val="00DD31C5"/>
    <w:rsid w:val="00DD5020"/>
    <w:rsid w:val="00DD63BE"/>
    <w:rsid w:val="00DE148E"/>
    <w:rsid w:val="00DE4296"/>
    <w:rsid w:val="00DF2469"/>
    <w:rsid w:val="00DF3A5B"/>
    <w:rsid w:val="00DF7899"/>
    <w:rsid w:val="00E04A4A"/>
    <w:rsid w:val="00E0524C"/>
    <w:rsid w:val="00E05EDE"/>
    <w:rsid w:val="00E060AD"/>
    <w:rsid w:val="00E1447C"/>
    <w:rsid w:val="00E15751"/>
    <w:rsid w:val="00E17160"/>
    <w:rsid w:val="00E17D41"/>
    <w:rsid w:val="00E231D1"/>
    <w:rsid w:val="00E23750"/>
    <w:rsid w:val="00E278F7"/>
    <w:rsid w:val="00E3288D"/>
    <w:rsid w:val="00E35112"/>
    <w:rsid w:val="00E35BEC"/>
    <w:rsid w:val="00E41A6A"/>
    <w:rsid w:val="00E4738D"/>
    <w:rsid w:val="00E50821"/>
    <w:rsid w:val="00E51F91"/>
    <w:rsid w:val="00E5498A"/>
    <w:rsid w:val="00E54F24"/>
    <w:rsid w:val="00E559CE"/>
    <w:rsid w:val="00E55CCF"/>
    <w:rsid w:val="00E562B5"/>
    <w:rsid w:val="00E60F42"/>
    <w:rsid w:val="00E6746C"/>
    <w:rsid w:val="00E7086E"/>
    <w:rsid w:val="00E71248"/>
    <w:rsid w:val="00E73369"/>
    <w:rsid w:val="00E73C41"/>
    <w:rsid w:val="00E75749"/>
    <w:rsid w:val="00E75911"/>
    <w:rsid w:val="00E7598F"/>
    <w:rsid w:val="00E76F60"/>
    <w:rsid w:val="00E812B5"/>
    <w:rsid w:val="00E83D90"/>
    <w:rsid w:val="00E83F91"/>
    <w:rsid w:val="00E86299"/>
    <w:rsid w:val="00E9107A"/>
    <w:rsid w:val="00E91F62"/>
    <w:rsid w:val="00E929FD"/>
    <w:rsid w:val="00E93240"/>
    <w:rsid w:val="00E9479B"/>
    <w:rsid w:val="00E94E22"/>
    <w:rsid w:val="00E95301"/>
    <w:rsid w:val="00E95F08"/>
    <w:rsid w:val="00E97171"/>
    <w:rsid w:val="00EA1668"/>
    <w:rsid w:val="00EA4D48"/>
    <w:rsid w:val="00EA7ADF"/>
    <w:rsid w:val="00EB2173"/>
    <w:rsid w:val="00EB244E"/>
    <w:rsid w:val="00EB4DE5"/>
    <w:rsid w:val="00EB62E6"/>
    <w:rsid w:val="00EB695F"/>
    <w:rsid w:val="00EC3A85"/>
    <w:rsid w:val="00EC4B89"/>
    <w:rsid w:val="00EC59A5"/>
    <w:rsid w:val="00EC6E15"/>
    <w:rsid w:val="00ED1B30"/>
    <w:rsid w:val="00ED5D03"/>
    <w:rsid w:val="00ED6909"/>
    <w:rsid w:val="00EE01ED"/>
    <w:rsid w:val="00EE1AC1"/>
    <w:rsid w:val="00EE39D6"/>
    <w:rsid w:val="00EE52AD"/>
    <w:rsid w:val="00EE5BC3"/>
    <w:rsid w:val="00EE6E30"/>
    <w:rsid w:val="00EE6FAB"/>
    <w:rsid w:val="00EF328C"/>
    <w:rsid w:val="00EF5E2C"/>
    <w:rsid w:val="00EF68BB"/>
    <w:rsid w:val="00F01F92"/>
    <w:rsid w:val="00F030D4"/>
    <w:rsid w:val="00F04053"/>
    <w:rsid w:val="00F0420B"/>
    <w:rsid w:val="00F06573"/>
    <w:rsid w:val="00F10A08"/>
    <w:rsid w:val="00F14EF0"/>
    <w:rsid w:val="00F15354"/>
    <w:rsid w:val="00F22AC5"/>
    <w:rsid w:val="00F254D1"/>
    <w:rsid w:val="00F259F4"/>
    <w:rsid w:val="00F26731"/>
    <w:rsid w:val="00F27EC5"/>
    <w:rsid w:val="00F32B82"/>
    <w:rsid w:val="00F34C86"/>
    <w:rsid w:val="00F353B3"/>
    <w:rsid w:val="00F4043E"/>
    <w:rsid w:val="00F41795"/>
    <w:rsid w:val="00F41BBC"/>
    <w:rsid w:val="00F444F0"/>
    <w:rsid w:val="00F446FF"/>
    <w:rsid w:val="00F45521"/>
    <w:rsid w:val="00F50847"/>
    <w:rsid w:val="00F523C4"/>
    <w:rsid w:val="00F52EC6"/>
    <w:rsid w:val="00F53F27"/>
    <w:rsid w:val="00F546D1"/>
    <w:rsid w:val="00F547BC"/>
    <w:rsid w:val="00F60281"/>
    <w:rsid w:val="00F66272"/>
    <w:rsid w:val="00F66F47"/>
    <w:rsid w:val="00F709C0"/>
    <w:rsid w:val="00F76583"/>
    <w:rsid w:val="00F804FC"/>
    <w:rsid w:val="00F81A39"/>
    <w:rsid w:val="00F81FEC"/>
    <w:rsid w:val="00F83800"/>
    <w:rsid w:val="00F927A1"/>
    <w:rsid w:val="00F9280D"/>
    <w:rsid w:val="00F92E4D"/>
    <w:rsid w:val="00F94593"/>
    <w:rsid w:val="00F95D08"/>
    <w:rsid w:val="00FA0497"/>
    <w:rsid w:val="00FA23BD"/>
    <w:rsid w:val="00FA3764"/>
    <w:rsid w:val="00FA41C7"/>
    <w:rsid w:val="00FA4A79"/>
    <w:rsid w:val="00FA56ED"/>
    <w:rsid w:val="00FA5D6B"/>
    <w:rsid w:val="00FA7E8C"/>
    <w:rsid w:val="00FB05DD"/>
    <w:rsid w:val="00FB0F7C"/>
    <w:rsid w:val="00FB117A"/>
    <w:rsid w:val="00FB24EA"/>
    <w:rsid w:val="00FB51FF"/>
    <w:rsid w:val="00FB5FA6"/>
    <w:rsid w:val="00FC0334"/>
    <w:rsid w:val="00FC1310"/>
    <w:rsid w:val="00FC2B64"/>
    <w:rsid w:val="00FC2B98"/>
    <w:rsid w:val="00FC2FF3"/>
    <w:rsid w:val="00FC3263"/>
    <w:rsid w:val="00FC42ED"/>
    <w:rsid w:val="00FC51F9"/>
    <w:rsid w:val="00FC5B40"/>
    <w:rsid w:val="00FC5FF8"/>
    <w:rsid w:val="00FD271B"/>
    <w:rsid w:val="00FD3D7C"/>
    <w:rsid w:val="00FD4F8F"/>
    <w:rsid w:val="00FD555A"/>
    <w:rsid w:val="00FE0C16"/>
    <w:rsid w:val="00FE14B1"/>
    <w:rsid w:val="00FE4D97"/>
    <w:rsid w:val="00FE5F90"/>
    <w:rsid w:val="00FF0070"/>
    <w:rsid w:val="00FF07C3"/>
    <w:rsid w:val="00FF5527"/>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6E140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7AC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4A4998"/>
    <w:pPr>
      <w:ind w:left="720"/>
      <w:contextualSpacing/>
    </w:pPr>
  </w:style>
  <w:style w:type="character" w:customStyle="1" w:styleId="Heading4Char">
    <w:name w:val="Heading 4 Char"/>
    <w:basedOn w:val="DefaultParagraphFont"/>
    <w:link w:val="Heading4"/>
    <w:uiPriority w:val="9"/>
    <w:semiHidden/>
    <w:rsid w:val="00087ACA"/>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1069D6"/>
    <w:rPr>
      <w:color w:val="605E5C"/>
      <w:shd w:val="clear" w:color="auto" w:fill="E1DFDD"/>
    </w:rPr>
  </w:style>
  <w:style w:type="character" w:customStyle="1" w:styleId="Heading3Char">
    <w:name w:val="Heading 3 Char"/>
    <w:basedOn w:val="DefaultParagraphFont"/>
    <w:link w:val="Heading3"/>
    <w:uiPriority w:val="9"/>
    <w:semiHidden/>
    <w:rsid w:val="006E140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05510">
      <w:bodyDiv w:val="1"/>
      <w:marLeft w:val="0"/>
      <w:marRight w:val="0"/>
      <w:marTop w:val="0"/>
      <w:marBottom w:val="0"/>
      <w:divBdr>
        <w:top w:val="none" w:sz="0" w:space="0" w:color="auto"/>
        <w:left w:val="none" w:sz="0" w:space="0" w:color="auto"/>
        <w:bottom w:val="none" w:sz="0" w:space="0" w:color="auto"/>
        <w:right w:val="none" w:sz="0" w:space="0" w:color="auto"/>
      </w:divBdr>
    </w:div>
    <w:div w:id="96752129">
      <w:bodyDiv w:val="1"/>
      <w:marLeft w:val="0"/>
      <w:marRight w:val="0"/>
      <w:marTop w:val="0"/>
      <w:marBottom w:val="0"/>
      <w:divBdr>
        <w:top w:val="none" w:sz="0" w:space="0" w:color="auto"/>
        <w:left w:val="none" w:sz="0" w:space="0" w:color="auto"/>
        <w:bottom w:val="none" w:sz="0" w:space="0" w:color="auto"/>
        <w:right w:val="none" w:sz="0" w:space="0" w:color="auto"/>
      </w:divBdr>
    </w:div>
    <w:div w:id="98598833">
      <w:bodyDiv w:val="1"/>
      <w:marLeft w:val="0"/>
      <w:marRight w:val="0"/>
      <w:marTop w:val="0"/>
      <w:marBottom w:val="0"/>
      <w:divBdr>
        <w:top w:val="none" w:sz="0" w:space="0" w:color="auto"/>
        <w:left w:val="none" w:sz="0" w:space="0" w:color="auto"/>
        <w:bottom w:val="none" w:sz="0" w:space="0" w:color="auto"/>
        <w:right w:val="none" w:sz="0" w:space="0" w:color="auto"/>
      </w:divBdr>
    </w:div>
    <w:div w:id="323628686">
      <w:bodyDiv w:val="1"/>
      <w:marLeft w:val="0"/>
      <w:marRight w:val="0"/>
      <w:marTop w:val="0"/>
      <w:marBottom w:val="0"/>
      <w:divBdr>
        <w:top w:val="none" w:sz="0" w:space="0" w:color="auto"/>
        <w:left w:val="none" w:sz="0" w:space="0" w:color="auto"/>
        <w:bottom w:val="none" w:sz="0" w:space="0" w:color="auto"/>
        <w:right w:val="none" w:sz="0" w:space="0" w:color="auto"/>
      </w:divBdr>
    </w:div>
    <w:div w:id="349571297">
      <w:bodyDiv w:val="1"/>
      <w:marLeft w:val="0"/>
      <w:marRight w:val="0"/>
      <w:marTop w:val="0"/>
      <w:marBottom w:val="0"/>
      <w:divBdr>
        <w:top w:val="none" w:sz="0" w:space="0" w:color="auto"/>
        <w:left w:val="none" w:sz="0" w:space="0" w:color="auto"/>
        <w:bottom w:val="none" w:sz="0" w:space="0" w:color="auto"/>
        <w:right w:val="none" w:sz="0" w:space="0" w:color="auto"/>
      </w:divBdr>
    </w:div>
    <w:div w:id="393892723">
      <w:bodyDiv w:val="1"/>
      <w:marLeft w:val="0"/>
      <w:marRight w:val="0"/>
      <w:marTop w:val="0"/>
      <w:marBottom w:val="0"/>
      <w:divBdr>
        <w:top w:val="none" w:sz="0" w:space="0" w:color="auto"/>
        <w:left w:val="none" w:sz="0" w:space="0" w:color="auto"/>
        <w:bottom w:val="none" w:sz="0" w:space="0" w:color="auto"/>
        <w:right w:val="none" w:sz="0" w:space="0" w:color="auto"/>
      </w:divBdr>
    </w:div>
    <w:div w:id="416941573">
      <w:bodyDiv w:val="1"/>
      <w:marLeft w:val="0"/>
      <w:marRight w:val="0"/>
      <w:marTop w:val="0"/>
      <w:marBottom w:val="0"/>
      <w:divBdr>
        <w:top w:val="none" w:sz="0" w:space="0" w:color="auto"/>
        <w:left w:val="none" w:sz="0" w:space="0" w:color="auto"/>
        <w:bottom w:val="none" w:sz="0" w:space="0" w:color="auto"/>
        <w:right w:val="none" w:sz="0" w:space="0" w:color="auto"/>
      </w:divBdr>
    </w:div>
    <w:div w:id="603925350">
      <w:bodyDiv w:val="1"/>
      <w:marLeft w:val="0"/>
      <w:marRight w:val="0"/>
      <w:marTop w:val="0"/>
      <w:marBottom w:val="0"/>
      <w:divBdr>
        <w:top w:val="none" w:sz="0" w:space="0" w:color="auto"/>
        <w:left w:val="none" w:sz="0" w:space="0" w:color="auto"/>
        <w:bottom w:val="none" w:sz="0" w:space="0" w:color="auto"/>
        <w:right w:val="none" w:sz="0" w:space="0" w:color="auto"/>
      </w:divBdr>
    </w:div>
    <w:div w:id="690376811">
      <w:bodyDiv w:val="1"/>
      <w:marLeft w:val="0"/>
      <w:marRight w:val="0"/>
      <w:marTop w:val="0"/>
      <w:marBottom w:val="0"/>
      <w:divBdr>
        <w:top w:val="none" w:sz="0" w:space="0" w:color="auto"/>
        <w:left w:val="none" w:sz="0" w:space="0" w:color="auto"/>
        <w:bottom w:val="none" w:sz="0" w:space="0" w:color="auto"/>
        <w:right w:val="none" w:sz="0" w:space="0" w:color="auto"/>
      </w:divBdr>
    </w:div>
    <w:div w:id="712850203">
      <w:bodyDiv w:val="1"/>
      <w:marLeft w:val="0"/>
      <w:marRight w:val="0"/>
      <w:marTop w:val="0"/>
      <w:marBottom w:val="0"/>
      <w:divBdr>
        <w:top w:val="none" w:sz="0" w:space="0" w:color="auto"/>
        <w:left w:val="none" w:sz="0" w:space="0" w:color="auto"/>
        <w:bottom w:val="none" w:sz="0" w:space="0" w:color="auto"/>
        <w:right w:val="none" w:sz="0" w:space="0" w:color="auto"/>
      </w:divBdr>
    </w:div>
    <w:div w:id="772674761">
      <w:bodyDiv w:val="1"/>
      <w:marLeft w:val="0"/>
      <w:marRight w:val="0"/>
      <w:marTop w:val="0"/>
      <w:marBottom w:val="0"/>
      <w:divBdr>
        <w:top w:val="none" w:sz="0" w:space="0" w:color="auto"/>
        <w:left w:val="none" w:sz="0" w:space="0" w:color="auto"/>
        <w:bottom w:val="none" w:sz="0" w:space="0" w:color="auto"/>
        <w:right w:val="none" w:sz="0" w:space="0" w:color="auto"/>
      </w:divBdr>
      <w:divsChild>
        <w:div w:id="664360198">
          <w:marLeft w:val="0"/>
          <w:marRight w:val="0"/>
          <w:marTop w:val="0"/>
          <w:marBottom w:val="0"/>
          <w:divBdr>
            <w:top w:val="none" w:sz="0" w:space="0" w:color="auto"/>
            <w:left w:val="none" w:sz="0" w:space="0" w:color="auto"/>
            <w:bottom w:val="none" w:sz="0" w:space="0" w:color="auto"/>
            <w:right w:val="none" w:sz="0" w:space="0" w:color="auto"/>
          </w:divBdr>
          <w:divsChild>
            <w:div w:id="808471778">
              <w:marLeft w:val="0"/>
              <w:marRight w:val="0"/>
              <w:marTop w:val="0"/>
              <w:marBottom w:val="0"/>
              <w:divBdr>
                <w:top w:val="none" w:sz="0" w:space="0" w:color="auto"/>
                <w:left w:val="none" w:sz="0" w:space="0" w:color="auto"/>
                <w:bottom w:val="none" w:sz="0" w:space="0" w:color="auto"/>
                <w:right w:val="none" w:sz="0" w:space="0" w:color="auto"/>
              </w:divBdr>
              <w:divsChild>
                <w:div w:id="11526477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79671102">
          <w:marLeft w:val="0"/>
          <w:marRight w:val="0"/>
          <w:marTop w:val="0"/>
          <w:marBottom w:val="0"/>
          <w:divBdr>
            <w:top w:val="none" w:sz="0" w:space="0" w:color="auto"/>
            <w:left w:val="none" w:sz="0" w:space="0" w:color="auto"/>
            <w:bottom w:val="none" w:sz="0" w:space="0" w:color="auto"/>
            <w:right w:val="none" w:sz="0" w:space="0" w:color="auto"/>
          </w:divBdr>
          <w:divsChild>
            <w:div w:id="1797794896">
              <w:marLeft w:val="0"/>
              <w:marRight w:val="0"/>
              <w:marTop w:val="0"/>
              <w:marBottom w:val="0"/>
              <w:divBdr>
                <w:top w:val="none" w:sz="0" w:space="0" w:color="auto"/>
                <w:left w:val="none" w:sz="0" w:space="0" w:color="auto"/>
                <w:bottom w:val="none" w:sz="0" w:space="0" w:color="auto"/>
                <w:right w:val="none" w:sz="0" w:space="0" w:color="auto"/>
              </w:divBdr>
              <w:divsChild>
                <w:div w:id="1778787400">
                  <w:marLeft w:val="0"/>
                  <w:marRight w:val="0"/>
                  <w:marTop w:val="0"/>
                  <w:marBottom w:val="150"/>
                  <w:divBdr>
                    <w:top w:val="none" w:sz="0" w:space="0" w:color="auto"/>
                    <w:left w:val="none" w:sz="0" w:space="0" w:color="auto"/>
                    <w:bottom w:val="none" w:sz="0" w:space="0" w:color="auto"/>
                    <w:right w:val="none" w:sz="0" w:space="0" w:color="auto"/>
                  </w:divBdr>
                  <w:divsChild>
                    <w:div w:id="1326788103">
                      <w:marLeft w:val="0"/>
                      <w:marRight w:val="0"/>
                      <w:marTop w:val="0"/>
                      <w:marBottom w:val="0"/>
                      <w:divBdr>
                        <w:top w:val="none" w:sz="0" w:space="0" w:color="auto"/>
                        <w:left w:val="none" w:sz="0" w:space="0" w:color="auto"/>
                        <w:bottom w:val="none" w:sz="0" w:space="0" w:color="auto"/>
                        <w:right w:val="none" w:sz="0" w:space="0" w:color="auto"/>
                      </w:divBdr>
                      <w:divsChild>
                        <w:div w:id="1497725439">
                          <w:marLeft w:val="0"/>
                          <w:marRight w:val="0"/>
                          <w:marTop w:val="0"/>
                          <w:marBottom w:val="0"/>
                          <w:divBdr>
                            <w:top w:val="none" w:sz="0" w:space="0" w:color="auto"/>
                            <w:left w:val="none" w:sz="0" w:space="0" w:color="auto"/>
                            <w:bottom w:val="none" w:sz="0" w:space="0" w:color="auto"/>
                            <w:right w:val="none" w:sz="0" w:space="0" w:color="auto"/>
                          </w:divBdr>
                          <w:divsChild>
                            <w:div w:id="178357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1558775">
      <w:bodyDiv w:val="1"/>
      <w:marLeft w:val="0"/>
      <w:marRight w:val="0"/>
      <w:marTop w:val="0"/>
      <w:marBottom w:val="0"/>
      <w:divBdr>
        <w:top w:val="none" w:sz="0" w:space="0" w:color="auto"/>
        <w:left w:val="none" w:sz="0" w:space="0" w:color="auto"/>
        <w:bottom w:val="none" w:sz="0" w:space="0" w:color="auto"/>
        <w:right w:val="none" w:sz="0" w:space="0" w:color="auto"/>
      </w:divBdr>
    </w:div>
    <w:div w:id="96423541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10714026">
      <w:bodyDiv w:val="1"/>
      <w:marLeft w:val="0"/>
      <w:marRight w:val="0"/>
      <w:marTop w:val="0"/>
      <w:marBottom w:val="0"/>
      <w:divBdr>
        <w:top w:val="none" w:sz="0" w:space="0" w:color="auto"/>
        <w:left w:val="none" w:sz="0" w:space="0" w:color="auto"/>
        <w:bottom w:val="none" w:sz="0" w:space="0" w:color="auto"/>
        <w:right w:val="none" w:sz="0" w:space="0" w:color="auto"/>
      </w:divBdr>
    </w:div>
    <w:div w:id="105808832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349866">
      <w:bodyDiv w:val="1"/>
      <w:marLeft w:val="0"/>
      <w:marRight w:val="0"/>
      <w:marTop w:val="0"/>
      <w:marBottom w:val="0"/>
      <w:divBdr>
        <w:top w:val="none" w:sz="0" w:space="0" w:color="auto"/>
        <w:left w:val="none" w:sz="0" w:space="0" w:color="auto"/>
        <w:bottom w:val="none" w:sz="0" w:space="0" w:color="auto"/>
        <w:right w:val="none" w:sz="0" w:space="0" w:color="auto"/>
      </w:divBdr>
    </w:div>
    <w:div w:id="1309750789">
      <w:bodyDiv w:val="1"/>
      <w:marLeft w:val="0"/>
      <w:marRight w:val="0"/>
      <w:marTop w:val="0"/>
      <w:marBottom w:val="0"/>
      <w:divBdr>
        <w:top w:val="none" w:sz="0" w:space="0" w:color="auto"/>
        <w:left w:val="none" w:sz="0" w:space="0" w:color="auto"/>
        <w:bottom w:val="none" w:sz="0" w:space="0" w:color="auto"/>
        <w:right w:val="none" w:sz="0" w:space="0" w:color="auto"/>
      </w:divBdr>
    </w:div>
    <w:div w:id="1431706142">
      <w:bodyDiv w:val="1"/>
      <w:marLeft w:val="0"/>
      <w:marRight w:val="0"/>
      <w:marTop w:val="0"/>
      <w:marBottom w:val="0"/>
      <w:divBdr>
        <w:top w:val="none" w:sz="0" w:space="0" w:color="auto"/>
        <w:left w:val="none" w:sz="0" w:space="0" w:color="auto"/>
        <w:bottom w:val="none" w:sz="0" w:space="0" w:color="auto"/>
        <w:right w:val="none" w:sz="0" w:space="0" w:color="auto"/>
      </w:divBdr>
    </w:div>
    <w:div w:id="1680352025">
      <w:bodyDiv w:val="1"/>
      <w:marLeft w:val="0"/>
      <w:marRight w:val="0"/>
      <w:marTop w:val="0"/>
      <w:marBottom w:val="0"/>
      <w:divBdr>
        <w:top w:val="none" w:sz="0" w:space="0" w:color="auto"/>
        <w:left w:val="none" w:sz="0" w:space="0" w:color="auto"/>
        <w:bottom w:val="none" w:sz="0" w:space="0" w:color="auto"/>
        <w:right w:val="none" w:sz="0" w:space="0" w:color="auto"/>
      </w:divBdr>
    </w:div>
    <w:div w:id="1706978364">
      <w:bodyDiv w:val="1"/>
      <w:marLeft w:val="0"/>
      <w:marRight w:val="0"/>
      <w:marTop w:val="0"/>
      <w:marBottom w:val="0"/>
      <w:divBdr>
        <w:top w:val="none" w:sz="0" w:space="0" w:color="auto"/>
        <w:left w:val="none" w:sz="0" w:space="0" w:color="auto"/>
        <w:bottom w:val="none" w:sz="0" w:space="0" w:color="auto"/>
        <w:right w:val="none" w:sz="0" w:space="0" w:color="auto"/>
      </w:divBdr>
    </w:div>
    <w:div w:id="1792439339">
      <w:bodyDiv w:val="1"/>
      <w:marLeft w:val="0"/>
      <w:marRight w:val="0"/>
      <w:marTop w:val="0"/>
      <w:marBottom w:val="0"/>
      <w:divBdr>
        <w:top w:val="none" w:sz="0" w:space="0" w:color="auto"/>
        <w:left w:val="none" w:sz="0" w:space="0" w:color="auto"/>
        <w:bottom w:val="none" w:sz="0" w:space="0" w:color="auto"/>
        <w:right w:val="none" w:sz="0" w:space="0" w:color="auto"/>
      </w:divBdr>
    </w:div>
    <w:div w:id="1796484501">
      <w:bodyDiv w:val="1"/>
      <w:marLeft w:val="0"/>
      <w:marRight w:val="0"/>
      <w:marTop w:val="0"/>
      <w:marBottom w:val="0"/>
      <w:divBdr>
        <w:top w:val="none" w:sz="0" w:space="0" w:color="auto"/>
        <w:left w:val="none" w:sz="0" w:space="0" w:color="auto"/>
        <w:bottom w:val="none" w:sz="0" w:space="0" w:color="auto"/>
        <w:right w:val="none" w:sz="0" w:space="0" w:color="auto"/>
      </w:divBdr>
      <w:divsChild>
        <w:div w:id="1241401192">
          <w:marLeft w:val="0"/>
          <w:marRight w:val="0"/>
          <w:marTop w:val="0"/>
          <w:marBottom w:val="0"/>
          <w:divBdr>
            <w:top w:val="none" w:sz="0" w:space="0" w:color="auto"/>
            <w:left w:val="none" w:sz="0" w:space="0" w:color="auto"/>
            <w:bottom w:val="none" w:sz="0" w:space="0" w:color="auto"/>
            <w:right w:val="none" w:sz="0" w:space="0" w:color="auto"/>
          </w:divBdr>
          <w:divsChild>
            <w:div w:id="739257065">
              <w:marLeft w:val="0"/>
              <w:marRight w:val="0"/>
              <w:marTop w:val="0"/>
              <w:marBottom w:val="0"/>
              <w:divBdr>
                <w:top w:val="none" w:sz="0" w:space="0" w:color="auto"/>
                <w:left w:val="none" w:sz="0" w:space="0" w:color="auto"/>
                <w:bottom w:val="none" w:sz="0" w:space="0" w:color="auto"/>
                <w:right w:val="none" w:sz="0" w:space="0" w:color="auto"/>
              </w:divBdr>
              <w:divsChild>
                <w:div w:id="12439221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82989214">
          <w:marLeft w:val="0"/>
          <w:marRight w:val="0"/>
          <w:marTop w:val="0"/>
          <w:marBottom w:val="0"/>
          <w:divBdr>
            <w:top w:val="none" w:sz="0" w:space="0" w:color="auto"/>
            <w:left w:val="none" w:sz="0" w:space="0" w:color="auto"/>
            <w:bottom w:val="none" w:sz="0" w:space="0" w:color="auto"/>
            <w:right w:val="none" w:sz="0" w:space="0" w:color="auto"/>
          </w:divBdr>
          <w:divsChild>
            <w:div w:id="425006528">
              <w:marLeft w:val="0"/>
              <w:marRight w:val="0"/>
              <w:marTop w:val="0"/>
              <w:marBottom w:val="0"/>
              <w:divBdr>
                <w:top w:val="none" w:sz="0" w:space="0" w:color="auto"/>
                <w:left w:val="none" w:sz="0" w:space="0" w:color="auto"/>
                <w:bottom w:val="none" w:sz="0" w:space="0" w:color="auto"/>
                <w:right w:val="none" w:sz="0" w:space="0" w:color="auto"/>
              </w:divBdr>
              <w:divsChild>
                <w:div w:id="750001959">
                  <w:marLeft w:val="0"/>
                  <w:marRight w:val="0"/>
                  <w:marTop w:val="0"/>
                  <w:marBottom w:val="150"/>
                  <w:divBdr>
                    <w:top w:val="none" w:sz="0" w:space="0" w:color="auto"/>
                    <w:left w:val="none" w:sz="0" w:space="0" w:color="auto"/>
                    <w:bottom w:val="none" w:sz="0" w:space="0" w:color="auto"/>
                    <w:right w:val="none" w:sz="0" w:space="0" w:color="auto"/>
                  </w:divBdr>
                  <w:divsChild>
                    <w:div w:id="1422484308">
                      <w:marLeft w:val="0"/>
                      <w:marRight w:val="0"/>
                      <w:marTop w:val="0"/>
                      <w:marBottom w:val="0"/>
                      <w:divBdr>
                        <w:top w:val="none" w:sz="0" w:space="0" w:color="auto"/>
                        <w:left w:val="none" w:sz="0" w:space="0" w:color="auto"/>
                        <w:bottom w:val="none" w:sz="0" w:space="0" w:color="auto"/>
                        <w:right w:val="none" w:sz="0" w:space="0" w:color="auto"/>
                      </w:divBdr>
                      <w:divsChild>
                        <w:div w:id="1874227487">
                          <w:marLeft w:val="0"/>
                          <w:marRight w:val="0"/>
                          <w:marTop w:val="0"/>
                          <w:marBottom w:val="0"/>
                          <w:divBdr>
                            <w:top w:val="none" w:sz="0" w:space="0" w:color="auto"/>
                            <w:left w:val="none" w:sz="0" w:space="0" w:color="auto"/>
                            <w:bottom w:val="none" w:sz="0" w:space="0" w:color="auto"/>
                            <w:right w:val="none" w:sz="0" w:space="0" w:color="auto"/>
                          </w:divBdr>
                          <w:divsChild>
                            <w:div w:id="203831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42794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843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5</Pages>
  <Words>1151</Words>
  <Characters>6838</Characters>
  <Application>Microsoft Office Word</Application>
  <DocSecurity>0</DocSecurity>
  <Lines>273</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Bhogal</cp:lastModifiedBy>
  <cp:revision>168</cp:revision>
  <cp:lastPrinted>2020-02-11T19:20:00Z</cp:lastPrinted>
  <dcterms:created xsi:type="dcterms:W3CDTF">2025-09-18T18:56:00Z</dcterms:created>
  <dcterms:modified xsi:type="dcterms:W3CDTF">2025-10-07T22:23:00Z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