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C454B" w:rsidRDefault="000C454B" w:rsidP="000C454B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:rsidR="000C454B" w:rsidRDefault="000C454B" w:rsidP="000C454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:rsidR="000C454B" w:rsidRDefault="000C454B" w:rsidP="000C454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:rsidR="000C454B" w:rsidRDefault="000C454B" w:rsidP="000C454B">
      <w:pPr>
        <w:jc w:val="right"/>
        <w:rPr>
          <w:rFonts w:ascii="Arial" w:hAnsi="Arial" w:cs="Arial"/>
          <w:sz w:val="22"/>
        </w:rPr>
      </w:pPr>
      <w:r w:rsidRPr="00D24329">
        <w:rPr>
          <w:rFonts w:ascii="Arial" w:hAnsi="Arial" w:cs="Arial"/>
          <w:noProof/>
          <w:sz w:val="22"/>
          <w:lang w:val="en-GB" w:eastAsia="en-GB"/>
        </w:rPr>
        <w:drawing>
          <wp:inline distT="0" distB="0" distL="0" distR="0" wp14:anchorId="417DEA6A" wp14:editId="1696AA6B">
            <wp:extent cx="2011442" cy="805378"/>
            <wp:effectExtent l="0" t="0" r="8255" b="0"/>
            <wp:docPr id="3606493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4060" cy="8064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C454B" w:rsidRDefault="000C454B" w:rsidP="000C454B">
      <w:pPr>
        <w:rPr>
          <w:rFonts w:ascii="Arial" w:hAnsi="Arial" w:cs="Arial"/>
          <w:sz w:val="22"/>
        </w:rPr>
      </w:pPr>
    </w:p>
    <w:p w:rsidR="000C454B" w:rsidRPr="000C454B" w:rsidRDefault="000C454B" w:rsidP="000C454B">
      <w:pPr>
        <w:spacing w:line="360" w:lineRule="auto"/>
        <w:rPr>
          <w:rFonts w:ascii="Arial" w:hAnsi="Arial" w:cs="Arial"/>
          <w:b/>
          <w:sz w:val="22"/>
          <w:szCs w:val="22"/>
        </w:rPr>
      </w:pPr>
      <w:bookmarkStart w:id="0" w:name="_GoBack"/>
      <w:bookmarkEnd w:id="0"/>
    </w:p>
    <w:p w:rsidR="000C454B" w:rsidRPr="000C454B" w:rsidRDefault="005D0167" w:rsidP="000C454B">
      <w:pPr>
        <w:spacing w:line="360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Module: Protecting and supporting Families in health and social care</w:t>
      </w:r>
    </w:p>
    <w:p w:rsidR="000C454B" w:rsidRPr="000C454B" w:rsidRDefault="005D0167" w:rsidP="000C454B">
      <w:pPr>
        <w:spacing w:line="360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Module code: BMHP5021</w:t>
      </w:r>
    </w:p>
    <w:p w:rsidR="000C454B" w:rsidRPr="000C454B" w:rsidRDefault="000C454B" w:rsidP="000C454B">
      <w:pPr>
        <w:spacing w:line="360" w:lineRule="auto"/>
        <w:rPr>
          <w:rFonts w:ascii="Arial" w:hAnsi="Arial" w:cs="Arial"/>
          <w:b/>
          <w:sz w:val="22"/>
          <w:szCs w:val="22"/>
        </w:rPr>
      </w:pPr>
      <w:r w:rsidRPr="000C454B">
        <w:rPr>
          <w:rFonts w:ascii="Arial" w:hAnsi="Arial" w:cs="Arial"/>
          <w:b/>
          <w:sz w:val="22"/>
          <w:szCs w:val="22"/>
        </w:rPr>
        <w:t>Assignment Title: Component 1: Online portfolio of set exercises</w:t>
      </w:r>
    </w:p>
    <w:p w:rsidR="000C454B" w:rsidRPr="000C454B" w:rsidRDefault="000C454B" w:rsidP="000C454B">
      <w:pPr>
        <w:spacing w:line="360" w:lineRule="auto"/>
        <w:rPr>
          <w:rFonts w:ascii="Arial" w:hAnsi="Arial" w:cs="Arial"/>
          <w:b/>
          <w:sz w:val="22"/>
          <w:szCs w:val="22"/>
        </w:rPr>
      </w:pPr>
      <w:r w:rsidRPr="000C454B">
        <w:rPr>
          <w:rFonts w:ascii="Arial" w:hAnsi="Arial" w:cs="Arial"/>
          <w:b/>
          <w:sz w:val="22"/>
          <w:szCs w:val="22"/>
        </w:rPr>
        <w:t>Student name:</w:t>
      </w:r>
      <w:r>
        <w:rPr>
          <w:rFonts w:ascii="Arial" w:hAnsi="Arial" w:cs="Arial"/>
          <w:b/>
          <w:sz w:val="22"/>
          <w:szCs w:val="22"/>
        </w:rPr>
        <w:t xml:space="preserve"> Evel</w:t>
      </w:r>
      <w:r w:rsidR="005D0167">
        <w:rPr>
          <w:rFonts w:ascii="Arial" w:hAnsi="Arial" w:cs="Arial"/>
          <w:b/>
          <w:sz w:val="22"/>
          <w:szCs w:val="22"/>
        </w:rPr>
        <w:t>yn Alexander</w:t>
      </w:r>
    </w:p>
    <w:p w:rsidR="000C454B" w:rsidRPr="000C454B" w:rsidRDefault="000C454B" w:rsidP="000C454B">
      <w:pPr>
        <w:spacing w:line="360" w:lineRule="auto"/>
        <w:rPr>
          <w:rFonts w:ascii="Arial" w:hAnsi="Arial" w:cs="Arial"/>
          <w:b/>
          <w:sz w:val="22"/>
          <w:szCs w:val="22"/>
        </w:rPr>
      </w:pPr>
      <w:r w:rsidRPr="000C454B">
        <w:rPr>
          <w:rFonts w:ascii="Arial" w:hAnsi="Arial" w:cs="Arial"/>
          <w:b/>
          <w:sz w:val="22"/>
          <w:szCs w:val="22"/>
        </w:rPr>
        <w:t>Student number:</w:t>
      </w:r>
      <w:r>
        <w:rPr>
          <w:rFonts w:ascii="Arial" w:hAnsi="Arial" w:cs="Arial"/>
          <w:b/>
          <w:sz w:val="22"/>
          <w:szCs w:val="22"/>
        </w:rPr>
        <w:t xml:space="preserve"> 2417638</w:t>
      </w:r>
    </w:p>
    <w:p w:rsidR="000C454B" w:rsidRPr="000C454B" w:rsidRDefault="000C454B" w:rsidP="000C454B">
      <w:pPr>
        <w:spacing w:line="360" w:lineRule="auto"/>
        <w:rPr>
          <w:rFonts w:ascii="Arial" w:hAnsi="Arial" w:cs="Arial"/>
          <w:b/>
          <w:sz w:val="22"/>
          <w:szCs w:val="22"/>
        </w:rPr>
      </w:pPr>
      <w:r w:rsidRPr="000C454B">
        <w:rPr>
          <w:rFonts w:ascii="Arial" w:hAnsi="Arial" w:cs="Arial"/>
          <w:b/>
          <w:sz w:val="22"/>
          <w:szCs w:val="22"/>
        </w:rPr>
        <w:t>Lecturer’s name:</w:t>
      </w:r>
      <w:r w:rsidR="005D0167">
        <w:rPr>
          <w:rFonts w:ascii="Arial" w:hAnsi="Arial" w:cs="Arial"/>
          <w:b/>
          <w:sz w:val="22"/>
          <w:szCs w:val="22"/>
        </w:rPr>
        <w:t xml:space="preserve"> Amanda Jones</w:t>
      </w:r>
      <w:r w:rsidRPr="00854D74">
        <w:rPr>
          <w:rFonts w:ascii="Arial" w:hAnsi="Arial" w:cs="Arial"/>
          <w:sz w:val="22"/>
        </w:rPr>
        <w:br/>
      </w:r>
    </w:p>
    <w:p w:rsidR="000C454B" w:rsidRDefault="000C454B" w:rsidP="000C454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</w:p>
    <w:p w:rsidR="000C454B" w:rsidRPr="000A2754" w:rsidRDefault="000C454B" w:rsidP="000C454B">
      <w:pPr>
        <w:pStyle w:val="Heading1"/>
        <w:spacing w:before="300" w:after="200" w:line="360" w:lineRule="auto"/>
        <w:jc w:val="both"/>
        <w:rPr>
          <w:rFonts w:ascii="Arial" w:hAnsi="Arial" w:cs="Arial"/>
          <w:b/>
          <w:bCs/>
        </w:rPr>
      </w:pPr>
      <w:r w:rsidRPr="000A2754">
        <w:rPr>
          <w:rFonts w:ascii="Arial" w:hAnsi="Arial" w:cs="Arial"/>
          <w:b/>
          <w:bCs/>
        </w:rPr>
        <w:t xml:space="preserve">References </w:t>
      </w:r>
    </w:p>
    <w:p w:rsidR="000C454B" w:rsidRPr="000A2754" w:rsidRDefault="000C454B" w:rsidP="000C454B">
      <w:pPr>
        <w:spacing w:after="160" w:line="360" w:lineRule="auto"/>
        <w:contextualSpacing/>
        <w:jc w:val="both"/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</w:pPr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Department for Education (2018a) Working Together to Safeguard Children: A Guide to Inter-Agency Working to Safeguard and Promote the Welfare of Children. London: Department for Education. </w:t>
      </w:r>
    </w:p>
    <w:p w:rsidR="000C454B" w:rsidRPr="000A2754" w:rsidRDefault="000C454B" w:rsidP="000C454B">
      <w:pPr>
        <w:spacing w:after="160" w:line="360" w:lineRule="auto"/>
        <w:contextualSpacing/>
        <w:jc w:val="both"/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</w:pPr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Department for Education (2018b) Keeping Children Safe in Education: Statutory Guidance for Schools and Colleges. London: Department for Education.</w:t>
      </w:r>
    </w:p>
    <w:p w:rsidR="000C454B" w:rsidRPr="000A2754" w:rsidRDefault="000C454B" w:rsidP="000C454B">
      <w:pPr>
        <w:spacing w:after="160" w:line="360" w:lineRule="auto"/>
        <w:contextualSpacing/>
        <w:jc w:val="both"/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</w:pPr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Doherty, J. (2023) Local Child Safeguarding Practice Review Commissioned by The Bradford Partnership – Concerning Child A. Bradford: Bradford District Safeguarding Children Partnership. Available at: </w:t>
      </w:r>
      <w:hyperlink r:id="rId5" w:history="1">
        <w:r w:rsidRPr="000A2754">
          <w:rPr>
            <w:rFonts w:ascii="Arial" w:eastAsia="Calibri" w:hAnsi="Arial" w:cs="Arial"/>
            <w:color w:val="0563C1"/>
            <w:kern w:val="2"/>
            <w:sz w:val="22"/>
            <w:szCs w:val="22"/>
            <w:u w:val="single"/>
            <w:lang w:val="en-GB"/>
            <w14:ligatures w14:val="standardContextual"/>
          </w:rPr>
          <w:t>https://saferbradford.co.uk/media/k44hmjpy/child-a-final-report-for-publication.pdf</w:t>
        </w:r>
      </w:hyperlink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 (Accessed: 11th July, 2026)</w:t>
      </w:r>
    </w:p>
    <w:p w:rsidR="000C454B" w:rsidRPr="000A2754" w:rsidRDefault="000C454B" w:rsidP="000C454B">
      <w:pPr>
        <w:spacing w:after="160" w:line="360" w:lineRule="auto"/>
        <w:contextualSpacing/>
        <w:jc w:val="both"/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</w:pPr>
      <w:proofErr w:type="spellStart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Muirden</w:t>
      </w:r>
      <w:proofErr w:type="spellEnd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, C.E. and Appleton, J.V., 2022. Health and social care practitioners' experiences of exercising professional curiosity in child protection practice: An integrative review. Health &amp; Social Care in the Community, 30(6), </w:t>
      </w:r>
      <w:proofErr w:type="gramStart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pp.e</w:t>
      </w:r>
      <w:proofErr w:type="gramEnd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3885-e3903.</w:t>
      </w:r>
    </w:p>
    <w:p w:rsidR="000C454B" w:rsidRPr="000A2754" w:rsidRDefault="000C454B" w:rsidP="000C454B">
      <w:pPr>
        <w:spacing w:after="160" w:line="360" w:lineRule="auto"/>
        <w:contextualSpacing/>
        <w:jc w:val="both"/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</w:pPr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Munro, E., 2011. The Munro review of child protection: Final report, a child-centred system (Vol. 8062). The Stationery Office.</w:t>
      </w:r>
    </w:p>
    <w:p w:rsidR="000C454B" w:rsidRPr="000A2754" w:rsidRDefault="000C454B" w:rsidP="000C454B">
      <w:pPr>
        <w:spacing w:after="160" w:line="360" w:lineRule="auto"/>
        <w:contextualSpacing/>
        <w:jc w:val="both"/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</w:pPr>
      <w:proofErr w:type="spellStart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Sharley</w:t>
      </w:r>
      <w:proofErr w:type="spellEnd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, V., 2020. Identifying and responding to child neglect within schools: Differing perspectives and the implications for inter-agency practice. Child indicators research, 13(2), </w:t>
      </w:r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lastRenderedPageBreak/>
        <w:t xml:space="preserve">pp.551-571. Available at: </w:t>
      </w:r>
      <w:hyperlink r:id="rId6" w:history="1">
        <w:r w:rsidRPr="000A2754">
          <w:rPr>
            <w:rFonts w:ascii="Arial" w:eastAsia="Calibri" w:hAnsi="Arial" w:cs="Arial"/>
            <w:color w:val="0563C1"/>
            <w:kern w:val="2"/>
            <w:sz w:val="22"/>
            <w:szCs w:val="22"/>
            <w:u w:val="single"/>
            <w:lang w:val="en-GB"/>
            <w14:ligatures w14:val="standardContextual"/>
          </w:rPr>
          <w:t>https://link.springer.com/content/pdf/10.1007/s12187-019-09681-z.pdf</w:t>
        </w:r>
      </w:hyperlink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  (Accessed: 11th July, 2026)</w:t>
      </w:r>
    </w:p>
    <w:p w:rsidR="000C454B" w:rsidRPr="000A2754" w:rsidRDefault="000C454B" w:rsidP="000C454B">
      <w:pPr>
        <w:spacing w:after="160" w:line="360" w:lineRule="auto"/>
        <w:contextualSpacing/>
        <w:jc w:val="both"/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</w:pPr>
      <w:proofErr w:type="spellStart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Sharley</w:t>
      </w:r>
      <w:proofErr w:type="spellEnd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, V., 2021. Missing data, complex processes and differing contexts: a case file analysis of school staff's involvement in child protection cases for concerns of neglect. Child Abuse Review, 30(5), pp.444-457.</w:t>
      </w:r>
    </w:p>
    <w:p w:rsidR="000C454B" w:rsidRPr="000A2754" w:rsidRDefault="000C454B" w:rsidP="000C454B">
      <w:pPr>
        <w:spacing w:after="160" w:line="360" w:lineRule="auto"/>
        <w:contextualSpacing/>
        <w:jc w:val="both"/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</w:pPr>
      <w:proofErr w:type="spellStart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Sharley</w:t>
      </w:r>
      <w:proofErr w:type="spellEnd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, V., 2023. Responding to Child Neglect in Schools: factors which scaffold safeguarding practice for staff in mainstream education in Wales. Research Papers in Education, 38(6), pp.1008-1028. Available at: </w:t>
      </w:r>
      <w:hyperlink r:id="rId7" w:history="1">
        <w:r w:rsidRPr="000A2754">
          <w:rPr>
            <w:rFonts w:ascii="Arial" w:eastAsia="Calibri" w:hAnsi="Arial" w:cs="Arial"/>
            <w:color w:val="0563C1"/>
            <w:kern w:val="2"/>
            <w:sz w:val="22"/>
            <w:szCs w:val="22"/>
            <w:u w:val="single"/>
            <w:lang w:val="en-GB"/>
            <w14:ligatures w14:val="standardContextual"/>
          </w:rPr>
          <w:t>https://www.tandfonline.com/doi/pdf/10.1080/02671522.2022.2089211</w:t>
        </w:r>
      </w:hyperlink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 (Accessed: 12th July, 2026)</w:t>
      </w:r>
    </w:p>
    <w:p w:rsidR="000C454B" w:rsidRPr="00161BB4" w:rsidRDefault="000C454B" w:rsidP="000C454B">
      <w:pPr>
        <w:spacing w:after="160" w:line="360" w:lineRule="auto"/>
        <w:contextualSpacing/>
        <w:jc w:val="both"/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</w:pPr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Unger, K. and </w:t>
      </w:r>
      <w:proofErr w:type="spellStart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Dreer-Göthe</w:t>
      </w:r>
      <w:proofErr w:type="spellEnd"/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, B., 2026. Teacher Well-Being and Child Protection in Schools: A Systematic Review of Teachers’ Demands and Support Needs. International Journal on Child Maltreatment: Research, Policy and Practice, pp.1-44. Available at: </w:t>
      </w:r>
      <w:hyperlink r:id="rId8" w:history="1">
        <w:r w:rsidRPr="000A2754">
          <w:rPr>
            <w:rFonts w:ascii="Arial" w:eastAsia="Calibri" w:hAnsi="Arial" w:cs="Arial"/>
            <w:color w:val="0563C1"/>
            <w:kern w:val="2"/>
            <w:sz w:val="22"/>
            <w:szCs w:val="22"/>
            <w:u w:val="single"/>
            <w:lang w:val="en-GB"/>
            <w14:ligatures w14:val="standardContextual"/>
          </w:rPr>
          <w:t>https://link.springer.com/content/pdf/10.1007/s42448-025-00244-0.pdf</w:t>
        </w:r>
      </w:hyperlink>
      <w:r w:rsidRPr="000A2754"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 xml:space="preserve"> (Accessed: 12th July, 2026)</w:t>
      </w:r>
      <w:r>
        <w:rPr>
          <w:rFonts w:ascii="Arial" w:eastAsia="Calibri" w:hAnsi="Arial" w:cs="Arial"/>
          <w:kern w:val="2"/>
          <w:sz w:val="22"/>
          <w:szCs w:val="22"/>
          <w:lang w:val="en-GB"/>
          <w14:ligatures w14:val="standardContextual"/>
        </w:rPr>
        <w:t>.</w:t>
      </w:r>
    </w:p>
    <w:p w:rsidR="00FA1A10" w:rsidRDefault="005D0167"/>
    <w:sectPr w:rsidR="00FA1A10"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454B"/>
    <w:rsid w:val="000C454B"/>
    <w:rsid w:val="005D0167"/>
    <w:rsid w:val="009F70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29ABB8"/>
  <w15:chartTrackingRefBased/>
  <w15:docId w15:val="{9996177B-D38B-4B8F-8B32-D014697C6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454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Heading1">
    <w:name w:val="heading 1"/>
    <w:link w:val="Heading1Char"/>
    <w:uiPriority w:val="9"/>
    <w:qFormat/>
    <w:rsid w:val="000C454B"/>
    <w:pPr>
      <w:spacing w:after="0" w:line="240" w:lineRule="auto"/>
      <w:outlineLvl w:val="0"/>
    </w:pPr>
    <w:rPr>
      <w:rFonts w:ascii="Times New Roman" w:eastAsia="Times New Roman" w:hAnsi="Times New Roman" w:cs="Times New Roman"/>
      <w:color w:val="2E74B5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454B"/>
    <w:rPr>
      <w:rFonts w:ascii="Times New Roman" w:eastAsia="Times New Roman" w:hAnsi="Times New Roman" w:cs="Times New Roman"/>
      <w:color w:val="2E74B5"/>
      <w:sz w:val="32"/>
      <w:szCs w:val="32"/>
      <w:lang w:val="en-US"/>
    </w:rPr>
  </w:style>
  <w:style w:type="paragraph" w:customStyle="1" w:styleId="paragraph">
    <w:name w:val="paragraph"/>
    <w:basedOn w:val="Normal"/>
    <w:rsid w:val="000C454B"/>
    <w:pPr>
      <w:spacing w:before="100" w:beforeAutospacing="1" w:after="100" w:afterAutospacing="1"/>
    </w:pPr>
    <w:rPr>
      <w:sz w:val="24"/>
      <w:szCs w:val="24"/>
      <w:lang w:val="en-GB" w:eastAsia="en-GB"/>
    </w:rPr>
  </w:style>
  <w:style w:type="character" w:customStyle="1" w:styleId="eop">
    <w:name w:val="eop"/>
    <w:basedOn w:val="DefaultParagraphFont"/>
    <w:rsid w:val="000C454B"/>
  </w:style>
  <w:style w:type="character" w:customStyle="1" w:styleId="normaltextrun">
    <w:name w:val="normaltextrun"/>
    <w:basedOn w:val="DefaultParagraphFont"/>
    <w:rsid w:val="000C45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9957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478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493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518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60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602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10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808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738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011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465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10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686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1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24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102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024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68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content/pdf/10.1007/s42448-025-00244-0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andfonline.com/doi/pdf/10.1080/02671522.2022.208921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ink.springer.com/content/pdf/10.1007/s12187-019-09681-z.pdf" TargetMode="External"/><Relationship Id="rId5" Type="http://schemas.openxmlformats.org/officeDocument/2006/relationships/hyperlink" Target="https://saferbradford.co.uk/media/k44hmjpy/child-a-final-report-for-publication.pdf" TargetMode="External"/><Relationship Id="rId10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422</Words>
  <Characters>2409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London PC</dc:creator>
  <cp:keywords/>
  <dc:description/>
  <cp:lastModifiedBy>London PC</cp:lastModifiedBy>
  <cp:revision>1</cp:revision>
  <dcterms:created xsi:type="dcterms:W3CDTF">2026-07-24T08:12:00Z</dcterms:created>
  <dcterms:modified xsi:type="dcterms:W3CDTF">2026-07-24T08:26:00Z</dcterms:modified>
</cp:coreProperties>
</file>