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6EDD94" w14:textId="03485AC1" w:rsidR="00FD7CCC" w:rsidRPr="00F3501B" w:rsidRDefault="00FD7CCC" w:rsidP="00F3501B">
      <w:pPr>
        <w:rPr>
          <w:rFonts w:ascii="Times New Roman" w:hAnsi="Times New Roman"/>
          <w:sz w:val="24"/>
          <w:szCs w:val="24"/>
        </w:rPr>
      </w:pPr>
    </w:p>
    <w:p w14:paraId="09CE4B4C" w14:textId="4A2B6A65" w:rsidR="00FD7CCC" w:rsidRPr="00F3501B" w:rsidRDefault="00FD7CCC" w:rsidP="00F3501B">
      <w:pPr>
        <w:rPr>
          <w:rFonts w:ascii="Times New Roman" w:hAnsi="Times New Roman"/>
          <w:sz w:val="24"/>
          <w:szCs w:val="24"/>
        </w:rPr>
      </w:pPr>
    </w:p>
    <w:p w14:paraId="7E9D6F9B" w14:textId="2DDFFF92" w:rsidR="00FD7CCC" w:rsidRPr="00F3501B" w:rsidRDefault="00FD7CCC" w:rsidP="00F3501B">
      <w:pPr>
        <w:rPr>
          <w:rFonts w:ascii="Times New Roman" w:hAnsi="Times New Roman"/>
          <w:sz w:val="24"/>
          <w:szCs w:val="24"/>
        </w:rPr>
      </w:pPr>
    </w:p>
    <w:p w14:paraId="055C4947" w14:textId="4073D5FA" w:rsidR="001541A2" w:rsidRPr="00F3501B" w:rsidRDefault="001541A2" w:rsidP="00F3501B">
      <w:pPr>
        <w:rPr>
          <w:rFonts w:ascii="Times New Roman" w:hAnsi="Times New Roman"/>
          <w:sz w:val="24"/>
          <w:szCs w:val="24"/>
        </w:rPr>
      </w:pPr>
    </w:p>
    <w:p w14:paraId="36E49F9A" w14:textId="77777777" w:rsidR="001541A2" w:rsidRPr="00F3501B" w:rsidRDefault="001541A2" w:rsidP="00F3501B">
      <w:pPr>
        <w:rPr>
          <w:rFonts w:ascii="Times New Roman" w:hAnsi="Times New Roman"/>
          <w:sz w:val="24"/>
          <w:szCs w:val="24"/>
        </w:rPr>
      </w:pPr>
    </w:p>
    <w:p w14:paraId="46A335E7" w14:textId="77777777" w:rsidR="00FD7CCC" w:rsidRPr="00F3501B" w:rsidRDefault="00FD7CCC" w:rsidP="00F3501B">
      <w:pPr>
        <w:rPr>
          <w:rFonts w:ascii="Times New Roman" w:hAnsi="Times New Roman"/>
          <w:sz w:val="24"/>
          <w:szCs w:val="24"/>
        </w:rPr>
      </w:pPr>
    </w:p>
    <w:p w14:paraId="6670CEBE" w14:textId="747E5F8F" w:rsidR="006612E0" w:rsidRPr="00F3501B" w:rsidRDefault="00BC06B0" w:rsidP="00F3501B">
      <w:pPr>
        <w:rPr>
          <w:rFonts w:ascii="Times New Roman" w:hAnsi="Times New Roman"/>
          <w:sz w:val="24"/>
          <w:szCs w:val="24"/>
        </w:rPr>
      </w:pPr>
      <w:r w:rsidRPr="00F3501B">
        <w:rPr>
          <w:rFonts w:ascii="Times New Roman" w:hAnsi="Times New Roman"/>
          <w:sz w:val="24"/>
          <w:szCs w:val="24"/>
        </w:rPr>
        <w:t>Financial</w:t>
      </w:r>
      <w:r w:rsidR="000443E9" w:rsidRPr="00F3501B">
        <w:rPr>
          <w:rFonts w:ascii="Times New Roman" w:hAnsi="Times New Roman"/>
          <w:sz w:val="24"/>
          <w:szCs w:val="24"/>
        </w:rPr>
        <w:t xml:space="preserve"> Management</w:t>
      </w:r>
      <w:r w:rsidR="006612E0" w:rsidRPr="00F3501B">
        <w:rPr>
          <w:rFonts w:ascii="Times New Roman" w:hAnsi="Times New Roman"/>
          <w:sz w:val="24"/>
          <w:szCs w:val="24"/>
        </w:rPr>
        <w:t>, LCMB700</w:t>
      </w:r>
      <w:r w:rsidRPr="00F3501B">
        <w:rPr>
          <w:rFonts w:ascii="Times New Roman" w:hAnsi="Times New Roman"/>
          <w:sz w:val="24"/>
          <w:szCs w:val="24"/>
        </w:rPr>
        <w:t>2</w:t>
      </w:r>
    </w:p>
    <w:p w14:paraId="3BA2193F" w14:textId="33B8F798" w:rsidR="009A75F3" w:rsidRPr="00F3501B" w:rsidRDefault="000443E9" w:rsidP="00F3501B">
      <w:pPr>
        <w:rPr>
          <w:rFonts w:ascii="Times New Roman" w:hAnsi="Times New Roman"/>
          <w:sz w:val="24"/>
          <w:szCs w:val="24"/>
        </w:rPr>
      </w:pPr>
      <w:r w:rsidRPr="00F3501B">
        <w:rPr>
          <w:rFonts w:ascii="Times New Roman" w:hAnsi="Times New Roman"/>
          <w:sz w:val="24"/>
          <w:szCs w:val="24"/>
        </w:rPr>
        <w:t>Ass</w:t>
      </w:r>
      <w:r w:rsidR="006612E0" w:rsidRPr="00F3501B">
        <w:rPr>
          <w:rFonts w:ascii="Times New Roman" w:hAnsi="Times New Roman"/>
          <w:sz w:val="24"/>
          <w:szCs w:val="24"/>
        </w:rPr>
        <w:t>ess</w:t>
      </w:r>
      <w:r w:rsidRPr="00F3501B">
        <w:rPr>
          <w:rFonts w:ascii="Times New Roman" w:hAnsi="Times New Roman"/>
          <w:sz w:val="24"/>
          <w:szCs w:val="24"/>
        </w:rPr>
        <w:t>ment 1</w:t>
      </w:r>
    </w:p>
    <w:p w14:paraId="035029ED" w14:textId="77777777" w:rsidR="009A75F3" w:rsidRPr="00F3501B" w:rsidRDefault="009A75F3" w:rsidP="00F3501B">
      <w:pPr>
        <w:rPr>
          <w:rFonts w:ascii="Times New Roman" w:eastAsia="Times New Roman" w:hAnsi="Times New Roman"/>
          <w:sz w:val="24"/>
          <w:szCs w:val="24"/>
          <w:lang w:eastAsia="en-GB"/>
        </w:rPr>
      </w:pPr>
    </w:p>
    <w:p w14:paraId="00FDBC7D" w14:textId="7E57B66E" w:rsidR="009A75F3" w:rsidRPr="00F3501B" w:rsidRDefault="009A75F3" w:rsidP="00F3501B">
      <w:pPr>
        <w:rPr>
          <w:rFonts w:ascii="Times New Roman" w:eastAsia="Times New Roman" w:hAnsi="Times New Roman"/>
          <w:sz w:val="24"/>
          <w:szCs w:val="24"/>
          <w:lang w:eastAsia="en-GB"/>
        </w:rPr>
      </w:pPr>
    </w:p>
    <w:p w14:paraId="05FEA029" w14:textId="145304A9" w:rsidR="00FD7CCC" w:rsidRPr="00F3501B" w:rsidRDefault="00FD7CCC" w:rsidP="00F3501B">
      <w:pPr>
        <w:rPr>
          <w:rFonts w:ascii="Times New Roman" w:eastAsia="Times New Roman" w:hAnsi="Times New Roman"/>
          <w:sz w:val="24"/>
          <w:szCs w:val="24"/>
          <w:lang w:eastAsia="en-GB"/>
        </w:rPr>
      </w:pPr>
    </w:p>
    <w:p w14:paraId="4FE690F9" w14:textId="5B548888" w:rsidR="00FD7CCC" w:rsidRPr="00F3501B" w:rsidRDefault="00FD7CCC" w:rsidP="00F3501B">
      <w:pPr>
        <w:rPr>
          <w:rFonts w:ascii="Times New Roman" w:eastAsia="Times New Roman" w:hAnsi="Times New Roman"/>
          <w:sz w:val="24"/>
          <w:szCs w:val="24"/>
          <w:lang w:eastAsia="en-GB"/>
        </w:rPr>
      </w:pPr>
    </w:p>
    <w:p w14:paraId="5506AEB5" w14:textId="7C6945C5" w:rsidR="00FD7CCC" w:rsidRPr="00F3501B" w:rsidRDefault="00FD7CCC" w:rsidP="00F3501B">
      <w:pPr>
        <w:rPr>
          <w:rFonts w:ascii="Times New Roman" w:eastAsia="Times New Roman" w:hAnsi="Times New Roman"/>
          <w:sz w:val="24"/>
          <w:szCs w:val="24"/>
          <w:lang w:eastAsia="en-GB"/>
        </w:rPr>
      </w:pPr>
    </w:p>
    <w:p w14:paraId="6DA6859C" w14:textId="28609301" w:rsidR="00FD7CCC" w:rsidRPr="00F3501B" w:rsidRDefault="00FD7CCC" w:rsidP="00F3501B">
      <w:pPr>
        <w:rPr>
          <w:rFonts w:ascii="Times New Roman" w:eastAsia="Times New Roman" w:hAnsi="Times New Roman"/>
          <w:sz w:val="24"/>
          <w:szCs w:val="24"/>
          <w:lang w:eastAsia="en-GB"/>
        </w:rPr>
      </w:pPr>
    </w:p>
    <w:p w14:paraId="1BF46568" w14:textId="7BCBB13B" w:rsidR="00FD7CCC" w:rsidRPr="00F3501B" w:rsidRDefault="00FD7CCC" w:rsidP="00F3501B">
      <w:pPr>
        <w:rPr>
          <w:rFonts w:ascii="Times New Roman" w:eastAsia="Times New Roman" w:hAnsi="Times New Roman"/>
          <w:sz w:val="24"/>
          <w:szCs w:val="24"/>
          <w:lang w:eastAsia="en-GB"/>
        </w:rPr>
      </w:pPr>
    </w:p>
    <w:p w14:paraId="505B1FEA" w14:textId="77777777" w:rsidR="001541A2" w:rsidRPr="00F3501B" w:rsidRDefault="001541A2" w:rsidP="00F3501B">
      <w:pPr>
        <w:rPr>
          <w:rFonts w:ascii="Times New Roman" w:eastAsia="Times New Roman" w:hAnsi="Times New Roman"/>
          <w:sz w:val="24"/>
          <w:szCs w:val="24"/>
          <w:lang w:eastAsia="en-GB"/>
        </w:rPr>
      </w:pPr>
    </w:p>
    <w:p w14:paraId="661D0B53" w14:textId="77777777" w:rsidR="00FD7CCC" w:rsidRPr="00F3501B" w:rsidRDefault="00FD7CCC" w:rsidP="00F3501B">
      <w:pPr>
        <w:rPr>
          <w:rFonts w:ascii="Times New Roman" w:eastAsia="Times New Roman" w:hAnsi="Times New Roman"/>
          <w:sz w:val="24"/>
          <w:szCs w:val="24"/>
          <w:lang w:eastAsia="en-GB"/>
        </w:rPr>
      </w:pPr>
    </w:p>
    <w:p w14:paraId="7F206611" w14:textId="77777777" w:rsidR="009A75F3" w:rsidRPr="00F3501B" w:rsidRDefault="009A75F3" w:rsidP="00F3501B">
      <w:pPr>
        <w:rPr>
          <w:rFonts w:ascii="Times New Roman" w:eastAsia="Times New Roman" w:hAnsi="Times New Roman"/>
          <w:sz w:val="24"/>
          <w:szCs w:val="24"/>
          <w:lang w:eastAsia="en-GB"/>
        </w:rPr>
      </w:pPr>
    </w:p>
    <w:p w14:paraId="1C1BE926" w14:textId="2134BC16" w:rsidR="009A75F3" w:rsidRPr="00F3501B" w:rsidRDefault="009A75F3" w:rsidP="00F3501B">
      <w:pPr>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 xml:space="preserve">Student’s name: Ionela-Cristina Raducan </w:t>
      </w:r>
    </w:p>
    <w:p w14:paraId="78078571" w14:textId="2BC43C44" w:rsidR="0068696B" w:rsidRPr="00F3501B" w:rsidRDefault="009A75F3" w:rsidP="00F3501B">
      <w:pPr>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Student ID: 1909470</w:t>
      </w:r>
    </w:p>
    <w:p w14:paraId="1011393A" w14:textId="74709830" w:rsidR="009A75F3" w:rsidRPr="00F3501B" w:rsidRDefault="009A75F3" w:rsidP="00F3501B">
      <w:pPr>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 xml:space="preserve">Module: </w:t>
      </w:r>
      <w:r w:rsidR="00BC06B0" w:rsidRPr="00F3501B">
        <w:rPr>
          <w:rFonts w:ascii="Times New Roman" w:eastAsia="Times New Roman" w:hAnsi="Times New Roman"/>
          <w:sz w:val="24"/>
          <w:szCs w:val="24"/>
          <w:lang w:eastAsia="en-GB"/>
        </w:rPr>
        <w:t>Fina</w:t>
      </w:r>
      <w:r w:rsidR="00F60964" w:rsidRPr="00F3501B">
        <w:rPr>
          <w:rFonts w:ascii="Times New Roman" w:eastAsia="Times New Roman" w:hAnsi="Times New Roman"/>
          <w:sz w:val="24"/>
          <w:szCs w:val="24"/>
          <w:lang w:eastAsia="en-GB"/>
        </w:rPr>
        <w:t>n</w:t>
      </w:r>
      <w:r w:rsidR="00BC06B0" w:rsidRPr="00F3501B">
        <w:rPr>
          <w:rFonts w:ascii="Times New Roman" w:eastAsia="Times New Roman" w:hAnsi="Times New Roman"/>
          <w:sz w:val="24"/>
          <w:szCs w:val="24"/>
          <w:lang w:eastAsia="en-GB"/>
        </w:rPr>
        <w:t>cial</w:t>
      </w:r>
      <w:r w:rsidR="003172E6" w:rsidRPr="00F3501B">
        <w:rPr>
          <w:rFonts w:ascii="Times New Roman" w:eastAsia="Times New Roman" w:hAnsi="Times New Roman"/>
          <w:sz w:val="24"/>
          <w:szCs w:val="24"/>
          <w:lang w:eastAsia="en-GB"/>
        </w:rPr>
        <w:t xml:space="preserve"> management</w:t>
      </w:r>
      <w:r w:rsidRPr="00F3501B">
        <w:rPr>
          <w:rFonts w:ascii="Times New Roman" w:eastAsia="Times New Roman" w:hAnsi="Times New Roman"/>
          <w:sz w:val="24"/>
          <w:szCs w:val="24"/>
          <w:lang w:eastAsia="en-GB"/>
        </w:rPr>
        <w:t>, Code LCMB700</w:t>
      </w:r>
      <w:r w:rsidR="00BC06B0" w:rsidRPr="00F3501B">
        <w:rPr>
          <w:rFonts w:ascii="Times New Roman" w:eastAsia="Times New Roman" w:hAnsi="Times New Roman"/>
          <w:sz w:val="24"/>
          <w:szCs w:val="24"/>
          <w:lang w:eastAsia="en-GB"/>
        </w:rPr>
        <w:t>2</w:t>
      </w:r>
    </w:p>
    <w:p w14:paraId="659AAF29" w14:textId="27EEA2F4" w:rsidR="009A75F3" w:rsidRPr="00F3501B" w:rsidRDefault="009A75F3" w:rsidP="00F3501B">
      <w:pPr>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Lecturer’s na</w:t>
      </w:r>
      <w:r w:rsidR="003172E6" w:rsidRPr="00F3501B">
        <w:rPr>
          <w:rFonts w:ascii="Times New Roman" w:eastAsia="Times New Roman" w:hAnsi="Times New Roman"/>
          <w:sz w:val="24"/>
          <w:szCs w:val="24"/>
          <w:lang w:eastAsia="en-GB"/>
        </w:rPr>
        <w:t>me:</w:t>
      </w:r>
      <w:r w:rsidR="00F60964" w:rsidRPr="00F3501B">
        <w:rPr>
          <w:rFonts w:ascii="Times New Roman" w:eastAsia="Times New Roman" w:hAnsi="Times New Roman"/>
          <w:sz w:val="24"/>
          <w:szCs w:val="24"/>
          <w:lang w:eastAsia="en-GB"/>
        </w:rPr>
        <w:t xml:space="preserve"> Jia Miao</w:t>
      </w:r>
    </w:p>
    <w:p w14:paraId="3C3654C9" w14:textId="77777777" w:rsidR="009A75F3" w:rsidRPr="00F3501B" w:rsidRDefault="009A75F3" w:rsidP="00F3501B">
      <w:pPr>
        <w:rPr>
          <w:rFonts w:ascii="Times New Roman" w:eastAsia="Times New Roman" w:hAnsi="Times New Roman"/>
          <w:sz w:val="24"/>
          <w:szCs w:val="24"/>
          <w:lang w:eastAsia="en-GB"/>
        </w:rPr>
      </w:pPr>
    </w:p>
    <w:p w14:paraId="2702CA27" w14:textId="77777777" w:rsidR="009A75F3" w:rsidRPr="00F3501B" w:rsidRDefault="009A75F3" w:rsidP="00F3501B">
      <w:pPr>
        <w:rPr>
          <w:rFonts w:ascii="Times New Roman" w:eastAsia="Times New Roman" w:hAnsi="Times New Roman"/>
          <w:sz w:val="24"/>
          <w:szCs w:val="24"/>
          <w:lang w:eastAsia="en-GB"/>
        </w:rPr>
      </w:pPr>
    </w:p>
    <w:p w14:paraId="53972DD2" w14:textId="4D7A4CAD" w:rsidR="0068696B" w:rsidRPr="00F3501B" w:rsidRDefault="0068696B" w:rsidP="00F3501B">
      <w:pPr>
        <w:shd w:val="clear" w:color="auto" w:fill="FFFFFF"/>
        <w:rPr>
          <w:rFonts w:ascii="Times New Roman" w:eastAsia="Times New Roman" w:hAnsi="Times New Roman"/>
          <w:sz w:val="24"/>
          <w:szCs w:val="24"/>
          <w:lang w:eastAsia="en-GB"/>
        </w:rPr>
      </w:pPr>
    </w:p>
    <w:p w14:paraId="67DC709F" w14:textId="0ED9738F" w:rsidR="006612E0" w:rsidRPr="00F3501B" w:rsidRDefault="006612E0" w:rsidP="00F3501B">
      <w:pPr>
        <w:shd w:val="clear" w:color="auto" w:fill="FFFFFF"/>
        <w:rPr>
          <w:rFonts w:ascii="Times New Roman" w:eastAsia="Times New Roman" w:hAnsi="Times New Roman"/>
          <w:sz w:val="24"/>
          <w:szCs w:val="24"/>
          <w:lang w:eastAsia="en-GB"/>
        </w:rPr>
      </w:pPr>
    </w:p>
    <w:p w14:paraId="4732E8B9" w14:textId="77777777" w:rsidR="006612E0" w:rsidRPr="00F3501B" w:rsidRDefault="006612E0" w:rsidP="00F3501B">
      <w:pPr>
        <w:shd w:val="clear" w:color="auto" w:fill="FFFFFF"/>
        <w:rPr>
          <w:rFonts w:ascii="Times New Roman" w:eastAsia="Times New Roman" w:hAnsi="Times New Roman"/>
          <w:sz w:val="24"/>
          <w:szCs w:val="24"/>
          <w:lang w:eastAsia="en-GB"/>
        </w:rPr>
      </w:pPr>
    </w:p>
    <w:p w14:paraId="4ED91C4D" w14:textId="77777777" w:rsidR="00FD7CCC" w:rsidRPr="00F3501B" w:rsidRDefault="00FD7CCC" w:rsidP="00F3501B">
      <w:pPr>
        <w:shd w:val="clear" w:color="auto" w:fill="FFFFFF"/>
        <w:rPr>
          <w:rFonts w:ascii="Times New Roman" w:eastAsia="Times New Roman" w:hAnsi="Times New Roman"/>
          <w:sz w:val="24"/>
          <w:szCs w:val="24"/>
          <w:lang w:eastAsia="en-GB"/>
        </w:rPr>
      </w:pPr>
    </w:p>
    <w:p w14:paraId="69C5AF2C" w14:textId="613854AC" w:rsidR="0068696B" w:rsidRPr="00F3501B" w:rsidRDefault="0068696B" w:rsidP="00F3501B">
      <w:pPr>
        <w:shd w:val="clear" w:color="auto" w:fill="FFFFFF"/>
        <w:rPr>
          <w:rFonts w:ascii="Times New Roman" w:eastAsia="Times New Roman" w:hAnsi="Times New Roman"/>
          <w:sz w:val="24"/>
          <w:szCs w:val="24"/>
          <w:lang w:eastAsia="en-GB"/>
        </w:rPr>
      </w:pPr>
    </w:p>
    <w:p w14:paraId="49153AF4" w14:textId="794424DC" w:rsidR="000104DB" w:rsidRPr="00F3501B" w:rsidRDefault="000104DB" w:rsidP="00F3501B">
      <w:pPr>
        <w:shd w:val="clear" w:color="auto" w:fill="FFFFFF"/>
        <w:rPr>
          <w:rFonts w:ascii="Times New Roman" w:eastAsia="Times New Roman" w:hAnsi="Times New Roman"/>
          <w:sz w:val="24"/>
          <w:szCs w:val="24"/>
          <w:lang w:eastAsia="en-GB"/>
        </w:rPr>
      </w:pPr>
    </w:p>
    <w:p w14:paraId="464715A4" w14:textId="30160906" w:rsidR="001C478A" w:rsidRPr="00F3501B" w:rsidRDefault="001C478A" w:rsidP="00F3501B">
      <w:pPr>
        <w:shd w:val="clear" w:color="auto" w:fill="FFFFFF"/>
        <w:rPr>
          <w:rFonts w:ascii="Times New Roman" w:eastAsia="Times New Roman" w:hAnsi="Times New Roman"/>
          <w:sz w:val="24"/>
          <w:szCs w:val="24"/>
          <w:lang w:eastAsia="en-GB"/>
        </w:rPr>
      </w:pPr>
    </w:p>
    <w:p w14:paraId="5864F9DA" w14:textId="34D215C2" w:rsidR="001C478A" w:rsidRPr="00F3501B" w:rsidRDefault="001C478A" w:rsidP="00F3501B">
      <w:pPr>
        <w:shd w:val="clear" w:color="auto" w:fill="FFFFFF"/>
        <w:rPr>
          <w:rFonts w:ascii="Times New Roman" w:eastAsia="Times New Roman" w:hAnsi="Times New Roman"/>
          <w:sz w:val="24"/>
          <w:szCs w:val="24"/>
          <w:lang w:eastAsia="en-GB"/>
        </w:rPr>
      </w:pPr>
    </w:p>
    <w:p w14:paraId="7A998D16" w14:textId="6FC68E7C" w:rsidR="001C478A" w:rsidRPr="00F3501B" w:rsidRDefault="001C478A" w:rsidP="00F3501B">
      <w:pPr>
        <w:shd w:val="clear" w:color="auto" w:fill="FFFFFF"/>
        <w:rPr>
          <w:rFonts w:ascii="Times New Roman" w:eastAsia="Times New Roman" w:hAnsi="Times New Roman"/>
          <w:sz w:val="24"/>
          <w:szCs w:val="24"/>
          <w:lang w:eastAsia="en-GB"/>
        </w:rPr>
      </w:pPr>
    </w:p>
    <w:p w14:paraId="2F5510E0" w14:textId="6D753584" w:rsidR="001C478A" w:rsidRPr="00F3501B" w:rsidRDefault="001C478A" w:rsidP="00F3501B">
      <w:pPr>
        <w:shd w:val="clear" w:color="auto" w:fill="FFFFFF"/>
        <w:rPr>
          <w:rFonts w:ascii="Times New Roman" w:eastAsia="Times New Roman" w:hAnsi="Times New Roman"/>
          <w:sz w:val="24"/>
          <w:szCs w:val="24"/>
          <w:lang w:eastAsia="en-GB"/>
        </w:rPr>
      </w:pPr>
    </w:p>
    <w:p w14:paraId="233D4406" w14:textId="5AABB15F" w:rsidR="000104DB" w:rsidRPr="00F3501B" w:rsidRDefault="0080725B" w:rsidP="00F3501B">
      <w:pPr>
        <w:shd w:val="clear" w:color="auto" w:fill="FFFFFF"/>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lastRenderedPageBreak/>
        <w:t>Table of contents</w:t>
      </w:r>
    </w:p>
    <w:sdt>
      <w:sdtPr>
        <w:rPr>
          <w:rFonts w:ascii="Times New Roman" w:eastAsia="Calibri" w:hAnsi="Times New Roman"/>
          <w:color w:val="auto"/>
          <w:sz w:val="24"/>
          <w:szCs w:val="24"/>
          <w:lang w:val="en-GB"/>
        </w:rPr>
        <w:id w:val="-1548682040"/>
        <w:docPartObj>
          <w:docPartGallery w:val="Table of Contents"/>
          <w:docPartUnique/>
        </w:docPartObj>
      </w:sdtPr>
      <w:sdtEndPr>
        <w:rPr>
          <w:noProof/>
        </w:rPr>
      </w:sdtEndPr>
      <w:sdtContent>
        <w:p w14:paraId="68E6FE01" w14:textId="4072C6C3" w:rsidR="0080725B" w:rsidRPr="00F3501B" w:rsidRDefault="0080725B" w:rsidP="00F3501B">
          <w:pPr>
            <w:pStyle w:val="TOCHeading"/>
            <w:spacing w:line="360" w:lineRule="auto"/>
            <w:rPr>
              <w:rFonts w:ascii="Times New Roman" w:hAnsi="Times New Roman"/>
              <w:color w:val="auto"/>
              <w:sz w:val="24"/>
              <w:szCs w:val="24"/>
            </w:rPr>
          </w:pPr>
        </w:p>
        <w:p w14:paraId="1DBAD22F" w14:textId="79184087" w:rsidR="00522F16" w:rsidRDefault="0080725B">
          <w:pPr>
            <w:pStyle w:val="TOC1"/>
            <w:tabs>
              <w:tab w:val="right" w:leader="dot" w:pos="9016"/>
            </w:tabs>
            <w:rPr>
              <w:rFonts w:asciiTheme="minorHAnsi" w:eastAsiaTheme="minorEastAsia" w:hAnsiTheme="minorHAnsi" w:cstheme="minorBidi"/>
              <w:noProof/>
              <w:lang w:eastAsia="en-GB"/>
            </w:rPr>
          </w:pPr>
          <w:r w:rsidRPr="00F3501B">
            <w:rPr>
              <w:rFonts w:ascii="Times New Roman" w:hAnsi="Times New Roman"/>
              <w:sz w:val="24"/>
              <w:szCs w:val="24"/>
            </w:rPr>
            <w:fldChar w:fldCharType="begin"/>
          </w:r>
          <w:r w:rsidRPr="00F3501B">
            <w:rPr>
              <w:rFonts w:ascii="Times New Roman" w:hAnsi="Times New Roman"/>
              <w:sz w:val="24"/>
              <w:szCs w:val="24"/>
            </w:rPr>
            <w:instrText xml:space="preserve"> TOC \o "1-3" \h \z \u </w:instrText>
          </w:r>
          <w:r w:rsidRPr="00F3501B">
            <w:rPr>
              <w:rFonts w:ascii="Times New Roman" w:hAnsi="Times New Roman"/>
              <w:sz w:val="24"/>
              <w:szCs w:val="24"/>
            </w:rPr>
            <w:fldChar w:fldCharType="separate"/>
          </w:r>
          <w:hyperlink w:anchor="_Toc30186916" w:history="1">
            <w:r w:rsidR="00522F16" w:rsidRPr="00EB33A2">
              <w:rPr>
                <w:rStyle w:val="Hyperlink"/>
                <w:rFonts w:ascii="Times New Roman" w:hAnsi="Times New Roman"/>
                <w:noProof/>
                <w:lang w:eastAsia="en-GB"/>
              </w:rPr>
              <w:t>Part a)</w:t>
            </w:r>
            <w:r w:rsidR="00522F16">
              <w:rPr>
                <w:noProof/>
                <w:webHidden/>
              </w:rPr>
              <w:tab/>
            </w:r>
            <w:r w:rsidR="00522F16">
              <w:rPr>
                <w:noProof/>
                <w:webHidden/>
              </w:rPr>
              <w:fldChar w:fldCharType="begin"/>
            </w:r>
            <w:r w:rsidR="00522F16">
              <w:rPr>
                <w:noProof/>
                <w:webHidden/>
              </w:rPr>
              <w:instrText xml:space="preserve"> PAGEREF _Toc30186916 \h </w:instrText>
            </w:r>
            <w:r w:rsidR="00522F16">
              <w:rPr>
                <w:noProof/>
                <w:webHidden/>
              </w:rPr>
            </w:r>
            <w:r w:rsidR="00522F16">
              <w:rPr>
                <w:noProof/>
                <w:webHidden/>
              </w:rPr>
              <w:fldChar w:fldCharType="separate"/>
            </w:r>
            <w:r w:rsidR="00522F16">
              <w:rPr>
                <w:noProof/>
                <w:webHidden/>
              </w:rPr>
              <w:t>3</w:t>
            </w:r>
            <w:r w:rsidR="00522F16">
              <w:rPr>
                <w:noProof/>
                <w:webHidden/>
              </w:rPr>
              <w:fldChar w:fldCharType="end"/>
            </w:r>
          </w:hyperlink>
        </w:p>
        <w:p w14:paraId="231E19C9" w14:textId="62D08415" w:rsidR="00522F16" w:rsidRDefault="00522F16">
          <w:pPr>
            <w:pStyle w:val="TOC1"/>
            <w:tabs>
              <w:tab w:val="right" w:leader="dot" w:pos="9016"/>
            </w:tabs>
            <w:rPr>
              <w:rFonts w:asciiTheme="minorHAnsi" w:eastAsiaTheme="minorEastAsia" w:hAnsiTheme="minorHAnsi" w:cstheme="minorBidi"/>
              <w:noProof/>
              <w:lang w:eastAsia="en-GB"/>
            </w:rPr>
          </w:pPr>
          <w:hyperlink w:anchor="_Toc30186917" w:history="1">
            <w:r w:rsidRPr="00EB33A2">
              <w:rPr>
                <w:rStyle w:val="Hyperlink"/>
                <w:rFonts w:ascii="Times New Roman" w:hAnsi="Times New Roman"/>
                <w:noProof/>
              </w:rPr>
              <w:t>Part b)</w:t>
            </w:r>
            <w:r>
              <w:rPr>
                <w:noProof/>
                <w:webHidden/>
              </w:rPr>
              <w:tab/>
            </w:r>
            <w:r>
              <w:rPr>
                <w:noProof/>
                <w:webHidden/>
              </w:rPr>
              <w:fldChar w:fldCharType="begin"/>
            </w:r>
            <w:r>
              <w:rPr>
                <w:noProof/>
                <w:webHidden/>
              </w:rPr>
              <w:instrText xml:space="preserve"> PAGEREF _Toc30186917 \h </w:instrText>
            </w:r>
            <w:r>
              <w:rPr>
                <w:noProof/>
                <w:webHidden/>
              </w:rPr>
            </w:r>
            <w:r>
              <w:rPr>
                <w:noProof/>
                <w:webHidden/>
              </w:rPr>
              <w:fldChar w:fldCharType="separate"/>
            </w:r>
            <w:r>
              <w:rPr>
                <w:noProof/>
                <w:webHidden/>
              </w:rPr>
              <w:t>4</w:t>
            </w:r>
            <w:r>
              <w:rPr>
                <w:noProof/>
                <w:webHidden/>
              </w:rPr>
              <w:fldChar w:fldCharType="end"/>
            </w:r>
          </w:hyperlink>
        </w:p>
        <w:p w14:paraId="54CFFD26" w14:textId="34F73D25" w:rsidR="00522F16" w:rsidRDefault="00522F16">
          <w:pPr>
            <w:pStyle w:val="TOC2"/>
            <w:tabs>
              <w:tab w:val="right" w:leader="dot" w:pos="9016"/>
            </w:tabs>
            <w:rPr>
              <w:rFonts w:asciiTheme="minorHAnsi" w:eastAsiaTheme="minorEastAsia" w:hAnsiTheme="minorHAnsi" w:cstheme="minorBidi"/>
              <w:noProof/>
              <w:lang w:eastAsia="en-GB"/>
            </w:rPr>
          </w:pPr>
          <w:hyperlink w:anchor="_Toc30186918" w:history="1">
            <w:r w:rsidRPr="00EB33A2">
              <w:rPr>
                <w:rStyle w:val="Hyperlink"/>
                <w:rFonts w:ascii="Times New Roman" w:hAnsi="Times New Roman"/>
                <w:noProof/>
              </w:rPr>
              <w:t>Calculation of key financial ratios</w:t>
            </w:r>
            <w:r>
              <w:rPr>
                <w:noProof/>
                <w:webHidden/>
              </w:rPr>
              <w:tab/>
            </w:r>
            <w:r>
              <w:rPr>
                <w:noProof/>
                <w:webHidden/>
              </w:rPr>
              <w:fldChar w:fldCharType="begin"/>
            </w:r>
            <w:r>
              <w:rPr>
                <w:noProof/>
                <w:webHidden/>
              </w:rPr>
              <w:instrText xml:space="preserve"> PAGEREF _Toc30186918 \h </w:instrText>
            </w:r>
            <w:r>
              <w:rPr>
                <w:noProof/>
                <w:webHidden/>
              </w:rPr>
            </w:r>
            <w:r>
              <w:rPr>
                <w:noProof/>
                <w:webHidden/>
              </w:rPr>
              <w:fldChar w:fldCharType="separate"/>
            </w:r>
            <w:r>
              <w:rPr>
                <w:noProof/>
                <w:webHidden/>
              </w:rPr>
              <w:t>4</w:t>
            </w:r>
            <w:r>
              <w:rPr>
                <w:noProof/>
                <w:webHidden/>
              </w:rPr>
              <w:fldChar w:fldCharType="end"/>
            </w:r>
          </w:hyperlink>
        </w:p>
        <w:p w14:paraId="4A2F7F6F" w14:textId="656986AC" w:rsidR="00522F16" w:rsidRDefault="00522F16">
          <w:pPr>
            <w:pStyle w:val="TOC3"/>
            <w:tabs>
              <w:tab w:val="right" w:leader="dot" w:pos="9016"/>
            </w:tabs>
            <w:rPr>
              <w:rFonts w:asciiTheme="minorHAnsi" w:eastAsiaTheme="minorEastAsia" w:hAnsiTheme="minorHAnsi" w:cstheme="minorBidi"/>
              <w:noProof/>
              <w:lang w:eastAsia="en-GB"/>
            </w:rPr>
          </w:pPr>
          <w:hyperlink w:anchor="_Toc30186919" w:history="1">
            <w:r w:rsidRPr="00EB33A2">
              <w:rPr>
                <w:rStyle w:val="Hyperlink"/>
                <w:rFonts w:ascii="Times New Roman" w:hAnsi="Times New Roman"/>
                <w:noProof/>
              </w:rPr>
              <w:t>Profitability</w:t>
            </w:r>
            <w:r>
              <w:rPr>
                <w:noProof/>
                <w:webHidden/>
              </w:rPr>
              <w:tab/>
            </w:r>
            <w:r>
              <w:rPr>
                <w:noProof/>
                <w:webHidden/>
              </w:rPr>
              <w:fldChar w:fldCharType="begin"/>
            </w:r>
            <w:r>
              <w:rPr>
                <w:noProof/>
                <w:webHidden/>
              </w:rPr>
              <w:instrText xml:space="preserve"> PAGEREF _Toc30186919 \h </w:instrText>
            </w:r>
            <w:r>
              <w:rPr>
                <w:noProof/>
                <w:webHidden/>
              </w:rPr>
            </w:r>
            <w:r>
              <w:rPr>
                <w:noProof/>
                <w:webHidden/>
              </w:rPr>
              <w:fldChar w:fldCharType="separate"/>
            </w:r>
            <w:r>
              <w:rPr>
                <w:noProof/>
                <w:webHidden/>
              </w:rPr>
              <w:t>4</w:t>
            </w:r>
            <w:r>
              <w:rPr>
                <w:noProof/>
                <w:webHidden/>
              </w:rPr>
              <w:fldChar w:fldCharType="end"/>
            </w:r>
          </w:hyperlink>
        </w:p>
        <w:p w14:paraId="1B389CFE" w14:textId="597C89C8" w:rsidR="00522F16" w:rsidRDefault="00522F16">
          <w:pPr>
            <w:pStyle w:val="TOC3"/>
            <w:tabs>
              <w:tab w:val="right" w:leader="dot" w:pos="9016"/>
            </w:tabs>
            <w:rPr>
              <w:rFonts w:asciiTheme="minorHAnsi" w:eastAsiaTheme="minorEastAsia" w:hAnsiTheme="minorHAnsi" w:cstheme="minorBidi"/>
              <w:noProof/>
              <w:lang w:eastAsia="en-GB"/>
            </w:rPr>
          </w:pPr>
          <w:hyperlink w:anchor="_Toc30186920" w:history="1">
            <w:r w:rsidRPr="00EB33A2">
              <w:rPr>
                <w:rStyle w:val="Hyperlink"/>
                <w:rFonts w:ascii="Times New Roman" w:hAnsi="Times New Roman"/>
                <w:noProof/>
              </w:rPr>
              <w:t>Liquidity</w:t>
            </w:r>
            <w:r>
              <w:rPr>
                <w:noProof/>
                <w:webHidden/>
              </w:rPr>
              <w:tab/>
            </w:r>
            <w:r>
              <w:rPr>
                <w:noProof/>
                <w:webHidden/>
              </w:rPr>
              <w:fldChar w:fldCharType="begin"/>
            </w:r>
            <w:r>
              <w:rPr>
                <w:noProof/>
                <w:webHidden/>
              </w:rPr>
              <w:instrText xml:space="preserve"> PAGEREF _Toc30186920 \h </w:instrText>
            </w:r>
            <w:r>
              <w:rPr>
                <w:noProof/>
                <w:webHidden/>
              </w:rPr>
            </w:r>
            <w:r>
              <w:rPr>
                <w:noProof/>
                <w:webHidden/>
              </w:rPr>
              <w:fldChar w:fldCharType="separate"/>
            </w:r>
            <w:r>
              <w:rPr>
                <w:noProof/>
                <w:webHidden/>
              </w:rPr>
              <w:t>5</w:t>
            </w:r>
            <w:r>
              <w:rPr>
                <w:noProof/>
                <w:webHidden/>
              </w:rPr>
              <w:fldChar w:fldCharType="end"/>
            </w:r>
          </w:hyperlink>
        </w:p>
        <w:p w14:paraId="65EB83AE" w14:textId="42BF6862" w:rsidR="00522F16" w:rsidRDefault="00522F16">
          <w:pPr>
            <w:pStyle w:val="TOC3"/>
            <w:tabs>
              <w:tab w:val="right" w:leader="dot" w:pos="9016"/>
            </w:tabs>
            <w:rPr>
              <w:rFonts w:asciiTheme="minorHAnsi" w:eastAsiaTheme="minorEastAsia" w:hAnsiTheme="minorHAnsi" w:cstheme="minorBidi"/>
              <w:noProof/>
              <w:lang w:eastAsia="en-GB"/>
            </w:rPr>
          </w:pPr>
          <w:hyperlink w:anchor="_Toc30186921" w:history="1">
            <w:r w:rsidRPr="00EB33A2">
              <w:rPr>
                <w:rStyle w:val="Hyperlink"/>
                <w:rFonts w:ascii="Times New Roman" w:hAnsi="Times New Roman"/>
                <w:noProof/>
              </w:rPr>
              <w:t>Gearing</w:t>
            </w:r>
            <w:r>
              <w:rPr>
                <w:noProof/>
                <w:webHidden/>
              </w:rPr>
              <w:tab/>
            </w:r>
            <w:r>
              <w:rPr>
                <w:noProof/>
                <w:webHidden/>
              </w:rPr>
              <w:fldChar w:fldCharType="begin"/>
            </w:r>
            <w:r>
              <w:rPr>
                <w:noProof/>
                <w:webHidden/>
              </w:rPr>
              <w:instrText xml:space="preserve"> PAGEREF _Toc30186921 \h </w:instrText>
            </w:r>
            <w:r>
              <w:rPr>
                <w:noProof/>
                <w:webHidden/>
              </w:rPr>
            </w:r>
            <w:r>
              <w:rPr>
                <w:noProof/>
                <w:webHidden/>
              </w:rPr>
              <w:fldChar w:fldCharType="separate"/>
            </w:r>
            <w:r>
              <w:rPr>
                <w:noProof/>
                <w:webHidden/>
              </w:rPr>
              <w:t>6</w:t>
            </w:r>
            <w:r>
              <w:rPr>
                <w:noProof/>
                <w:webHidden/>
              </w:rPr>
              <w:fldChar w:fldCharType="end"/>
            </w:r>
          </w:hyperlink>
        </w:p>
        <w:p w14:paraId="17278806" w14:textId="11A6C155" w:rsidR="00522F16" w:rsidRDefault="00522F16">
          <w:pPr>
            <w:pStyle w:val="TOC3"/>
            <w:tabs>
              <w:tab w:val="right" w:leader="dot" w:pos="9016"/>
            </w:tabs>
            <w:rPr>
              <w:rFonts w:asciiTheme="minorHAnsi" w:eastAsiaTheme="minorEastAsia" w:hAnsiTheme="minorHAnsi" w:cstheme="minorBidi"/>
              <w:noProof/>
              <w:lang w:eastAsia="en-GB"/>
            </w:rPr>
          </w:pPr>
          <w:hyperlink w:anchor="_Toc30186922" w:history="1">
            <w:r w:rsidRPr="00EB33A2">
              <w:rPr>
                <w:rStyle w:val="Hyperlink"/>
                <w:rFonts w:ascii="Times New Roman" w:hAnsi="Times New Roman"/>
                <w:noProof/>
              </w:rPr>
              <w:t>Efficiency</w:t>
            </w:r>
            <w:r>
              <w:rPr>
                <w:noProof/>
                <w:webHidden/>
              </w:rPr>
              <w:tab/>
            </w:r>
            <w:r>
              <w:rPr>
                <w:noProof/>
                <w:webHidden/>
              </w:rPr>
              <w:fldChar w:fldCharType="begin"/>
            </w:r>
            <w:r>
              <w:rPr>
                <w:noProof/>
                <w:webHidden/>
              </w:rPr>
              <w:instrText xml:space="preserve"> PAGEREF _Toc30186922 \h </w:instrText>
            </w:r>
            <w:r>
              <w:rPr>
                <w:noProof/>
                <w:webHidden/>
              </w:rPr>
            </w:r>
            <w:r>
              <w:rPr>
                <w:noProof/>
                <w:webHidden/>
              </w:rPr>
              <w:fldChar w:fldCharType="separate"/>
            </w:r>
            <w:r>
              <w:rPr>
                <w:noProof/>
                <w:webHidden/>
              </w:rPr>
              <w:t>7</w:t>
            </w:r>
            <w:r>
              <w:rPr>
                <w:noProof/>
                <w:webHidden/>
              </w:rPr>
              <w:fldChar w:fldCharType="end"/>
            </w:r>
          </w:hyperlink>
        </w:p>
        <w:p w14:paraId="629A118A" w14:textId="4B4B424B" w:rsidR="00522F16" w:rsidRDefault="00522F16">
          <w:pPr>
            <w:pStyle w:val="TOC2"/>
            <w:tabs>
              <w:tab w:val="right" w:leader="dot" w:pos="9016"/>
            </w:tabs>
            <w:rPr>
              <w:rFonts w:asciiTheme="minorHAnsi" w:eastAsiaTheme="minorEastAsia" w:hAnsiTheme="minorHAnsi" w:cstheme="minorBidi"/>
              <w:noProof/>
              <w:lang w:eastAsia="en-GB"/>
            </w:rPr>
          </w:pPr>
          <w:hyperlink w:anchor="_Toc30186923" w:history="1">
            <w:r w:rsidRPr="00EB33A2">
              <w:rPr>
                <w:rStyle w:val="Hyperlink"/>
                <w:rFonts w:ascii="Times New Roman" w:hAnsi="Times New Roman"/>
                <w:noProof/>
              </w:rPr>
              <w:t>Critical evaluation of the ratios</w:t>
            </w:r>
            <w:r>
              <w:rPr>
                <w:noProof/>
                <w:webHidden/>
              </w:rPr>
              <w:tab/>
            </w:r>
            <w:r>
              <w:rPr>
                <w:noProof/>
                <w:webHidden/>
              </w:rPr>
              <w:fldChar w:fldCharType="begin"/>
            </w:r>
            <w:r>
              <w:rPr>
                <w:noProof/>
                <w:webHidden/>
              </w:rPr>
              <w:instrText xml:space="preserve"> PAGEREF _Toc30186923 \h </w:instrText>
            </w:r>
            <w:r>
              <w:rPr>
                <w:noProof/>
                <w:webHidden/>
              </w:rPr>
            </w:r>
            <w:r>
              <w:rPr>
                <w:noProof/>
                <w:webHidden/>
              </w:rPr>
              <w:fldChar w:fldCharType="separate"/>
            </w:r>
            <w:r>
              <w:rPr>
                <w:noProof/>
                <w:webHidden/>
              </w:rPr>
              <w:t>7</w:t>
            </w:r>
            <w:r>
              <w:rPr>
                <w:noProof/>
                <w:webHidden/>
              </w:rPr>
              <w:fldChar w:fldCharType="end"/>
            </w:r>
          </w:hyperlink>
        </w:p>
        <w:p w14:paraId="4B9FC049" w14:textId="29FF0056" w:rsidR="00522F16" w:rsidRDefault="00522F16">
          <w:pPr>
            <w:pStyle w:val="TOC2"/>
            <w:tabs>
              <w:tab w:val="right" w:leader="dot" w:pos="9016"/>
            </w:tabs>
            <w:rPr>
              <w:rFonts w:asciiTheme="minorHAnsi" w:eastAsiaTheme="minorEastAsia" w:hAnsiTheme="minorHAnsi" w:cstheme="minorBidi"/>
              <w:noProof/>
              <w:lang w:eastAsia="en-GB"/>
            </w:rPr>
          </w:pPr>
          <w:hyperlink w:anchor="_Toc30186924" w:history="1">
            <w:r w:rsidRPr="00EB33A2">
              <w:rPr>
                <w:rStyle w:val="Hyperlink"/>
                <w:rFonts w:ascii="Times New Roman" w:hAnsi="Times New Roman"/>
                <w:noProof/>
              </w:rPr>
              <w:t>Comparison to a major competitor</w:t>
            </w:r>
            <w:r>
              <w:rPr>
                <w:noProof/>
                <w:webHidden/>
              </w:rPr>
              <w:tab/>
            </w:r>
            <w:r>
              <w:rPr>
                <w:noProof/>
                <w:webHidden/>
              </w:rPr>
              <w:fldChar w:fldCharType="begin"/>
            </w:r>
            <w:r>
              <w:rPr>
                <w:noProof/>
                <w:webHidden/>
              </w:rPr>
              <w:instrText xml:space="preserve"> PAGEREF _Toc30186924 \h </w:instrText>
            </w:r>
            <w:r>
              <w:rPr>
                <w:noProof/>
                <w:webHidden/>
              </w:rPr>
            </w:r>
            <w:r>
              <w:rPr>
                <w:noProof/>
                <w:webHidden/>
              </w:rPr>
              <w:fldChar w:fldCharType="separate"/>
            </w:r>
            <w:r>
              <w:rPr>
                <w:noProof/>
                <w:webHidden/>
              </w:rPr>
              <w:t>11</w:t>
            </w:r>
            <w:r>
              <w:rPr>
                <w:noProof/>
                <w:webHidden/>
              </w:rPr>
              <w:fldChar w:fldCharType="end"/>
            </w:r>
          </w:hyperlink>
        </w:p>
        <w:p w14:paraId="4AA0929A" w14:textId="06A13F8B" w:rsidR="00522F16" w:rsidRDefault="00522F16">
          <w:pPr>
            <w:pStyle w:val="TOC2"/>
            <w:tabs>
              <w:tab w:val="right" w:leader="dot" w:pos="9016"/>
            </w:tabs>
            <w:rPr>
              <w:rFonts w:asciiTheme="minorHAnsi" w:eastAsiaTheme="minorEastAsia" w:hAnsiTheme="minorHAnsi" w:cstheme="minorBidi"/>
              <w:noProof/>
              <w:lang w:eastAsia="en-GB"/>
            </w:rPr>
          </w:pPr>
          <w:hyperlink w:anchor="_Toc30186925" w:history="1">
            <w:r w:rsidRPr="00EB33A2">
              <w:rPr>
                <w:rStyle w:val="Hyperlink"/>
                <w:rFonts w:ascii="Times New Roman" w:hAnsi="Times New Roman"/>
                <w:noProof/>
              </w:rPr>
              <w:t>Recommendations</w:t>
            </w:r>
            <w:r>
              <w:rPr>
                <w:noProof/>
                <w:webHidden/>
              </w:rPr>
              <w:tab/>
            </w:r>
            <w:r>
              <w:rPr>
                <w:noProof/>
                <w:webHidden/>
              </w:rPr>
              <w:fldChar w:fldCharType="begin"/>
            </w:r>
            <w:r>
              <w:rPr>
                <w:noProof/>
                <w:webHidden/>
              </w:rPr>
              <w:instrText xml:space="preserve"> PAGEREF _Toc30186925 \h </w:instrText>
            </w:r>
            <w:r>
              <w:rPr>
                <w:noProof/>
                <w:webHidden/>
              </w:rPr>
            </w:r>
            <w:r>
              <w:rPr>
                <w:noProof/>
                <w:webHidden/>
              </w:rPr>
              <w:fldChar w:fldCharType="separate"/>
            </w:r>
            <w:r>
              <w:rPr>
                <w:noProof/>
                <w:webHidden/>
              </w:rPr>
              <w:t>13</w:t>
            </w:r>
            <w:r>
              <w:rPr>
                <w:noProof/>
                <w:webHidden/>
              </w:rPr>
              <w:fldChar w:fldCharType="end"/>
            </w:r>
          </w:hyperlink>
        </w:p>
        <w:p w14:paraId="0D24EEDF" w14:textId="57D0E357" w:rsidR="00522F16" w:rsidRDefault="00522F16">
          <w:pPr>
            <w:pStyle w:val="TOC1"/>
            <w:tabs>
              <w:tab w:val="right" w:leader="dot" w:pos="9016"/>
            </w:tabs>
            <w:rPr>
              <w:rFonts w:asciiTheme="minorHAnsi" w:eastAsiaTheme="minorEastAsia" w:hAnsiTheme="minorHAnsi" w:cstheme="minorBidi"/>
              <w:noProof/>
              <w:lang w:eastAsia="en-GB"/>
            </w:rPr>
          </w:pPr>
          <w:hyperlink w:anchor="_Toc30186926" w:history="1">
            <w:r w:rsidRPr="00EB33A2">
              <w:rPr>
                <w:rStyle w:val="Hyperlink"/>
                <w:rFonts w:ascii="Times New Roman" w:hAnsi="Times New Roman"/>
                <w:noProof/>
              </w:rPr>
              <w:t>Part c)</w:t>
            </w:r>
            <w:r>
              <w:rPr>
                <w:noProof/>
                <w:webHidden/>
              </w:rPr>
              <w:tab/>
            </w:r>
            <w:r>
              <w:rPr>
                <w:noProof/>
                <w:webHidden/>
              </w:rPr>
              <w:fldChar w:fldCharType="begin"/>
            </w:r>
            <w:r>
              <w:rPr>
                <w:noProof/>
                <w:webHidden/>
              </w:rPr>
              <w:instrText xml:space="preserve"> PAGEREF _Toc30186926 \h </w:instrText>
            </w:r>
            <w:r>
              <w:rPr>
                <w:noProof/>
                <w:webHidden/>
              </w:rPr>
            </w:r>
            <w:r>
              <w:rPr>
                <w:noProof/>
                <w:webHidden/>
              </w:rPr>
              <w:fldChar w:fldCharType="separate"/>
            </w:r>
            <w:r>
              <w:rPr>
                <w:noProof/>
                <w:webHidden/>
              </w:rPr>
              <w:t>14</w:t>
            </w:r>
            <w:r>
              <w:rPr>
                <w:noProof/>
                <w:webHidden/>
              </w:rPr>
              <w:fldChar w:fldCharType="end"/>
            </w:r>
          </w:hyperlink>
        </w:p>
        <w:p w14:paraId="5CEC9B14" w14:textId="6C4F1476" w:rsidR="00522F16" w:rsidRDefault="00522F16">
          <w:pPr>
            <w:pStyle w:val="TOC2"/>
            <w:tabs>
              <w:tab w:val="left" w:pos="660"/>
              <w:tab w:val="right" w:leader="dot" w:pos="9016"/>
            </w:tabs>
            <w:rPr>
              <w:rFonts w:asciiTheme="minorHAnsi" w:eastAsiaTheme="minorEastAsia" w:hAnsiTheme="minorHAnsi" w:cstheme="minorBidi"/>
              <w:noProof/>
              <w:lang w:eastAsia="en-GB"/>
            </w:rPr>
          </w:pPr>
          <w:hyperlink w:anchor="_Toc30186927" w:history="1">
            <w:r w:rsidRPr="00EB33A2">
              <w:rPr>
                <w:rStyle w:val="Hyperlink"/>
                <w:rFonts w:ascii="Times New Roman" w:hAnsi="Times New Roman"/>
                <w:noProof/>
              </w:rPr>
              <w:t>1.</w:t>
            </w:r>
            <w:r>
              <w:rPr>
                <w:rFonts w:asciiTheme="minorHAnsi" w:eastAsiaTheme="minorEastAsia" w:hAnsiTheme="minorHAnsi" w:cstheme="minorBidi"/>
                <w:noProof/>
                <w:lang w:eastAsia="en-GB"/>
              </w:rPr>
              <w:tab/>
            </w:r>
            <w:r w:rsidRPr="00EB33A2">
              <w:rPr>
                <w:rStyle w:val="Hyperlink"/>
                <w:rFonts w:ascii="Times New Roman" w:hAnsi="Times New Roman"/>
                <w:noProof/>
              </w:rPr>
              <w:t>Calculations</w:t>
            </w:r>
            <w:r>
              <w:rPr>
                <w:noProof/>
                <w:webHidden/>
              </w:rPr>
              <w:tab/>
            </w:r>
            <w:r>
              <w:rPr>
                <w:noProof/>
                <w:webHidden/>
              </w:rPr>
              <w:fldChar w:fldCharType="begin"/>
            </w:r>
            <w:r>
              <w:rPr>
                <w:noProof/>
                <w:webHidden/>
              </w:rPr>
              <w:instrText xml:space="preserve"> PAGEREF _Toc30186927 \h </w:instrText>
            </w:r>
            <w:r>
              <w:rPr>
                <w:noProof/>
                <w:webHidden/>
              </w:rPr>
            </w:r>
            <w:r>
              <w:rPr>
                <w:noProof/>
                <w:webHidden/>
              </w:rPr>
              <w:fldChar w:fldCharType="separate"/>
            </w:r>
            <w:r>
              <w:rPr>
                <w:noProof/>
                <w:webHidden/>
              </w:rPr>
              <w:t>14</w:t>
            </w:r>
            <w:r>
              <w:rPr>
                <w:noProof/>
                <w:webHidden/>
              </w:rPr>
              <w:fldChar w:fldCharType="end"/>
            </w:r>
          </w:hyperlink>
        </w:p>
        <w:p w14:paraId="7C0645B3" w14:textId="71ABC043" w:rsidR="00522F16" w:rsidRDefault="00522F16">
          <w:pPr>
            <w:pStyle w:val="TOC3"/>
            <w:tabs>
              <w:tab w:val="right" w:leader="dot" w:pos="9016"/>
            </w:tabs>
            <w:rPr>
              <w:rFonts w:asciiTheme="minorHAnsi" w:eastAsiaTheme="minorEastAsia" w:hAnsiTheme="minorHAnsi" w:cstheme="minorBidi"/>
              <w:noProof/>
              <w:lang w:eastAsia="en-GB"/>
            </w:rPr>
          </w:pPr>
          <w:hyperlink w:anchor="_Toc30186928" w:history="1">
            <w:r w:rsidRPr="00EB33A2">
              <w:rPr>
                <w:rStyle w:val="Hyperlink"/>
                <w:rFonts w:ascii="Times New Roman" w:hAnsi="Times New Roman"/>
                <w:noProof/>
              </w:rPr>
              <w:t>Calculation of Payback Period</w:t>
            </w:r>
            <w:r>
              <w:rPr>
                <w:noProof/>
                <w:webHidden/>
              </w:rPr>
              <w:tab/>
            </w:r>
            <w:r>
              <w:rPr>
                <w:noProof/>
                <w:webHidden/>
              </w:rPr>
              <w:fldChar w:fldCharType="begin"/>
            </w:r>
            <w:r>
              <w:rPr>
                <w:noProof/>
                <w:webHidden/>
              </w:rPr>
              <w:instrText xml:space="preserve"> PAGEREF _Toc30186928 \h </w:instrText>
            </w:r>
            <w:r>
              <w:rPr>
                <w:noProof/>
                <w:webHidden/>
              </w:rPr>
            </w:r>
            <w:r>
              <w:rPr>
                <w:noProof/>
                <w:webHidden/>
              </w:rPr>
              <w:fldChar w:fldCharType="separate"/>
            </w:r>
            <w:r>
              <w:rPr>
                <w:noProof/>
                <w:webHidden/>
              </w:rPr>
              <w:t>14</w:t>
            </w:r>
            <w:r>
              <w:rPr>
                <w:noProof/>
                <w:webHidden/>
              </w:rPr>
              <w:fldChar w:fldCharType="end"/>
            </w:r>
          </w:hyperlink>
        </w:p>
        <w:p w14:paraId="17ACD266" w14:textId="055C8D28" w:rsidR="00522F16" w:rsidRDefault="00522F16">
          <w:pPr>
            <w:pStyle w:val="TOC3"/>
            <w:tabs>
              <w:tab w:val="right" w:leader="dot" w:pos="9016"/>
            </w:tabs>
            <w:rPr>
              <w:rFonts w:asciiTheme="minorHAnsi" w:eastAsiaTheme="minorEastAsia" w:hAnsiTheme="minorHAnsi" w:cstheme="minorBidi"/>
              <w:noProof/>
              <w:lang w:eastAsia="en-GB"/>
            </w:rPr>
          </w:pPr>
          <w:hyperlink w:anchor="_Toc30186929" w:history="1">
            <w:r w:rsidRPr="00EB33A2">
              <w:rPr>
                <w:rStyle w:val="Hyperlink"/>
                <w:rFonts w:ascii="Times New Roman" w:hAnsi="Times New Roman"/>
                <w:noProof/>
              </w:rPr>
              <w:t>Calculation of Accounting Rate of Return</w:t>
            </w:r>
            <w:r>
              <w:rPr>
                <w:noProof/>
                <w:webHidden/>
              </w:rPr>
              <w:tab/>
            </w:r>
            <w:r>
              <w:rPr>
                <w:noProof/>
                <w:webHidden/>
              </w:rPr>
              <w:fldChar w:fldCharType="begin"/>
            </w:r>
            <w:r>
              <w:rPr>
                <w:noProof/>
                <w:webHidden/>
              </w:rPr>
              <w:instrText xml:space="preserve"> PAGEREF _Toc30186929 \h </w:instrText>
            </w:r>
            <w:r>
              <w:rPr>
                <w:noProof/>
                <w:webHidden/>
              </w:rPr>
            </w:r>
            <w:r>
              <w:rPr>
                <w:noProof/>
                <w:webHidden/>
              </w:rPr>
              <w:fldChar w:fldCharType="separate"/>
            </w:r>
            <w:r>
              <w:rPr>
                <w:noProof/>
                <w:webHidden/>
              </w:rPr>
              <w:t>15</w:t>
            </w:r>
            <w:r>
              <w:rPr>
                <w:noProof/>
                <w:webHidden/>
              </w:rPr>
              <w:fldChar w:fldCharType="end"/>
            </w:r>
          </w:hyperlink>
        </w:p>
        <w:p w14:paraId="5C105BF5" w14:textId="72E6336D" w:rsidR="00522F16" w:rsidRDefault="00522F16">
          <w:pPr>
            <w:pStyle w:val="TOC3"/>
            <w:tabs>
              <w:tab w:val="right" w:leader="dot" w:pos="9016"/>
            </w:tabs>
            <w:rPr>
              <w:rFonts w:asciiTheme="minorHAnsi" w:eastAsiaTheme="minorEastAsia" w:hAnsiTheme="minorHAnsi" w:cstheme="minorBidi"/>
              <w:noProof/>
              <w:lang w:eastAsia="en-GB"/>
            </w:rPr>
          </w:pPr>
          <w:hyperlink w:anchor="_Toc30186930" w:history="1">
            <w:r w:rsidRPr="00EB33A2">
              <w:rPr>
                <w:rStyle w:val="Hyperlink"/>
                <w:rFonts w:ascii="Times New Roman" w:hAnsi="Times New Roman"/>
                <w:noProof/>
              </w:rPr>
              <w:t>Calculation of Net Present Value</w:t>
            </w:r>
            <w:r>
              <w:rPr>
                <w:noProof/>
                <w:webHidden/>
              </w:rPr>
              <w:tab/>
            </w:r>
            <w:r>
              <w:rPr>
                <w:noProof/>
                <w:webHidden/>
              </w:rPr>
              <w:fldChar w:fldCharType="begin"/>
            </w:r>
            <w:r>
              <w:rPr>
                <w:noProof/>
                <w:webHidden/>
              </w:rPr>
              <w:instrText xml:space="preserve"> PAGEREF _Toc30186930 \h </w:instrText>
            </w:r>
            <w:r>
              <w:rPr>
                <w:noProof/>
                <w:webHidden/>
              </w:rPr>
            </w:r>
            <w:r>
              <w:rPr>
                <w:noProof/>
                <w:webHidden/>
              </w:rPr>
              <w:fldChar w:fldCharType="separate"/>
            </w:r>
            <w:r>
              <w:rPr>
                <w:noProof/>
                <w:webHidden/>
              </w:rPr>
              <w:t>17</w:t>
            </w:r>
            <w:r>
              <w:rPr>
                <w:noProof/>
                <w:webHidden/>
              </w:rPr>
              <w:fldChar w:fldCharType="end"/>
            </w:r>
          </w:hyperlink>
        </w:p>
        <w:p w14:paraId="7AA4BC16" w14:textId="0EB9A9CD" w:rsidR="00522F16" w:rsidRDefault="00522F16">
          <w:pPr>
            <w:pStyle w:val="TOC3"/>
            <w:tabs>
              <w:tab w:val="right" w:leader="dot" w:pos="9016"/>
            </w:tabs>
            <w:rPr>
              <w:rFonts w:asciiTheme="minorHAnsi" w:eastAsiaTheme="minorEastAsia" w:hAnsiTheme="minorHAnsi" w:cstheme="minorBidi"/>
              <w:noProof/>
              <w:lang w:eastAsia="en-GB"/>
            </w:rPr>
          </w:pPr>
          <w:hyperlink w:anchor="_Toc30186931" w:history="1">
            <w:r w:rsidRPr="00EB33A2">
              <w:rPr>
                <w:rStyle w:val="Hyperlink"/>
                <w:rFonts w:ascii="Times New Roman" w:hAnsi="Times New Roman"/>
                <w:noProof/>
              </w:rPr>
              <w:t>Calculation of Internal Rate of Return</w:t>
            </w:r>
            <w:r>
              <w:rPr>
                <w:noProof/>
                <w:webHidden/>
              </w:rPr>
              <w:tab/>
            </w:r>
            <w:r>
              <w:rPr>
                <w:noProof/>
                <w:webHidden/>
              </w:rPr>
              <w:fldChar w:fldCharType="begin"/>
            </w:r>
            <w:r>
              <w:rPr>
                <w:noProof/>
                <w:webHidden/>
              </w:rPr>
              <w:instrText xml:space="preserve"> PAGEREF _Toc30186931 \h </w:instrText>
            </w:r>
            <w:r>
              <w:rPr>
                <w:noProof/>
                <w:webHidden/>
              </w:rPr>
            </w:r>
            <w:r>
              <w:rPr>
                <w:noProof/>
                <w:webHidden/>
              </w:rPr>
              <w:fldChar w:fldCharType="separate"/>
            </w:r>
            <w:r>
              <w:rPr>
                <w:noProof/>
                <w:webHidden/>
              </w:rPr>
              <w:t>17</w:t>
            </w:r>
            <w:r>
              <w:rPr>
                <w:noProof/>
                <w:webHidden/>
              </w:rPr>
              <w:fldChar w:fldCharType="end"/>
            </w:r>
          </w:hyperlink>
        </w:p>
        <w:p w14:paraId="1CD0A263" w14:textId="707560CC" w:rsidR="00522F16" w:rsidRDefault="00522F16">
          <w:pPr>
            <w:pStyle w:val="TOC2"/>
            <w:tabs>
              <w:tab w:val="left" w:pos="660"/>
              <w:tab w:val="right" w:leader="dot" w:pos="9016"/>
            </w:tabs>
            <w:rPr>
              <w:rFonts w:asciiTheme="minorHAnsi" w:eastAsiaTheme="minorEastAsia" w:hAnsiTheme="minorHAnsi" w:cstheme="minorBidi"/>
              <w:noProof/>
              <w:lang w:eastAsia="en-GB"/>
            </w:rPr>
          </w:pPr>
          <w:hyperlink w:anchor="_Toc30186932" w:history="1">
            <w:r w:rsidRPr="00EB33A2">
              <w:rPr>
                <w:rStyle w:val="Hyperlink"/>
                <w:rFonts w:ascii="Times New Roman" w:hAnsi="Times New Roman"/>
                <w:noProof/>
              </w:rPr>
              <w:t>2.</w:t>
            </w:r>
            <w:r>
              <w:rPr>
                <w:rFonts w:asciiTheme="minorHAnsi" w:eastAsiaTheme="minorEastAsia" w:hAnsiTheme="minorHAnsi" w:cstheme="minorBidi"/>
                <w:noProof/>
                <w:lang w:eastAsia="en-GB"/>
              </w:rPr>
              <w:tab/>
            </w:r>
            <w:r w:rsidRPr="00EB33A2">
              <w:rPr>
                <w:rStyle w:val="Hyperlink"/>
                <w:rFonts w:ascii="Times New Roman" w:hAnsi="Times New Roman"/>
                <w:noProof/>
              </w:rPr>
              <w:t>Evaluating capital projects</w:t>
            </w:r>
            <w:r>
              <w:rPr>
                <w:noProof/>
                <w:webHidden/>
              </w:rPr>
              <w:tab/>
            </w:r>
            <w:r>
              <w:rPr>
                <w:noProof/>
                <w:webHidden/>
              </w:rPr>
              <w:fldChar w:fldCharType="begin"/>
            </w:r>
            <w:r>
              <w:rPr>
                <w:noProof/>
                <w:webHidden/>
              </w:rPr>
              <w:instrText xml:space="preserve"> PAGEREF _Toc30186932 \h </w:instrText>
            </w:r>
            <w:r>
              <w:rPr>
                <w:noProof/>
                <w:webHidden/>
              </w:rPr>
            </w:r>
            <w:r>
              <w:rPr>
                <w:noProof/>
                <w:webHidden/>
              </w:rPr>
              <w:fldChar w:fldCharType="separate"/>
            </w:r>
            <w:r>
              <w:rPr>
                <w:noProof/>
                <w:webHidden/>
              </w:rPr>
              <w:t>20</w:t>
            </w:r>
            <w:r>
              <w:rPr>
                <w:noProof/>
                <w:webHidden/>
              </w:rPr>
              <w:fldChar w:fldCharType="end"/>
            </w:r>
          </w:hyperlink>
        </w:p>
        <w:p w14:paraId="0AF27653" w14:textId="085C82B3" w:rsidR="00522F16" w:rsidRDefault="00522F16">
          <w:pPr>
            <w:pStyle w:val="TOC3"/>
            <w:tabs>
              <w:tab w:val="right" w:leader="dot" w:pos="9016"/>
            </w:tabs>
            <w:rPr>
              <w:rFonts w:asciiTheme="minorHAnsi" w:eastAsiaTheme="minorEastAsia" w:hAnsiTheme="minorHAnsi" w:cstheme="minorBidi"/>
              <w:noProof/>
              <w:lang w:eastAsia="en-GB"/>
            </w:rPr>
          </w:pPr>
          <w:hyperlink w:anchor="_Toc30186933" w:history="1">
            <w:r w:rsidRPr="00EB33A2">
              <w:rPr>
                <w:rStyle w:val="Hyperlink"/>
                <w:rFonts w:ascii="Times New Roman" w:hAnsi="Times New Roman"/>
                <w:noProof/>
                <w:shd w:val="clear" w:color="auto" w:fill="FFFFFF"/>
              </w:rPr>
              <w:t>PBP</w:t>
            </w:r>
            <w:r>
              <w:rPr>
                <w:noProof/>
                <w:webHidden/>
              </w:rPr>
              <w:tab/>
            </w:r>
            <w:r>
              <w:rPr>
                <w:noProof/>
                <w:webHidden/>
              </w:rPr>
              <w:fldChar w:fldCharType="begin"/>
            </w:r>
            <w:r>
              <w:rPr>
                <w:noProof/>
                <w:webHidden/>
              </w:rPr>
              <w:instrText xml:space="preserve"> PAGEREF _Toc30186933 \h </w:instrText>
            </w:r>
            <w:r>
              <w:rPr>
                <w:noProof/>
                <w:webHidden/>
              </w:rPr>
            </w:r>
            <w:r>
              <w:rPr>
                <w:noProof/>
                <w:webHidden/>
              </w:rPr>
              <w:fldChar w:fldCharType="separate"/>
            </w:r>
            <w:r>
              <w:rPr>
                <w:noProof/>
                <w:webHidden/>
              </w:rPr>
              <w:t>20</w:t>
            </w:r>
            <w:r>
              <w:rPr>
                <w:noProof/>
                <w:webHidden/>
              </w:rPr>
              <w:fldChar w:fldCharType="end"/>
            </w:r>
          </w:hyperlink>
        </w:p>
        <w:p w14:paraId="12B21723" w14:textId="5E90296D" w:rsidR="00522F16" w:rsidRDefault="00522F16">
          <w:pPr>
            <w:pStyle w:val="TOC3"/>
            <w:tabs>
              <w:tab w:val="right" w:leader="dot" w:pos="9016"/>
            </w:tabs>
            <w:rPr>
              <w:rFonts w:asciiTheme="minorHAnsi" w:eastAsiaTheme="minorEastAsia" w:hAnsiTheme="minorHAnsi" w:cstheme="minorBidi"/>
              <w:noProof/>
              <w:lang w:eastAsia="en-GB"/>
            </w:rPr>
          </w:pPr>
          <w:hyperlink w:anchor="_Toc30186934" w:history="1">
            <w:r w:rsidRPr="00EB33A2">
              <w:rPr>
                <w:rStyle w:val="Hyperlink"/>
                <w:rFonts w:ascii="Times New Roman" w:hAnsi="Times New Roman"/>
                <w:noProof/>
                <w:shd w:val="clear" w:color="auto" w:fill="FFFFFF"/>
              </w:rPr>
              <w:t>IRR</w:t>
            </w:r>
            <w:r>
              <w:rPr>
                <w:noProof/>
                <w:webHidden/>
              </w:rPr>
              <w:tab/>
            </w:r>
            <w:r>
              <w:rPr>
                <w:noProof/>
                <w:webHidden/>
              </w:rPr>
              <w:fldChar w:fldCharType="begin"/>
            </w:r>
            <w:r>
              <w:rPr>
                <w:noProof/>
                <w:webHidden/>
              </w:rPr>
              <w:instrText xml:space="preserve"> PAGEREF _Toc30186934 \h </w:instrText>
            </w:r>
            <w:r>
              <w:rPr>
                <w:noProof/>
                <w:webHidden/>
              </w:rPr>
            </w:r>
            <w:r>
              <w:rPr>
                <w:noProof/>
                <w:webHidden/>
              </w:rPr>
              <w:fldChar w:fldCharType="separate"/>
            </w:r>
            <w:r>
              <w:rPr>
                <w:noProof/>
                <w:webHidden/>
              </w:rPr>
              <w:t>21</w:t>
            </w:r>
            <w:r>
              <w:rPr>
                <w:noProof/>
                <w:webHidden/>
              </w:rPr>
              <w:fldChar w:fldCharType="end"/>
            </w:r>
          </w:hyperlink>
        </w:p>
        <w:p w14:paraId="552E4A0B" w14:textId="10F9CECF" w:rsidR="00522F16" w:rsidRDefault="00522F16">
          <w:pPr>
            <w:pStyle w:val="TOC3"/>
            <w:tabs>
              <w:tab w:val="right" w:leader="dot" w:pos="9016"/>
            </w:tabs>
            <w:rPr>
              <w:rFonts w:asciiTheme="minorHAnsi" w:eastAsiaTheme="minorEastAsia" w:hAnsiTheme="minorHAnsi" w:cstheme="minorBidi"/>
              <w:noProof/>
              <w:lang w:eastAsia="en-GB"/>
            </w:rPr>
          </w:pPr>
          <w:hyperlink w:anchor="_Toc30186935" w:history="1">
            <w:r w:rsidRPr="00EB33A2">
              <w:rPr>
                <w:rStyle w:val="Hyperlink"/>
                <w:rFonts w:ascii="Times New Roman" w:hAnsi="Times New Roman"/>
                <w:noProof/>
              </w:rPr>
              <w:t>NPV</w:t>
            </w:r>
            <w:r>
              <w:rPr>
                <w:noProof/>
                <w:webHidden/>
              </w:rPr>
              <w:tab/>
            </w:r>
            <w:r>
              <w:rPr>
                <w:noProof/>
                <w:webHidden/>
              </w:rPr>
              <w:fldChar w:fldCharType="begin"/>
            </w:r>
            <w:r>
              <w:rPr>
                <w:noProof/>
                <w:webHidden/>
              </w:rPr>
              <w:instrText xml:space="preserve"> PAGEREF _Toc30186935 \h </w:instrText>
            </w:r>
            <w:r>
              <w:rPr>
                <w:noProof/>
                <w:webHidden/>
              </w:rPr>
            </w:r>
            <w:r>
              <w:rPr>
                <w:noProof/>
                <w:webHidden/>
              </w:rPr>
              <w:fldChar w:fldCharType="separate"/>
            </w:r>
            <w:r>
              <w:rPr>
                <w:noProof/>
                <w:webHidden/>
              </w:rPr>
              <w:t>22</w:t>
            </w:r>
            <w:r>
              <w:rPr>
                <w:noProof/>
                <w:webHidden/>
              </w:rPr>
              <w:fldChar w:fldCharType="end"/>
            </w:r>
          </w:hyperlink>
        </w:p>
        <w:p w14:paraId="6BDB67E7" w14:textId="009643CB" w:rsidR="00522F16" w:rsidRDefault="00522F16">
          <w:pPr>
            <w:pStyle w:val="TOC3"/>
            <w:tabs>
              <w:tab w:val="right" w:leader="dot" w:pos="9016"/>
            </w:tabs>
            <w:rPr>
              <w:rFonts w:asciiTheme="minorHAnsi" w:eastAsiaTheme="minorEastAsia" w:hAnsiTheme="minorHAnsi" w:cstheme="minorBidi"/>
              <w:noProof/>
              <w:lang w:eastAsia="en-GB"/>
            </w:rPr>
          </w:pPr>
          <w:hyperlink w:anchor="_Toc30186936" w:history="1">
            <w:r w:rsidRPr="00EB33A2">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_Toc30186936 \h </w:instrText>
            </w:r>
            <w:r>
              <w:rPr>
                <w:noProof/>
                <w:webHidden/>
              </w:rPr>
            </w:r>
            <w:r>
              <w:rPr>
                <w:noProof/>
                <w:webHidden/>
              </w:rPr>
              <w:fldChar w:fldCharType="separate"/>
            </w:r>
            <w:r>
              <w:rPr>
                <w:noProof/>
                <w:webHidden/>
              </w:rPr>
              <w:t>22</w:t>
            </w:r>
            <w:r>
              <w:rPr>
                <w:noProof/>
                <w:webHidden/>
              </w:rPr>
              <w:fldChar w:fldCharType="end"/>
            </w:r>
          </w:hyperlink>
        </w:p>
        <w:p w14:paraId="5B2DF5F0" w14:textId="0D9373D0" w:rsidR="00522F16" w:rsidRDefault="00522F16">
          <w:pPr>
            <w:pStyle w:val="TOC1"/>
            <w:tabs>
              <w:tab w:val="right" w:leader="dot" w:pos="9016"/>
            </w:tabs>
            <w:rPr>
              <w:rFonts w:asciiTheme="minorHAnsi" w:eastAsiaTheme="minorEastAsia" w:hAnsiTheme="minorHAnsi" w:cstheme="minorBidi"/>
              <w:noProof/>
              <w:lang w:eastAsia="en-GB"/>
            </w:rPr>
          </w:pPr>
          <w:hyperlink w:anchor="_Toc30186937" w:history="1">
            <w:r w:rsidRPr="00EB33A2">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_Toc30186937 \h </w:instrText>
            </w:r>
            <w:r>
              <w:rPr>
                <w:noProof/>
                <w:webHidden/>
              </w:rPr>
            </w:r>
            <w:r>
              <w:rPr>
                <w:noProof/>
                <w:webHidden/>
              </w:rPr>
              <w:fldChar w:fldCharType="separate"/>
            </w:r>
            <w:r>
              <w:rPr>
                <w:noProof/>
                <w:webHidden/>
              </w:rPr>
              <w:t>23</w:t>
            </w:r>
            <w:r>
              <w:rPr>
                <w:noProof/>
                <w:webHidden/>
              </w:rPr>
              <w:fldChar w:fldCharType="end"/>
            </w:r>
          </w:hyperlink>
        </w:p>
        <w:p w14:paraId="0D40DD1F" w14:textId="07478DD1" w:rsidR="00522F16" w:rsidRDefault="00522F16">
          <w:pPr>
            <w:pStyle w:val="TOC1"/>
            <w:tabs>
              <w:tab w:val="right" w:leader="dot" w:pos="9016"/>
            </w:tabs>
            <w:rPr>
              <w:rFonts w:asciiTheme="minorHAnsi" w:eastAsiaTheme="minorEastAsia" w:hAnsiTheme="minorHAnsi" w:cstheme="minorBidi"/>
              <w:noProof/>
              <w:lang w:eastAsia="en-GB"/>
            </w:rPr>
          </w:pPr>
          <w:hyperlink w:anchor="_Toc30186938" w:history="1">
            <w:r w:rsidRPr="00EB33A2">
              <w:rPr>
                <w:rStyle w:val="Hyperlink"/>
                <w:rFonts w:ascii="Times New Roman" w:hAnsi="Times New Roman"/>
                <w:noProof/>
              </w:rPr>
              <w:t>Appendix</w:t>
            </w:r>
            <w:r>
              <w:rPr>
                <w:noProof/>
                <w:webHidden/>
              </w:rPr>
              <w:tab/>
            </w:r>
            <w:r>
              <w:rPr>
                <w:noProof/>
                <w:webHidden/>
              </w:rPr>
              <w:fldChar w:fldCharType="begin"/>
            </w:r>
            <w:r>
              <w:rPr>
                <w:noProof/>
                <w:webHidden/>
              </w:rPr>
              <w:instrText xml:space="preserve"> PAGEREF _Toc30186938 \h </w:instrText>
            </w:r>
            <w:r>
              <w:rPr>
                <w:noProof/>
                <w:webHidden/>
              </w:rPr>
            </w:r>
            <w:r>
              <w:rPr>
                <w:noProof/>
                <w:webHidden/>
              </w:rPr>
              <w:fldChar w:fldCharType="separate"/>
            </w:r>
            <w:r>
              <w:rPr>
                <w:noProof/>
                <w:webHidden/>
              </w:rPr>
              <w:t>24</w:t>
            </w:r>
            <w:r>
              <w:rPr>
                <w:noProof/>
                <w:webHidden/>
              </w:rPr>
              <w:fldChar w:fldCharType="end"/>
            </w:r>
          </w:hyperlink>
        </w:p>
        <w:p w14:paraId="0C6F9514" w14:textId="3B0ACDB6" w:rsidR="00522F16" w:rsidRDefault="00522F16">
          <w:pPr>
            <w:pStyle w:val="TOC2"/>
            <w:tabs>
              <w:tab w:val="right" w:leader="dot" w:pos="9016"/>
            </w:tabs>
            <w:rPr>
              <w:rFonts w:asciiTheme="minorHAnsi" w:eastAsiaTheme="minorEastAsia" w:hAnsiTheme="minorHAnsi" w:cstheme="minorBidi"/>
              <w:noProof/>
              <w:lang w:eastAsia="en-GB"/>
            </w:rPr>
          </w:pPr>
          <w:hyperlink w:anchor="_Toc30186939" w:history="1">
            <w:r w:rsidRPr="00EB33A2">
              <w:rPr>
                <w:rStyle w:val="Hyperlink"/>
                <w:rFonts w:ascii="Times New Roman" w:hAnsi="Times New Roman"/>
                <w:noProof/>
                <w:lang w:val="en-US"/>
              </w:rPr>
              <w:t>BP Income Statement 2018 (Including data for 2017 and 2016)</w:t>
            </w:r>
            <w:r>
              <w:rPr>
                <w:noProof/>
                <w:webHidden/>
              </w:rPr>
              <w:tab/>
            </w:r>
            <w:r>
              <w:rPr>
                <w:noProof/>
                <w:webHidden/>
              </w:rPr>
              <w:fldChar w:fldCharType="begin"/>
            </w:r>
            <w:r>
              <w:rPr>
                <w:noProof/>
                <w:webHidden/>
              </w:rPr>
              <w:instrText xml:space="preserve"> PAGEREF _Toc30186939 \h </w:instrText>
            </w:r>
            <w:r>
              <w:rPr>
                <w:noProof/>
                <w:webHidden/>
              </w:rPr>
            </w:r>
            <w:r>
              <w:rPr>
                <w:noProof/>
                <w:webHidden/>
              </w:rPr>
              <w:fldChar w:fldCharType="separate"/>
            </w:r>
            <w:r>
              <w:rPr>
                <w:noProof/>
                <w:webHidden/>
              </w:rPr>
              <w:t>24</w:t>
            </w:r>
            <w:r>
              <w:rPr>
                <w:noProof/>
                <w:webHidden/>
              </w:rPr>
              <w:fldChar w:fldCharType="end"/>
            </w:r>
          </w:hyperlink>
        </w:p>
        <w:p w14:paraId="2FB6D730" w14:textId="4B7DB9BD" w:rsidR="00522F16" w:rsidRDefault="00522F16">
          <w:pPr>
            <w:pStyle w:val="TOC2"/>
            <w:tabs>
              <w:tab w:val="right" w:leader="dot" w:pos="9016"/>
            </w:tabs>
            <w:rPr>
              <w:rFonts w:asciiTheme="minorHAnsi" w:eastAsiaTheme="minorEastAsia" w:hAnsiTheme="minorHAnsi" w:cstheme="minorBidi"/>
              <w:noProof/>
              <w:lang w:eastAsia="en-GB"/>
            </w:rPr>
          </w:pPr>
          <w:hyperlink w:anchor="_Toc30186940" w:history="1">
            <w:r w:rsidRPr="00EB33A2">
              <w:rPr>
                <w:rStyle w:val="Hyperlink"/>
                <w:rFonts w:ascii="Times New Roman" w:hAnsi="Times New Roman"/>
                <w:noProof/>
              </w:rPr>
              <w:t>BP Balance Sheet 2018</w:t>
            </w:r>
            <w:r>
              <w:rPr>
                <w:noProof/>
                <w:webHidden/>
              </w:rPr>
              <w:tab/>
            </w:r>
            <w:r>
              <w:rPr>
                <w:noProof/>
                <w:webHidden/>
              </w:rPr>
              <w:fldChar w:fldCharType="begin"/>
            </w:r>
            <w:r>
              <w:rPr>
                <w:noProof/>
                <w:webHidden/>
              </w:rPr>
              <w:instrText xml:space="preserve"> PAGEREF _Toc30186940 \h </w:instrText>
            </w:r>
            <w:r>
              <w:rPr>
                <w:noProof/>
                <w:webHidden/>
              </w:rPr>
            </w:r>
            <w:r>
              <w:rPr>
                <w:noProof/>
                <w:webHidden/>
              </w:rPr>
              <w:fldChar w:fldCharType="separate"/>
            </w:r>
            <w:r>
              <w:rPr>
                <w:noProof/>
                <w:webHidden/>
              </w:rPr>
              <w:t>25</w:t>
            </w:r>
            <w:r>
              <w:rPr>
                <w:noProof/>
                <w:webHidden/>
              </w:rPr>
              <w:fldChar w:fldCharType="end"/>
            </w:r>
          </w:hyperlink>
        </w:p>
        <w:p w14:paraId="146A2BC0" w14:textId="2A9BD65F" w:rsidR="00522F16" w:rsidRDefault="00522F16">
          <w:pPr>
            <w:pStyle w:val="TOC2"/>
            <w:tabs>
              <w:tab w:val="right" w:leader="dot" w:pos="9016"/>
            </w:tabs>
            <w:rPr>
              <w:rFonts w:asciiTheme="minorHAnsi" w:eastAsiaTheme="minorEastAsia" w:hAnsiTheme="minorHAnsi" w:cstheme="minorBidi"/>
              <w:noProof/>
              <w:lang w:eastAsia="en-GB"/>
            </w:rPr>
          </w:pPr>
          <w:hyperlink w:anchor="_Toc30186941" w:history="1">
            <w:r w:rsidRPr="00EB33A2">
              <w:rPr>
                <w:rStyle w:val="Hyperlink"/>
                <w:rFonts w:ascii="Times New Roman" w:hAnsi="Times New Roman"/>
                <w:noProof/>
                <w:lang w:val="en-US"/>
              </w:rPr>
              <w:t>BP Income Statement 2016 (Including data for 2015 and 2014)</w:t>
            </w:r>
            <w:r>
              <w:rPr>
                <w:noProof/>
                <w:webHidden/>
              </w:rPr>
              <w:tab/>
            </w:r>
            <w:r>
              <w:rPr>
                <w:noProof/>
                <w:webHidden/>
              </w:rPr>
              <w:fldChar w:fldCharType="begin"/>
            </w:r>
            <w:r>
              <w:rPr>
                <w:noProof/>
                <w:webHidden/>
              </w:rPr>
              <w:instrText xml:space="preserve"> PAGEREF _Toc30186941 \h </w:instrText>
            </w:r>
            <w:r>
              <w:rPr>
                <w:noProof/>
                <w:webHidden/>
              </w:rPr>
            </w:r>
            <w:r>
              <w:rPr>
                <w:noProof/>
                <w:webHidden/>
              </w:rPr>
              <w:fldChar w:fldCharType="separate"/>
            </w:r>
            <w:r>
              <w:rPr>
                <w:noProof/>
                <w:webHidden/>
              </w:rPr>
              <w:t>26</w:t>
            </w:r>
            <w:r>
              <w:rPr>
                <w:noProof/>
                <w:webHidden/>
              </w:rPr>
              <w:fldChar w:fldCharType="end"/>
            </w:r>
          </w:hyperlink>
        </w:p>
        <w:p w14:paraId="00AB6899" w14:textId="481D1A06" w:rsidR="0080725B" w:rsidRPr="00F3501B" w:rsidRDefault="0080725B" w:rsidP="00F3501B">
          <w:pPr>
            <w:rPr>
              <w:rFonts w:ascii="Times New Roman" w:hAnsi="Times New Roman"/>
              <w:sz w:val="24"/>
              <w:szCs w:val="24"/>
            </w:rPr>
          </w:pPr>
          <w:r w:rsidRPr="00F3501B">
            <w:rPr>
              <w:rFonts w:ascii="Times New Roman" w:hAnsi="Times New Roman"/>
              <w:noProof/>
              <w:sz w:val="24"/>
              <w:szCs w:val="24"/>
            </w:rPr>
            <w:lastRenderedPageBreak/>
            <w:fldChar w:fldCharType="end"/>
          </w:r>
        </w:p>
      </w:sdtContent>
    </w:sdt>
    <w:p w14:paraId="5FDE1BAD" w14:textId="15EC67BB" w:rsidR="0068696B" w:rsidRPr="00F3501B" w:rsidRDefault="006D6699" w:rsidP="00F3501B">
      <w:pPr>
        <w:pStyle w:val="Heading1"/>
        <w:spacing w:line="360" w:lineRule="auto"/>
        <w:rPr>
          <w:rFonts w:ascii="Times New Roman" w:hAnsi="Times New Roman"/>
          <w:color w:val="auto"/>
          <w:sz w:val="24"/>
          <w:szCs w:val="24"/>
          <w:lang w:eastAsia="en-GB"/>
        </w:rPr>
      </w:pPr>
      <w:bookmarkStart w:id="0" w:name="_Toc30186916"/>
      <w:r w:rsidRPr="00F3501B">
        <w:rPr>
          <w:rFonts w:ascii="Times New Roman" w:hAnsi="Times New Roman"/>
          <w:color w:val="auto"/>
          <w:sz w:val="24"/>
          <w:szCs w:val="24"/>
          <w:lang w:eastAsia="en-GB"/>
        </w:rPr>
        <w:t>Part a)</w:t>
      </w:r>
      <w:bookmarkEnd w:id="0"/>
    </w:p>
    <w:p w14:paraId="0170490B" w14:textId="77777777" w:rsidR="001949BE" w:rsidRPr="00F3501B" w:rsidRDefault="001949BE" w:rsidP="00F3501B">
      <w:pPr>
        <w:rPr>
          <w:rFonts w:ascii="Times New Roman" w:hAnsi="Times New Roman"/>
          <w:color w:val="000000" w:themeColor="text1"/>
          <w:sz w:val="24"/>
          <w:szCs w:val="24"/>
          <w:shd w:val="clear" w:color="auto" w:fill="FFFFFF"/>
        </w:rPr>
      </w:pPr>
    </w:p>
    <w:p w14:paraId="54F4FDC2" w14:textId="5BBDD166" w:rsidR="00A36F6E" w:rsidRDefault="00A36F6E" w:rsidP="00F3501B">
      <w:pPr>
        <w:rPr>
          <w:rFonts w:ascii="Times New Roman" w:hAnsi="Times New Roman"/>
          <w:color w:val="000000" w:themeColor="text1"/>
          <w:sz w:val="24"/>
          <w:szCs w:val="24"/>
          <w:shd w:val="clear" w:color="auto" w:fill="FFFFFF"/>
        </w:rPr>
      </w:pPr>
      <w:r w:rsidRPr="00F3501B">
        <w:rPr>
          <w:rFonts w:ascii="Times New Roman" w:hAnsi="Times New Roman"/>
          <w:color w:val="000000" w:themeColor="text1"/>
          <w:sz w:val="24"/>
          <w:szCs w:val="24"/>
          <w:shd w:val="clear" w:color="auto" w:fill="FFFFFF"/>
        </w:rPr>
        <w:t>BP is one of the world's leading petroleum products producers and has its headquarters in London.</w:t>
      </w:r>
    </w:p>
    <w:p w14:paraId="59FB6433" w14:textId="342D5F33" w:rsidR="001949BE" w:rsidRPr="00F3501B" w:rsidRDefault="00A36F6E" w:rsidP="00F3501B">
      <w:pPr>
        <w:rPr>
          <w:rFonts w:ascii="Times New Roman" w:hAnsi="Times New Roman"/>
          <w:color w:val="000000" w:themeColor="text1"/>
          <w:sz w:val="24"/>
          <w:szCs w:val="24"/>
          <w:shd w:val="clear" w:color="auto" w:fill="FFFFFF"/>
        </w:rPr>
      </w:pPr>
      <w:r>
        <w:rPr>
          <w:rFonts w:ascii="Times New Roman" w:hAnsi="Times New Roman"/>
          <w:color w:val="000000" w:themeColor="text1"/>
          <w:sz w:val="24"/>
          <w:szCs w:val="24"/>
          <w:shd w:val="clear" w:color="auto" w:fill="FFFFFF"/>
        </w:rPr>
        <w:t>BP</w:t>
      </w:r>
      <w:r w:rsidR="001949BE" w:rsidRPr="00F3501B">
        <w:rPr>
          <w:rFonts w:ascii="Times New Roman" w:hAnsi="Times New Roman"/>
          <w:color w:val="000000" w:themeColor="text1"/>
          <w:sz w:val="24"/>
          <w:szCs w:val="24"/>
          <w:shd w:val="clear" w:color="auto" w:fill="FFFFFF"/>
        </w:rPr>
        <w:t xml:space="preserve"> is a company that develops oil and gas goods from gasoline, lubricants, electricity and petrochemical products, manufacturing, processing, and selling. This deals with the oil and energy output in various segments from upstream, midstream and downstream. It serves the demands of customers all over the world through operations of globalisation.</w:t>
      </w:r>
    </w:p>
    <w:p w14:paraId="1C3FDBA9" w14:textId="5533BF3F" w:rsidR="001949BE" w:rsidRPr="00F3501B" w:rsidRDefault="001949BE" w:rsidP="00F3501B">
      <w:pPr>
        <w:rPr>
          <w:rFonts w:ascii="Times New Roman" w:hAnsi="Times New Roman"/>
          <w:color w:val="000000" w:themeColor="text1"/>
          <w:sz w:val="24"/>
          <w:szCs w:val="24"/>
          <w:shd w:val="clear" w:color="auto" w:fill="FFFFFF"/>
        </w:rPr>
      </w:pPr>
      <w:r w:rsidRPr="00F3501B">
        <w:rPr>
          <w:rFonts w:ascii="Times New Roman" w:hAnsi="Times New Roman"/>
          <w:color w:val="000000" w:themeColor="text1"/>
          <w:sz w:val="24"/>
          <w:szCs w:val="24"/>
          <w:shd w:val="clear" w:color="auto" w:fill="FFFFFF"/>
        </w:rPr>
        <w:t>In the past it has addressed security and environmental issues in its practises, by positive focus and concrete steps for sustainable development it could overcome these negative images. The business works on six continents, and 80 countries provide goods and services. It deals with some of the rugged terrains and extreme climatic conditions that are a big challenge in different parts of the world, BP needs to reduce environmental impacts by incorporating into its practises a comprehensive and organised strategy, utilising sophisticated risk assessment approaches that will also help it in its business plans, and BP incorporates the climate</w:t>
      </w:r>
    </w:p>
    <w:p w14:paraId="58DAA1C8" w14:textId="46D189DE" w:rsidR="001949BE" w:rsidRPr="00F3501B" w:rsidRDefault="001949BE" w:rsidP="00F3501B">
      <w:pPr>
        <w:rPr>
          <w:rFonts w:ascii="Times New Roman" w:hAnsi="Times New Roman"/>
          <w:color w:val="000000"/>
          <w:sz w:val="24"/>
          <w:szCs w:val="24"/>
          <w:shd w:val="clear" w:color="auto" w:fill="FFFFFF"/>
        </w:rPr>
      </w:pPr>
      <w:r w:rsidRPr="00F3501B">
        <w:rPr>
          <w:rFonts w:ascii="Times New Roman" w:hAnsi="Times New Roman"/>
          <w:color w:val="000000"/>
          <w:sz w:val="24"/>
          <w:szCs w:val="24"/>
          <w:shd w:val="clear" w:color="auto" w:fill="FFFFFF"/>
        </w:rPr>
        <w:t xml:space="preserve">The business was first known as British </w:t>
      </w:r>
      <w:r w:rsidR="00A36F6E" w:rsidRPr="00F3501B">
        <w:rPr>
          <w:rFonts w:ascii="Times New Roman" w:hAnsi="Times New Roman"/>
          <w:color w:val="000000"/>
          <w:sz w:val="24"/>
          <w:szCs w:val="24"/>
          <w:shd w:val="clear" w:color="auto" w:fill="FFFFFF"/>
        </w:rPr>
        <w:t>Petroleum and</w:t>
      </w:r>
      <w:r w:rsidRPr="00F3501B">
        <w:rPr>
          <w:rFonts w:ascii="Times New Roman" w:hAnsi="Times New Roman"/>
          <w:color w:val="000000"/>
          <w:sz w:val="24"/>
          <w:szCs w:val="24"/>
          <w:shd w:val="clear" w:color="auto" w:fill="FFFFFF"/>
        </w:rPr>
        <w:t xml:space="preserve"> was founded in 1909. As of 2018, BP was the sixth largest oil and gas company in the world based on market value. In 2018, BP posted sales of around USD 298.8 billion, which also placed it in the industry's top </w:t>
      </w:r>
      <w:proofErr w:type="gramStart"/>
      <w:r w:rsidRPr="00F3501B">
        <w:rPr>
          <w:rFonts w:ascii="Times New Roman" w:hAnsi="Times New Roman"/>
          <w:color w:val="000000"/>
          <w:sz w:val="24"/>
          <w:szCs w:val="24"/>
          <w:shd w:val="clear" w:color="auto" w:fill="FFFFFF"/>
        </w:rPr>
        <w:t>ten as a whole</w:t>
      </w:r>
      <w:proofErr w:type="gramEnd"/>
      <w:r w:rsidRPr="00F3501B">
        <w:rPr>
          <w:rFonts w:ascii="Times New Roman" w:hAnsi="Times New Roman"/>
          <w:color w:val="000000"/>
          <w:sz w:val="24"/>
          <w:szCs w:val="24"/>
          <w:shd w:val="clear" w:color="auto" w:fill="FFFFFF"/>
        </w:rPr>
        <w:t>. BP employs about 73,000 people from around the world.</w:t>
      </w:r>
    </w:p>
    <w:p w14:paraId="567D691F" w14:textId="77777777" w:rsidR="001949BE" w:rsidRPr="00F3501B" w:rsidRDefault="001949BE" w:rsidP="00F3501B">
      <w:pPr>
        <w:rPr>
          <w:rFonts w:ascii="Times New Roman" w:hAnsi="Times New Roman"/>
          <w:color w:val="000000"/>
          <w:sz w:val="24"/>
          <w:szCs w:val="24"/>
          <w:shd w:val="clear" w:color="auto" w:fill="FFFFFF"/>
        </w:rPr>
      </w:pPr>
      <w:r w:rsidRPr="00F3501B">
        <w:rPr>
          <w:rFonts w:ascii="Times New Roman" w:hAnsi="Times New Roman"/>
          <w:color w:val="000000"/>
          <w:sz w:val="24"/>
          <w:szCs w:val="24"/>
          <w:shd w:val="clear" w:color="auto" w:fill="FFFFFF"/>
        </w:rPr>
        <w:t xml:space="preserve">An oil-field concession given to an English businessman, William Knox D'Arcy, by the Iranian government was created to take over and fund the Anglo-Persian Oil Company. The first productive oil wells were drilled at Masjed </w:t>
      </w:r>
      <w:proofErr w:type="spellStart"/>
      <w:r w:rsidRPr="00F3501B">
        <w:rPr>
          <w:rFonts w:ascii="Times New Roman" w:hAnsi="Times New Roman"/>
          <w:color w:val="000000"/>
          <w:sz w:val="24"/>
          <w:szCs w:val="24"/>
          <w:shd w:val="clear" w:color="auto" w:fill="FFFFFF"/>
        </w:rPr>
        <w:t>Soleymān</w:t>
      </w:r>
      <w:proofErr w:type="spellEnd"/>
      <w:r w:rsidRPr="00F3501B">
        <w:rPr>
          <w:rFonts w:ascii="Times New Roman" w:hAnsi="Times New Roman"/>
          <w:color w:val="000000"/>
          <w:sz w:val="24"/>
          <w:szCs w:val="24"/>
          <w:shd w:val="clear" w:color="auto" w:fill="FFFFFF"/>
        </w:rPr>
        <w:t>, and crude oil was piped into an Abadan refinery from which the first oil shipment was shipped in March 1912.</w:t>
      </w:r>
    </w:p>
    <w:p w14:paraId="2436A095" w14:textId="77777777" w:rsidR="001949BE" w:rsidRPr="00F3501B" w:rsidRDefault="001949BE" w:rsidP="00F3501B">
      <w:pPr>
        <w:pStyle w:val="NormalWeb"/>
        <w:shd w:val="clear" w:color="auto" w:fill="FFFFFF"/>
        <w:spacing w:before="0" w:beforeAutospacing="0" w:after="0" w:afterAutospacing="0" w:line="360" w:lineRule="auto"/>
        <w:rPr>
          <w:color w:val="000000" w:themeColor="text1"/>
          <w:spacing w:val="-3"/>
        </w:rPr>
      </w:pPr>
      <w:r w:rsidRPr="00F3501B">
        <w:rPr>
          <w:color w:val="000000" w:themeColor="text1"/>
          <w:spacing w:val="-3"/>
        </w:rPr>
        <w:t>In 1914, the British Government became the corporation's main stockholder and remains so. On 1 January 1955 British Petroleum became a holding company. The British government reduced oversight of British Petroleum from 1977 onwards by selling shares to the public and, by handing the remaining shares, the government turned British Petroleum completely over to private ownership in the late 1980's.</w:t>
      </w:r>
    </w:p>
    <w:p w14:paraId="4E5B266D" w14:textId="377BCC8F" w:rsidR="001949BE" w:rsidRDefault="001949BE" w:rsidP="00F3501B">
      <w:pPr>
        <w:pStyle w:val="NormalWeb"/>
        <w:shd w:val="clear" w:color="auto" w:fill="FFFFFF"/>
        <w:spacing w:before="0" w:beforeAutospacing="0" w:after="0" w:afterAutospacing="0" w:line="360" w:lineRule="auto"/>
        <w:rPr>
          <w:color w:val="000000" w:themeColor="text1"/>
          <w:spacing w:val="-3"/>
        </w:rPr>
      </w:pPr>
      <w:r w:rsidRPr="00F3501B">
        <w:rPr>
          <w:color w:val="000000" w:themeColor="text1"/>
          <w:spacing w:val="-3"/>
        </w:rPr>
        <w:t>The corporation is investing in technology and services for electric vehicles as the business supports the move to a lower carbon future and aims to meet its customers' changing needs. Their work aims to promote the adoption of electric vehicles by addressing issues such as poor battery life and lengthy charging times.</w:t>
      </w:r>
      <w:r w:rsidR="00522F16">
        <w:rPr>
          <w:color w:val="000000" w:themeColor="text1"/>
          <w:spacing w:val="-3"/>
        </w:rPr>
        <w:t xml:space="preserve"> </w:t>
      </w:r>
      <w:bookmarkStart w:id="1" w:name="_GoBack"/>
      <w:bookmarkEnd w:id="1"/>
    </w:p>
    <w:p w14:paraId="4157DF27" w14:textId="77777777" w:rsidR="006D6699" w:rsidRPr="00F3501B" w:rsidRDefault="006D6699" w:rsidP="00F3501B">
      <w:pPr>
        <w:pStyle w:val="Heading1"/>
        <w:spacing w:line="360" w:lineRule="auto"/>
        <w:rPr>
          <w:rFonts w:ascii="Times New Roman" w:hAnsi="Times New Roman"/>
          <w:color w:val="auto"/>
          <w:sz w:val="24"/>
          <w:szCs w:val="24"/>
        </w:rPr>
      </w:pPr>
      <w:bookmarkStart w:id="2" w:name="_Toc30186917"/>
      <w:r w:rsidRPr="00F3501B">
        <w:rPr>
          <w:rFonts w:ascii="Times New Roman" w:hAnsi="Times New Roman"/>
          <w:color w:val="auto"/>
          <w:sz w:val="24"/>
          <w:szCs w:val="24"/>
        </w:rPr>
        <w:lastRenderedPageBreak/>
        <w:t>Part b)</w:t>
      </w:r>
      <w:bookmarkEnd w:id="2"/>
    </w:p>
    <w:p w14:paraId="6318ADF6" w14:textId="77777777" w:rsidR="006D6699" w:rsidRPr="00F3501B" w:rsidRDefault="006D6699" w:rsidP="00F3501B">
      <w:pPr>
        <w:rPr>
          <w:rFonts w:ascii="Times New Roman" w:hAnsi="Times New Roman"/>
          <w:sz w:val="24"/>
          <w:szCs w:val="24"/>
        </w:rPr>
      </w:pPr>
    </w:p>
    <w:p w14:paraId="44D6AB8E" w14:textId="71F716CB" w:rsidR="006D6699" w:rsidRPr="00F3501B" w:rsidRDefault="006D6699" w:rsidP="00F3501B">
      <w:pPr>
        <w:pStyle w:val="Heading2"/>
        <w:rPr>
          <w:rFonts w:ascii="Times New Roman" w:hAnsi="Times New Roman"/>
          <w:color w:val="auto"/>
          <w:sz w:val="24"/>
          <w:szCs w:val="24"/>
        </w:rPr>
      </w:pPr>
      <w:bookmarkStart w:id="3" w:name="_Toc30186918"/>
      <w:r w:rsidRPr="00F3501B">
        <w:rPr>
          <w:rFonts w:ascii="Times New Roman" w:hAnsi="Times New Roman"/>
          <w:color w:val="auto"/>
          <w:sz w:val="24"/>
          <w:szCs w:val="24"/>
        </w:rPr>
        <w:t>Calculation of key financial ratios</w:t>
      </w:r>
      <w:bookmarkEnd w:id="3"/>
      <w:r w:rsidRPr="00F3501B">
        <w:rPr>
          <w:rFonts w:ascii="Times New Roman" w:hAnsi="Times New Roman"/>
          <w:color w:val="auto"/>
          <w:sz w:val="24"/>
          <w:szCs w:val="24"/>
        </w:rPr>
        <w:t xml:space="preserve"> </w:t>
      </w:r>
    </w:p>
    <w:p w14:paraId="7A8043B8" w14:textId="2FAE503A" w:rsidR="006D6699" w:rsidRPr="00F3501B" w:rsidRDefault="006D6699" w:rsidP="00F3501B">
      <w:pPr>
        <w:rPr>
          <w:rFonts w:ascii="Times New Roman" w:hAnsi="Times New Roman"/>
          <w:sz w:val="24"/>
          <w:szCs w:val="24"/>
        </w:rPr>
      </w:pPr>
      <w:r w:rsidRPr="00F3501B">
        <w:rPr>
          <w:rFonts w:ascii="Times New Roman" w:hAnsi="Times New Roman"/>
          <w:sz w:val="24"/>
          <w:szCs w:val="24"/>
        </w:rPr>
        <w:t>Profitability, liquidity, gearing and efficiency ratios are a few key financial ratios.</w:t>
      </w:r>
    </w:p>
    <w:p w14:paraId="25B2E195" w14:textId="77777777" w:rsidR="006D6699" w:rsidRPr="00F3501B" w:rsidRDefault="006D6699" w:rsidP="00F3501B">
      <w:pPr>
        <w:pStyle w:val="Heading3"/>
        <w:spacing w:line="360" w:lineRule="auto"/>
        <w:rPr>
          <w:rFonts w:ascii="Times New Roman" w:hAnsi="Times New Roman" w:cs="Times New Roman"/>
          <w:color w:val="auto"/>
        </w:rPr>
      </w:pPr>
      <w:bookmarkStart w:id="4" w:name="_Toc30186919"/>
      <w:r w:rsidRPr="00F3501B">
        <w:rPr>
          <w:rFonts w:ascii="Times New Roman" w:hAnsi="Times New Roman" w:cs="Times New Roman"/>
          <w:color w:val="auto"/>
        </w:rPr>
        <w:t>Profitability</w:t>
      </w:r>
      <w:bookmarkEnd w:id="4"/>
    </w:p>
    <w:p w14:paraId="5A84CECB"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Gross margin</w:t>
      </w:r>
    </w:p>
    <w:p w14:paraId="33FE2E65"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Gross margin is one profitability ratio.</w:t>
      </w:r>
    </w:p>
    <w:p w14:paraId="39469AB4"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Its formula is:</w:t>
      </w:r>
    </w:p>
    <w:p w14:paraId="64A9C634"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Gross Margin = Gross Profit / Sales</w:t>
      </w:r>
    </w:p>
    <w:p w14:paraId="6025986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In order to calculate for each year, the information is taken from the Income Statement.</w:t>
      </w:r>
    </w:p>
    <w:p w14:paraId="33CADCF9" w14:textId="77777777" w:rsidR="008F00E6" w:rsidRPr="00F3501B" w:rsidRDefault="008F00E6" w:rsidP="00F3501B">
      <w:pPr>
        <w:rPr>
          <w:rFonts w:ascii="Times New Roman" w:hAnsi="Times New Roman"/>
          <w:sz w:val="24"/>
          <w:szCs w:val="24"/>
        </w:rPr>
      </w:pPr>
    </w:p>
    <w:p w14:paraId="1D5557C7" w14:textId="2DEE8E03" w:rsidR="006D6699" w:rsidRPr="00F3501B" w:rsidRDefault="006D6699" w:rsidP="00F3501B">
      <w:pPr>
        <w:rPr>
          <w:rFonts w:ascii="Times New Roman" w:hAnsi="Times New Roman"/>
          <w:sz w:val="24"/>
          <w:szCs w:val="24"/>
        </w:rPr>
      </w:pPr>
      <w:r w:rsidRPr="00F3501B">
        <w:rPr>
          <w:rFonts w:ascii="Times New Roman" w:hAnsi="Times New Roman"/>
          <w:sz w:val="24"/>
          <w:szCs w:val="24"/>
        </w:rPr>
        <w:t>Examples of calculation:</w:t>
      </w:r>
    </w:p>
    <w:p w14:paraId="6E154063"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 xml:space="preserve">For 2018, where the reported Gross Profit was 49,319 mil $ and the Sales were 303,738 mil $, the result is: </w:t>
      </w:r>
    </w:p>
    <w:p w14:paraId="405400AA"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Gross margin = 49,319 / 303,738 = 16.24%</w:t>
      </w:r>
    </w:p>
    <w:p w14:paraId="7CEC1522" w14:textId="77777777" w:rsidR="008F00E6" w:rsidRPr="00F3501B" w:rsidRDefault="008F00E6" w:rsidP="00F3501B">
      <w:pPr>
        <w:rPr>
          <w:rFonts w:ascii="Times New Roman" w:hAnsi="Times New Roman"/>
          <w:sz w:val="24"/>
          <w:szCs w:val="24"/>
        </w:rPr>
      </w:pPr>
    </w:p>
    <w:p w14:paraId="71AA4668" w14:textId="088BF96A"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2017</w:t>
      </w:r>
    </w:p>
    <w:p w14:paraId="2C5BFD04" w14:textId="07F3B5B3" w:rsidR="006D6699" w:rsidRPr="00F3501B" w:rsidRDefault="006D6699" w:rsidP="00F3501B">
      <w:pPr>
        <w:rPr>
          <w:rFonts w:ascii="Times New Roman" w:hAnsi="Times New Roman"/>
          <w:sz w:val="24"/>
          <w:szCs w:val="24"/>
        </w:rPr>
      </w:pPr>
      <w:r w:rsidRPr="00F3501B">
        <w:rPr>
          <w:rFonts w:ascii="Times New Roman" w:hAnsi="Times New Roman"/>
          <w:sz w:val="24"/>
          <w:szCs w:val="24"/>
        </w:rPr>
        <w:t>Gross margin = 38,862 / 244,582 = 15.89%</w:t>
      </w:r>
    </w:p>
    <w:p w14:paraId="2B8E44F5" w14:textId="77777777" w:rsidR="008F00E6" w:rsidRPr="00F3501B" w:rsidRDefault="008F00E6" w:rsidP="00F3501B">
      <w:pPr>
        <w:rPr>
          <w:rFonts w:ascii="Times New Roman" w:hAnsi="Times New Roman"/>
          <w:sz w:val="24"/>
          <w:szCs w:val="24"/>
        </w:rPr>
      </w:pPr>
    </w:p>
    <w:p w14:paraId="60065865"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Operating Margin</w:t>
      </w:r>
    </w:p>
    <w:p w14:paraId="4C39DDE0" w14:textId="77777777" w:rsidR="008F00E6" w:rsidRPr="00F3501B" w:rsidRDefault="008F00E6" w:rsidP="00F3501B">
      <w:pPr>
        <w:rPr>
          <w:rFonts w:ascii="Times New Roman" w:hAnsi="Times New Roman"/>
          <w:sz w:val="24"/>
          <w:szCs w:val="24"/>
        </w:rPr>
      </w:pPr>
    </w:p>
    <w:p w14:paraId="6E7A01A4" w14:textId="0BF835F0" w:rsidR="006D6699" w:rsidRPr="00F3501B" w:rsidRDefault="006D6699" w:rsidP="00F3501B">
      <w:pPr>
        <w:rPr>
          <w:rFonts w:ascii="Times New Roman" w:hAnsi="Times New Roman"/>
          <w:sz w:val="24"/>
          <w:szCs w:val="24"/>
        </w:rPr>
      </w:pPr>
      <w:r w:rsidRPr="00F3501B">
        <w:rPr>
          <w:rFonts w:ascii="Times New Roman" w:hAnsi="Times New Roman"/>
          <w:sz w:val="24"/>
          <w:szCs w:val="24"/>
        </w:rPr>
        <w:t>Other profitability ration is Operating Margin.</w:t>
      </w:r>
    </w:p>
    <w:p w14:paraId="599DE072"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To calculate this ratio, the formula is:</w:t>
      </w:r>
    </w:p>
    <w:p w14:paraId="18B8569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Operating Margin = Operating Income / Sales</w:t>
      </w:r>
    </w:p>
    <w:p w14:paraId="72DEF59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The values of Operating Income and Sales are taken from the Income Statement.</w:t>
      </w:r>
    </w:p>
    <w:p w14:paraId="5584FB78" w14:textId="77777777" w:rsidR="008F00E6" w:rsidRPr="00F3501B" w:rsidRDefault="008F00E6" w:rsidP="00F3501B">
      <w:pPr>
        <w:rPr>
          <w:rFonts w:ascii="Times New Roman" w:hAnsi="Times New Roman"/>
          <w:sz w:val="24"/>
          <w:szCs w:val="24"/>
        </w:rPr>
      </w:pPr>
    </w:p>
    <w:p w14:paraId="6E814D31" w14:textId="6301C239" w:rsidR="006D6699" w:rsidRPr="00F3501B" w:rsidRDefault="006D6699" w:rsidP="00F3501B">
      <w:pPr>
        <w:rPr>
          <w:rFonts w:ascii="Times New Roman" w:hAnsi="Times New Roman"/>
          <w:sz w:val="24"/>
          <w:szCs w:val="24"/>
        </w:rPr>
      </w:pPr>
      <w:r w:rsidRPr="00F3501B">
        <w:rPr>
          <w:rFonts w:ascii="Times New Roman" w:hAnsi="Times New Roman"/>
          <w:sz w:val="24"/>
          <w:szCs w:val="24"/>
        </w:rPr>
        <w:t>Examples of calculation for 2018:</w:t>
      </w:r>
    </w:p>
    <w:p w14:paraId="717B43D0"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Operating Margin = 19,378 / 303,738 = 6.38%</w:t>
      </w:r>
    </w:p>
    <w:p w14:paraId="20E57BE0"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Net Profit Margin</w:t>
      </w:r>
    </w:p>
    <w:p w14:paraId="1ECDF6DA"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Net Profit Margin represents another profitability ratio calculates as the division of Net Income and Sales:</w:t>
      </w:r>
    </w:p>
    <w:p w14:paraId="5E83BEB1"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Net Profit Margin = Net Income / Sales</w:t>
      </w:r>
    </w:p>
    <w:p w14:paraId="7F3780A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The values of Operating Income and Sales are taken from the Income Statement.</w:t>
      </w:r>
    </w:p>
    <w:p w14:paraId="0F4FD6F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lastRenderedPageBreak/>
        <w:t>Examples of calculation for 2018:</w:t>
      </w:r>
    </w:p>
    <w:p w14:paraId="04F6C070"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Net Profit Margin = 9,382 / 303,738 = 0.03088 = 3.09%</w:t>
      </w:r>
    </w:p>
    <w:p w14:paraId="09414216" w14:textId="0F6ECC87" w:rsidR="006D6699" w:rsidRPr="00F3501B" w:rsidRDefault="006D6699" w:rsidP="00F3501B">
      <w:pPr>
        <w:rPr>
          <w:rFonts w:ascii="Times New Roman" w:hAnsi="Times New Roman"/>
          <w:sz w:val="24"/>
          <w:szCs w:val="24"/>
        </w:rPr>
      </w:pPr>
      <w:r w:rsidRPr="00F3501B">
        <w:rPr>
          <w:rFonts w:ascii="Times New Roman" w:hAnsi="Times New Roman"/>
          <w:sz w:val="24"/>
          <w:szCs w:val="24"/>
        </w:rPr>
        <w:t xml:space="preserve">Considering the information presented in the Annual Report of </w:t>
      </w:r>
      <w:r w:rsidR="00A36F6E">
        <w:rPr>
          <w:rFonts w:ascii="Times New Roman" w:hAnsi="Times New Roman"/>
          <w:sz w:val="24"/>
          <w:szCs w:val="24"/>
        </w:rPr>
        <w:t>BP</w:t>
      </w:r>
      <w:r w:rsidRPr="00F3501B">
        <w:rPr>
          <w:rFonts w:ascii="Times New Roman" w:hAnsi="Times New Roman"/>
          <w:sz w:val="24"/>
          <w:szCs w:val="24"/>
        </w:rPr>
        <w:t xml:space="preserve"> (Income Statements) and using the above-mentioned formulas, the results for the three profitability ratios for the years 2014 to 2018 are per the table below:</w:t>
      </w:r>
    </w:p>
    <w:tbl>
      <w:tblPr>
        <w:tblStyle w:val="TableGrid"/>
        <w:tblW w:w="0" w:type="auto"/>
        <w:tblLook w:val="04A0" w:firstRow="1" w:lastRow="0" w:firstColumn="1" w:lastColumn="0" w:noHBand="0" w:noVBand="1"/>
      </w:tblPr>
      <w:tblGrid>
        <w:gridCol w:w="2122"/>
        <w:gridCol w:w="1559"/>
        <w:gridCol w:w="1559"/>
        <w:gridCol w:w="1418"/>
        <w:gridCol w:w="1134"/>
        <w:gridCol w:w="1224"/>
      </w:tblGrid>
      <w:tr w:rsidR="006D6699" w:rsidRPr="00F3501B" w14:paraId="55E9EDF4" w14:textId="77777777" w:rsidTr="000D6524">
        <w:trPr>
          <w:trHeight w:val="276"/>
        </w:trPr>
        <w:tc>
          <w:tcPr>
            <w:tcW w:w="2122" w:type="dxa"/>
          </w:tcPr>
          <w:p w14:paraId="2790FEB7" w14:textId="77777777" w:rsidR="006D6699" w:rsidRPr="00F3501B" w:rsidRDefault="006D6699" w:rsidP="00F3501B">
            <w:pPr>
              <w:spacing w:line="360" w:lineRule="auto"/>
              <w:rPr>
                <w:rFonts w:ascii="Times New Roman" w:hAnsi="Times New Roman"/>
                <w:sz w:val="24"/>
                <w:szCs w:val="24"/>
              </w:rPr>
            </w:pPr>
          </w:p>
        </w:tc>
        <w:tc>
          <w:tcPr>
            <w:tcW w:w="1559" w:type="dxa"/>
          </w:tcPr>
          <w:p w14:paraId="00887938"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2018</w:t>
            </w:r>
          </w:p>
        </w:tc>
        <w:tc>
          <w:tcPr>
            <w:tcW w:w="1559" w:type="dxa"/>
          </w:tcPr>
          <w:p w14:paraId="0E9EF87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2017</w:t>
            </w:r>
          </w:p>
        </w:tc>
        <w:tc>
          <w:tcPr>
            <w:tcW w:w="1418" w:type="dxa"/>
          </w:tcPr>
          <w:p w14:paraId="03ADC925"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2016</w:t>
            </w:r>
          </w:p>
        </w:tc>
        <w:tc>
          <w:tcPr>
            <w:tcW w:w="1134" w:type="dxa"/>
          </w:tcPr>
          <w:p w14:paraId="3D0A310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2015</w:t>
            </w:r>
          </w:p>
        </w:tc>
        <w:tc>
          <w:tcPr>
            <w:tcW w:w="1224" w:type="dxa"/>
          </w:tcPr>
          <w:p w14:paraId="4B0690B3"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2014</w:t>
            </w:r>
          </w:p>
        </w:tc>
      </w:tr>
      <w:tr w:rsidR="006D6699" w:rsidRPr="00F3501B" w14:paraId="3EFB01EB" w14:textId="77777777" w:rsidTr="000D6524">
        <w:trPr>
          <w:trHeight w:val="276"/>
        </w:trPr>
        <w:tc>
          <w:tcPr>
            <w:tcW w:w="2122" w:type="dxa"/>
          </w:tcPr>
          <w:p w14:paraId="0A5A9C0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Gross Margin</w:t>
            </w:r>
          </w:p>
        </w:tc>
        <w:tc>
          <w:tcPr>
            <w:tcW w:w="1559" w:type="dxa"/>
          </w:tcPr>
          <w:p w14:paraId="5121ACF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16.24</w:t>
            </w:r>
          </w:p>
        </w:tc>
        <w:tc>
          <w:tcPr>
            <w:tcW w:w="1559" w:type="dxa"/>
          </w:tcPr>
          <w:p w14:paraId="13F4439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11.89</w:t>
            </w:r>
          </w:p>
        </w:tc>
        <w:tc>
          <w:tcPr>
            <w:tcW w:w="1418" w:type="dxa"/>
          </w:tcPr>
          <w:p w14:paraId="1CD1A783"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13.20</w:t>
            </w:r>
          </w:p>
        </w:tc>
        <w:tc>
          <w:tcPr>
            <w:tcW w:w="1134" w:type="dxa"/>
          </w:tcPr>
          <w:p w14:paraId="3214142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10.23</w:t>
            </w:r>
          </w:p>
        </w:tc>
        <w:tc>
          <w:tcPr>
            <w:tcW w:w="1224" w:type="dxa"/>
          </w:tcPr>
          <w:p w14:paraId="4755BB3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12.95</w:t>
            </w:r>
          </w:p>
        </w:tc>
      </w:tr>
      <w:tr w:rsidR="006D6699" w:rsidRPr="00F3501B" w14:paraId="62818476" w14:textId="77777777" w:rsidTr="000D6524">
        <w:trPr>
          <w:trHeight w:val="276"/>
        </w:trPr>
        <w:tc>
          <w:tcPr>
            <w:tcW w:w="2122" w:type="dxa"/>
          </w:tcPr>
          <w:p w14:paraId="3E857A4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Operating Margin</w:t>
            </w:r>
          </w:p>
        </w:tc>
        <w:tc>
          <w:tcPr>
            <w:tcW w:w="1559" w:type="dxa"/>
          </w:tcPr>
          <w:p w14:paraId="21B0AA78"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6.38</w:t>
            </w:r>
          </w:p>
        </w:tc>
        <w:tc>
          <w:tcPr>
            <w:tcW w:w="1559" w:type="dxa"/>
          </w:tcPr>
          <w:p w14:paraId="11888BA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3.87</w:t>
            </w:r>
          </w:p>
        </w:tc>
        <w:tc>
          <w:tcPr>
            <w:tcW w:w="1418" w:type="dxa"/>
          </w:tcPr>
          <w:p w14:paraId="3E63034D"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-0.23</w:t>
            </w:r>
          </w:p>
        </w:tc>
        <w:tc>
          <w:tcPr>
            <w:tcW w:w="1134" w:type="dxa"/>
          </w:tcPr>
          <w:p w14:paraId="7782753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-3.50</w:t>
            </w:r>
          </w:p>
        </w:tc>
        <w:tc>
          <w:tcPr>
            <w:tcW w:w="1224" w:type="dxa"/>
          </w:tcPr>
          <w:p w14:paraId="62D6B8E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1.79</w:t>
            </w:r>
          </w:p>
        </w:tc>
      </w:tr>
      <w:tr w:rsidR="006D6699" w:rsidRPr="00F3501B" w14:paraId="7E5A9194" w14:textId="77777777" w:rsidTr="000D6524">
        <w:trPr>
          <w:trHeight w:val="276"/>
        </w:trPr>
        <w:tc>
          <w:tcPr>
            <w:tcW w:w="2122" w:type="dxa"/>
          </w:tcPr>
          <w:p w14:paraId="1DC38254"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Net Profit Margin</w:t>
            </w:r>
          </w:p>
        </w:tc>
        <w:tc>
          <w:tcPr>
            <w:tcW w:w="1559" w:type="dxa"/>
          </w:tcPr>
          <w:p w14:paraId="706B93B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3.09</w:t>
            </w:r>
          </w:p>
        </w:tc>
        <w:tc>
          <w:tcPr>
            <w:tcW w:w="1559" w:type="dxa"/>
          </w:tcPr>
          <w:p w14:paraId="6A0F1DC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1.39</w:t>
            </w:r>
          </w:p>
        </w:tc>
        <w:tc>
          <w:tcPr>
            <w:tcW w:w="1418" w:type="dxa"/>
          </w:tcPr>
          <w:p w14:paraId="60F6925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0.06</w:t>
            </w:r>
          </w:p>
        </w:tc>
        <w:tc>
          <w:tcPr>
            <w:tcW w:w="1134" w:type="dxa"/>
          </w:tcPr>
          <w:p w14:paraId="6E590A24"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-2.87</w:t>
            </w:r>
          </w:p>
        </w:tc>
        <w:tc>
          <w:tcPr>
            <w:tcW w:w="1224" w:type="dxa"/>
          </w:tcPr>
          <w:p w14:paraId="68E6EE8D"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1.05</w:t>
            </w:r>
          </w:p>
        </w:tc>
      </w:tr>
    </w:tbl>
    <w:p w14:paraId="738FCC5B" w14:textId="77777777" w:rsidR="006D6699" w:rsidRPr="00F3501B" w:rsidRDefault="006D6699" w:rsidP="00F3501B">
      <w:pPr>
        <w:rPr>
          <w:rFonts w:ascii="Times New Roman" w:hAnsi="Times New Roman"/>
          <w:sz w:val="24"/>
          <w:szCs w:val="24"/>
        </w:rPr>
      </w:pPr>
    </w:p>
    <w:p w14:paraId="7DD5E8FC" w14:textId="77777777" w:rsidR="006D6699" w:rsidRPr="00F3501B" w:rsidRDefault="006D6699" w:rsidP="00F3501B">
      <w:pPr>
        <w:pStyle w:val="Heading3"/>
        <w:spacing w:line="360" w:lineRule="auto"/>
        <w:rPr>
          <w:rFonts w:ascii="Times New Roman" w:hAnsi="Times New Roman" w:cs="Times New Roman"/>
          <w:color w:val="auto"/>
        </w:rPr>
      </w:pPr>
      <w:bookmarkStart w:id="5" w:name="_Toc30186920"/>
      <w:r w:rsidRPr="00F3501B">
        <w:rPr>
          <w:rFonts w:ascii="Times New Roman" w:hAnsi="Times New Roman" w:cs="Times New Roman"/>
          <w:color w:val="auto"/>
        </w:rPr>
        <w:t>Liquidity</w:t>
      </w:r>
      <w:bookmarkEnd w:id="5"/>
    </w:p>
    <w:p w14:paraId="20144E98" w14:textId="77777777" w:rsidR="008F00E6" w:rsidRPr="00F3501B" w:rsidRDefault="008F00E6" w:rsidP="00F3501B">
      <w:pPr>
        <w:rPr>
          <w:rFonts w:ascii="Times New Roman" w:hAnsi="Times New Roman"/>
          <w:sz w:val="24"/>
          <w:szCs w:val="24"/>
        </w:rPr>
      </w:pPr>
    </w:p>
    <w:p w14:paraId="12580ADA" w14:textId="69B0009C" w:rsidR="006D6699" w:rsidRPr="00F3501B" w:rsidRDefault="006D6699" w:rsidP="00F3501B">
      <w:pPr>
        <w:rPr>
          <w:rFonts w:ascii="Times New Roman" w:hAnsi="Times New Roman"/>
          <w:sz w:val="24"/>
          <w:szCs w:val="24"/>
        </w:rPr>
      </w:pPr>
      <w:r w:rsidRPr="00F3501B">
        <w:rPr>
          <w:rFonts w:ascii="Times New Roman" w:hAnsi="Times New Roman"/>
          <w:sz w:val="24"/>
          <w:szCs w:val="24"/>
        </w:rPr>
        <w:t xml:space="preserve">The liquidity ratios are the following: </w:t>
      </w:r>
      <w:proofErr w:type="gramStart"/>
      <w:r w:rsidRPr="00F3501B">
        <w:rPr>
          <w:rFonts w:ascii="Times New Roman" w:hAnsi="Times New Roman"/>
          <w:sz w:val="24"/>
          <w:szCs w:val="24"/>
        </w:rPr>
        <w:t>the</w:t>
      </w:r>
      <w:proofErr w:type="gramEnd"/>
      <w:r w:rsidRPr="00F3501B">
        <w:rPr>
          <w:rFonts w:ascii="Times New Roman" w:hAnsi="Times New Roman"/>
          <w:sz w:val="24"/>
          <w:szCs w:val="24"/>
        </w:rPr>
        <w:t xml:space="preserve"> Current Ratio, the Quick Ratio and the Cash Ratio</w:t>
      </w:r>
    </w:p>
    <w:p w14:paraId="56A5180C"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Current Ratio</w:t>
      </w:r>
    </w:p>
    <w:p w14:paraId="16986FCF"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Current Ratio is “the ratio of current assets to current liabilities”.</w:t>
      </w:r>
    </w:p>
    <w:p w14:paraId="71061DCE"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Current Ratio = Current Assets / Current Liabilities</w:t>
      </w:r>
    </w:p>
    <w:p w14:paraId="12B25E3A"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Quick Ratio</w:t>
      </w:r>
    </w:p>
    <w:p w14:paraId="5FD58A3F"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represents “the ratio of current assets other than inventory to current liabilities”.</w:t>
      </w:r>
    </w:p>
    <w:p w14:paraId="1E256F0D"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 (Current Assets - Inventory) / Current Liabilities</w:t>
      </w:r>
    </w:p>
    <w:p w14:paraId="1D22093C"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Cash Ratio</w:t>
      </w:r>
    </w:p>
    <w:p w14:paraId="3DC90F86"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is calculated as the ratio of Cash to Current Liabilities.</w:t>
      </w:r>
    </w:p>
    <w:p w14:paraId="65656184"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 Cash / Current Liabilities</w:t>
      </w:r>
    </w:p>
    <w:p w14:paraId="7D5AFCF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Taking in consideration the information presented in annual Balance Sheet of BP, the values of the Liquidity Ratio for the last five years are calculated in the table below</w:t>
      </w:r>
    </w:p>
    <w:tbl>
      <w:tblPr>
        <w:tblStyle w:val="TableGrid"/>
        <w:tblW w:w="0" w:type="auto"/>
        <w:tblLook w:val="04A0" w:firstRow="1" w:lastRow="0" w:firstColumn="1" w:lastColumn="0" w:noHBand="0" w:noVBand="1"/>
      </w:tblPr>
      <w:tblGrid>
        <w:gridCol w:w="2122"/>
        <w:gridCol w:w="1559"/>
        <w:gridCol w:w="1559"/>
        <w:gridCol w:w="1418"/>
        <w:gridCol w:w="1134"/>
        <w:gridCol w:w="1224"/>
      </w:tblGrid>
      <w:tr w:rsidR="006D6699" w:rsidRPr="00F3501B" w14:paraId="07B893FB" w14:textId="77777777" w:rsidTr="000D6524">
        <w:trPr>
          <w:trHeight w:val="276"/>
        </w:trPr>
        <w:tc>
          <w:tcPr>
            <w:tcW w:w="2122" w:type="dxa"/>
          </w:tcPr>
          <w:p w14:paraId="26A84F4D" w14:textId="77777777" w:rsidR="006D6699" w:rsidRPr="00F3501B" w:rsidRDefault="006D6699" w:rsidP="00F3501B">
            <w:pPr>
              <w:spacing w:line="360" w:lineRule="auto"/>
              <w:rPr>
                <w:rFonts w:ascii="Times New Roman" w:hAnsi="Times New Roman"/>
                <w:sz w:val="24"/>
                <w:szCs w:val="24"/>
              </w:rPr>
            </w:pPr>
          </w:p>
        </w:tc>
        <w:tc>
          <w:tcPr>
            <w:tcW w:w="1559" w:type="dxa"/>
          </w:tcPr>
          <w:p w14:paraId="21F70B4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2018</w:t>
            </w:r>
          </w:p>
        </w:tc>
        <w:tc>
          <w:tcPr>
            <w:tcW w:w="1559" w:type="dxa"/>
          </w:tcPr>
          <w:p w14:paraId="1D784F2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2017</w:t>
            </w:r>
          </w:p>
        </w:tc>
        <w:tc>
          <w:tcPr>
            <w:tcW w:w="1418" w:type="dxa"/>
          </w:tcPr>
          <w:p w14:paraId="2B81530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2016</w:t>
            </w:r>
          </w:p>
        </w:tc>
        <w:tc>
          <w:tcPr>
            <w:tcW w:w="1134" w:type="dxa"/>
          </w:tcPr>
          <w:p w14:paraId="1B5AEE7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2015</w:t>
            </w:r>
          </w:p>
        </w:tc>
        <w:tc>
          <w:tcPr>
            <w:tcW w:w="1224" w:type="dxa"/>
          </w:tcPr>
          <w:p w14:paraId="0A7A0FB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2014</w:t>
            </w:r>
          </w:p>
        </w:tc>
      </w:tr>
      <w:tr w:rsidR="006D6699" w:rsidRPr="00F3501B" w14:paraId="31EF7D76" w14:textId="77777777" w:rsidTr="000D6524">
        <w:trPr>
          <w:trHeight w:val="276"/>
        </w:trPr>
        <w:tc>
          <w:tcPr>
            <w:tcW w:w="2122" w:type="dxa"/>
          </w:tcPr>
          <w:p w14:paraId="4F11AAC5"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Current Ratio</w:t>
            </w:r>
          </w:p>
        </w:tc>
        <w:tc>
          <w:tcPr>
            <w:tcW w:w="1559" w:type="dxa"/>
          </w:tcPr>
          <w:p w14:paraId="73D1364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1.05</w:t>
            </w:r>
          </w:p>
        </w:tc>
        <w:tc>
          <w:tcPr>
            <w:tcW w:w="1559" w:type="dxa"/>
          </w:tcPr>
          <w:p w14:paraId="3C1D605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1.16</w:t>
            </w:r>
          </w:p>
        </w:tc>
        <w:tc>
          <w:tcPr>
            <w:tcW w:w="1418" w:type="dxa"/>
          </w:tcPr>
          <w:p w14:paraId="4E06F71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1.16</w:t>
            </w:r>
          </w:p>
        </w:tc>
        <w:tc>
          <w:tcPr>
            <w:tcW w:w="1134" w:type="dxa"/>
          </w:tcPr>
          <w:p w14:paraId="7C426B1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1.29</w:t>
            </w:r>
          </w:p>
        </w:tc>
        <w:tc>
          <w:tcPr>
            <w:tcW w:w="1224" w:type="dxa"/>
          </w:tcPr>
          <w:p w14:paraId="1B128E7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1.37</w:t>
            </w:r>
          </w:p>
        </w:tc>
      </w:tr>
      <w:tr w:rsidR="006D6699" w:rsidRPr="00F3501B" w14:paraId="5620347F" w14:textId="77777777" w:rsidTr="000D6524">
        <w:trPr>
          <w:trHeight w:val="276"/>
        </w:trPr>
        <w:tc>
          <w:tcPr>
            <w:tcW w:w="2122" w:type="dxa"/>
          </w:tcPr>
          <w:p w14:paraId="4BACEDB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Quick Ratio</w:t>
            </w:r>
          </w:p>
        </w:tc>
        <w:tc>
          <w:tcPr>
            <w:tcW w:w="1559" w:type="dxa"/>
          </w:tcPr>
          <w:p w14:paraId="44292548"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78.14%</w:t>
            </w:r>
          </w:p>
        </w:tc>
        <w:tc>
          <w:tcPr>
            <w:tcW w:w="1559" w:type="dxa"/>
          </w:tcPr>
          <w:p w14:paraId="798808C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86.45%</w:t>
            </w:r>
          </w:p>
        </w:tc>
        <w:tc>
          <w:tcPr>
            <w:tcW w:w="1418" w:type="dxa"/>
          </w:tcPr>
          <w:p w14:paraId="72C5C163"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85.95%</w:t>
            </w:r>
          </w:p>
        </w:tc>
        <w:tc>
          <w:tcPr>
            <w:tcW w:w="1134" w:type="dxa"/>
          </w:tcPr>
          <w:p w14:paraId="2798DFFD"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1.03</w:t>
            </w:r>
          </w:p>
        </w:tc>
        <w:tc>
          <w:tcPr>
            <w:tcW w:w="1224" w:type="dxa"/>
          </w:tcPr>
          <w:p w14:paraId="2ED5AB7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1.08</w:t>
            </w:r>
          </w:p>
        </w:tc>
      </w:tr>
      <w:tr w:rsidR="006D6699" w:rsidRPr="00F3501B" w14:paraId="76D804C3" w14:textId="77777777" w:rsidTr="000D6524">
        <w:trPr>
          <w:trHeight w:val="276"/>
        </w:trPr>
        <w:tc>
          <w:tcPr>
            <w:tcW w:w="2122" w:type="dxa"/>
          </w:tcPr>
          <w:p w14:paraId="2C8AC96D"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Cash Ratio</w:t>
            </w:r>
          </w:p>
        </w:tc>
        <w:tc>
          <w:tcPr>
            <w:tcW w:w="1559" w:type="dxa"/>
          </w:tcPr>
          <w:p w14:paraId="635E138B"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38.9%</w:t>
            </w:r>
          </w:p>
        </w:tc>
        <w:tc>
          <w:tcPr>
            <w:tcW w:w="1559" w:type="dxa"/>
          </w:tcPr>
          <w:p w14:paraId="2B209723"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44.4%</w:t>
            </w:r>
          </w:p>
        </w:tc>
        <w:tc>
          <w:tcPr>
            <w:tcW w:w="1418" w:type="dxa"/>
          </w:tcPr>
          <w:p w14:paraId="1C52D2D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45.48%</w:t>
            </w:r>
          </w:p>
        </w:tc>
        <w:tc>
          <w:tcPr>
            <w:tcW w:w="1134" w:type="dxa"/>
          </w:tcPr>
          <w:p w14:paraId="306E38C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56.37%</w:t>
            </w:r>
          </w:p>
        </w:tc>
        <w:tc>
          <w:tcPr>
            <w:tcW w:w="1224" w:type="dxa"/>
          </w:tcPr>
          <w:p w14:paraId="0F84DB2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55.42%</w:t>
            </w:r>
          </w:p>
        </w:tc>
      </w:tr>
    </w:tbl>
    <w:p w14:paraId="583BA360" w14:textId="77777777" w:rsidR="006D6699" w:rsidRPr="00F3501B" w:rsidRDefault="006D6699" w:rsidP="00F3501B">
      <w:pPr>
        <w:rPr>
          <w:rFonts w:ascii="Times New Roman" w:hAnsi="Times New Roman"/>
          <w:sz w:val="24"/>
          <w:szCs w:val="24"/>
        </w:rPr>
      </w:pPr>
    </w:p>
    <w:p w14:paraId="02F78181"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Examples of calculations for these ratios, considering their values from the Balance Sheet for 2018:</w:t>
      </w:r>
    </w:p>
    <w:p w14:paraId="6C2FED5B"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Current ratio = 71,310 / 68,237 = 1.06</w:t>
      </w:r>
    </w:p>
    <w:p w14:paraId="05B19E72"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 (71,310 – 17,988) / 68,237 = 78.14%</w:t>
      </w:r>
    </w:p>
    <w:p w14:paraId="0A18327D"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lastRenderedPageBreak/>
        <w:t>Cash ratio = 26,536 / 68,237 = 38.9 %</w:t>
      </w:r>
    </w:p>
    <w:p w14:paraId="5D55AC4A"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2017, the values of current assets, inventory, cash and current liabilities are:</w:t>
      </w:r>
    </w:p>
    <w:p w14:paraId="3ABF8CA4" w14:textId="77777777" w:rsidR="006D6699" w:rsidRPr="00F3501B" w:rsidRDefault="006D6699" w:rsidP="00F3501B">
      <w:pPr>
        <w:rPr>
          <w:rFonts w:ascii="Times New Roman" w:hAnsi="Times New Roman"/>
          <w:sz w:val="24"/>
          <w:szCs w:val="24"/>
        </w:rPr>
      </w:pPr>
    </w:p>
    <w:p w14:paraId="61834FC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Current ratio = 74,968 / 64,726 = 1.16</w:t>
      </w:r>
    </w:p>
    <w:p w14:paraId="0598B48E"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 (74,968 – 19,011) / 64,726 = 86.45%</w:t>
      </w:r>
    </w:p>
    <w:p w14:paraId="4E535997"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 28,743 / 64,726 = 44.40%</w:t>
      </w:r>
    </w:p>
    <w:p w14:paraId="1D5D0F6E" w14:textId="77777777" w:rsidR="008F00E6" w:rsidRPr="00F3501B" w:rsidRDefault="008F00E6" w:rsidP="00F3501B">
      <w:pPr>
        <w:rPr>
          <w:rFonts w:ascii="Times New Roman" w:hAnsi="Times New Roman"/>
          <w:sz w:val="24"/>
          <w:szCs w:val="24"/>
        </w:rPr>
      </w:pPr>
    </w:p>
    <w:p w14:paraId="6EA0E3EC" w14:textId="4617E29A"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2016:</w:t>
      </w:r>
    </w:p>
    <w:p w14:paraId="2D54CE6B"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Current ratio = 67,813 / 58,354 = 1.16</w:t>
      </w:r>
    </w:p>
    <w:p w14:paraId="297FB81D"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 (67,813 – 17,655) / 58,354 = 85.95%</w:t>
      </w:r>
    </w:p>
    <w:p w14:paraId="23C6F0D3"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 26,544 / 58,354 = 45.48%</w:t>
      </w:r>
    </w:p>
    <w:p w14:paraId="3EA43F8A" w14:textId="77777777" w:rsidR="008F00E6" w:rsidRPr="00F3501B" w:rsidRDefault="008F00E6" w:rsidP="00F3501B">
      <w:pPr>
        <w:rPr>
          <w:rFonts w:ascii="Times New Roman" w:hAnsi="Times New Roman"/>
          <w:sz w:val="24"/>
          <w:szCs w:val="24"/>
        </w:rPr>
      </w:pPr>
    </w:p>
    <w:p w14:paraId="2211A2A6" w14:textId="1625AE81"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2015:</w:t>
      </w:r>
    </w:p>
    <w:p w14:paraId="1999858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 xml:space="preserve">Current ratio = 70,602 / </w:t>
      </w:r>
      <w:bookmarkStart w:id="6" w:name="_Hlk30170753"/>
      <w:r w:rsidRPr="00F3501B">
        <w:rPr>
          <w:rFonts w:ascii="Times New Roman" w:hAnsi="Times New Roman"/>
          <w:sz w:val="24"/>
          <w:szCs w:val="24"/>
        </w:rPr>
        <w:t xml:space="preserve">54,724 </w:t>
      </w:r>
      <w:bookmarkEnd w:id="6"/>
      <w:r w:rsidRPr="00F3501B">
        <w:rPr>
          <w:rFonts w:ascii="Times New Roman" w:hAnsi="Times New Roman"/>
          <w:sz w:val="24"/>
          <w:szCs w:val="24"/>
        </w:rPr>
        <w:t>= 1.29</w:t>
      </w:r>
    </w:p>
    <w:p w14:paraId="31A49A55"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 (70,602 – 14,442) / 54,724 = 1.026</w:t>
      </w:r>
    </w:p>
    <w:p w14:paraId="12C18640"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 30,850 / 54,724 = 56.37%</w:t>
      </w:r>
    </w:p>
    <w:p w14:paraId="611F586E" w14:textId="77777777" w:rsidR="008F00E6" w:rsidRPr="00F3501B" w:rsidRDefault="008F00E6" w:rsidP="00F3501B">
      <w:pPr>
        <w:rPr>
          <w:rFonts w:ascii="Times New Roman" w:hAnsi="Times New Roman"/>
          <w:sz w:val="24"/>
          <w:szCs w:val="24"/>
        </w:rPr>
      </w:pPr>
    </w:p>
    <w:p w14:paraId="2547F0C9" w14:textId="3E265F35"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2014:</w:t>
      </w:r>
    </w:p>
    <w:p w14:paraId="53ED16F3"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Current ratio = 87,262 / 63,615 = 1.37</w:t>
      </w:r>
    </w:p>
    <w:p w14:paraId="49965081"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Quick ratio = (87,262 – 18,373) / 63,615 = 1.083</w:t>
      </w:r>
    </w:p>
    <w:p w14:paraId="269B31BE"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 35,257 / 63,615 = 55.42%</w:t>
      </w:r>
    </w:p>
    <w:p w14:paraId="09BA1D1F" w14:textId="77777777" w:rsidR="006D6699" w:rsidRPr="00F3501B" w:rsidRDefault="006D6699" w:rsidP="00F3501B">
      <w:pPr>
        <w:rPr>
          <w:rFonts w:ascii="Times New Roman" w:hAnsi="Times New Roman"/>
          <w:sz w:val="24"/>
          <w:szCs w:val="24"/>
        </w:rPr>
      </w:pPr>
    </w:p>
    <w:p w14:paraId="43FBE20A" w14:textId="77777777" w:rsidR="006D6699" w:rsidRPr="00F3501B" w:rsidRDefault="006D6699" w:rsidP="00F3501B">
      <w:pPr>
        <w:pStyle w:val="Heading3"/>
        <w:spacing w:line="360" w:lineRule="auto"/>
        <w:rPr>
          <w:rFonts w:ascii="Times New Roman" w:hAnsi="Times New Roman" w:cs="Times New Roman"/>
          <w:color w:val="auto"/>
        </w:rPr>
      </w:pPr>
      <w:bookmarkStart w:id="7" w:name="_Toc30186921"/>
      <w:r w:rsidRPr="00F3501B">
        <w:rPr>
          <w:rFonts w:ascii="Times New Roman" w:hAnsi="Times New Roman" w:cs="Times New Roman"/>
          <w:color w:val="auto"/>
        </w:rPr>
        <w:t>Gearing</w:t>
      </w:r>
      <w:bookmarkEnd w:id="7"/>
    </w:p>
    <w:p w14:paraId="311B60D1" w14:textId="77777777" w:rsidR="006D6699" w:rsidRPr="00F3501B" w:rsidRDefault="006D6699" w:rsidP="00F3501B">
      <w:pPr>
        <w:rPr>
          <w:rFonts w:ascii="Times New Roman" w:hAnsi="Times New Roman"/>
          <w:sz w:val="24"/>
          <w:szCs w:val="24"/>
        </w:rPr>
      </w:pPr>
    </w:p>
    <w:p w14:paraId="025DFAD6"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 xml:space="preserve">Debt-Equity Ratio </w:t>
      </w:r>
    </w:p>
    <w:p w14:paraId="6A6C8D1A"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To calculate this ratio there is the next formula:</w:t>
      </w:r>
    </w:p>
    <w:p w14:paraId="616E027A"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Debt-Equity Ratio = Total Debt / Total Equity</w:t>
      </w:r>
    </w:p>
    <w:p w14:paraId="5461DF9B"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2018 the calculation is:</w:t>
      </w:r>
    </w:p>
    <w:p w14:paraId="49CC1C9E"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Debt-Equity = 56,436 / 101,548 = 55.6%</w:t>
      </w:r>
    </w:p>
    <w:p w14:paraId="3672B50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For 2017: Debt-Equity = 55,491 / 100,404 = 55%</w:t>
      </w:r>
    </w:p>
    <w:p w14:paraId="6997F9BA"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Debt-to-Capital Ratio</w:t>
      </w:r>
    </w:p>
    <w:p w14:paraId="06543E26"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Debt-to-Capital Ratio formula is:</w:t>
      </w:r>
    </w:p>
    <w:p w14:paraId="68E0E8A8"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Debt-to-Capital Ratio = Total Debt / (Total Equity + Total Debt)</w:t>
      </w:r>
    </w:p>
    <w:p w14:paraId="174A5F5B"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lastRenderedPageBreak/>
        <w:t>Which applied for 2015 for instance will result:</w:t>
      </w:r>
    </w:p>
    <w:p w14:paraId="1B38F63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Debt-to-Capital Ratio = 46,224 / (46,224 + 98,387) = 46,224 / 144,611 = 0.3196</w:t>
      </w:r>
    </w:p>
    <w:tbl>
      <w:tblPr>
        <w:tblStyle w:val="TableGrid"/>
        <w:tblW w:w="0" w:type="auto"/>
        <w:tblLook w:val="04A0" w:firstRow="1" w:lastRow="0" w:firstColumn="1" w:lastColumn="0" w:noHBand="0" w:noVBand="1"/>
      </w:tblPr>
      <w:tblGrid>
        <w:gridCol w:w="2405"/>
        <w:gridCol w:w="1276"/>
        <w:gridCol w:w="1559"/>
        <w:gridCol w:w="1418"/>
        <w:gridCol w:w="1134"/>
        <w:gridCol w:w="1224"/>
      </w:tblGrid>
      <w:tr w:rsidR="006D6699" w:rsidRPr="00F3501B" w14:paraId="7F3EB5D7" w14:textId="77777777" w:rsidTr="000D6524">
        <w:trPr>
          <w:trHeight w:val="276"/>
        </w:trPr>
        <w:tc>
          <w:tcPr>
            <w:tcW w:w="2405" w:type="dxa"/>
          </w:tcPr>
          <w:p w14:paraId="734B1CE8" w14:textId="77777777" w:rsidR="006D6699" w:rsidRPr="00F3501B" w:rsidRDefault="006D6699" w:rsidP="00F3501B">
            <w:pPr>
              <w:spacing w:line="360" w:lineRule="auto"/>
              <w:rPr>
                <w:rFonts w:ascii="Times New Roman" w:hAnsi="Times New Roman"/>
                <w:sz w:val="24"/>
                <w:szCs w:val="24"/>
              </w:rPr>
            </w:pPr>
            <w:bookmarkStart w:id="8" w:name="_Hlk30087396"/>
          </w:p>
        </w:tc>
        <w:tc>
          <w:tcPr>
            <w:tcW w:w="1276" w:type="dxa"/>
          </w:tcPr>
          <w:p w14:paraId="23A0EA9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2018</w:t>
            </w:r>
          </w:p>
        </w:tc>
        <w:tc>
          <w:tcPr>
            <w:tcW w:w="1559" w:type="dxa"/>
          </w:tcPr>
          <w:p w14:paraId="6F5380E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2017</w:t>
            </w:r>
          </w:p>
        </w:tc>
        <w:tc>
          <w:tcPr>
            <w:tcW w:w="1418" w:type="dxa"/>
          </w:tcPr>
          <w:p w14:paraId="71863CDE"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2016</w:t>
            </w:r>
          </w:p>
        </w:tc>
        <w:tc>
          <w:tcPr>
            <w:tcW w:w="1134" w:type="dxa"/>
          </w:tcPr>
          <w:p w14:paraId="45DA0E2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2015</w:t>
            </w:r>
          </w:p>
        </w:tc>
        <w:tc>
          <w:tcPr>
            <w:tcW w:w="1224" w:type="dxa"/>
          </w:tcPr>
          <w:p w14:paraId="595DD19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2014</w:t>
            </w:r>
          </w:p>
        </w:tc>
      </w:tr>
      <w:tr w:rsidR="006D6699" w:rsidRPr="00F3501B" w14:paraId="005266B7" w14:textId="77777777" w:rsidTr="000D6524">
        <w:trPr>
          <w:trHeight w:val="276"/>
        </w:trPr>
        <w:tc>
          <w:tcPr>
            <w:tcW w:w="2405" w:type="dxa"/>
          </w:tcPr>
          <w:p w14:paraId="23D30273"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Debt-Equity Ratio</w:t>
            </w:r>
          </w:p>
        </w:tc>
        <w:tc>
          <w:tcPr>
            <w:tcW w:w="1276" w:type="dxa"/>
          </w:tcPr>
          <w:p w14:paraId="7111CDA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0.56</w:t>
            </w:r>
          </w:p>
        </w:tc>
        <w:tc>
          <w:tcPr>
            <w:tcW w:w="1559" w:type="dxa"/>
          </w:tcPr>
          <w:p w14:paraId="530BF56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0.55</w:t>
            </w:r>
          </w:p>
        </w:tc>
        <w:tc>
          <w:tcPr>
            <w:tcW w:w="1418" w:type="dxa"/>
          </w:tcPr>
          <w:p w14:paraId="0CD374C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0.53</w:t>
            </w:r>
          </w:p>
        </w:tc>
        <w:tc>
          <w:tcPr>
            <w:tcW w:w="1134" w:type="dxa"/>
          </w:tcPr>
          <w:p w14:paraId="2733946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0.47</w:t>
            </w:r>
          </w:p>
        </w:tc>
        <w:tc>
          <w:tcPr>
            <w:tcW w:w="1224" w:type="dxa"/>
          </w:tcPr>
          <w:p w14:paraId="00D1811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0.41</w:t>
            </w:r>
          </w:p>
        </w:tc>
      </w:tr>
      <w:tr w:rsidR="006D6699" w:rsidRPr="00F3501B" w14:paraId="0BE9A150" w14:textId="77777777" w:rsidTr="000D6524">
        <w:trPr>
          <w:trHeight w:val="276"/>
        </w:trPr>
        <w:tc>
          <w:tcPr>
            <w:tcW w:w="2405" w:type="dxa"/>
          </w:tcPr>
          <w:p w14:paraId="743B2AA8"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Debt-to-Capital Ratio</w:t>
            </w:r>
          </w:p>
        </w:tc>
        <w:tc>
          <w:tcPr>
            <w:tcW w:w="1276" w:type="dxa"/>
          </w:tcPr>
          <w:p w14:paraId="1CE072DE"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0.36</w:t>
            </w:r>
          </w:p>
        </w:tc>
        <w:tc>
          <w:tcPr>
            <w:tcW w:w="1559" w:type="dxa"/>
          </w:tcPr>
          <w:p w14:paraId="69A3782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0.36</w:t>
            </w:r>
          </w:p>
        </w:tc>
        <w:tc>
          <w:tcPr>
            <w:tcW w:w="1418" w:type="dxa"/>
          </w:tcPr>
          <w:p w14:paraId="3F45514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0.35</w:t>
            </w:r>
          </w:p>
        </w:tc>
        <w:tc>
          <w:tcPr>
            <w:tcW w:w="1134" w:type="dxa"/>
          </w:tcPr>
          <w:p w14:paraId="614BD3D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0.32</w:t>
            </w:r>
          </w:p>
        </w:tc>
        <w:tc>
          <w:tcPr>
            <w:tcW w:w="1224" w:type="dxa"/>
          </w:tcPr>
          <w:p w14:paraId="350B41D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0.29</w:t>
            </w:r>
          </w:p>
        </w:tc>
      </w:tr>
      <w:bookmarkEnd w:id="8"/>
    </w:tbl>
    <w:p w14:paraId="1CDE2320" w14:textId="77777777" w:rsidR="006D6699" w:rsidRPr="00F3501B" w:rsidRDefault="006D6699" w:rsidP="00F3501B">
      <w:pPr>
        <w:rPr>
          <w:rFonts w:ascii="Times New Roman" w:hAnsi="Times New Roman"/>
          <w:sz w:val="24"/>
          <w:szCs w:val="24"/>
        </w:rPr>
      </w:pPr>
    </w:p>
    <w:p w14:paraId="10F64AC9" w14:textId="77777777" w:rsidR="006D6699" w:rsidRPr="00F3501B" w:rsidRDefault="006D6699" w:rsidP="00F3501B">
      <w:pPr>
        <w:pStyle w:val="Heading3"/>
        <w:spacing w:line="360" w:lineRule="auto"/>
        <w:rPr>
          <w:rFonts w:ascii="Times New Roman" w:hAnsi="Times New Roman" w:cs="Times New Roman"/>
          <w:color w:val="auto"/>
        </w:rPr>
      </w:pPr>
      <w:bookmarkStart w:id="9" w:name="_Toc30186922"/>
      <w:r w:rsidRPr="00F3501B">
        <w:rPr>
          <w:rFonts w:ascii="Times New Roman" w:hAnsi="Times New Roman" w:cs="Times New Roman"/>
          <w:color w:val="auto"/>
        </w:rPr>
        <w:t>Efficiency</w:t>
      </w:r>
      <w:bookmarkEnd w:id="9"/>
    </w:p>
    <w:p w14:paraId="539FB16C" w14:textId="77777777" w:rsidR="006D6699" w:rsidRPr="00F3501B" w:rsidRDefault="006D6699" w:rsidP="00F3501B">
      <w:pPr>
        <w:rPr>
          <w:rFonts w:ascii="Times New Roman" w:hAnsi="Times New Roman"/>
          <w:sz w:val="24"/>
          <w:szCs w:val="24"/>
        </w:rPr>
      </w:pPr>
    </w:p>
    <w:p w14:paraId="3066631D"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Assets Turnover</w:t>
      </w:r>
    </w:p>
    <w:p w14:paraId="62F51212"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Assets Turnover = Sales / Total Assets</w:t>
      </w:r>
    </w:p>
    <w:p w14:paraId="6EC321C4" w14:textId="77777777" w:rsidR="006D6699" w:rsidRPr="00F3501B" w:rsidRDefault="006D6699" w:rsidP="00F3501B">
      <w:pPr>
        <w:pStyle w:val="Heading4"/>
        <w:spacing w:line="360" w:lineRule="auto"/>
        <w:rPr>
          <w:rFonts w:ascii="Times New Roman" w:hAnsi="Times New Roman" w:cs="Times New Roman"/>
          <w:i w:val="0"/>
          <w:iCs w:val="0"/>
          <w:color w:val="auto"/>
          <w:sz w:val="24"/>
          <w:szCs w:val="24"/>
        </w:rPr>
      </w:pPr>
      <w:r w:rsidRPr="00F3501B">
        <w:rPr>
          <w:rFonts w:ascii="Times New Roman" w:hAnsi="Times New Roman" w:cs="Times New Roman"/>
          <w:i w:val="0"/>
          <w:iCs w:val="0"/>
          <w:color w:val="auto"/>
          <w:sz w:val="24"/>
          <w:szCs w:val="24"/>
        </w:rPr>
        <w:t xml:space="preserve">Fixed Assets Turnover </w:t>
      </w:r>
    </w:p>
    <w:p w14:paraId="4EF34541"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Fixed Assets Turnover = Sales / Fixed Assets</w:t>
      </w:r>
    </w:p>
    <w:tbl>
      <w:tblPr>
        <w:tblStyle w:val="TableGrid"/>
        <w:tblW w:w="0" w:type="auto"/>
        <w:tblLook w:val="04A0" w:firstRow="1" w:lastRow="0" w:firstColumn="1" w:lastColumn="0" w:noHBand="0" w:noVBand="1"/>
      </w:tblPr>
      <w:tblGrid>
        <w:gridCol w:w="3397"/>
        <w:gridCol w:w="1276"/>
        <w:gridCol w:w="1134"/>
        <w:gridCol w:w="1134"/>
        <w:gridCol w:w="992"/>
        <w:gridCol w:w="1083"/>
      </w:tblGrid>
      <w:tr w:rsidR="006D6699" w:rsidRPr="00F3501B" w14:paraId="25A8A102" w14:textId="77777777" w:rsidTr="000D6524">
        <w:trPr>
          <w:trHeight w:val="276"/>
        </w:trPr>
        <w:tc>
          <w:tcPr>
            <w:tcW w:w="3397" w:type="dxa"/>
          </w:tcPr>
          <w:p w14:paraId="65B49B90" w14:textId="77777777" w:rsidR="006D6699" w:rsidRPr="00F3501B" w:rsidRDefault="006D6699" w:rsidP="00F3501B">
            <w:pPr>
              <w:spacing w:line="360" w:lineRule="auto"/>
              <w:rPr>
                <w:rFonts w:ascii="Times New Roman" w:hAnsi="Times New Roman"/>
                <w:sz w:val="24"/>
                <w:szCs w:val="24"/>
              </w:rPr>
            </w:pPr>
          </w:p>
        </w:tc>
        <w:tc>
          <w:tcPr>
            <w:tcW w:w="1276" w:type="dxa"/>
          </w:tcPr>
          <w:p w14:paraId="5CC0D20E"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2018</w:t>
            </w:r>
          </w:p>
        </w:tc>
        <w:tc>
          <w:tcPr>
            <w:tcW w:w="1134" w:type="dxa"/>
          </w:tcPr>
          <w:p w14:paraId="6C474EC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2017</w:t>
            </w:r>
          </w:p>
        </w:tc>
        <w:tc>
          <w:tcPr>
            <w:tcW w:w="1134" w:type="dxa"/>
          </w:tcPr>
          <w:p w14:paraId="06A542FE"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2016</w:t>
            </w:r>
          </w:p>
        </w:tc>
        <w:tc>
          <w:tcPr>
            <w:tcW w:w="992" w:type="dxa"/>
          </w:tcPr>
          <w:p w14:paraId="0D07CDF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2015</w:t>
            </w:r>
          </w:p>
        </w:tc>
        <w:tc>
          <w:tcPr>
            <w:tcW w:w="1083" w:type="dxa"/>
          </w:tcPr>
          <w:p w14:paraId="7F74247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2014</w:t>
            </w:r>
          </w:p>
        </w:tc>
      </w:tr>
      <w:tr w:rsidR="006D6699" w:rsidRPr="00F3501B" w14:paraId="17594246" w14:textId="77777777" w:rsidTr="000D6524">
        <w:trPr>
          <w:trHeight w:val="276"/>
        </w:trPr>
        <w:tc>
          <w:tcPr>
            <w:tcW w:w="3397" w:type="dxa"/>
          </w:tcPr>
          <w:p w14:paraId="51359C3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Assets Turnover Ratio</w:t>
            </w:r>
          </w:p>
        </w:tc>
        <w:tc>
          <w:tcPr>
            <w:tcW w:w="1276" w:type="dxa"/>
          </w:tcPr>
          <w:p w14:paraId="10B7100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1,0764</w:t>
            </w:r>
          </w:p>
        </w:tc>
        <w:tc>
          <w:tcPr>
            <w:tcW w:w="1134" w:type="dxa"/>
          </w:tcPr>
          <w:p w14:paraId="59EE7D6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0.8845</w:t>
            </w:r>
          </w:p>
        </w:tc>
        <w:tc>
          <w:tcPr>
            <w:tcW w:w="1134" w:type="dxa"/>
          </w:tcPr>
          <w:p w14:paraId="2D4F0190"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0.7087</w:t>
            </w:r>
          </w:p>
        </w:tc>
        <w:tc>
          <w:tcPr>
            <w:tcW w:w="992" w:type="dxa"/>
          </w:tcPr>
          <w:p w14:paraId="4AFBBCE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0.8631</w:t>
            </w:r>
          </w:p>
        </w:tc>
        <w:tc>
          <w:tcPr>
            <w:tcW w:w="1083" w:type="dxa"/>
          </w:tcPr>
          <w:p w14:paraId="368B416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1.2616</w:t>
            </w:r>
          </w:p>
        </w:tc>
      </w:tr>
      <w:tr w:rsidR="006D6699" w:rsidRPr="00F3501B" w14:paraId="63C15648" w14:textId="77777777" w:rsidTr="000D6524">
        <w:trPr>
          <w:trHeight w:val="276"/>
        </w:trPr>
        <w:tc>
          <w:tcPr>
            <w:tcW w:w="3397" w:type="dxa"/>
          </w:tcPr>
          <w:p w14:paraId="565024D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Fixed Assets Turnover Ratio</w:t>
            </w:r>
          </w:p>
        </w:tc>
        <w:tc>
          <w:tcPr>
            <w:tcW w:w="1276" w:type="dxa"/>
          </w:tcPr>
          <w:p w14:paraId="5BA2026D"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2.2455</w:t>
            </w:r>
          </w:p>
        </w:tc>
        <w:tc>
          <w:tcPr>
            <w:tcW w:w="1134" w:type="dxa"/>
          </w:tcPr>
          <w:p w14:paraId="714403E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1.8890</w:t>
            </w:r>
          </w:p>
        </w:tc>
        <w:tc>
          <w:tcPr>
            <w:tcW w:w="1134" w:type="dxa"/>
          </w:tcPr>
          <w:p w14:paraId="5955F1B5"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1.4381</w:t>
            </w:r>
          </w:p>
        </w:tc>
        <w:tc>
          <w:tcPr>
            <w:tcW w:w="992" w:type="dxa"/>
          </w:tcPr>
          <w:p w14:paraId="5126894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1.7415</w:t>
            </w:r>
          </w:p>
        </w:tc>
        <w:tc>
          <w:tcPr>
            <w:tcW w:w="1083" w:type="dxa"/>
          </w:tcPr>
          <w:p w14:paraId="4E6DC23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2.7444</w:t>
            </w:r>
          </w:p>
        </w:tc>
      </w:tr>
    </w:tbl>
    <w:p w14:paraId="0B17E3DF" w14:textId="77777777" w:rsidR="006D6699" w:rsidRPr="00F3501B" w:rsidRDefault="006D6699" w:rsidP="00F3501B">
      <w:pPr>
        <w:rPr>
          <w:rFonts w:ascii="Times New Roman" w:hAnsi="Times New Roman"/>
          <w:sz w:val="24"/>
          <w:szCs w:val="24"/>
        </w:rPr>
      </w:pPr>
    </w:p>
    <w:p w14:paraId="2E8DA214"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Example of calculation for Assets Turnover for 2017:</w:t>
      </w:r>
    </w:p>
    <w:p w14:paraId="0A8F985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Assets Turnover = 244,582 / 276,515 = 0.8845</w:t>
      </w:r>
    </w:p>
    <w:p w14:paraId="41D4B2A6" w14:textId="77777777" w:rsidR="006D6699" w:rsidRPr="00F3501B" w:rsidRDefault="006D6699" w:rsidP="00F3501B">
      <w:pPr>
        <w:rPr>
          <w:rFonts w:ascii="Times New Roman" w:hAnsi="Times New Roman"/>
          <w:sz w:val="24"/>
          <w:szCs w:val="24"/>
        </w:rPr>
      </w:pPr>
    </w:p>
    <w:p w14:paraId="17D6711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Example of calculation for Fixed Assets Turnover for 2015:</w:t>
      </w:r>
    </w:p>
    <w:p w14:paraId="18BDFABE"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Fixed Assets Turnover = 225,982 / 129,758 = 1.7415</w:t>
      </w:r>
    </w:p>
    <w:p w14:paraId="4B490E02" w14:textId="77777777" w:rsidR="006D6699" w:rsidRPr="00F3501B" w:rsidRDefault="006D6699" w:rsidP="00F3501B">
      <w:pPr>
        <w:rPr>
          <w:rFonts w:ascii="Times New Roman" w:hAnsi="Times New Roman"/>
          <w:sz w:val="24"/>
          <w:szCs w:val="24"/>
        </w:rPr>
      </w:pPr>
    </w:p>
    <w:p w14:paraId="4CAB4B67" w14:textId="65DB2BC6" w:rsidR="006D6699" w:rsidRPr="00F3501B" w:rsidRDefault="006D6699" w:rsidP="00F3501B">
      <w:pPr>
        <w:pStyle w:val="Heading2"/>
        <w:rPr>
          <w:rFonts w:ascii="Times New Roman" w:hAnsi="Times New Roman"/>
          <w:color w:val="auto"/>
          <w:sz w:val="24"/>
          <w:szCs w:val="24"/>
        </w:rPr>
      </w:pPr>
      <w:bookmarkStart w:id="10" w:name="_Toc30186923"/>
      <w:r w:rsidRPr="00F3501B">
        <w:rPr>
          <w:rFonts w:ascii="Times New Roman" w:hAnsi="Times New Roman"/>
          <w:color w:val="auto"/>
          <w:sz w:val="24"/>
          <w:szCs w:val="24"/>
        </w:rPr>
        <w:t>Critical evaluation of the ratios</w:t>
      </w:r>
      <w:bookmarkEnd w:id="10"/>
    </w:p>
    <w:p w14:paraId="31FC2835" w14:textId="77777777" w:rsidR="00024E03" w:rsidRDefault="00024E03" w:rsidP="00F3501B">
      <w:pPr>
        <w:pStyle w:val="NoSpacing"/>
        <w:spacing w:line="360" w:lineRule="auto"/>
        <w:rPr>
          <w:rFonts w:ascii="Times New Roman" w:hAnsi="Times New Roman"/>
          <w:sz w:val="24"/>
          <w:szCs w:val="24"/>
          <w:shd w:val="clear" w:color="auto" w:fill="FFFFFF"/>
        </w:rPr>
      </w:pPr>
    </w:p>
    <w:p w14:paraId="1931F852" w14:textId="270E3EFC" w:rsidR="00F3501B" w:rsidRPr="00F3501B" w:rsidRDefault="00F3501B" w:rsidP="00F3501B">
      <w:pPr>
        <w:pStyle w:val="NoSpacing"/>
        <w:spacing w:line="360" w:lineRule="auto"/>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In the previous chapter, it was </w:t>
      </w:r>
      <w:r w:rsidR="00024E03">
        <w:rPr>
          <w:rFonts w:ascii="Times New Roman" w:hAnsi="Times New Roman"/>
          <w:sz w:val="24"/>
          <w:szCs w:val="24"/>
          <w:shd w:val="clear" w:color="auto" w:fill="FFFFFF"/>
        </w:rPr>
        <w:t xml:space="preserve">shortly </w:t>
      </w:r>
      <w:r w:rsidRPr="00F3501B">
        <w:rPr>
          <w:rFonts w:ascii="Times New Roman" w:hAnsi="Times New Roman"/>
          <w:sz w:val="24"/>
          <w:szCs w:val="24"/>
          <w:shd w:val="clear" w:color="auto" w:fill="FFFFFF"/>
        </w:rPr>
        <w:t>defined the Gross Margin.</w:t>
      </w:r>
    </w:p>
    <w:p w14:paraId="2D102467" w14:textId="77777777" w:rsidR="00F3501B" w:rsidRPr="00F3501B" w:rsidRDefault="00F3501B" w:rsidP="00F3501B">
      <w:pPr>
        <w:pStyle w:val="NoSpacing"/>
        <w:spacing w:line="360" w:lineRule="auto"/>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In other words, it is “the sales revenue a company retains after incurring the direct costs associated with producing the goods it sells, and the services it provides”. </w:t>
      </w:r>
    </w:p>
    <w:p w14:paraId="5F514940" w14:textId="77777777" w:rsidR="00F3501B" w:rsidRPr="00F3501B" w:rsidRDefault="00F3501B" w:rsidP="00F3501B">
      <w:pPr>
        <w:pStyle w:val="NoSpacing"/>
        <w:spacing w:line="360" w:lineRule="auto"/>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 “The higher the gross margin, the more capital a company retains on each dollar of sales, which it can then use to pay other costs or satisfy debt obligations”.</w:t>
      </w:r>
    </w:p>
    <w:p w14:paraId="4C74012E" w14:textId="77777777" w:rsidR="00F3501B" w:rsidRPr="00F3501B" w:rsidRDefault="00F3501B" w:rsidP="00F3501B">
      <w:pPr>
        <w:pStyle w:val="NoSpacing"/>
        <w:spacing w:line="360" w:lineRule="auto"/>
        <w:rPr>
          <w:rFonts w:ascii="Times New Roman" w:hAnsi="Times New Roman"/>
          <w:sz w:val="24"/>
          <w:szCs w:val="24"/>
          <w:shd w:val="clear" w:color="auto" w:fill="FFFFFF"/>
        </w:rPr>
      </w:pPr>
    </w:p>
    <w:p w14:paraId="195E0EE4" w14:textId="5D943C59" w:rsidR="00F3501B" w:rsidRPr="00F3501B" w:rsidRDefault="00F3501B" w:rsidP="00F3501B">
      <w:pPr>
        <w:pStyle w:val="NoSpacing"/>
        <w:spacing w:line="360" w:lineRule="auto"/>
        <w:rPr>
          <w:rFonts w:ascii="Times New Roman" w:hAnsi="Times New Roman"/>
          <w:color w:val="FF0000"/>
          <w:sz w:val="24"/>
          <w:szCs w:val="24"/>
          <w:shd w:val="clear" w:color="auto" w:fill="FFFFFF"/>
        </w:rPr>
      </w:pPr>
      <w:r w:rsidRPr="00F3501B">
        <w:rPr>
          <w:rFonts w:ascii="Times New Roman" w:hAnsi="Times New Roman"/>
          <w:sz w:val="24"/>
          <w:szCs w:val="24"/>
          <w:shd w:val="clear" w:color="auto" w:fill="FFFFFF"/>
        </w:rPr>
        <w:t>In the case of B</w:t>
      </w:r>
      <w:r w:rsidR="00F55F16">
        <w:rPr>
          <w:rFonts w:ascii="Times New Roman" w:hAnsi="Times New Roman"/>
          <w:sz w:val="24"/>
          <w:szCs w:val="24"/>
          <w:shd w:val="clear" w:color="auto" w:fill="FFFFFF"/>
        </w:rPr>
        <w:t>P</w:t>
      </w:r>
      <w:r w:rsidRPr="00F3501B">
        <w:rPr>
          <w:rFonts w:ascii="Times New Roman" w:hAnsi="Times New Roman"/>
          <w:sz w:val="24"/>
          <w:szCs w:val="24"/>
          <w:shd w:val="clear" w:color="auto" w:fill="FFFFFF"/>
        </w:rPr>
        <w:t xml:space="preserve"> there is noticed that the Gross Margin varies between 10% to 16% in the last 5 years.</w:t>
      </w:r>
    </w:p>
    <w:p w14:paraId="486DF7C0" w14:textId="77777777" w:rsidR="00F3501B" w:rsidRPr="00F3501B" w:rsidRDefault="00F3501B" w:rsidP="00F3501B">
      <w:pPr>
        <w:pStyle w:val="NoSpacing"/>
        <w:spacing w:line="360" w:lineRule="auto"/>
        <w:rPr>
          <w:rFonts w:ascii="Times New Roman" w:hAnsi="Times New Roman"/>
          <w:color w:val="676767"/>
          <w:sz w:val="24"/>
          <w:szCs w:val="24"/>
          <w:shd w:val="clear" w:color="auto" w:fill="FFFFFF"/>
        </w:rPr>
      </w:pPr>
    </w:p>
    <w:p w14:paraId="3DC6600F" w14:textId="77777777" w:rsidR="00F3501B" w:rsidRPr="00F3501B" w:rsidRDefault="00F3501B" w:rsidP="00F3501B">
      <w:pPr>
        <w:pStyle w:val="NoSpacing"/>
        <w:spacing w:line="360" w:lineRule="auto"/>
        <w:rPr>
          <w:rFonts w:ascii="Times New Roman" w:hAnsi="Times New Roman"/>
          <w:color w:val="676767"/>
          <w:sz w:val="24"/>
          <w:szCs w:val="24"/>
          <w:shd w:val="clear" w:color="auto" w:fill="FFFFFF"/>
        </w:rPr>
      </w:pPr>
      <w:r w:rsidRPr="00F3501B">
        <w:rPr>
          <w:rFonts w:ascii="Times New Roman" w:hAnsi="Times New Roman"/>
          <w:color w:val="676767"/>
          <w:sz w:val="24"/>
          <w:szCs w:val="24"/>
          <w:shd w:val="clear" w:color="auto" w:fill="FFFFFF"/>
        </w:rPr>
        <w:lastRenderedPageBreak/>
        <w:t>“Operating margin is a profitability ratio measuring revenue after covering operating and non-operating expenses of a business.  Also referred to as return on sales, the operating income is the basis of how much of the generated sales is left when all operating expenses are paid off.”</w:t>
      </w:r>
    </w:p>
    <w:p w14:paraId="7E5FFB15" w14:textId="77777777" w:rsidR="00F3501B" w:rsidRPr="00F3501B" w:rsidRDefault="00F3501B" w:rsidP="00F3501B">
      <w:pPr>
        <w:pStyle w:val="NoSpacing"/>
        <w:spacing w:line="360" w:lineRule="auto"/>
        <w:rPr>
          <w:rFonts w:ascii="Times New Roman" w:hAnsi="Times New Roman"/>
          <w:color w:val="222222"/>
          <w:sz w:val="24"/>
          <w:szCs w:val="24"/>
          <w:shd w:val="clear" w:color="auto" w:fill="FFFFFF"/>
        </w:rPr>
      </w:pPr>
      <w:r w:rsidRPr="00F3501B">
        <w:rPr>
          <w:rFonts w:ascii="Times New Roman" w:hAnsi="Times New Roman"/>
          <w:color w:val="676767"/>
          <w:sz w:val="24"/>
          <w:szCs w:val="24"/>
          <w:shd w:val="clear" w:color="auto" w:fill="FFFFFF"/>
        </w:rPr>
        <w:t>“</w:t>
      </w:r>
      <w:r w:rsidRPr="00F3501B">
        <w:rPr>
          <w:rFonts w:ascii="Times New Roman" w:hAnsi="Times New Roman"/>
          <w:color w:val="222222"/>
          <w:sz w:val="24"/>
          <w:szCs w:val="24"/>
          <w:shd w:val="clear" w:color="auto" w:fill="FFFFFF"/>
        </w:rPr>
        <w:t>The operating profit margin ratio is a useful indicator of a company's financial health.”</w:t>
      </w:r>
    </w:p>
    <w:p w14:paraId="43305A73" w14:textId="77777777" w:rsidR="00F3501B" w:rsidRPr="00F3501B" w:rsidRDefault="00F3501B" w:rsidP="00F3501B">
      <w:pPr>
        <w:pStyle w:val="NoSpacing"/>
        <w:spacing w:line="360" w:lineRule="auto"/>
        <w:rPr>
          <w:rFonts w:ascii="Times New Roman" w:hAnsi="Times New Roman"/>
          <w:color w:val="222222"/>
          <w:sz w:val="24"/>
          <w:szCs w:val="24"/>
          <w:lang w:eastAsia="en-GB"/>
        </w:rPr>
      </w:pPr>
      <w:r w:rsidRPr="00F3501B">
        <w:rPr>
          <w:rFonts w:ascii="Times New Roman" w:hAnsi="Times New Roman"/>
          <w:color w:val="222222"/>
          <w:sz w:val="24"/>
          <w:szCs w:val="24"/>
          <w:lang w:eastAsia="en-GB"/>
        </w:rPr>
        <w:t xml:space="preserve"> “The operating profit margin ratio provides a means of determining how well a company's business model works in comparison to its competitors or across its industry. It serves as a broad indicator of a company's efficiency.”</w:t>
      </w:r>
    </w:p>
    <w:p w14:paraId="310AD781" w14:textId="77777777" w:rsidR="00F3501B" w:rsidRPr="00F3501B" w:rsidRDefault="00F3501B" w:rsidP="00F3501B">
      <w:pPr>
        <w:pStyle w:val="NoSpacing"/>
        <w:spacing w:line="360" w:lineRule="auto"/>
        <w:rPr>
          <w:rFonts w:ascii="Times New Roman" w:hAnsi="Times New Roman"/>
          <w:color w:val="222222"/>
          <w:sz w:val="24"/>
          <w:szCs w:val="24"/>
          <w:lang w:eastAsia="en-GB"/>
        </w:rPr>
      </w:pPr>
    </w:p>
    <w:p w14:paraId="07FA2EA8" w14:textId="39913076" w:rsidR="00F3501B" w:rsidRPr="00F3501B" w:rsidRDefault="00F3501B" w:rsidP="00F3501B">
      <w:pPr>
        <w:pStyle w:val="NoSpacing"/>
        <w:spacing w:line="360" w:lineRule="auto"/>
        <w:rPr>
          <w:rFonts w:ascii="Times New Roman" w:hAnsi="Times New Roman"/>
          <w:color w:val="FF0000"/>
          <w:sz w:val="24"/>
          <w:szCs w:val="24"/>
          <w:shd w:val="clear" w:color="auto" w:fill="FFFFFF"/>
        </w:rPr>
      </w:pPr>
      <w:r w:rsidRPr="00F3501B">
        <w:rPr>
          <w:rFonts w:ascii="Times New Roman" w:hAnsi="Times New Roman"/>
          <w:color w:val="222222"/>
          <w:sz w:val="24"/>
          <w:szCs w:val="24"/>
          <w:lang w:eastAsia="en-GB"/>
        </w:rPr>
        <w:t>For this case study, B</w:t>
      </w:r>
      <w:r w:rsidR="00F55F16">
        <w:rPr>
          <w:rFonts w:ascii="Times New Roman" w:hAnsi="Times New Roman"/>
          <w:color w:val="222222"/>
          <w:sz w:val="24"/>
          <w:szCs w:val="24"/>
          <w:lang w:eastAsia="en-GB"/>
        </w:rPr>
        <w:t>P</w:t>
      </w:r>
      <w:r w:rsidRPr="00F3501B">
        <w:rPr>
          <w:rFonts w:ascii="Times New Roman" w:hAnsi="Times New Roman"/>
          <w:color w:val="222222"/>
          <w:sz w:val="24"/>
          <w:szCs w:val="24"/>
          <w:lang w:eastAsia="en-GB"/>
        </w:rPr>
        <w:t xml:space="preserve"> it is observed that the Operating Margin was negative and very low in 2015 and high in the last year.</w:t>
      </w:r>
    </w:p>
    <w:p w14:paraId="23DC9EC0" w14:textId="77777777" w:rsidR="00F3501B" w:rsidRPr="00F3501B" w:rsidRDefault="00F3501B" w:rsidP="00F3501B">
      <w:pPr>
        <w:pStyle w:val="NoSpacing"/>
        <w:spacing w:line="360" w:lineRule="auto"/>
        <w:rPr>
          <w:rFonts w:ascii="Times New Roman" w:hAnsi="Times New Roman"/>
          <w:color w:val="222222"/>
          <w:sz w:val="24"/>
          <w:szCs w:val="24"/>
          <w:lang w:eastAsia="en-GB"/>
        </w:rPr>
      </w:pPr>
    </w:p>
    <w:p w14:paraId="61C2FCAC" w14:textId="77777777" w:rsidR="00F3501B" w:rsidRPr="00F3501B" w:rsidRDefault="00F3501B" w:rsidP="00F3501B">
      <w:pPr>
        <w:pStyle w:val="NoSpacing"/>
        <w:spacing w:line="360" w:lineRule="auto"/>
        <w:rPr>
          <w:rFonts w:ascii="Times New Roman" w:hAnsi="Times New Roman"/>
          <w:color w:val="676767"/>
          <w:sz w:val="24"/>
          <w:szCs w:val="24"/>
          <w:shd w:val="clear" w:color="auto" w:fill="FFFFFF"/>
        </w:rPr>
      </w:pPr>
      <w:r w:rsidRPr="00F3501B">
        <w:rPr>
          <w:rFonts w:ascii="Times New Roman" w:hAnsi="Times New Roman"/>
          <w:color w:val="676767"/>
          <w:sz w:val="24"/>
          <w:szCs w:val="24"/>
          <w:shd w:val="clear" w:color="auto" w:fill="FFFFFF"/>
        </w:rPr>
        <w:t xml:space="preserve"> “Net profit is calculated by deducting all company expenses from its total revenue. The result of the profit margin calculation is a percentage. Revenue represents the total sales of the company in a period.”</w:t>
      </w:r>
    </w:p>
    <w:p w14:paraId="106432EC" w14:textId="77777777" w:rsidR="00F3501B" w:rsidRPr="00F3501B" w:rsidRDefault="00F3501B" w:rsidP="00F3501B">
      <w:pPr>
        <w:pStyle w:val="NoSpacing"/>
        <w:spacing w:line="360" w:lineRule="auto"/>
        <w:rPr>
          <w:rFonts w:ascii="Times New Roman" w:hAnsi="Times New Roman"/>
          <w:color w:val="444444"/>
          <w:spacing w:val="5"/>
          <w:sz w:val="24"/>
          <w:szCs w:val="24"/>
          <w:shd w:val="clear" w:color="auto" w:fill="FFFFFF"/>
        </w:rPr>
      </w:pPr>
      <w:r w:rsidRPr="00F3501B">
        <w:rPr>
          <w:rFonts w:ascii="Times New Roman" w:hAnsi="Times New Roman"/>
          <w:color w:val="222222"/>
          <w:sz w:val="24"/>
          <w:szCs w:val="24"/>
          <w:lang w:eastAsia="en-GB"/>
        </w:rPr>
        <w:t>“</w:t>
      </w:r>
      <w:r w:rsidRPr="00F3501B">
        <w:rPr>
          <w:rFonts w:ascii="Times New Roman" w:hAnsi="Times New Roman"/>
          <w:color w:val="444444"/>
          <w:spacing w:val="5"/>
          <w:sz w:val="24"/>
          <w:szCs w:val="24"/>
          <w:shd w:val="clear" w:color="auto" w:fill="FFFFFF"/>
        </w:rPr>
        <w:t>The net profit margin is intended to be a measure of the overall success of a business. A high net profit margin indicates that a business is pricing its products correctly and is exercising good cost control.”</w:t>
      </w:r>
    </w:p>
    <w:p w14:paraId="6F023271" w14:textId="77777777" w:rsidR="00F3501B" w:rsidRPr="00F3501B" w:rsidRDefault="00F3501B" w:rsidP="00F3501B">
      <w:pPr>
        <w:pStyle w:val="NoSpacing"/>
        <w:spacing w:line="360" w:lineRule="auto"/>
        <w:rPr>
          <w:rFonts w:ascii="Times New Roman" w:hAnsi="Times New Roman"/>
          <w:color w:val="444444"/>
          <w:spacing w:val="5"/>
          <w:sz w:val="24"/>
          <w:szCs w:val="24"/>
          <w:shd w:val="clear" w:color="auto" w:fill="FFFFFF"/>
        </w:rPr>
      </w:pPr>
      <w:r w:rsidRPr="00F3501B">
        <w:rPr>
          <w:rFonts w:ascii="Times New Roman" w:hAnsi="Times New Roman"/>
          <w:color w:val="444444"/>
          <w:spacing w:val="5"/>
          <w:sz w:val="24"/>
          <w:szCs w:val="24"/>
          <w:shd w:val="clear" w:color="auto" w:fill="FFFFFF"/>
        </w:rPr>
        <w:t xml:space="preserve"> “A company may prefer to grow with </w:t>
      </w:r>
      <w:r w:rsidRPr="00F3501B">
        <w:rPr>
          <w:rFonts w:ascii="Times New Roman" w:hAnsi="Times New Roman"/>
          <w:spacing w:val="5"/>
          <w:sz w:val="24"/>
          <w:szCs w:val="24"/>
          <w:shd w:val="clear" w:color="auto" w:fill="FFFFFF"/>
        </w:rPr>
        <w:t>debt financing</w:t>
      </w:r>
      <w:r w:rsidRPr="00F3501B">
        <w:rPr>
          <w:rFonts w:ascii="Times New Roman" w:hAnsi="Times New Roman"/>
          <w:color w:val="444444"/>
          <w:spacing w:val="5"/>
          <w:sz w:val="24"/>
          <w:szCs w:val="24"/>
          <w:shd w:val="clear" w:color="auto" w:fill="FFFFFF"/>
        </w:rPr>
        <w:t xml:space="preserve"> instead of </w:t>
      </w:r>
      <w:r w:rsidRPr="00F3501B">
        <w:rPr>
          <w:rFonts w:ascii="Times New Roman" w:hAnsi="Times New Roman"/>
          <w:spacing w:val="5"/>
          <w:sz w:val="24"/>
          <w:szCs w:val="24"/>
          <w:shd w:val="clear" w:color="auto" w:fill="FFFFFF"/>
        </w:rPr>
        <w:t>equity financing</w:t>
      </w:r>
      <w:r w:rsidRPr="00F3501B">
        <w:rPr>
          <w:rFonts w:ascii="Times New Roman" w:hAnsi="Times New Roman"/>
          <w:color w:val="444444"/>
          <w:spacing w:val="5"/>
          <w:sz w:val="24"/>
          <w:szCs w:val="24"/>
          <w:shd w:val="clear" w:color="auto" w:fill="FFFFFF"/>
        </w:rPr>
        <w:t xml:space="preserve">, in which case it will incur significant </w:t>
      </w:r>
      <w:r w:rsidRPr="00F3501B">
        <w:rPr>
          <w:rFonts w:ascii="Times New Roman" w:hAnsi="Times New Roman"/>
          <w:spacing w:val="5"/>
          <w:sz w:val="24"/>
          <w:szCs w:val="24"/>
          <w:shd w:val="clear" w:color="auto" w:fill="FFFFFF"/>
        </w:rPr>
        <w:t>interest expenses</w:t>
      </w:r>
      <w:r w:rsidRPr="00F3501B">
        <w:rPr>
          <w:rFonts w:ascii="Times New Roman" w:hAnsi="Times New Roman"/>
          <w:color w:val="444444"/>
          <w:spacing w:val="5"/>
          <w:sz w:val="24"/>
          <w:szCs w:val="24"/>
          <w:shd w:val="clear" w:color="auto" w:fill="FFFFFF"/>
        </w:rPr>
        <w:t>, which will drive down its net profit margin. Thus, a financing decision impacts the net profit margin.”</w:t>
      </w:r>
    </w:p>
    <w:p w14:paraId="4256076C" w14:textId="77777777" w:rsidR="00F3501B" w:rsidRPr="00F3501B" w:rsidRDefault="00F3501B" w:rsidP="00F3501B">
      <w:pPr>
        <w:pStyle w:val="NoSpacing"/>
        <w:spacing w:line="360" w:lineRule="auto"/>
        <w:rPr>
          <w:rFonts w:ascii="Times New Roman" w:hAnsi="Times New Roman"/>
          <w:color w:val="444444"/>
          <w:spacing w:val="5"/>
          <w:sz w:val="24"/>
          <w:szCs w:val="24"/>
          <w:shd w:val="clear" w:color="auto" w:fill="FFFFFF"/>
        </w:rPr>
      </w:pPr>
    </w:p>
    <w:p w14:paraId="79678323" w14:textId="77777777" w:rsidR="00F3501B" w:rsidRPr="00F3501B" w:rsidRDefault="00F3501B" w:rsidP="00F3501B">
      <w:pPr>
        <w:pStyle w:val="NoSpacing"/>
        <w:spacing w:line="360" w:lineRule="auto"/>
        <w:rPr>
          <w:rFonts w:ascii="Times New Roman" w:hAnsi="Times New Roman"/>
          <w:color w:val="676767"/>
          <w:sz w:val="24"/>
          <w:szCs w:val="24"/>
          <w:shd w:val="clear" w:color="auto" w:fill="FFFFFF"/>
        </w:rPr>
      </w:pPr>
      <w:r w:rsidRPr="00F3501B">
        <w:rPr>
          <w:rFonts w:ascii="Times New Roman" w:hAnsi="Times New Roman"/>
          <w:color w:val="444444"/>
          <w:spacing w:val="5"/>
          <w:sz w:val="24"/>
          <w:szCs w:val="24"/>
          <w:shd w:val="clear" w:color="auto" w:fill="FFFFFF"/>
        </w:rPr>
        <w:t>About Liquidity ratios, it is important to calculate them as “</w:t>
      </w:r>
      <w:r w:rsidRPr="00F3501B">
        <w:rPr>
          <w:rFonts w:ascii="Times New Roman" w:hAnsi="Times New Roman"/>
          <w:color w:val="676767"/>
          <w:sz w:val="24"/>
          <w:szCs w:val="24"/>
          <w:shd w:val="clear" w:color="auto" w:fill="FFFFFF"/>
        </w:rPr>
        <w:t xml:space="preserve">they assess the operations of a company in terms of how financially solid the company is in relation to its outstanding debt. Knowing the current ratio is vital in decision-making for investors, creditors, and suppliers of a company”. </w:t>
      </w:r>
    </w:p>
    <w:p w14:paraId="131ECBCE" w14:textId="77777777" w:rsidR="00F3501B" w:rsidRPr="00F3501B" w:rsidRDefault="00F3501B" w:rsidP="00F3501B">
      <w:pPr>
        <w:pStyle w:val="NoSpacing"/>
        <w:spacing w:line="360" w:lineRule="auto"/>
        <w:rPr>
          <w:rFonts w:ascii="Times New Roman" w:hAnsi="Times New Roman"/>
          <w:color w:val="676767"/>
          <w:sz w:val="24"/>
          <w:szCs w:val="24"/>
          <w:shd w:val="clear" w:color="auto" w:fill="FFFFFF"/>
        </w:rPr>
      </w:pPr>
    </w:p>
    <w:p w14:paraId="1F7D5B81" w14:textId="77777777" w:rsidR="00F3501B" w:rsidRPr="00F3501B" w:rsidRDefault="00F3501B" w:rsidP="00F3501B">
      <w:pPr>
        <w:pStyle w:val="NoSpacing"/>
        <w:spacing w:line="360" w:lineRule="auto"/>
        <w:rPr>
          <w:rFonts w:ascii="Times New Roman" w:hAnsi="Times New Roman"/>
          <w:color w:val="111111"/>
          <w:sz w:val="24"/>
          <w:szCs w:val="24"/>
          <w:shd w:val="clear" w:color="auto" w:fill="FFFFFF"/>
        </w:rPr>
      </w:pPr>
      <w:r w:rsidRPr="00F3501B">
        <w:rPr>
          <w:rFonts w:ascii="Times New Roman" w:hAnsi="Times New Roman"/>
          <w:color w:val="111111"/>
          <w:sz w:val="24"/>
          <w:szCs w:val="24"/>
          <w:shd w:val="clear" w:color="auto" w:fill="FFFFFF"/>
        </w:rPr>
        <w:t>“Both the </w:t>
      </w:r>
      <w:r w:rsidRPr="00F3501B">
        <w:rPr>
          <w:rFonts w:ascii="Times New Roman" w:hAnsi="Times New Roman"/>
          <w:sz w:val="24"/>
          <w:szCs w:val="24"/>
          <w:shd w:val="clear" w:color="auto" w:fill="FFFFFF"/>
        </w:rPr>
        <w:t>current ratio</w:t>
      </w:r>
      <w:r w:rsidRPr="00F3501B">
        <w:rPr>
          <w:rFonts w:ascii="Times New Roman" w:hAnsi="Times New Roman"/>
          <w:color w:val="111111"/>
          <w:sz w:val="24"/>
          <w:szCs w:val="24"/>
          <w:shd w:val="clear" w:color="auto" w:fill="FFFFFF"/>
        </w:rPr>
        <w:t> and quick ratio measure a company's short-term </w:t>
      </w:r>
      <w:r w:rsidRPr="00F3501B">
        <w:rPr>
          <w:rFonts w:ascii="Times New Roman" w:hAnsi="Times New Roman"/>
          <w:sz w:val="24"/>
          <w:szCs w:val="24"/>
          <w:shd w:val="clear" w:color="auto" w:fill="FFFFFF"/>
        </w:rPr>
        <w:t>liquidity</w:t>
      </w:r>
      <w:r w:rsidRPr="00F3501B">
        <w:rPr>
          <w:rFonts w:ascii="Times New Roman" w:hAnsi="Times New Roman"/>
          <w:color w:val="111111"/>
          <w:sz w:val="24"/>
          <w:szCs w:val="24"/>
          <w:shd w:val="clear" w:color="auto" w:fill="FFFFFF"/>
        </w:rPr>
        <w:t>, or its ability to generate enough cash to pay off all debts should they become due at once. Although they're both measures of a company's </w:t>
      </w:r>
      <w:r w:rsidRPr="00F3501B">
        <w:rPr>
          <w:rFonts w:ascii="Times New Roman" w:hAnsi="Times New Roman"/>
          <w:sz w:val="24"/>
          <w:szCs w:val="24"/>
          <w:shd w:val="clear" w:color="auto" w:fill="FFFFFF"/>
        </w:rPr>
        <w:t>financial health</w:t>
      </w:r>
      <w:r w:rsidRPr="00F3501B">
        <w:rPr>
          <w:rFonts w:ascii="Times New Roman" w:hAnsi="Times New Roman"/>
          <w:color w:val="111111"/>
          <w:sz w:val="24"/>
          <w:szCs w:val="24"/>
          <w:shd w:val="clear" w:color="auto" w:fill="FFFFFF"/>
        </w:rPr>
        <w:t>, they're slightly different. The quick ratio is considered more conservative than the current ratio because its calculation factors in fewer items.”</w:t>
      </w:r>
    </w:p>
    <w:p w14:paraId="272C2A26" w14:textId="77777777" w:rsidR="00F3501B" w:rsidRPr="00F3501B" w:rsidRDefault="00F3501B" w:rsidP="00F3501B">
      <w:pPr>
        <w:pStyle w:val="NoSpacing"/>
        <w:spacing w:line="360" w:lineRule="auto"/>
        <w:rPr>
          <w:rFonts w:ascii="Times New Roman" w:hAnsi="Times New Roman"/>
          <w:color w:val="444444"/>
          <w:spacing w:val="5"/>
          <w:sz w:val="24"/>
          <w:szCs w:val="24"/>
          <w:shd w:val="clear" w:color="auto" w:fill="FFFFFF"/>
        </w:rPr>
      </w:pPr>
      <w:r w:rsidRPr="00F3501B">
        <w:rPr>
          <w:rFonts w:ascii="Times New Roman" w:hAnsi="Times New Roman"/>
          <w:color w:val="676767"/>
          <w:sz w:val="24"/>
          <w:szCs w:val="24"/>
          <w:shd w:val="clear" w:color="auto" w:fill="FFFFFF"/>
        </w:rPr>
        <w:t>“Current ratio is an important tool in assessing the viability of their business interest.</w:t>
      </w:r>
      <w:r w:rsidRPr="00F3501B">
        <w:rPr>
          <w:rFonts w:ascii="Times New Roman" w:hAnsi="Times New Roman"/>
          <w:color w:val="444444"/>
          <w:spacing w:val="5"/>
          <w:sz w:val="24"/>
          <w:szCs w:val="24"/>
          <w:shd w:val="clear" w:color="auto" w:fill="FFFFFF"/>
        </w:rPr>
        <w:t>”</w:t>
      </w:r>
    </w:p>
    <w:p w14:paraId="6459B5D1" w14:textId="77777777" w:rsidR="00F3501B" w:rsidRPr="00F3501B" w:rsidRDefault="00F3501B" w:rsidP="00F3501B">
      <w:pPr>
        <w:pStyle w:val="NoSpacing"/>
        <w:spacing w:line="360" w:lineRule="auto"/>
        <w:rPr>
          <w:rFonts w:ascii="Times New Roman" w:hAnsi="Times New Roman"/>
          <w:color w:val="444444"/>
          <w:spacing w:val="5"/>
          <w:sz w:val="24"/>
          <w:szCs w:val="24"/>
          <w:shd w:val="clear" w:color="auto" w:fill="FFFFFF"/>
        </w:rPr>
      </w:pPr>
    </w:p>
    <w:p w14:paraId="60A0EDBD" w14:textId="7C93A32C" w:rsidR="00F3501B" w:rsidRPr="00F3501B" w:rsidRDefault="00F3501B" w:rsidP="00F3501B">
      <w:pPr>
        <w:pStyle w:val="NoSpacing"/>
        <w:spacing w:line="360" w:lineRule="auto"/>
        <w:rPr>
          <w:rFonts w:ascii="Times New Roman" w:hAnsi="Times New Roman"/>
          <w:color w:val="FF0000"/>
          <w:spacing w:val="5"/>
          <w:sz w:val="24"/>
          <w:szCs w:val="24"/>
          <w:shd w:val="clear" w:color="auto" w:fill="FFFFFF"/>
        </w:rPr>
      </w:pPr>
      <w:r w:rsidRPr="00F3501B">
        <w:rPr>
          <w:rFonts w:ascii="Times New Roman" w:hAnsi="Times New Roman"/>
          <w:color w:val="444444"/>
          <w:spacing w:val="5"/>
          <w:sz w:val="24"/>
          <w:szCs w:val="24"/>
          <w:shd w:val="clear" w:color="auto" w:fill="FFFFFF"/>
        </w:rPr>
        <w:t>The Current Ratio for the present case study of B</w:t>
      </w:r>
      <w:r w:rsidR="00A36F6E">
        <w:rPr>
          <w:rFonts w:ascii="Times New Roman" w:hAnsi="Times New Roman"/>
          <w:color w:val="444444"/>
          <w:spacing w:val="5"/>
          <w:sz w:val="24"/>
          <w:szCs w:val="24"/>
          <w:shd w:val="clear" w:color="auto" w:fill="FFFFFF"/>
        </w:rPr>
        <w:t>P</w:t>
      </w:r>
      <w:r w:rsidRPr="00F3501B">
        <w:rPr>
          <w:rFonts w:ascii="Times New Roman" w:hAnsi="Times New Roman"/>
          <w:color w:val="444444"/>
          <w:spacing w:val="5"/>
          <w:sz w:val="24"/>
          <w:szCs w:val="24"/>
          <w:shd w:val="clear" w:color="auto" w:fill="FFFFFF"/>
        </w:rPr>
        <w:t xml:space="preserve"> for the last 5 financial years show yearly decreasing from 1.37 in 2014 to 1.06 in 2018.</w:t>
      </w:r>
    </w:p>
    <w:p w14:paraId="18CD4B32"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lastRenderedPageBreak/>
        <w:t>“If a company has a current ratio of less than one then it has fewer current assets than current liabilities. Creditors would consider the company a financial risk because it might not be able to easily pay down its short-term obligations.”</w:t>
      </w:r>
    </w:p>
    <w:p w14:paraId="16CA8759"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“If a company has a current ratio of more than one then it is considered less of a risk because it could liquidate its current assets more easily to pay down short-term liabilities.”</w:t>
      </w:r>
    </w:p>
    <w:p w14:paraId="72B70E10" w14:textId="77777777" w:rsidR="00F3501B" w:rsidRPr="00F3501B" w:rsidRDefault="00F3501B" w:rsidP="00F3501B">
      <w:pPr>
        <w:pStyle w:val="NoSpacing"/>
        <w:spacing w:line="360" w:lineRule="auto"/>
        <w:rPr>
          <w:rFonts w:ascii="Times New Roman" w:hAnsi="Times New Roman"/>
          <w:color w:val="FF0000"/>
          <w:spacing w:val="5"/>
          <w:sz w:val="24"/>
          <w:szCs w:val="24"/>
          <w:shd w:val="clear" w:color="auto" w:fill="FFFFFF"/>
        </w:rPr>
      </w:pPr>
    </w:p>
    <w:p w14:paraId="73A36682" w14:textId="77777777" w:rsidR="00F3501B" w:rsidRPr="00F3501B" w:rsidRDefault="00F3501B" w:rsidP="00F3501B">
      <w:pPr>
        <w:pStyle w:val="NoSpacing"/>
        <w:spacing w:line="360" w:lineRule="auto"/>
        <w:rPr>
          <w:rFonts w:ascii="Times New Roman" w:hAnsi="Times New Roman"/>
          <w:sz w:val="24"/>
          <w:szCs w:val="24"/>
        </w:rPr>
      </w:pPr>
      <w:r w:rsidRPr="00F3501B">
        <w:rPr>
          <w:rFonts w:ascii="Times New Roman" w:hAnsi="Times New Roman"/>
          <w:color w:val="444444"/>
          <w:spacing w:val="5"/>
          <w:sz w:val="24"/>
          <w:szCs w:val="24"/>
          <w:shd w:val="clear" w:color="auto" w:fill="FFFFFF"/>
        </w:rPr>
        <w:t>Quick ratio is defined as “</w:t>
      </w:r>
      <w:r w:rsidRPr="00F3501B">
        <w:rPr>
          <w:rFonts w:ascii="Times New Roman" w:hAnsi="Times New Roman"/>
          <w:color w:val="333333"/>
          <w:sz w:val="24"/>
          <w:szCs w:val="24"/>
          <w:shd w:val="clear" w:color="auto" w:fill="FFFFFF"/>
        </w:rPr>
        <w:t>financial ratio used to gauge a company's </w:t>
      </w:r>
      <w:r w:rsidRPr="00F3501B">
        <w:rPr>
          <w:rFonts w:ascii="Times New Roman" w:hAnsi="Times New Roman"/>
          <w:sz w:val="24"/>
          <w:szCs w:val="24"/>
          <w:bdr w:val="none" w:sz="0" w:space="0" w:color="auto" w:frame="1"/>
          <w:shd w:val="clear" w:color="auto" w:fill="FFFFFF"/>
        </w:rPr>
        <w:t>liquidity</w:t>
      </w:r>
      <w:r w:rsidRPr="00F3501B">
        <w:rPr>
          <w:rFonts w:ascii="Times New Roman" w:hAnsi="Times New Roman"/>
          <w:sz w:val="24"/>
          <w:szCs w:val="24"/>
        </w:rPr>
        <w:t>”</w:t>
      </w:r>
    </w:p>
    <w:p w14:paraId="5EA07C3D" w14:textId="77777777" w:rsidR="00F3501B" w:rsidRPr="00F3501B" w:rsidRDefault="00F3501B" w:rsidP="00F3501B">
      <w:pPr>
        <w:pStyle w:val="NoSpacing"/>
        <w:spacing w:line="360" w:lineRule="auto"/>
        <w:rPr>
          <w:rFonts w:ascii="Times New Roman" w:hAnsi="Times New Roman"/>
          <w:color w:val="333333"/>
          <w:sz w:val="24"/>
          <w:szCs w:val="24"/>
          <w:shd w:val="clear" w:color="auto" w:fill="FFFFFF"/>
        </w:rPr>
      </w:pPr>
      <w:r w:rsidRPr="00F3501B">
        <w:rPr>
          <w:rFonts w:ascii="Times New Roman" w:hAnsi="Times New Roman"/>
          <w:color w:val="333333"/>
          <w:sz w:val="24"/>
          <w:szCs w:val="24"/>
          <w:shd w:val="clear" w:color="auto" w:fill="FFFFFF"/>
        </w:rPr>
        <w:t>“The quick ratio compares the total amount of cash and cash equivalents to the amount of </w:t>
      </w:r>
      <w:r w:rsidRPr="00F3501B">
        <w:rPr>
          <w:rFonts w:ascii="Times New Roman" w:hAnsi="Times New Roman"/>
          <w:sz w:val="24"/>
          <w:szCs w:val="24"/>
          <w:bdr w:val="none" w:sz="0" w:space="0" w:color="auto" w:frame="1"/>
          <w:shd w:val="clear" w:color="auto" w:fill="FFFFFF"/>
        </w:rPr>
        <w:t>current liabilities</w:t>
      </w:r>
      <w:r w:rsidRPr="00F3501B">
        <w:rPr>
          <w:rFonts w:ascii="Times New Roman" w:hAnsi="Times New Roman"/>
          <w:color w:val="333333"/>
          <w:sz w:val="24"/>
          <w:szCs w:val="24"/>
          <w:shd w:val="clear" w:color="auto" w:fill="FFFFFF"/>
        </w:rPr>
        <w:t>.”</w:t>
      </w:r>
    </w:p>
    <w:p w14:paraId="4DCB2978" w14:textId="77777777" w:rsidR="00F3501B" w:rsidRPr="00F3501B" w:rsidRDefault="00F3501B" w:rsidP="00F3501B">
      <w:pPr>
        <w:pStyle w:val="NoSpacing"/>
        <w:spacing w:line="360" w:lineRule="auto"/>
        <w:rPr>
          <w:rFonts w:ascii="Times New Roman" w:hAnsi="Times New Roman"/>
          <w:color w:val="111111"/>
          <w:sz w:val="24"/>
          <w:szCs w:val="24"/>
          <w:shd w:val="clear" w:color="auto" w:fill="FFFFFF"/>
        </w:rPr>
      </w:pPr>
      <w:r w:rsidRPr="00F3501B">
        <w:rPr>
          <w:rFonts w:ascii="Times New Roman" w:hAnsi="Times New Roman"/>
          <w:color w:val="111111"/>
          <w:sz w:val="24"/>
          <w:szCs w:val="24"/>
          <w:shd w:val="clear" w:color="auto" w:fill="FFFFFF"/>
        </w:rPr>
        <w:t xml:space="preserve"> “Similar to the current ratio, a company that has a quick ratio of more than one is usually considered less of a financial risk than a company that has a quick ratio of less than one.”</w:t>
      </w:r>
    </w:p>
    <w:p w14:paraId="0602BD5C"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“The quick ratio offers a more conservative view of a company’s liquidity or ability to meet its short-term liabilities with its short-term assets because it doesn't include inventory and other current assets that are more difficult to liquidate (i.e., turn into cash). By excluding inventory, and other less liquid assets, the quick ratio focuses on the company’s more liquid assets.”</w:t>
      </w:r>
    </w:p>
    <w:p w14:paraId="322720F4"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“Both ratios include accounts receivable, but some receivables might not be able to be liquidated very quickly. As a result, even the quick ratio may not give an accurate representation of liquidity if the receivables are not easily collected and converted to cash.”</w:t>
      </w:r>
    </w:p>
    <w:p w14:paraId="222802C4" w14:textId="54EA47B0"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w:t>
      </w:r>
      <w:r w:rsidRPr="00F3501B">
        <w:rPr>
          <w:rFonts w:ascii="Times New Roman" w:hAnsi="Times New Roman"/>
          <w:color w:val="111111"/>
          <w:sz w:val="24"/>
          <w:szCs w:val="24"/>
          <w:shd w:val="clear" w:color="auto" w:fill="FFFFFF"/>
        </w:rPr>
        <w:t xml:space="preserve">When </w:t>
      </w:r>
      <w:r w:rsidR="00273370" w:rsidRPr="00F3501B">
        <w:rPr>
          <w:rFonts w:ascii="Times New Roman" w:hAnsi="Times New Roman"/>
          <w:color w:val="111111"/>
          <w:sz w:val="24"/>
          <w:szCs w:val="24"/>
          <w:shd w:val="clear" w:color="auto" w:fill="FFFFFF"/>
        </w:rPr>
        <w:t>analyzing</w:t>
      </w:r>
      <w:r w:rsidRPr="00F3501B">
        <w:rPr>
          <w:rFonts w:ascii="Times New Roman" w:hAnsi="Times New Roman"/>
          <w:color w:val="111111"/>
          <w:sz w:val="24"/>
          <w:szCs w:val="24"/>
          <w:shd w:val="clear" w:color="auto" w:fill="FFFFFF"/>
        </w:rPr>
        <w:t xml:space="preserve"> a company's liquidity, no single ratio will suffice in every circumstance. It's important to include other financial ratios in your analysis, including both the current ratio and quick ratio, as well as others.”</w:t>
      </w:r>
      <w:r w:rsidRPr="00F3501B">
        <w:rPr>
          <w:rFonts w:ascii="Times New Roman" w:hAnsi="Times New Roman"/>
          <w:color w:val="111111"/>
          <w:sz w:val="24"/>
          <w:szCs w:val="24"/>
          <w:lang w:eastAsia="en-GB"/>
        </w:rPr>
        <w:t> </w:t>
      </w:r>
    </w:p>
    <w:p w14:paraId="73FECFAC"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w:t>
      </w:r>
      <w:r w:rsidRPr="00F3501B">
        <w:rPr>
          <w:rFonts w:ascii="Times New Roman" w:hAnsi="Times New Roman"/>
          <w:color w:val="676767"/>
          <w:sz w:val="24"/>
          <w:szCs w:val="24"/>
          <w:shd w:val="clear" w:color="auto" w:fill="FFFFFF"/>
        </w:rPr>
        <w:t>The cash ratio, sometimes referred to as the cash asset ratio, is a liquidity metric that indicates a company’s capacity to pay off </w:t>
      </w:r>
      <w:r w:rsidRPr="00F3501B">
        <w:rPr>
          <w:rFonts w:ascii="Times New Roman" w:hAnsi="Times New Roman"/>
          <w:color w:val="676767"/>
          <w:sz w:val="24"/>
          <w:szCs w:val="24"/>
        </w:rPr>
        <w:t>short-term debt obligations</w:t>
      </w:r>
      <w:r w:rsidRPr="00F3501B">
        <w:rPr>
          <w:rFonts w:ascii="Times New Roman" w:hAnsi="Times New Roman"/>
          <w:color w:val="676767"/>
          <w:sz w:val="24"/>
          <w:szCs w:val="24"/>
          <w:shd w:val="clear" w:color="auto" w:fill="FFFFFF"/>
        </w:rPr>
        <w:t> with its cash and cash equivalents. Compared to other liquidity ratios such as the </w:t>
      </w:r>
      <w:r w:rsidRPr="00F3501B">
        <w:rPr>
          <w:rFonts w:ascii="Times New Roman" w:hAnsi="Times New Roman"/>
          <w:color w:val="676767"/>
          <w:sz w:val="24"/>
          <w:szCs w:val="24"/>
        </w:rPr>
        <w:t>current ratio</w:t>
      </w:r>
      <w:r w:rsidRPr="00F3501B">
        <w:rPr>
          <w:rFonts w:ascii="Times New Roman" w:hAnsi="Times New Roman"/>
          <w:color w:val="676767"/>
          <w:sz w:val="24"/>
          <w:szCs w:val="24"/>
          <w:shd w:val="clear" w:color="auto" w:fill="FFFFFF"/>
        </w:rPr>
        <w:t> and </w:t>
      </w:r>
      <w:r w:rsidRPr="00F3501B">
        <w:rPr>
          <w:rFonts w:ascii="Times New Roman" w:hAnsi="Times New Roman"/>
          <w:color w:val="676767"/>
          <w:sz w:val="24"/>
          <w:szCs w:val="24"/>
        </w:rPr>
        <w:t>quick ratio</w:t>
      </w:r>
      <w:r w:rsidRPr="00F3501B">
        <w:rPr>
          <w:rFonts w:ascii="Times New Roman" w:hAnsi="Times New Roman"/>
          <w:color w:val="676767"/>
          <w:sz w:val="24"/>
          <w:szCs w:val="24"/>
          <w:shd w:val="clear" w:color="auto" w:fill="FFFFFF"/>
        </w:rPr>
        <w:t>, the cash ratio is a stricter, more conservative measure because only cash and cash equivalents – a company’s most liquid assets – are used in the calculation.</w:t>
      </w:r>
      <w:r w:rsidRPr="00F3501B">
        <w:rPr>
          <w:rFonts w:ascii="Times New Roman" w:hAnsi="Times New Roman"/>
          <w:color w:val="111111"/>
          <w:sz w:val="24"/>
          <w:szCs w:val="24"/>
          <w:lang w:eastAsia="en-GB"/>
        </w:rPr>
        <w:t>”</w:t>
      </w:r>
    </w:p>
    <w:p w14:paraId="1171FBB7" w14:textId="77777777" w:rsidR="00F3501B" w:rsidRPr="00F3501B" w:rsidRDefault="00F3501B" w:rsidP="00F3501B">
      <w:pPr>
        <w:pStyle w:val="NoSpacing"/>
        <w:spacing w:line="360" w:lineRule="auto"/>
        <w:rPr>
          <w:rFonts w:ascii="Times New Roman" w:hAnsi="Times New Roman"/>
          <w:color w:val="222222"/>
          <w:sz w:val="24"/>
          <w:szCs w:val="24"/>
          <w:shd w:val="clear" w:color="auto" w:fill="FFFFFF"/>
        </w:rPr>
      </w:pPr>
      <w:r w:rsidRPr="00F3501B">
        <w:rPr>
          <w:rFonts w:ascii="Times New Roman" w:hAnsi="Times New Roman"/>
          <w:color w:val="222222"/>
          <w:sz w:val="24"/>
          <w:szCs w:val="24"/>
          <w:shd w:val="clear" w:color="auto" w:fill="FFFFFF"/>
        </w:rPr>
        <w:t xml:space="preserve"> “In general, however, most analysts don't use the cash ratio. Not only does it presume a degree of risk that is uncommon, but it also gives value to cash and short-term securities that overestimates their utility in a well-run company.”</w:t>
      </w:r>
    </w:p>
    <w:p w14:paraId="5CD24344"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w:t>
      </w:r>
      <w:r w:rsidRPr="00F3501B">
        <w:rPr>
          <w:rFonts w:ascii="Times New Roman" w:hAnsi="Times New Roman"/>
          <w:color w:val="222222"/>
          <w:sz w:val="24"/>
          <w:szCs w:val="24"/>
          <w:shd w:val="clear" w:color="auto" w:fill="FFFFFF"/>
        </w:rPr>
        <w:t>A company with too much cash and heavily weighted in short-term securities is unlikely to be highly profitable.</w:t>
      </w:r>
      <w:r w:rsidRPr="00F3501B">
        <w:rPr>
          <w:rFonts w:ascii="Times New Roman" w:hAnsi="Times New Roman"/>
          <w:color w:val="111111"/>
          <w:sz w:val="24"/>
          <w:szCs w:val="24"/>
          <w:lang w:eastAsia="en-GB"/>
        </w:rPr>
        <w:t>”</w:t>
      </w:r>
    </w:p>
    <w:p w14:paraId="096B72DB" w14:textId="77777777" w:rsidR="00F3501B" w:rsidRPr="00F3501B" w:rsidRDefault="00F3501B" w:rsidP="00F3501B">
      <w:pPr>
        <w:pStyle w:val="NoSpacing"/>
        <w:spacing w:line="360" w:lineRule="auto"/>
        <w:rPr>
          <w:rFonts w:ascii="Times New Roman" w:hAnsi="Times New Roman"/>
          <w:color w:val="111111"/>
          <w:sz w:val="24"/>
          <w:szCs w:val="24"/>
          <w:lang w:eastAsia="en-GB"/>
        </w:rPr>
      </w:pPr>
      <w:r w:rsidRPr="00F3501B">
        <w:rPr>
          <w:rFonts w:ascii="Times New Roman" w:hAnsi="Times New Roman"/>
          <w:color w:val="111111"/>
          <w:sz w:val="24"/>
          <w:szCs w:val="24"/>
          <w:lang w:eastAsia="en-GB"/>
        </w:rPr>
        <w:t>“</w:t>
      </w:r>
      <w:r w:rsidRPr="00F3501B">
        <w:rPr>
          <w:rFonts w:ascii="Times New Roman" w:hAnsi="Times New Roman"/>
          <w:color w:val="000000"/>
          <w:sz w:val="24"/>
          <w:szCs w:val="24"/>
          <w:shd w:val="clear" w:color="auto" w:fill="FFFFFF"/>
        </w:rPr>
        <w:t>If the cash ratio is under (over) 1, this implies that the company won't (will) have enough cash on hand to pay off current liabilities.</w:t>
      </w:r>
      <w:r w:rsidRPr="00F3501B">
        <w:rPr>
          <w:rFonts w:ascii="Times New Roman" w:hAnsi="Times New Roman"/>
          <w:color w:val="111111"/>
          <w:sz w:val="24"/>
          <w:szCs w:val="24"/>
          <w:lang w:eastAsia="en-GB"/>
        </w:rPr>
        <w:t>”</w:t>
      </w:r>
    </w:p>
    <w:p w14:paraId="7A21E54A" w14:textId="77777777" w:rsidR="00F3501B" w:rsidRPr="00F3501B" w:rsidRDefault="00F3501B" w:rsidP="00F3501B">
      <w:pPr>
        <w:pStyle w:val="NoSpacing"/>
        <w:spacing w:line="360" w:lineRule="auto"/>
        <w:rPr>
          <w:rFonts w:ascii="Times New Roman" w:hAnsi="Times New Roman"/>
          <w:color w:val="444444"/>
          <w:sz w:val="24"/>
          <w:szCs w:val="24"/>
          <w:lang w:eastAsia="en-GB"/>
        </w:rPr>
      </w:pPr>
    </w:p>
    <w:p w14:paraId="01664EC2" w14:textId="77777777" w:rsidR="00F3501B" w:rsidRPr="00F3501B" w:rsidRDefault="00F3501B" w:rsidP="00F3501B">
      <w:pPr>
        <w:pStyle w:val="NoSpacing"/>
        <w:spacing w:line="360" w:lineRule="auto"/>
        <w:rPr>
          <w:rFonts w:ascii="Times New Roman" w:hAnsi="Times New Roman"/>
          <w:color w:val="444444"/>
          <w:sz w:val="24"/>
          <w:szCs w:val="24"/>
          <w:lang w:eastAsia="en-GB"/>
        </w:rPr>
      </w:pPr>
      <w:r w:rsidRPr="00F3501B">
        <w:rPr>
          <w:rFonts w:ascii="Times New Roman" w:hAnsi="Times New Roman"/>
          <w:color w:val="444444"/>
          <w:sz w:val="24"/>
          <w:szCs w:val="24"/>
          <w:lang w:eastAsia="en-GB"/>
        </w:rPr>
        <w:lastRenderedPageBreak/>
        <w:t>“The fixed assets turnover ratio measures the efficiency of a company’s long-term capital investments. It reflects the level of sales generated by investments in productive capacity. Interpreting fixed </w:t>
      </w:r>
      <w:r w:rsidRPr="00F3501B">
        <w:rPr>
          <w:rFonts w:ascii="Times New Roman" w:hAnsi="Times New Roman"/>
          <w:sz w:val="24"/>
          <w:szCs w:val="24"/>
          <w:bdr w:val="none" w:sz="0" w:space="0" w:color="auto" w:frame="1"/>
          <w:lang w:eastAsia="en-GB"/>
        </w:rPr>
        <w:t>asset turnover ratio</w:t>
      </w:r>
      <w:r w:rsidRPr="00F3501B">
        <w:rPr>
          <w:rFonts w:ascii="Times New Roman" w:hAnsi="Times New Roman"/>
          <w:sz w:val="24"/>
          <w:szCs w:val="24"/>
          <w:lang w:eastAsia="en-GB"/>
        </w:rPr>
        <w:t> </w:t>
      </w:r>
      <w:r w:rsidRPr="00F3501B">
        <w:rPr>
          <w:rFonts w:ascii="Times New Roman" w:hAnsi="Times New Roman"/>
          <w:color w:val="444444"/>
          <w:sz w:val="24"/>
          <w:szCs w:val="24"/>
          <w:lang w:eastAsia="en-GB"/>
        </w:rPr>
        <w:t>is tricky. This is because this ratio is affected by many circumstances such as life cycle of a company, life cycle of a product, initial plant capacity &amp; relative sales. Thus, all else equal, the higher the total asset turnover, the better.”</w:t>
      </w:r>
    </w:p>
    <w:p w14:paraId="4CE81A27" w14:textId="77777777" w:rsidR="00F3501B" w:rsidRPr="00F3501B" w:rsidRDefault="00F3501B" w:rsidP="00F3501B">
      <w:pPr>
        <w:pStyle w:val="NoSpacing"/>
        <w:spacing w:line="360" w:lineRule="auto"/>
        <w:rPr>
          <w:rFonts w:ascii="Times New Roman" w:hAnsi="Times New Roman"/>
          <w:color w:val="444444"/>
          <w:sz w:val="24"/>
          <w:szCs w:val="24"/>
          <w:lang w:eastAsia="en-GB"/>
        </w:rPr>
      </w:pPr>
    </w:p>
    <w:p w14:paraId="7F40346A" w14:textId="77777777" w:rsidR="00F3501B" w:rsidRPr="00F3501B" w:rsidRDefault="00F3501B" w:rsidP="00F3501B">
      <w:pPr>
        <w:pStyle w:val="NoSpacing"/>
        <w:spacing w:line="360" w:lineRule="auto"/>
        <w:rPr>
          <w:rFonts w:ascii="Times New Roman" w:hAnsi="Times New Roman"/>
          <w:color w:val="444444"/>
          <w:sz w:val="24"/>
          <w:szCs w:val="24"/>
          <w:lang w:eastAsia="en-GB"/>
        </w:rPr>
      </w:pPr>
      <w:r w:rsidRPr="00F3501B">
        <w:rPr>
          <w:rFonts w:ascii="Times New Roman" w:hAnsi="Times New Roman"/>
          <w:color w:val="444444"/>
          <w:sz w:val="24"/>
          <w:szCs w:val="24"/>
          <w:lang w:eastAsia="en-GB"/>
        </w:rPr>
        <w:t xml:space="preserve"> “</w:t>
      </w:r>
      <w:r w:rsidRPr="00F3501B">
        <w:rPr>
          <w:rFonts w:ascii="Times New Roman" w:hAnsi="Times New Roman"/>
          <w:color w:val="676767"/>
          <w:sz w:val="24"/>
          <w:szCs w:val="24"/>
          <w:shd w:val="clear" w:color="auto" w:fill="FFFFFF"/>
        </w:rPr>
        <w:t>A leverage ratio is any kind of </w:t>
      </w:r>
      <w:r w:rsidRPr="00F3501B">
        <w:rPr>
          <w:rFonts w:ascii="Times New Roman" w:hAnsi="Times New Roman"/>
          <w:color w:val="676767"/>
          <w:sz w:val="24"/>
          <w:szCs w:val="24"/>
        </w:rPr>
        <w:t>financial ratio</w:t>
      </w:r>
      <w:r w:rsidRPr="00F3501B">
        <w:rPr>
          <w:rFonts w:ascii="Times New Roman" w:hAnsi="Times New Roman"/>
          <w:color w:val="676767"/>
          <w:sz w:val="24"/>
          <w:szCs w:val="24"/>
          <w:shd w:val="clear" w:color="auto" w:fill="FFFFFF"/>
        </w:rPr>
        <w:t> that indicates the level of debt incurred by a business entity against several other accounts in its </w:t>
      </w:r>
      <w:r w:rsidRPr="00F3501B">
        <w:rPr>
          <w:rFonts w:ascii="Times New Roman" w:hAnsi="Times New Roman"/>
          <w:color w:val="676767"/>
          <w:sz w:val="24"/>
          <w:szCs w:val="24"/>
        </w:rPr>
        <w:t>balance sheet</w:t>
      </w:r>
      <w:r w:rsidRPr="00F3501B">
        <w:rPr>
          <w:rFonts w:ascii="Times New Roman" w:hAnsi="Times New Roman"/>
          <w:color w:val="676767"/>
          <w:sz w:val="24"/>
          <w:szCs w:val="24"/>
          <w:shd w:val="clear" w:color="auto" w:fill="FFFFFF"/>
        </w:rPr>
        <w:t>, </w:t>
      </w:r>
      <w:r w:rsidRPr="00F3501B">
        <w:rPr>
          <w:rFonts w:ascii="Times New Roman" w:hAnsi="Times New Roman"/>
          <w:color w:val="676767"/>
          <w:sz w:val="24"/>
          <w:szCs w:val="24"/>
        </w:rPr>
        <w:t>income statement</w:t>
      </w:r>
      <w:r w:rsidRPr="00F3501B">
        <w:rPr>
          <w:rFonts w:ascii="Times New Roman" w:hAnsi="Times New Roman"/>
          <w:color w:val="676767"/>
          <w:sz w:val="24"/>
          <w:szCs w:val="24"/>
          <w:shd w:val="clear" w:color="auto" w:fill="FFFFFF"/>
        </w:rPr>
        <w:t>, or </w:t>
      </w:r>
      <w:r w:rsidRPr="00F3501B">
        <w:rPr>
          <w:rFonts w:ascii="Times New Roman" w:hAnsi="Times New Roman"/>
          <w:color w:val="676767"/>
          <w:sz w:val="24"/>
          <w:szCs w:val="24"/>
        </w:rPr>
        <w:t>cash flow statement</w:t>
      </w:r>
      <w:r w:rsidRPr="00F3501B">
        <w:rPr>
          <w:rFonts w:ascii="Times New Roman" w:hAnsi="Times New Roman"/>
          <w:color w:val="676767"/>
          <w:sz w:val="24"/>
          <w:szCs w:val="24"/>
          <w:shd w:val="clear" w:color="auto" w:fill="FFFFFF"/>
        </w:rPr>
        <w:t>.  These ratios provide an indication of how the company’s assets and business operations are financed (using debt or equity). For the purpose of this work there is considered an illustration of two common leverage ratios: debt/equity and debt/capital.</w:t>
      </w:r>
      <w:r w:rsidRPr="00F3501B">
        <w:rPr>
          <w:rFonts w:ascii="Times New Roman" w:hAnsi="Times New Roman"/>
          <w:color w:val="444444"/>
          <w:sz w:val="24"/>
          <w:szCs w:val="24"/>
          <w:lang w:eastAsia="en-GB"/>
        </w:rPr>
        <w:t>”</w:t>
      </w:r>
    </w:p>
    <w:p w14:paraId="5D27C18A" w14:textId="77777777" w:rsidR="00F3501B" w:rsidRPr="00F3501B" w:rsidRDefault="00F3501B" w:rsidP="00F3501B">
      <w:pPr>
        <w:pStyle w:val="NoSpacing"/>
        <w:spacing w:line="360" w:lineRule="auto"/>
        <w:rPr>
          <w:rFonts w:ascii="Times New Roman" w:hAnsi="Times New Roman"/>
          <w:color w:val="444444"/>
          <w:sz w:val="24"/>
          <w:szCs w:val="24"/>
          <w:lang w:eastAsia="en-GB"/>
        </w:rPr>
      </w:pPr>
    </w:p>
    <w:p w14:paraId="5938AEDC" w14:textId="77777777" w:rsidR="00F3501B" w:rsidRPr="00F3501B" w:rsidRDefault="00F3501B" w:rsidP="00F3501B">
      <w:pPr>
        <w:pStyle w:val="NoSpacing"/>
        <w:spacing w:line="360" w:lineRule="auto"/>
        <w:rPr>
          <w:rFonts w:ascii="Times New Roman" w:hAnsi="Times New Roman"/>
          <w:color w:val="222222"/>
          <w:sz w:val="24"/>
          <w:szCs w:val="24"/>
          <w:lang w:eastAsia="en-GB"/>
        </w:rPr>
      </w:pPr>
      <w:r w:rsidRPr="00F3501B">
        <w:rPr>
          <w:rFonts w:ascii="Times New Roman" w:hAnsi="Times New Roman"/>
          <w:color w:val="444444"/>
          <w:sz w:val="24"/>
          <w:szCs w:val="24"/>
          <w:lang w:eastAsia="en-GB"/>
        </w:rPr>
        <w:t>“</w:t>
      </w:r>
      <w:r w:rsidRPr="00F3501B">
        <w:rPr>
          <w:rFonts w:ascii="Times New Roman" w:hAnsi="Times New Roman"/>
          <w:color w:val="222222"/>
          <w:sz w:val="24"/>
          <w:szCs w:val="24"/>
        </w:rPr>
        <w:t xml:space="preserve">The debt to equity ratio compares a company's total debt to total equity, indicating the percentage of company financing that comes from creditors and investors. A higher debt to equity ratio indicates that more creditor financing (bank loans) is used than investor financing (shareholders). </w:t>
      </w:r>
      <w:r w:rsidRPr="00F3501B">
        <w:rPr>
          <w:rFonts w:ascii="Times New Roman" w:hAnsi="Times New Roman"/>
          <w:color w:val="222222"/>
          <w:sz w:val="24"/>
          <w:szCs w:val="24"/>
          <w:lang w:eastAsia="en-GB"/>
        </w:rPr>
        <w:t>A debt to equity ratio of 1 would mean that investors and creditors have an equal stake in the business assets. A lower debt to equity ratio usually implies a more financially stable business.”</w:t>
      </w:r>
    </w:p>
    <w:p w14:paraId="6E99250E" w14:textId="77777777" w:rsidR="00F3501B" w:rsidRPr="00F3501B" w:rsidRDefault="00F3501B" w:rsidP="00F3501B">
      <w:pPr>
        <w:pStyle w:val="NoSpacing"/>
        <w:spacing w:line="360" w:lineRule="auto"/>
        <w:rPr>
          <w:rFonts w:ascii="Times New Roman" w:hAnsi="Times New Roman"/>
          <w:color w:val="222222"/>
          <w:sz w:val="24"/>
          <w:szCs w:val="24"/>
          <w:lang w:eastAsia="en-GB"/>
        </w:rPr>
      </w:pPr>
    </w:p>
    <w:p w14:paraId="042F82F3" w14:textId="77777777" w:rsidR="00F3501B" w:rsidRPr="00F3501B" w:rsidRDefault="00F3501B" w:rsidP="00F3501B">
      <w:pPr>
        <w:pStyle w:val="NoSpacing"/>
        <w:spacing w:line="360" w:lineRule="auto"/>
        <w:rPr>
          <w:rFonts w:ascii="Times New Roman" w:hAnsi="Times New Roman"/>
          <w:color w:val="222222"/>
          <w:sz w:val="24"/>
          <w:szCs w:val="24"/>
          <w:lang w:eastAsia="en-GB"/>
        </w:rPr>
      </w:pPr>
      <w:r w:rsidRPr="00F3501B">
        <w:rPr>
          <w:rFonts w:ascii="Times New Roman" w:hAnsi="Times New Roman"/>
          <w:color w:val="222222"/>
          <w:sz w:val="24"/>
          <w:szCs w:val="24"/>
          <w:lang w:eastAsia="en-GB"/>
        </w:rPr>
        <w:t>“</w:t>
      </w:r>
      <w:r w:rsidRPr="00F3501B">
        <w:rPr>
          <w:rFonts w:ascii="Times New Roman" w:hAnsi="Times New Roman"/>
          <w:color w:val="747A87"/>
          <w:sz w:val="24"/>
          <w:szCs w:val="24"/>
        </w:rPr>
        <w:t>The debt to capital ratio is a </w:t>
      </w:r>
      <w:r w:rsidRPr="00F3501B">
        <w:rPr>
          <w:rFonts w:ascii="Times New Roman" w:hAnsi="Times New Roman"/>
          <w:sz w:val="24"/>
          <w:szCs w:val="24"/>
          <w:bdr w:val="none" w:sz="0" w:space="0" w:color="auto" w:frame="1"/>
        </w:rPr>
        <w:t>liquidity ratio</w:t>
      </w:r>
      <w:r w:rsidRPr="00F3501B">
        <w:rPr>
          <w:rFonts w:ascii="Times New Roman" w:hAnsi="Times New Roman"/>
          <w:sz w:val="24"/>
          <w:szCs w:val="24"/>
        </w:rPr>
        <w:t> </w:t>
      </w:r>
      <w:r w:rsidRPr="00F3501B">
        <w:rPr>
          <w:rFonts w:ascii="Times New Roman" w:hAnsi="Times New Roman"/>
          <w:color w:val="747A87"/>
          <w:sz w:val="24"/>
          <w:szCs w:val="24"/>
        </w:rPr>
        <w:t xml:space="preserve">that calculates a company’s use of financial leverage by comparing its total obligations to total capital. </w:t>
      </w:r>
      <w:r w:rsidRPr="00F3501B">
        <w:rPr>
          <w:rFonts w:ascii="Times New Roman" w:hAnsi="Times New Roman"/>
          <w:color w:val="747A87"/>
          <w:sz w:val="24"/>
          <w:szCs w:val="24"/>
          <w:lang w:eastAsia="en-GB"/>
        </w:rPr>
        <w:t>A high ratio indicates that the company is extensive using debt to finance its operations; whereas, a low metric means the company raises its funds through current revenues or </w:t>
      </w:r>
      <w:r w:rsidRPr="00F3501B">
        <w:rPr>
          <w:rFonts w:ascii="Times New Roman" w:hAnsi="Times New Roman"/>
          <w:sz w:val="24"/>
          <w:szCs w:val="24"/>
          <w:bdr w:val="none" w:sz="0" w:space="0" w:color="auto" w:frame="1"/>
          <w:lang w:eastAsia="en-GB"/>
        </w:rPr>
        <w:t>shareholders</w:t>
      </w:r>
      <w:r w:rsidRPr="00F3501B">
        <w:rPr>
          <w:rFonts w:ascii="Times New Roman" w:hAnsi="Times New Roman"/>
          <w:sz w:val="24"/>
          <w:szCs w:val="24"/>
          <w:lang w:eastAsia="en-GB"/>
        </w:rPr>
        <w:t>.</w:t>
      </w:r>
      <w:r w:rsidRPr="00F3501B">
        <w:rPr>
          <w:rFonts w:ascii="Times New Roman" w:hAnsi="Times New Roman"/>
          <w:color w:val="747A87"/>
          <w:sz w:val="24"/>
          <w:szCs w:val="24"/>
          <w:lang w:eastAsia="en-GB"/>
        </w:rPr>
        <w:t xml:space="preserve"> Likewise, creditors use this measurement to assess whether the company is suitable for a loan or is too leveraged to afford one.</w:t>
      </w:r>
      <w:r w:rsidRPr="00F3501B">
        <w:rPr>
          <w:rFonts w:ascii="Times New Roman" w:hAnsi="Times New Roman"/>
          <w:color w:val="222222"/>
          <w:sz w:val="24"/>
          <w:szCs w:val="24"/>
          <w:lang w:eastAsia="en-GB"/>
        </w:rPr>
        <w:t>”</w:t>
      </w:r>
    </w:p>
    <w:p w14:paraId="2DBF574E" w14:textId="77777777" w:rsidR="00F3501B" w:rsidRPr="00F3501B" w:rsidRDefault="00F3501B" w:rsidP="00F3501B">
      <w:pPr>
        <w:pStyle w:val="NoSpacing"/>
        <w:spacing w:line="360" w:lineRule="auto"/>
        <w:rPr>
          <w:rFonts w:ascii="Times New Roman" w:hAnsi="Times New Roman"/>
          <w:color w:val="222222"/>
          <w:sz w:val="24"/>
          <w:szCs w:val="24"/>
          <w:lang w:eastAsia="en-GB"/>
        </w:rPr>
      </w:pPr>
    </w:p>
    <w:p w14:paraId="62787EBD" w14:textId="1AE3E7EA" w:rsidR="006D6699" w:rsidRPr="00F3501B" w:rsidRDefault="006D6699" w:rsidP="00F3501B">
      <w:pPr>
        <w:rPr>
          <w:rFonts w:ascii="Times New Roman" w:hAnsi="Times New Roman"/>
          <w:sz w:val="24"/>
          <w:szCs w:val="24"/>
          <w:shd w:val="clear" w:color="auto" w:fill="FFFFFF"/>
        </w:rPr>
      </w:pPr>
      <w:r w:rsidRPr="00F3501B">
        <w:rPr>
          <w:rFonts w:ascii="Times New Roman" w:hAnsi="Times New Roman"/>
          <w:sz w:val="24"/>
          <w:szCs w:val="24"/>
          <w:shd w:val="clear" w:color="auto" w:fill="FFFFFF"/>
        </w:rPr>
        <w:t>In the latest Annual Report of B</w:t>
      </w:r>
      <w:r w:rsidR="00A36F6E">
        <w:rPr>
          <w:rFonts w:ascii="Times New Roman" w:hAnsi="Times New Roman"/>
          <w:sz w:val="24"/>
          <w:szCs w:val="24"/>
          <w:shd w:val="clear" w:color="auto" w:fill="FFFFFF"/>
        </w:rPr>
        <w:t>P</w:t>
      </w:r>
      <w:r w:rsidRPr="00F3501B">
        <w:rPr>
          <w:rFonts w:ascii="Times New Roman" w:hAnsi="Times New Roman"/>
          <w:sz w:val="24"/>
          <w:szCs w:val="24"/>
          <w:shd w:val="clear" w:color="auto" w:fill="FFFFFF"/>
        </w:rPr>
        <w:t xml:space="preserve"> there are detailed key financial results. </w:t>
      </w:r>
    </w:p>
    <w:p w14:paraId="43A30E13" w14:textId="77777777" w:rsidR="006D6699" w:rsidRPr="00F3501B" w:rsidRDefault="006D6699" w:rsidP="00F3501B">
      <w:pPr>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“Financial performance of the company over the last 5 years is depicting fluctuating trend as its net revenues has continuously been increasing and on the other hand, profits have declined. Financial performance of BP is evaluated with using different categories of ratios, including long term capital, liquidity, investors, financial risk/working capital management, and profitability and cash flow ratios. </w:t>
      </w:r>
      <w:proofErr w:type="gramStart"/>
      <w:r w:rsidRPr="00F3501B">
        <w:rPr>
          <w:rFonts w:ascii="Times New Roman" w:hAnsi="Times New Roman"/>
          <w:sz w:val="24"/>
          <w:szCs w:val="24"/>
          <w:shd w:val="clear" w:color="auto" w:fill="FFFFFF"/>
        </w:rPr>
        <w:t>On the basis of</w:t>
      </w:r>
      <w:proofErr w:type="gramEnd"/>
      <w:r w:rsidRPr="00F3501B">
        <w:rPr>
          <w:rFonts w:ascii="Times New Roman" w:hAnsi="Times New Roman"/>
          <w:sz w:val="24"/>
          <w:szCs w:val="24"/>
          <w:shd w:val="clear" w:color="auto" w:fill="FFFFFF"/>
        </w:rPr>
        <w:t xml:space="preserve"> ratio analysis, it is evaluated that BP’s financial position is not satisfactory although it has enough liquid funds as compared to other rivalry firms.”</w:t>
      </w:r>
    </w:p>
    <w:p w14:paraId="615FBA94" w14:textId="7E8D6D6B" w:rsidR="006D6699" w:rsidRPr="00F3501B" w:rsidRDefault="006D6699" w:rsidP="00F3501B">
      <w:pPr>
        <w:rPr>
          <w:rFonts w:ascii="Times New Roman" w:hAnsi="Times New Roman"/>
          <w:sz w:val="24"/>
          <w:szCs w:val="24"/>
        </w:rPr>
      </w:pPr>
      <w:r w:rsidRPr="00F3501B">
        <w:rPr>
          <w:rFonts w:ascii="Times New Roman" w:hAnsi="Times New Roman"/>
          <w:sz w:val="24"/>
          <w:szCs w:val="24"/>
        </w:rPr>
        <w:lastRenderedPageBreak/>
        <w:t>“BP’s financial framework sets a number of parameters in support of growing shareholder value, distributions and returns, while maintaining a strong balance sheet.</w:t>
      </w:r>
      <w:r w:rsidR="00D40C5E" w:rsidRPr="00F3501B">
        <w:rPr>
          <w:rFonts w:ascii="Times New Roman" w:hAnsi="Times New Roman"/>
          <w:sz w:val="24"/>
          <w:szCs w:val="24"/>
        </w:rPr>
        <w:t>”</w:t>
      </w:r>
    </w:p>
    <w:p w14:paraId="3085AB24"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“The group’s principal commodities, oil and gas, are priced internationally in US dollars. Group policy has generally been to minimize economic exposure to currency movements by financing operations with US dollar debt. Where debt is issued in other currencies, including euros, it is generally swapped back to US dollars using derivative contracts, or else hedged by maintaining offsetting cash positions in the same currency. Cash balances of the group are mainly held in US dollars or swapped to US dollars and holdings are well diversified to reduce concentration risk. The group is not, therefore, exposed to significant currency risk regarding its cash or borrowings.”</w:t>
      </w:r>
    </w:p>
    <w:p w14:paraId="130342B9"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“The group’s gross debt at 31 December 2018 amounted to $65.8 billion (2017 $63.2 billion). Of the total gross debt, $9.4 billion is classified as short term at the end of 2018 (2017 $7.7 billion).”</w:t>
      </w:r>
    </w:p>
    <w:p w14:paraId="7F2360F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“BP utilizes various arrangements in order to manage its working capital including discounting of receivables and, in the supply and trading business, the active management of supplier payment terms, inventory and collateral.”</w:t>
      </w:r>
    </w:p>
    <w:p w14:paraId="0B4CA314"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“Standard &amp; Poor’s Ratings’ long-term credit rating for BP is A- (stable outlook) and the Moody’s Investors Service rating is A1 (stable outlook).”</w:t>
      </w:r>
    </w:p>
    <w:p w14:paraId="52B94C88" w14:textId="77777777" w:rsidR="006D6699" w:rsidRPr="00F3501B" w:rsidRDefault="006D6699" w:rsidP="00F3501B">
      <w:pPr>
        <w:rPr>
          <w:rFonts w:ascii="Times New Roman" w:hAnsi="Times New Roman"/>
          <w:sz w:val="24"/>
          <w:szCs w:val="24"/>
        </w:rPr>
      </w:pPr>
    </w:p>
    <w:p w14:paraId="5B2CCA6B" w14:textId="77777777" w:rsidR="006D6699" w:rsidRPr="00F3501B" w:rsidRDefault="006D6699" w:rsidP="00F3501B">
      <w:pPr>
        <w:pStyle w:val="Heading2"/>
        <w:rPr>
          <w:rFonts w:ascii="Times New Roman" w:hAnsi="Times New Roman"/>
          <w:color w:val="auto"/>
          <w:sz w:val="24"/>
          <w:szCs w:val="24"/>
        </w:rPr>
      </w:pPr>
      <w:bookmarkStart w:id="11" w:name="_Toc30186924"/>
      <w:r w:rsidRPr="00F3501B">
        <w:rPr>
          <w:rFonts w:ascii="Times New Roman" w:hAnsi="Times New Roman"/>
          <w:color w:val="auto"/>
          <w:sz w:val="24"/>
          <w:szCs w:val="24"/>
        </w:rPr>
        <w:t>Comparison to a major competitor</w:t>
      </w:r>
      <w:bookmarkEnd w:id="11"/>
    </w:p>
    <w:p w14:paraId="605E4828" w14:textId="77777777" w:rsidR="006D6699" w:rsidRPr="00F3501B" w:rsidRDefault="006D6699" w:rsidP="00F3501B">
      <w:pPr>
        <w:rPr>
          <w:rFonts w:ascii="Times New Roman" w:hAnsi="Times New Roman"/>
          <w:sz w:val="24"/>
          <w:szCs w:val="24"/>
        </w:rPr>
      </w:pPr>
    </w:p>
    <w:p w14:paraId="1C0305D8" w14:textId="4BAECBAA" w:rsidR="006D6699" w:rsidRPr="00F3501B" w:rsidRDefault="006D6699" w:rsidP="00F3501B">
      <w:pPr>
        <w:rPr>
          <w:rFonts w:ascii="Times New Roman" w:hAnsi="Times New Roman"/>
          <w:sz w:val="24"/>
          <w:szCs w:val="24"/>
        </w:rPr>
      </w:pPr>
      <w:r w:rsidRPr="00F3501B">
        <w:rPr>
          <w:rFonts w:ascii="Times New Roman" w:hAnsi="Times New Roman"/>
          <w:sz w:val="24"/>
          <w:szCs w:val="24"/>
        </w:rPr>
        <w:t>One major competitor of BP is Chevron.</w:t>
      </w:r>
    </w:p>
    <w:p w14:paraId="502F3551" w14:textId="77777777" w:rsidR="001949BE" w:rsidRPr="00F3501B" w:rsidRDefault="001949BE" w:rsidP="00F3501B">
      <w:pPr>
        <w:rPr>
          <w:rFonts w:ascii="Times New Roman" w:hAnsi="Times New Roman"/>
          <w:sz w:val="24"/>
          <w:szCs w:val="24"/>
        </w:rPr>
      </w:pPr>
    </w:p>
    <w:p w14:paraId="3E064548" w14:textId="6E4E62BF" w:rsidR="001949BE" w:rsidRPr="00F3501B" w:rsidRDefault="001949BE" w:rsidP="00F3501B">
      <w:pPr>
        <w:rPr>
          <w:rFonts w:ascii="Times New Roman" w:hAnsi="Times New Roman"/>
          <w:sz w:val="24"/>
          <w:szCs w:val="24"/>
        </w:rPr>
      </w:pPr>
      <w:r w:rsidRPr="00F3501B">
        <w:rPr>
          <w:rFonts w:ascii="Times New Roman" w:hAnsi="Times New Roman"/>
          <w:sz w:val="24"/>
          <w:szCs w:val="24"/>
        </w:rPr>
        <w:t xml:space="preserve">The company was founded in 1984 but its origins can be traced back to 1879 when Pacific Coast Oil Company was built. The company was acquired by Standard Oil Co (part of its parent corporation Standard Oil), which then rebranded the division as </w:t>
      </w:r>
      <w:proofErr w:type="spellStart"/>
      <w:r w:rsidRPr="00F3501B">
        <w:rPr>
          <w:rFonts w:ascii="Times New Roman" w:hAnsi="Times New Roman"/>
          <w:sz w:val="24"/>
          <w:szCs w:val="24"/>
        </w:rPr>
        <w:t>SoCal</w:t>
      </w:r>
      <w:proofErr w:type="spellEnd"/>
      <w:r w:rsidRPr="00F3501B">
        <w:rPr>
          <w:rFonts w:ascii="Times New Roman" w:hAnsi="Times New Roman"/>
          <w:sz w:val="24"/>
          <w:szCs w:val="24"/>
        </w:rPr>
        <w:t xml:space="preserve">. This is when the Chevron brand was introduced by some of its product lines. The proposal to rebrand the new company as Chevron Petroleum was taken when Gulf Oil and </w:t>
      </w:r>
      <w:proofErr w:type="spellStart"/>
      <w:r w:rsidRPr="00F3501B">
        <w:rPr>
          <w:rFonts w:ascii="Times New Roman" w:hAnsi="Times New Roman"/>
          <w:sz w:val="24"/>
          <w:szCs w:val="24"/>
        </w:rPr>
        <w:t>SoCal</w:t>
      </w:r>
      <w:proofErr w:type="spellEnd"/>
      <w:r w:rsidRPr="00F3501B">
        <w:rPr>
          <w:rFonts w:ascii="Times New Roman" w:hAnsi="Times New Roman"/>
          <w:sz w:val="24"/>
          <w:szCs w:val="24"/>
        </w:rPr>
        <w:t xml:space="preserve"> merged in 1984. In 2000, Chevron purchased Texaco through a $45 billion deal that created the United States ' second-largest oil corporation and the world's fourth-largest publicly traded energy business.</w:t>
      </w:r>
    </w:p>
    <w:p w14:paraId="0BC81A18" w14:textId="77777777" w:rsidR="001949BE" w:rsidRPr="00F3501B" w:rsidRDefault="001949BE" w:rsidP="00F3501B">
      <w:pPr>
        <w:rPr>
          <w:rFonts w:ascii="Times New Roman" w:hAnsi="Times New Roman"/>
          <w:sz w:val="24"/>
          <w:szCs w:val="24"/>
        </w:rPr>
      </w:pPr>
    </w:p>
    <w:p w14:paraId="3B03E4BE" w14:textId="0AC5F1DB" w:rsidR="006D6699" w:rsidRDefault="006D6699" w:rsidP="00F3501B">
      <w:pPr>
        <w:rPr>
          <w:rFonts w:ascii="Times New Roman" w:hAnsi="Times New Roman"/>
          <w:sz w:val="24"/>
          <w:szCs w:val="24"/>
        </w:rPr>
      </w:pPr>
      <w:r w:rsidRPr="00F3501B">
        <w:rPr>
          <w:rFonts w:ascii="Times New Roman" w:hAnsi="Times New Roman"/>
          <w:sz w:val="24"/>
          <w:szCs w:val="24"/>
        </w:rPr>
        <w:lastRenderedPageBreak/>
        <w:t>Considering all the above presented about key financial ratios, having in view the information detailed in the Annual Report for 2018 (included in Income Statement and Balance Sheet) of Chevron the corresponding values are calculated in the table:</w:t>
      </w:r>
    </w:p>
    <w:p w14:paraId="66DC1D46" w14:textId="77777777" w:rsidR="002E5CEF" w:rsidRPr="00F3501B" w:rsidRDefault="002E5CEF" w:rsidP="00F3501B">
      <w:pPr>
        <w:rPr>
          <w:rFonts w:ascii="Times New Roman" w:hAnsi="Times New Roman"/>
          <w:sz w:val="24"/>
          <w:szCs w:val="24"/>
        </w:rPr>
      </w:pPr>
    </w:p>
    <w:tbl>
      <w:tblPr>
        <w:tblStyle w:val="TableGrid"/>
        <w:tblW w:w="0" w:type="auto"/>
        <w:tblLook w:val="04A0" w:firstRow="1" w:lastRow="0" w:firstColumn="1" w:lastColumn="0" w:noHBand="0" w:noVBand="1"/>
      </w:tblPr>
      <w:tblGrid>
        <w:gridCol w:w="4508"/>
        <w:gridCol w:w="4508"/>
      </w:tblGrid>
      <w:tr w:rsidR="006D6699" w:rsidRPr="00F3501B" w14:paraId="3B2B3F32" w14:textId="77777777" w:rsidTr="000D6524">
        <w:tc>
          <w:tcPr>
            <w:tcW w:w="4508" w:type="dxa"/>
          </w:tcPr>
          <w:p w14:paraId="1F6B2C7C" w14:textId="77777777" w:rsidR="006D6699" w:rsidRPr="00F3501B" w:rsidRDefault="006D6699" w:rsidP="00F3501B">
            <w:pPr>
              <w:spacing w:line="360" w:lineRule="auto"/>
              <w:rPr>
                <w:rFonts w:ascii="Times New Roman" w:hAnsi="Times New Roman"/>
                <w:sz w:val="24"/>
                <w:szCs w:val="24"/>
              </w:rPr>
            </w:pPr>
            <w:bookmarkStart w:id="12" w:name="_Hlk30174856"/>
            <w:r w:rsidRPr="00F3501B">
              <w:rPr>
                <w:rFonts w:ascii="Times New Roman" w:hAnsi="Times New Roman"/>
                <w:sz w:val="24"/>
                <w:szCs w:val="24"/>
              </w:rPr>
              <w:t>Gross Margin</w:t>
            </w:r>
          </w:p>
        </w:tc>
        <w:tc>
          <w:tcPr>
            <w:tcW w:w="4508" w:type="dxa"/>
          </w:tcPr>
          <w:p w14:paraId="6D96544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40.21</w:t>
            </w:r>
          </w:p>
        </w:tc>
      </w:tr>
      <w:tr w:rsidR="006D6699" w:rsidRPr="00F3501B" w14:paraId="6144D595" w14:textId="77777777" w:rsidTr="000D6524">
        <w:tc>
          <w:tcPr>
            <w:tcW w:w="4508" w:type="dxa"/>
          </w:tcPr>
          <w:p w14:paraId="0524252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Operating Margin</w:t>
            </w:r>
          </w:p>
        </w:tc>
        <w:tc>
          <w:tcPr>
            <w:tcW w:w="4508" w:type="dxa"/>
          </w:tcPr>
          <w:p w14:paraId="56B10CC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12.36</w:t>
            </w:r>
          </w:p>
        </w:tc>
      </w:tr>
      <w:tr w:rsidR="006D6699" w:rsidRPr="00F3501B" w14:paraId="02450041" w14:textId="77777777" w:rsidTr="000D6524">
        <w:tc>
          <w:tcPr>
            <w:tcW w:w="4508" w:type="dxa"/>
          </w:tcPr>
          <w:p w14:paraId="28C2AF6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Net Profit Margin</w:t>
            </w:r>
          </w:p>
        </w:tc>
        <w:tc>
          <w:tcPr>
            <w:tcW w:w="4508" w:type="dxa"/>
          </w:tcPr>
          <w:p w14:paraId="4FD039C4"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8.91</w:t>
            </w:r>
          </w:p>
        </w:tc>
      </w:tr>
      <w:tr w:rsidR="006D6699" w:rsidRPr="00F3501B" w14:paraId="13FFB218" w14:textId="77777777" w:rsidTr="000D6524">
        <w:tc>
          <w:tcPr>
            <w:tcW w:w="4508" w:type="dxa"/>
          </w:tcPr>
          <w:p w14:paraId="2C276E3E"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Current Ratio</w:t>
            </w:r>
          </w:p>
        </w:tc>
        <w:tc>
          <w:tcPr>
            <w:tcW w:w="4508" w:type="dxa"/>
          </w:tcPr>
          <w:p w14:paraId="7FBD15F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1.2521</w:t>
            </w:r>
          </w:p>
        </w:tc>
      </w:tr>
      <w:tr w:rsidR="00694919" w:rsidRPr="00F3501B" w14:paraId="7B719EE1" w14:textId="77777777" w:rsidTr="000D6524">
        <w:tc>
          <w:tcPr>
            <w:tcW w:w="4508" w:type="dxa"/>
          </w:tcPr>
          <w:p w14:paraId="535FF9CA"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Quick Ratio</w:t>
            </w:r>
          </w:p>
        </w:tc>
        <w:tc>
          <w:tcPr>
            <w:tcW w:w="4508" w:type="dxa"/>
          </w:tcPr>
          <w:p w14:paraId="23FEA7A1" w14:textId="2933E64A"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1.042</w:t>
            </w:r>
          </w:p>
        </w:tc>
      </w:tr>
      <w:tr w:rsidR="00694919" w:rsidRPr="00F3501B" w14:paraId="212824CE" w14:textId="77777777" w:rsidTr="000D6524">
        <w:tc>
          <w:tcPr>
            <w:tcW w:w="4508" w:type="dxa"/>
          </w:tcPr>
          <w:p w14:paraId="50E9244F"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Cash Ratio</w:t>
            </w:r>
          </w:p>
        </w:tc>
        <w:tc>
          <w:tcPr>
            <w:tcW w:w="4508" w:type="dxa"/>
          </w:tcPr>
          <w:p w14:paraId="1B22CD3C" w14:textId="47166E3D"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38%</w:t>
            </w:r>
          </w:p>
        </w:tc>
      </w:tr>
      <w:tr w:rsidR="00694919" w:rsidRPr="00F3501B" w14:paraId="0BEBE02B" w14:textId="77777777" w:rsidTr="000D6524">
        <w:tc>
          <w:tcPr>
            <w:tcW w:w="4508" w:type="dxa"/>
          </w:tcPr>
          <w:p w14:paraId="1C18BA8B"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Debt-Equity Ratio</w:t>
            </w:r>
          </w:p>
        </w:tc>
        <w:tc>
          <w:tcPr>
            <w:tcW w:w="4508" w:type="dxa"/>
          </w:tcPr>
          <w:p w14:paraId="7BB939D0"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0.2214</w:t>
            </w:r>
          </w:p>
        </w:tc>
      </w:tr>
      <w:tr w:rsidR="00694919" w:rsidRPr="00F3501B" w14:paraId="1ED1A7D9" w14:textId="77777777" w:rsidTr="000D6524">
        <w:tc>
          <w:tcPr>
            <w:tcW w:w="4508" w:type="dxa"/>
          </w:tcPr>
          <w:p w14:paraId="730391FB"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Debt-to-Capital Ratio</w:t>
            </w:r>
          </w:p>
        </w:tc>
        <w:tc>
          <w:tcPr>
            <w:tcW w:w="4508" w:type="dxa"/>
          </w:tcPr>
          <w:p w14:paraId="6B044B82"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0.1558</w:t>
            </w:r>
          </w:p>
        </w:tc>
      </w:tr>
      <w:tr w:rsidR="00694919" w:rsidRPr="00F3501B" w14:paraId="56EE8780" w14:textId="77777777" w:rsidTr="000D6524">
        <w:tc>
          <w:tcPr>
            <w:tcW w:w="4508" w:type="dxa"/>
          </w:tcPr>
          <w:p w14:paraId="6C20FFC7"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Assets Turnover Ratio</w:t>
            </w:r>
          </w:p>
        </w:tc>
        <w:tc>
          <w:tcPr>
            <w:tcW w:w="4508" w:type="dxa"/>
          </w:tcPr>
          <w:p w14:paraId="49016E3A"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0.65</w:t>
            </w:r>
          </w:p>
        </w:tc>
      </w:tr>
      <w:tr w:rsidR="00694919" w:rsidRPr="00F3501B" w14:paraId="2BD259FF" w14:textId="77777777" w:rsidTr="000D6524">
        <w:tc>
          <w:tcPr>
            <w:tcW w:w="4508" w:type="dxa"/>
          </w:tcPr>
          <w:p w14:paraId="17D130F0" w14:textId="77777777"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Fixed Assets Turnover Ratio</w:t>
            </w:r>
          </w:p>
        </w:tc>
        <w:tc>
          <w:tcPr>
            <w:tcW w:w="4508" w:type="dxa"/>
          </w:tcPr>
          <w:p w14:paraId="4F4F2F31" w14:textId="10151D8F" w:rsidR="00694919" w:rsidRPr="00F3501B" w:rsidRDefault="00694919" w:rsidP="00F3501B">
            <w:pPr>
              <w:spacing w:line="360" w:lineRule="auto"/>
              <w:rPr>
                <w:rFonts w:ascii="Times New Roman" w:hAnsi="Times New Roman"/>
                <w:sz w:val="24"/>
                <w:szCs w:val="24"/>
              </w:rPr>
            </w:pPr>
            <w:r w:rsidRPr="00F3501B">
              <w:rPr>
                <w:rFonts w:ascii="Times New Roman" w:hAnsi="Times New Roman"/>
                <w:sz w:val="24"/>
                <w:szCs w:val="24"/>
              </w:rPr>
              <w:t>98.30%</w:t>
            </w:r>
          </w:p>
        </w:tc>
      </w:tr>
      <w:bookmarkEnd w:id="12"/>
    </w:tbl>
    <w:p w14:paraId="3FD35464" w14:textId="734982C7" w:rsidR="006D6699" w:rsidRPr="00F3501B" w:rsidRDefault="006D6699" w:rsidP="00F3501B">
      <w:pPr>
        <w:rPr>
          <w:rFonts w:ascii="Times New Roman" w:hAnsi="Times New Roman"/>
          <w:sz w:val="24"/>
          <w:szCs w:val="24"/>
        </w:rPr>
      </w:pPr>
    </w:p>
    <w:p w14:paraId="1C1B1ADB"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Examples of calculations for Chevron:</w:t>
      </w:r>
    </w:p>
    <w:p w14:paraId="56E1FDDA"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 xml:space="preserve">Quick ratio = (34,021 – 5,704) / 27,171 = 28,317 / 27,171 = 1.042 </w:t>
      </w:r>
    </w:p>
    <w:p w14:paraId="36D47A2C"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Cash ratio = 10,345 / 27,171 = 38%</w:t>
      </w:r>
    </w:p>
    <w:p w14:paraId="105FCBFE"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Fixed Assets Turnover = 166,339 / 169,207 = 98.30%</w:t>
      </w:r>
    </w:p>
    <w:p w14:paraId="662B0992" w14:textId="77777777" w:rsidR="006D6699" w:rsidRPr="00F3501B" w:rsidRDefault="006D6699" w:rsidP="00F3501B">
      <w:pPr>
        <w:rPr>
          <w:rFonts w:ascii="Times New Roman" w:hAnsi="Times New Roman"/>
          <w:sz w:val="24"/>
          <w:szCs w:val="24"/>
        </w:rPr>
      </w:pPr>
    </w:p>
    <w:p w14:paraId="2959687B" w14:textId="77777777" w:rsidR="006D6699" w:rsidRPr="00F3501B" w:rsidRDefault="006D6699" w:rsidP="00F3501B">
      <w:pPr>
        <w:rPr>
          <w:rFonts w:ascii="Times New Roman" w:hAnsi="Times New Roman"/>
          <w:sz w:val="24"/>
          <w:szCs w:val="24"/>
        </w:rPr>
      </w:pPr>
      <w:r w:rsidRPr="00F3501B">
        <w:rPr>
          <w:rFonts w:ascii="Times New Roman" w:hAnsi="Times New Roman"/>
          <w:sz w:val="24"/>
          <w:szCs w:val="24"/>
        </w:rPr>
        <w:t>In order to compare the financial performance of the two competitors, BP and Chevron, the next table contains the values of key ratios for the year of 2018.</w:t>
      </w:r>
    </w:p>
    <w:tbl>
      <w:tblPr>
        <w:tblStyle w:val="TableGrid"/>
        <w:tblW w:w="0" w:type="auto"/>
        <w:tblLook w:val="04A0" w:firstRow="1" w:lastRow="0" w:firstColumn="1" w:lastColumn="0" w:noHBand="0" w:noVBand="1"/>
      </w:tblPr>
      <w:tblGrid>
        <w:gridCol w:w="3005"/>
        <w:gridCol w:w="3005"/>
        <w:gridCol w:w="3006"/>
      </w:tblGrid>
      <w:tr w:rsidR="006D6699" w:rsidRPr="00F3501B" w14:paraId="2A6EE848" w14:textId="77777777" w:rsidTr="000D6524">
        <w:tc>
          <w:tcPr>
            <w:tcW w:w="3005" w:type="dxa"/>
          </w:tcPr>
          <w:p w14:paraId="6609FC97" w14:textId="77777777" w:rsidR="006D6699" w:rsidRPr="00F3501B" w:rsidRDefault="006D6699" w:rsidP="00F3501B">
            <w:pPr>
              <w:spacing w:line="360" w:lineRule="auto"/>
              <w:rPr>
                <w:rFonts w:ascii="Times New Roman" w:hAnsi="Times New Roman"/>
                <w:sz w:val="24"/>
                <w:szCs w:val="24"/>
              </w:rPr>
            </w:pPr>
          </w:p>
        </w:tc>
        <w:tc>
          <w:tcPr>
            <w:tcW w:w="3005" w:type="dxa"/>
          </w:tcPr>
          <w:p w14:paraId="282C18C1" w14:textId="0863ECE6"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B</w:t>
            </w:r>
            <w:r w:rsidR="00A36F6E">
              <w:rPr>
                <w:rFonts w:ascii="Times New Roman" w:hAnsi="Times New Roman"/>
                <w:sz w:val="24"/>
                <w:szCs w:val="24"/>
              </w:rPr>
              <w:t>P</w:t>
            </w:r>
          </w:p>
        </w:tc>
        <w:tc>
          <w:tcPr>
            <w:tcW w:w="3006" w:type="dxa"/>
          </w:tcPr>
          <w:p w14:paraId="3EBE6D2B" w14:textId="6D204BAF"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Chevron</w:t>
            </w:r>
          </w:p>
        </w:tc>
      </w:tr>
      <w:tr w:rsidR="006D6699" w:rsidRPr="00F3501B" w14:paraId="0E9334DB" w14:textId="77777777" w:rsidTr="000D6524">
        <w:tc>
          <w:tcPr>
            <w:tcW w:w="3005" w:type="dxa"/>
          </w:tcPr>
          <w:p w14:paraId="7BD1EDF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Gross Margin</w:t>
            </w:r>
          </w:p>
        </w:tc>
        <w:tc>
          <w:tcPr>
            <w:tcW w:w="3005" w:type="dxa"/>
          </w:tcPr>
          <w:p w14:paraId="3FA223F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16.24</w:t>
            </w:r>
          </w:p>
        </w:tc>
        <w:tc>
          <w:tcPr>
            <w:tcW w:w="3006" w:type="dxa"/>
          </w:tcPr>
          <w:p w14:paraId="4A49DC3F"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40.21</w:t>
            </w:r>
          </w:p>
        </w:tc>
      </w:tr>
      <w:tr w:rsidR="006D6699" w:rsidRPr="00F3501B" w14:paraId="4013CA53" w14:textId="77777777" w:rsidTr="000D6524">
        <w:tc>
          <w:tcPr>
            <w:tcW w:w="3005" w:type="dxa"/>
          </w:tcPr>
          <w:p w14:paraId="405F727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Operating Margin</w:t>
            </w:r>
          </w:p>
        </w:tc>
        <w:tc>
          <w:tcPr>
            <w:tcW w:w="3005" w:type="dxa"/>
          </w:tcPr>
          <w:p w14:paraId="28B77FA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6.38</w:t>
            </w:r>
          </w:p>
        </w:tc>
        <w:tc>
          <w:tcPr>
            <w:tcW w:w="3006" w:type="dxa"/>
          </w:tcPr>
          <w:p w14:paraId="22A8C82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12.36</w:t>
            </w:r>
          </w:p>
        </w:tc>
      </w:tr>
      <w:tr w:rsidR="006D6699" w:rsidRPr="00F3501B" w14:paraId="7A64AE74" w14:textId="77777777" w:rsidTr="000D6524">
        <w:tc>
          <w:tcPr>
            <w:tcW w:w="3005" w:type="dxa"/>
          </w:tcPr>
          <w:p w14:paraId="5245AE8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Net Profit Margin</w:t>
            </w:r>
          </w:p>
        </w:tc>
        <w:tc>
          <w:tcPr>
            <w:tcW w:w="3005" w:type="dxa"/>
          </w:tcPr>
          <w:p w14:paraId="5645BC8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3.09</w:t>
            </w:r>
          </w:p>
        </w:tc>
        <w:tc>
          <w:tcPr>
            <w:tcW w:w="3006" w:type="dxa"/>
          </w:tcPr>
          <w:p w14:paraId="4C5F2D9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8.91</w:t>
            </w:r>
          </w:p>
        </w:tc>
      </w:tr>
      <w:tr w:rsidR="006D6699" w:rsidRPr="00F3501B" w14:paraId="2D160C85" w14:textId="77777777" w:rsidTr="000D6524">
        <w:tc>
          <w:tcPr>
            <w:tcW w:w="3005" w:type="dxa"/>
          </w:tcPr>
          <w:p w14:paraId="0385859D"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Current Ratio</w:t>
            </w:r>
          </w:p>
        </w:tc>
        <w:tc>
          <w:tcPr>
            <w:tcW w:w="3005" w:type="dxa"/>
          </w:tcPr>
          <w:p w14:paraId="34639A0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1.05</w:t>
            </w:r>
          </w:p>
        </w:tc>
        <w:tc>
          <w:tcPr>
            <w:tcW w:w="3006" w:type="dxa"/>
          </w:tcPr>
          <w:p w14:paraId="6C19992C"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1.2521</w:t>
            </w:r>
          </w:p>
        </w:tc>
      </w:tr>
      <w:tr w:rsidR="006D6699" w:rsidRPr="00F3501B" w14:paraId="52FB0648" w14:textId="77777777" w:rsidTr="000D6524">
        <w:tc>
          <w:tcPr>
            <w:tcW w:w="3005" w:type="dxa"/>
          </w:tcPr>
          <w:p w14:paraId="41EB149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Quick Ratio</w:t>
            </w:r>
          </w:p>
        </w:tc>
        <w:tc>
          <w:tcPr>
            <w:tcW w:w="3005" w:type="dxa"/>
          </w:tcPr>
          <w:p w14:paraId="7280FF1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78.14%</w:t>
            </w:r>
          </w:p>
        </w:tc>
        <w:tc>
          <w:tcPr>
            <w:tcW w:w="3006" w:type="dxa"/>
          </w:tcPr>
          <w:p w14:paraId="59C76F05"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1.042</w:t>
            </w:r>
          </w:p>
        </w:tc>
      </w:tr>
      <w:tr w:rsidR="006D6699" w:rsidRPr="00F3501B" w14:paraId="5846EB0D" w14:textId="77777777" w:rsidTr="000D6524">
        <w:tc>
          <w:tcPr>
            <w:tcW w:w="3005" w:type="dxa"/>
          </w:tcPr>
          <w:p w14:paraId="032CCE7A"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Cash Ratio</w:t>
            </w:r>
          </w:p>
        </w:tc>
        <w:tc>
          <w:tcPr>
            <w:tcW w:w="3005" w:type="dxa"/>
          </w:tcPr>
          <w:p w14:paraId="68F9DB6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38.9%</w:t>
            </w:r>
          </w:p>
        </w:tc>
        <w:tc>
          <w:tcPr>
            <w:tcW w:w="3006" w:type="dxa"/>
          </w:tcPr>
          <w:p w14:paraId="5462403B"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38%</w:t>
            </w:r>
          </w:p>
        </w:tc>
      </w:tr>
      <w:tr w:rsidR="006D6699" w:rsidRPr="00F3501B" w14:paraId="72EC9F38" w14:textId="77777777" w:rsidTr="000D6524">
        <w:tc>
          <w:tcPr>
            <w:tcW w:w="3005" w:type="dxa"/>
          </w:tcPr>
          <w:p w14:paraId="33B446D6"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Debt-Equity Ratio</w:t>
            </w:r>
          </w:p>
        </w:tc>
        <w:tc>
          <w:tcPr>
            <w:tcW w:w="3005" w:type="dxa"/>
          </w:tcPr>
          <w:p w14:paraId="260E55E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0.56</w:t>
            </w:r>
          </w:p>
        </w:tc>
        <w:tc>
          <w:tcPr>
            <w:tcW w:w="3006" w:type="dxa"/>
          </w:tcPr>
          <w:p w14:paraId="0F02A124"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0.2214</w:t>
            </w:r>
          </w:p>
        </w:tc>
      </w:tr>
      <w:tr w:rsidR="006D6699" w:rsidRPr="00F3501B" w14:paraId="31BC59FE" w14:textId="77777777" w:rsidTr="000D6524">
        <w:tc>
          <w:tcPr>
            <w:tcW w:w="3005" w:type="dxa"/>
          </w:tcPr>
          <w:p w14:paraId="7AA5099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Debt-to-Capital Ratio</w:t>
            </w:r>
          </w:p>
        </w:tc>
        <w:tc>
          <w:tcPr>
            <w:tcW w:w="3005" w:type="dxa"/>
          </w:tcPr>
          <w:p w14:paraId="286D2B5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0.36</w:t>
            </w:r>
          </w:p>
        </w:tc>
        <w:tc>
          <w:tcPr>
            <w:tcW w:w="3006" w:type="dxa"/>
          </w:tcPr>
          <w:p w14:paraId="7F246179"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0.1558</w:t>
            </w:r>
          </w:p>
        </w:tc>
      </w:tr>
      <w:tr w:rsidR="006D6699" w:rsidRPr="00F3501B" w14:paraId="1446121E" w14:textId="77777777" w:rsidTr="000D6524">
        <w:tc>
          <w:tcPr>
            <w:tcW w:w="3005" w:type="dxa"/>
          </w:tcPr>
          <w:p w14:paraId="21D522A4"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Assets Turnover Ratio</w:t>
            </w:r>
          </w:p>
        </w:tc>
        <w:tc>
          <w:tcPr>
            <w:tcW w:w="3005" w:type="dxa"/>
          </w:tcPr>
          <w:p w14:paraId="089EBE5B"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1,0764</w:t>
            </w:r>
          </w:p>
        </w:tc>
        <w:tc>
          <w:tcPr>
            <w:tcW w:w="3006" w:type="dxa"/>
          </w:tcPr>
          <w:p w14:paraId="4CF95531"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0.65</w:t>
            </w:r>
          </w:p>
        </w:tc>
      </w:tr>
      <w:tr w:rsidR="006D6699" w:rsidRPr="00F3501B" w14:paraId="37239F02" w14:textId="77777777" w:rsidTr="000D6524">
        <w:tc>
          <w:tcPr>
            <w:tcW w:w="3005" w:type="dxa"/>
          </w:tcPr>
          <w:p w14:paraId="5F31D027"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Fixed Assets Turnover Ratio</w:t>
            </w:r>
          </w:p>
        </w:tc>
        <w:tc>
          <w:tcPr>
            <w:tcW w:w="3005" w:type="dxa"/>
          </w:tcPr>
          <w:p w14:paraId="150B5E68"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2.2455</w:t>
            </w:r>
          </w:p>
        </w:tc>
        <w:tc>
          <w:tcPr>
            <w:tcW w:w="3006" w:type="dxa"/>
          </w:tcPr>
          <w:p w14:paraId="70318762" w14:textId="77777777" w:rsidR="006D6699" w:rsidRPr="00F3501B" w:rsidRDefault="006D6699" w:rsidP="00F3501B">
            <w:pPr>
              <w:spacing w:line="360" w:lineRule="auto"/>
              <w:rPr>
                <w:rFonts w:ascii="Times New Roman" w:hAnsi="Times New Roman"/>
                <w:sz w:val="24"/>
                <w:szCs w:val="24"/>
              </w:rPr>
            </w:pPr>
            <w:r w:rsidRPr="00F3501B">
              <w:rPr>
                <w:rFonts w:ascii="Times New Roman" w:hAnsi="Times New Roman"/>
                <w:sz w:val="24"/>
                <w:szCs w:val="24"/>
              </w:rPr>
              <w:t>98.30%</w:t>
            </w:r>
          </w:p>
        </w:tc>
      </w:tr>
    </w:tbl>
    <w:p w14:paraId="6C97D27C" w14:textId="77777777" w:rsidR="006D6699" w:rsidRPr="00F3501B" w:rsidRDefault="006D6699" w:rsidP="00F3501B">
      <w:pPr>
        <w:rPr>
          <w:rFonts w:ascii="Times New Roman" w:hAnsi="Times New Roman"/>
          <w:sz w:val="24"/>
          <w:szCs w:val="24"/>
        </w:rPr>
      </w:pPr>
    </w:p>
    <w:p w14:paraId="72A3CD89" w14:textId="77777777" w:rsidR="006D6699" w:rsidRPr="00F3501B" w:rsidRDefault="006D6699" w:rsidP="00F3501B">
      <w:pPr>
        <w:rPr>
          <w:rFonts w:ascii="Times New Roman" w:hAnsi="Times New Roman"/>
          <w:sz w:val="24"/>
          <w:szCs w:val="24"/>
        </w:rPr>
      </w:pPr>
    </w:p>
    <w:p w14:paraId="11110672" w14:textId="77777777" w:rsidR="006D6699" w:rsidRPr="00F3501B" w:rsidRDefault="006D6699" w:rsidP="00F3501B">
      <w:pPr>
        <w:pStyle w:val="Heading2"/>
        <w:rPr>
          <w:rFonts w:ascii="Times New Roman" w:hAnsi="Times New Roman"/>
          <w:color w:val="auto"/>
          <w:sz w:val="24"/>
          <w:szCs w:val="24"/>
        </w:rPr>
      </w:pPr>
      <w:bookmarkStart w:id="13" w:name="_Toc30186925"/>
      <w:r w:rsidRPr="00F3501B">
        <w:rPr>
          <w:rFonts w:ascii="Times New Roman" w:hAnsi="Times New Roman"/>
          <w:color w:val="auto"/>
          <w:sz w:val="24"/>
          <w:szCs w:val="24"/>
        </w:rPr>
        <w:t>Recommendations</w:t>
      </w:r>
      <w:bookmarkEnd w:id="13"/>
    </w:p>
    <w:p w14:paraId="5530F8B0" w14:textId="6D42FCDE" w:rsidR="006D6699" w:rsidRPr="00F3501B" w:rsidRDefault="006D6699" w:rsidP="00F3501B">
      <w:pPr>
        <w:spacing w:before="60"/>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Financial reporting is the main context of the study under which BP financial appraisal is undertaken. </w:t>
      </w:r>
    </w:p>
    <w:p w14:paraId="52C15765" w14:textId="77777777" w:rsidR="006D6699" w:rsidRPr="00F3501B" w:rsidRDefault="006D6699" w:rsidP="00F3501B">
      <w:pPr>
        <w:spacing w:before="60"/>
        <w:rPr>
          <w:rFonts w:ascii="Times New Roman" w:hAnsi="Times New Roman"/>
          <w:sz w:val="24"/>
          <w:szCs w:val="24"/>
        </w:rPr>
      </w:pPr>
      <w:r w:rsidRPr="00F3501B">
        <w:rPr>
          <w:rFonts w:ascii="Times New Roman" w:hAnsi="Times New Roman"/>
          <w:sz w:val="24"/>
          <w:szCs w:val="24"/>
          <w:shd w:val="clear" w:color="auto" w:fill="FFFFFF"/>
        </w:rPr>
        <w:t>The company's financial success over the last 5 years is portraying fluctuating patterns as its net revenues have steadily increased and earnings have decreased, on the other hand. Financial performance of BP is measured with using different categories of measures, including long term debt, equity, creditors, financial risk / working capital management, and productivity and cash flow ratios.</w:t>
      </w:r>
      <w:r w:rsidRPr="00F3501B">
        <w:rPr>
          <w:rFonts w:ascii="Times New Roman" w:hAnsi="Times New Roman"/>
          <w:sz w:val="24"/>
          <w:szCs w:val="24"/>
        </w:rPr>
        <w:t xml:space="preserve"> </w:t>
      </w:r>
      <w:r w:rsidRPr="00F3501B">
        <w:rPr>
          <w:rFonts w:ascii="Times New Roman" w:hAnsi="Times New Roman"/>
          <w:sz w:val="24"/>
          <w:szCs w:val="24"/>
          <w:shd w:val="clear" w:color="auto" w:fill="FFFFFF"/>
        </w:rPr>
        <w:t xml:space="preserve">Depending on the ratio review, it is determined that the financial position of BP is unsatisfactory although it has ample liquid assets compared with other competition companies. </w:t>
      </w:r>
    </w:p>
    <w:p w14:paraId="5E42A744" w14:textId="77777777" w:rsidR="006D6699" w:rsidRPr="00F3501B" w:rsidRDefault="006D6699" w:rsidP="00F3501B">
      <w:pPr>
        <w:rPr>
          <w:rFonts w:ascii="Times New Roman" w:hAnsi="Times New Roman"/>
          <w:sz w:val="24"/>
          <w:szCs w:val="24"/>
        </w:rPr>
      </w:pPr>
    </w:p>
    <w:p w14:paraId="2D54C9F0" w14:textId="255BE18B" w:rsidR="00867CB6" w:rsidRDefault="00867CB6" w:rsidP="00F3501B">
      <w:pPr>
        <w:rPr>
          <w:rFonts w:ascii="Times New Roman" w:hAnsi="Times New Roman"/>
          <w:sz w:val="24"/>
          <w:szCs w:val="24"/>
          <w:lang w:val="en-US"/>
        </w:rPr>
      </w:pPr>
    </w:p>
    <w:p w14:paraId="50E8668A" w14:textId="2B607761" w:rsidR="002E5CEF" w:rsidRDefault="002E5CEF" w:rsidP="00F3501B">
      <w:pPr>
        <w:rPr>
          <w:rFonts w:ascii="Times New Roman" w:hAnsi="Times New Roman"/>
          <w:sz w:val="24"/>
          <w:szCs w:val="24"/>
          <w:lang w:val="en-US"/>
        </w:rPr>
      </w:pPr>
    </w:p>
    <w:p w14:paraId="2ED0922A" w14:textId="69D621C0" w:rsidR="002E5CEF" w:rsidRDefault="002E5CEF" w:rsidP="00F3501B">
      <w:pPr>
        <w:rPr>
          <w:rFonts w:ascii="Times New Roman" w:hAnsi="Times New Roman"/>
          <w:sz w:val="24"/>
          <w:szCs w:val="24"/>
          <w:lang w:val="en-US"/>
        </w:rPr>
      </w:pPr>
    </w:p>
    <w:p w14:paraId="56D9A56E" w14:textId="34653A8D" w:rsidR="002E5CEF" w:rsidRDefault="002E5CEF" w:rsidP="00F3501B">
      <w:pPr>
        <w:rPr>
          <w:rFonts w:ascii="Times New Roman" w:hAnsi="Times New Roman"/>
          <w:sz w:val="24"/>
          <w:szCs w:val="24"/>
          <w:lang w:val="en-US"/>
        </w:rPr>
      </w:pPr>
    </w:p>
    <w:p w14:paraId="2A840C64" w14:textId="3B772B17" w:rsidR="002E5CEF" w:rsidRDefault="002E5CEF" w:rsidP="00F3501B">
      <w:pPr>
        <w:rPr>
          <w:rFonts w:ascii="Times New Roman" w:hAnsi="Times New Roman"/>
          <w:sz w:val="24"/>
          <w:szCs w:val="24"/>
          <w:lang w:val="en-US"/>
        </w:rPr>
      </w:pPr>
    </w:p>
    <w:p w14:paraId="65BCD670" w14:textId="0B401B6A" w:rsidR="002E5CEF" w:rsidRDefault="002E5CEF" w:rsidP="00F3501B">
      <w:pPr>
        <w:rPr>
          <w:rFonts w:ascii="Times New Roman" w:hAnsi="Times New Roman"/>
          <w:sz w:val="24"/>
          <w:szCs w:val="24"/>
          <w:lang w:val="en-US"/>
        </w:rPr>
      </w:pPr>
    </w:p>
    <w:p w14:paraId="3568674F" w14:textId="620DCACF" w:rsidR="002E5CEF" w:rsidRDefault="002E5CEF" w:rsidP="00F3501B">
      <w:pPr>
        <w:rPr>
          <w:rFonts w:ascii="Times New Roman" w:hAnsi="Times New Roman"/>
          <w:sz w:val="24"/>
          <w:szCs w:val="24"/>
          <w:lang w:val="en-US"/>
        </w:rPr>
      </w:pPr>
    </w:p>
    <w:p w14:paraId="462A447C" w14:textId="62C4BA1F" w:rsidR="002E5CEF" w:rsidRDefault="002E5CEF" w:rsidP="00F3501B">
      <w:pPr>
        <w:rPr>
          <w:rFonts w:ascii="Times New Roman" w:hAnsi="Times New Roman"/>
          <w:sz w:val="24"/>
          <w:szCs w:val="24"/>
          <w:lang w:val="en-US"/>
        </w:rPr>
      </w:pPr>
    </w:p>
    <w:p w14:paraId="302520D6" w14:textId="414AABB0" w:rsidR="002E5CEF" w:rsidRDefault="002E5CEF" w:rsidP="00F3501B">
      <w:pPr>
        <w:rPr>
          <w:rFonts w:ascii="Times New Roman" w:hAnsi="Times New Roman"/>
          <w:sz w:val="24"/>
          <w:szCs w:val="24"/>
          <w:lang w:val="en-US"/>
        </w:rPr>
      </w:pPr>
    </w:p>
    <w:p w14:paraId="68A96669" w14:textId="071D7465" w:rsidR="002E5CEF" w:rsidRDefault="002E5CEF" w:rsidP="00F3501B">
      <w:pPr>
        <w:rPr>
          <w:rFonts w:ascii="Times New Roman" w:hAnsi="Times New Roman"/>
          <w:sz w:val="24"/>
          <w:szCs w:val="24"/>
          <w:lang w:val="en-US"/>
        </w:rPr>
      </w:pPr>
    </w:p>
    <w:p w14:paraId="1006F753" w14:textId="51DECECF" w:rsidR="002E5CEF" w:rsidRDefault="002E5CEF" w:rsidP="00F3501B">
      <w:pPr>
        <w:rPr>
          <w:rFonts w:ascii="Times New Roman" w:hAnsi="Times New Roman"/>
          <w:sz w:val="24"/>
          <w:szCs w:val="24"/>
          <w:lang w:val="en-US"/>
        </w:rPr>
      </w:pPr>
    </w:p>
    <w:p w14:paraId="6BB0C0A6" w14:textId="2C86042C" w:rsidR="002E5CEF" w:rsidRDefault="002E5CEF" w:rsidP="00F3501B">
      <w:pPr>
        <w:rPr>
          <w:rFonts w:ascii="Times New Roman" w:hAnsi="Times New Roman"/>
          <w:sz w:val="24"/>
          <w:szCs w:val="24"/>
          <w:lang w:val="en-US"/>
        </w:rPr>
      </w:pPr>
    </w:p>
    <w:p w14:paraId="2C5AD1D2" w14:textId="17D1EA96" w:rsidR="002E5CEF" w:rsidRDefault="002E5CEF" w:rsidP="00F3501B">
      <w:pPr>
        <w:rPr>
          <w:rFonts w:ascii="Times New Roman" w:hAnsi="Times New Roman"/>
          <w:sz w:val="24"/>
          <w:szCs w:val="24"/>
          <w:lang w:val="en-US"/>
        </w:rPr>
      </w:pPr>
    </w:p>
    <w:p w14:paraId="6B21356F" w14:textId="757AAA30" w:rsidR="002E5CEF" w:rsidRDefault="002E5CEF" w:rsidP="00F3501B">
      <w:pPr>
        <w:rPr>
          <w:rFonts w:ascii="Times New Roman" w:hAnsi="Times New Roman"/>
          <w:sz w:val="24"/>
          <w:szCs w:val="24"/>
          <w:lang w:val="en-US"/>
        </w:rPr>
      </w:pPr>
    </w:p>
    <w:p w14:paraId="7DDFF3DC" w14:textId="2885C211" w:rsidR="002E5CEF" w:rsidRDefault="002E5CEF" w:rsidP="00F3501B">
      <w:pPr>
        <w:rPr>
          <w:rFonts w:ascii="Times New Roman" w:hAnsi="Times New Roman"/>
          <w:sz w:val="24"/>
          <w:szCs w:val="24"/>
          <w:lang w:val="en-US"/>
        </w:rPr>
      </w:pPr>
    </w:p>
    <w:p w14:paraId="2E72C3FE" w14:textId="77777777" w:rsidR="002E5CEF" w:rsidRPr="00F3501B" w:rsidRDefault="002E5CEF" w:rsidP="00F3501B">
      <w:pPr>
        <w:rPr>
          <w:rFonts w:ascii="Times New Roman" w:hAnsi="Times New Roman"/>
          <w:sz w:val="24"/>
          <w:szCs w:val="24"/>
          <w:lang w:val="en-US"/>
        </w:rPr>
      </w:pPr>
    </w:p>
    <w:p w14:paraId="373A3E95" w14:textId="77777777" w:rsidR="0097713D" w:rsidRPr="00F3501B" w:rsidRDefault="0097713D" w:rsidP="00F3501B">
      <w:pPr>
        <w:pStyle w:val="Heading1"/>
        <w:spacing w:line="360" w:lineRule="auto"/>
        <w:rPr>
          <w:rFonts w:ascii="Times New Roman" w:hAnsi="Times New Roman"/>
          <w:color w:val="auto"/>
          <w:sz w:val="24"/>
          <w:szCs w:val="24"/>
        </w:rPr>
      </w:pPr>
      <w:bookmarkStart w:id="14" w:name="_Toc30186926"/>
      <w:r w:rsidRPr="00F3501B">
        <w:rPr>
          <w:rFonts w:ascii="Times New Roman" w:hAnsi="Times New Roman"/>
          <w:color w:val="auto"/>
          <w:sz w:val="24"/>
          <w:szCs w:val="24"/>
        </w:rPr>
        <w:lastRenderedPageBreak/>
        <w:t>Part c)</w:t>
      </w:r>
      <w:bookmarkEnd w:id="14"/>
    </w:p>
    <w:p w14:paraId="507FB371" w14:textId="77777777" w:rsidR="0097713D" w:rsidRPr="00F3501B" w:rsidRDefault="0097713D" w:rsidP="00F3501B">
      <w:pPr>
        <w:pStyle w:val="Heading2"/>
        <w:numPr>
          <w:ilvl w:val="0"/>
          <w:numId w:val="9"/>
        </w:numPr>
        <w:spacing w:before="240"/>
        <w:jc w:val="left"/>
        <w:rPr>
          <w:rFonts w:ascii="Times New Roman" w:hAnsi="Times New Roman"/>
          <w:color w:val="auto"/>
          <w:sz w:val="24"/>
          <w:szCs w:val="24"/>
        </w:rPr>
      </w:pPr>
      <w:bookmarkStart w:id="15" w:name="_Toc30186927"/>
      <w:r w:rsidRPr="00F3501B">
        <w:rPr>
          <w:rFonts w:ascii="Times New Roman" w:hAnsi="Times New Roman"/>
          <w:color w:val="auto"/>
          <w:sz w:val="24"/>
          <w:szCs w:val="24"/>
        </w:rPr>
        <w:t>Calculations</w:t>
      </w:r>
      <w:bookmarkEnd w:id="15"/>
    </w:p>
    <w:p w14:paraId="4E13E3AC" w14:textId="516AD861" w:rsidR="0097713D" w:rsidRPr="00F3501B" w:rsidRDefault="00E31B77" w:rsidP="00F3501B">
      <w:pPr>
        <w:pStyle w:val="Heading3"/>
        <w:spacing w:before="240" w:line="360" w:lineRule="auto"/>
        <w:rPr>
          <w:rFonts w:ascii="Times New Roman" w:hAnsi="Times New Roman" w:cs="Times New Roman"/>
          <w:color w:val="auto"/>
        </w:rPr>
      </w:pPr>
      <w:bookmarkStart w:id="16" w:name="_Toc30186928"/>
      <w:r w:rsidRPr="00F3501B">
        <w:rPr>
          <w:rFonts w:ascii="Times New Roman" w:hAnsi="Times New Roman" w:cs="Times New Roman"/>
          <w:color w:val="auto"/>
        </w:rPr>
        <w:t xml:space="preserve">Calculation of </w:t>
      </w:r>
      <w:r w:rsidR="0097713D" w:rsidRPr="00F3501B">
        <w:rPr>
          <w:rFonts w:ascii="Times New Roman" w:hAnsi="Times New Roman" w:cs="Times New Roman"/>
          <w:color w:val="auto"/>
        </w:rPr>
        <w:t>Payback Period</w:t>
      </w:r>
      <w:bookmarkEnd w:id="16"/>
    </w:p>
    <w:p w14:paraId="6C120D5B"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Payback Period is defined as “the amount of time needed to recover the cost of an investment”. So, the Payback Period (PBP) is “the length of time an investment reaches a breakeven point”.</w:t>
      </w:r>
    </w:p>
    <w:p w14:paraId="0B974E07"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It is said that “investors and managers can use the PBP to make quick judgements on their investments”.</w:t>
      </w:r>
    </w:p>
    <w:p w14:paraId="469920A9"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Therefore, in order to determine the most profitable project or investment to undertake it is useful to have the value of PBP.</w:t>
      </w:r>
    </w:p>
    <w:p w14:paraId="7B86BD1F"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For our case studies, for Project A the calculation of PBP is done below:</w:t>
      </w:r>
    </w:p>
    <w:tbl>
      <w:tblPr>
        <w:tblStyle w:val="TableGrid"/>
        <w:tblW w:w="0" w:type="auto"/>
        <w:tblLook w:val="04A0" w:firstRow="1" w:lastRow="0" w:firstColumn="1" w:lastColumn="0" w:noHBand="0" w:noVBand="1"/>
      </w:tblPr>
      <w:tblGrid>
        <w:gridCol w:w="3005"/>
        <w:gridCol w:w="3005"/>
        <w:gridCol w:w="3006"/>
      </w:tblGrid>
      <w:tr w:rsidR="006D6699" w:rsidRPr="00F3501B" w14:paraId="78A96A1B" w14:textId="77777777" w:rsidTr="000D6524">
        <w:tc>
          <w:tcPr>
            <w:tcW w:w="3005" w:type="dxa"/>
          </w:tcPr>
          <w:p w14:paraId="7B124445"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 xml:space="preserve">Year </w:t>
            </w:r>
          </w:p>
        </w:tc>
        <w:tc>
          <w:tcPr>
            <w:tcW w:w="3005" w:type="dxa"/>
          </w:tcPr>
          <w:p w14:paraId="06D20E92"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Cash Flow</w:t>
            </w:r>
          </w:p>
        </w:tc>
        <w:tc>
          <w:tcPr>
            <w:tcW w:w="3006" w:type="dxa"/>
          </w:tcPr>
          <w:p w14:paraId="4385A21F"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Net Invested Cash</w:t>
            </w:r>
          </w:p>
        </w:tc>
      </w:tr>
      <w:tr w:rsidR="006D6699" w:rsidRPr="00F3501B" w14:paraId="3494E594" w14:textId="77777777" w:rsidTr="000D6524">
        <w:tc>
          <w:tcPr>
            <w:tcW w:w="3005" w:type="dxa"/>
          </w:tcPr>
          <w:p w14:paraId="16588EC3"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0</w:t>
            </w:r>
          </w:p>
        </w:tc>
        <w:tc>
          <w:tcPr>
            <w:tcW w:w="3005" w:type="dxa"/>
          </w:tcPr>
          <w:p w14:paraId="5E69998B"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-103</w:t>
            </w:r>
          </w:p>
        </w:tc>
        <w:tc>
          <w:tcPr>
            <w:tcW w:w="3006" w:type="dxa"/>
          </w:tcPr>
          <w:p w14:paraId="14344702" w14:textId="77777777" w:rsidR="0097713D" w:rsidRPr="00F3501B" w:rsidRDefault="0097713D" w:rsidP="00F3501B">
            <w:pPr>
              <w:spacing w:before="240" w:line="360" w:lineRule="auto"/>
              <w:rPr>
                <w:rFonts w:ascii="Times New Roman" w:hAnsi="Times New Roman"/>
                <w:sz w:val="24"/>
                <w:szCs w:val="24"/>
              </w:rPr>
            </w:pPr>
          </w:p>
        </w:tc>
      </w:tr>
      <w:tr w:rsidR="006D6699" w:rsidRPr="00F3501B" w14:paraId="69384209" w14:textId="77777777" w:rsidTr="000D6524">
        <w:tc>
          <w:tcPr>
            <w:tcW w:w="3005" w:type="dxa"/>
          </w:tcPr>
          <w:p w14:paraId="4F382E0A"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w:t>
            </w:r>
          </w:p>
        </w:tc>
        <w:tc>
          <w:tcPr>
            <w:tcW w:w="3005" w:type="dxa"/>
          </w:tcPr>
          <w:p w14:paraId="394B1637"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10</w:t>
            </w:r>
          </w:p>
        </w:tc>
        <w:tc>
          <w:tcPr>
            <w:tcW w:w="3006" w:type="dxa"/>
          </w:tcPr>
          <w:p w14:paraId="10A01AFE"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-93</w:t>
            </w:r>
          </w:p>
        </w:tc>
      </w:tr>
      <w:tr w:rsidR="006D6699" w:rsidRPr="00F3501B" w14:paraId="7BE268F6" w14:textId="77777777" w:rsidTr="000D6524">
        <w:tc>
          <w:tcPr>
            <w:tcW w:w="3005" w:type="dxa"/>
          </w:tcPr>
          <w:p w14:paraId="2E4A4337"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2</w:t>
            </w:r>
          </w:p>
        </w:tc>
        <w:tc>
          <w:tcPr>
            <w:tcW w:w="3005" w:type="dxa"/>
          </w:tcPr>
          <w:p w14:paraId="720156B1"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30</w:t>
            </w:r>
          </w:p>
        </w:tc>
        <w:tc>
          <w:tcPr>
            <w:tcW w:w="3006" w:type="dxa"/>
          </w:tcPr>
          <w:p w14:paraId="3867A99B"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-63</w:t>
            </w:r>
          </w:p>
        </w:tc>
      </w:tr>
      <w:tr w:rsidR="006D6699" w:rsidRPr="00F3501B" w14:paraId="6F8E9CCC" w14:textId="77777777" w:rsidTr="000D6524">
        <w:tc>
          <w:tcPr>
            <w:tcW w:w="3005" w:type="dxa"/>
          </w:tcPr>
          <w:p w14:paraId="37E19469"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3</w:t>
            </w:r>
          </w:p>
        </w:tc>
        <w:tc>
          <w:tcPr>
            <w:tcW w:w="3005" w:type="dxa"/>
          </w:tcPr>
          <w:p w14:paraId="64076179"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50</w:t>
            </w:r>
          </w:p>
        </w:tc>
        <w:tc>
          <w:tcPr>
            <w:tcW w:w="3006" w:type="dxa"/>
          </w:tcPr>
          <w:p w14:paraId="0A335D4A"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-13</w:t>
            </w:r>
          </w:p>
        </w:tc>
      </w:tr>
      <w:tr w:rsidR="0097713D" w:rsidRPr="00F3501B" w14:paraId="0DAEA14E" w14:textId="77777777" w:rsidTr="000D6524">
        <w:tc>
          <w:tcPr>
            <w:tcW w:w="3005" w:type="dxa"/>
          </w:tcPr>
          <w:p w14:paraId="4D2231CC"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4</w:t>
            </w:r>
          </w:p>
        </w:tc>
        <w:tc>
          <w:tcPr>
            <w:tcW w:w="3005" w:type="dxa"/>
          </w:tcPr>
          <w:p w14:paraId="33DD4A55"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65</w:t>
            </w:r>
          </w:p>
        </w:tc>
        <w:tc>
          <w:tcPr>
            <w:tcW w:w="3006" w:type="dxa"/>
          </w:tcPr>
          <w:p w14:paraId="4B7975F2"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52</w:t>
            </w:r>
          </w:p>
        </w:tc>
      </w:tr>
    </w:tbl>
    <w:p w14:paraId="7F6EDF62" w14:textId="77777777" w:rsidR="0097713D" w:rsidRPr="00F3501B" w:rsidRDefault="0097713D" w:rsidP="00F3501B">
      <w:pPr>
        <w:spacing w:before="240"/>
        <w:rPr>
          <w:rFonts w:ascii="Times New Roman" w:hAnsi="Times New Roman"/>
          <w:sz w:val="24"/>
          <w:szCs w:val="24"/>
        </w:rPr>
      </w:pPr>
    </w:p>
    <w:p w14:paraId="5B7CBFB1"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The calculations above show that in the year that </w:t>
      </w:r>
    </w:p>
    <w:p w14:paraId="5BD2C456"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PBP=3years + 13/65years =3years + 0.2years = 3.2 years</w:t>
      </w:r>
    </w:p>
    <w:p w14:paraId="3FC30BAE"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So </w:t>
      </w:r>
    </w:p>
    <w:p w14:paraId="38A3F664" w14:textId="77777777" w:rsidR="0097713D" w:rsidRPr="00F3501B" w:rsidRDefault="0097713D" w:rsidP="00F3501B">
      <w:pPr>
        <w:spacing w:before="240"/>
        <w:ind w:left="720" w:firstLine="720"/>
        <w:rPr>
          <w:rFonts w:ascii="Times New Roman" w:hAnsi="Times New Roman"/>
          <w:sz w:val="24"/>
          <w:szCs w:val="24"/>
        </w:rPr>
      </w:pPr>
      <w:r w:rsidRPr="00F3501B">
        <w:rPr>
          <w:rFonts w:ascii="Times New Roman" w:hAnsi="Times New Roman"/>
          <w:sz w:val="24"/>
          <w:szCs w:val="24"/>
        </w:rPr>
        <w:t xml:space="preserve">PBP=3.2 years </w:t>
      </w:r>
    </w:p>
    <w:p w14:paraId="05302E8D"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that means the investment in this project needs 3.2 years to get the breakeven point.</w:t>
      </w:r>
    </w:p>
    <w:p w14:paraId="247690FF"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lastRenderedPageBreak/>
        <w:t>For Project B, the corresponding calculations are as follows:</w:t>
      </w:r>
    </w:p>
    <w:tbl>
      <w:tblPr>
        <w:tblStyle w:val="TableGrid"/>
        <w:tblW w:w="0" w:type="auto"/>
        <w:tblLook w:val="04A0" w:firstRow="1" w:lastRow="0" w:firstColumn="1" w:lastColumn="0" w:noHBand="0" w:noVBand="1"/>
      </w:tblPr>
      <w:tblGrid>
        <w:gridCol w:w="3005"/>
        <w:gridCol w:w="3005"/>
        <w:gridCol w:w="3006"/>
      </w:tblGrid>
      <w:tr w:rsidR="006D6699" w:rsidRPr="00F3501B" w14:paraId="3B931AB4" w14:textId="77777777" w:rsidTr="000D6524">
        <w:tc>
          <w:tcPr>
            <w:tcW w:w="3005" w:type="dxa"/>
          </w:tcPr>
          <w:p w14:paraId="73A53BD5"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 xml:space="preserve">Year </w:t>
            </w:r>
          </w:p>
        </w:tc>
        <w:tc>
          <w:tcPr>
            <w:tcW w:w="3005" w:type="dxa"/>
          </w:tcPr>
          <w:p w14:paraId="24F5593C"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Cash Flow</w:t>
            </w:r>
          </w:p>
        </w:tc>
        <w:tc>
          <w:tcPr>
            <w:tcW w:w="3006" w:type="dxa"/>
          </w:tcPr>
          <w:p w14:paraId="736D1A33"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Net Invested Cash</w:t>
            </w:r>
          </w:p>
        </w:tc>
      </w:tr>
      <w:tr w:rsidR="006D6699" w:rsidRPr="00F3501B" w14:paraId="0DBBB0ED" w14:textId="77777777" w:rsidTr="000D6524">
        <w:tc>
          <w:tcPr>
            <w:tcW w:w="3005" w:type="dxa"/>
          </w:tcPr>
          <w:p w14:paraId="15742EC1"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0</w:t>
            </w:r>
          </w:p>
        </w:tc>
        <w:tc>
          <w:tcPr>
            <w:tcW w:w="3005" w:type="dxa"/>
          </w:tcPr>
          <w:p w14:paraId="253260E8"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-115</w:t>
            </w:r>
          </w:p>
        </w:tc>
        <w:tc>
          <w:tcPr>
            <w:tcW w:w="3006" w:type="dxa"/>
          </w:tcPr>
          <w:p w14:paraId="18BC6000" w14:textId="77777777" w:rsidR="0097713D" w:rsidRPr="00F3501B" w:rsidRDefault="0097713D" w:rsidP="00F3501B">
            <w:pPr>
              <w:spacing w:before="240" w:line="360" w:lineRule="auto"/>
              <w:rPr>
                <w:rFonts w:ascii="Times New Roman" w:hAnsi="Times New Roman"/>
                <w:sz w:val="24"/>
                <w:szCs w:val="24"/>
              </w:rPr>
            </w:pPr>
          </w:p>
        </w:tc>
      </w:tr>
      <w:tr w:rsidR="006D6699" w:rsidRPr="00F3501B" w14:paraId="17FE2B0F" w14:textId="77777777" w:rsidTr="000D6524">
        <w:tc>
          <w:tcPr>
            <w:tcW w:w="3005" w:type="dxa"/>
          </w:tcPr>
          <w:p w14:paraId="747F2E2A"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w:t>
            </w:r>
          </w:p>
        </w:tc>
        <w:tc>
          <w:tcPr>
            <w:tcW w:w="3005" w:type="dxa"/>
          </w:tcPr>
          <w:p w14:paraId="4E1AF8B1"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60</w:t>
            </w:r>
          </w:p>
        </w:tc>
        <w:tc>
          <w:tcPr>
            <w:tcW w:w="3006" w:type="dxa"/>
          </w:tcPr>
          <w:p w14:paraId="7BC38CD1"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-55</w:t>
            </w:r>
          </w:p>
        </w:tc>
      </w:tr>
      <w:tr w:rsidR="006D6699" w:rsidRPr="00F3501B" w14:paraId="5EDD60EA" w14:textId="77777777" w:rsidTr="000D6524">
        <w:tc>
          <w:tcPr>
            <w:tcW w:w="3005" w:type="dxa"/>
          </w:tcPr>
          <w:p w14:paraId="0CC69F1E"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2</w:t>
            </w:r>
          </w:p>
        </w:tc>
        <w:tc>
          <w:tcPr>
            <w:tcW w:w="3005" w:type="dxa"/>
          </w:tcPr>
          <w:p w14:paraId="3AD2EC02"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40</w:t>
            </w:r>
          </w:p>
        </w:tc>
        <w:tc>
          <w:tcPr>
            <w:tcW w:w="3006" w:type="dxa"/>
          </w:tcPr>
          <w:p w14:paraId="48B4E5B6"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-15</w:t>
            </w:r>
          </w:p>
        </w:tc>
      </w:tr>
      <w:tr w:rsidR="006D6699" w:rsidRPr="00F3501B" w14:paraId="338EEB0E" w14:textId="77777777" w:rsidTr="000D6524">
        <w:tc>
          <w:tcPr>
            <w:tcW w:w="3005" w:type="dxa"/>
          </w:tcPr>
          <w:p w14:paraId="6DDBDD20"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3</w:t>
            </w:r>
          </w:p>
        </w:tc>
        <w:tc>
          <w:tcPr>
            <w:tcW w:w="3005" w:type="dxa"/>
          </w:tcPr>
          <w:p w14:paraId="26BF18F3"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60</w:t>
            </w:r>
          </w:p>
        </w:tc>
        <w:tc>
          <w:tcPr>
            <w:tcW w:w="3006" w:type="dxa"/>
          </w:tcPr>
          <w:p w14:paraId="0C2CF3BA"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45</w:t>
            </w:r>
          </w:p>
        </w:tc>
      </w:tr>
      <w:tr w:rsidR="0097713D" w:rsidRPr="00F3501B" w14:paraId="79CE1F54" w14:textId="77777777" w:rsidTr="000D6524">
        <w:tc>
          <w:tcPr>
            <w:tcW w:w="3005" w:type="dxa"/>
          </w:tcPr>
          <w:p w14:paraId="0CDC52AD"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4</w:t>
            </w:r>
          </w:p>
        </w:tc>
        <w:tc>
          <w:tcPr>
            <w:tcW w:w="3005" w:type="dxa"/>
          </w:tcPr>
          <w:p w14:paraId="7B5C8179"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5</w:t>
            </w:r>
          </w:p>
        </w:tc>
        <w:tc>
          <w:tcPr>
            <w:tcW w:w="3006" w:type="dxa"/>
          </w:tcPr>
          <w:p w14:paraId="26DFFBDD"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50</w:t>
            </w:r>
          </w:p>
        </w:tc>
      </w:tr>
    </w:tbl>
    <w:p w14:paraId="7394D5BE" w14:textId="77777777" w:rsidR="0097713D" w:rsidRPr="00F3501B" w:rsidRDefault="0097713D" w:rsidP="00F3501B">
      <w:pPr>
        <w:spacing w:before="240"/>
        <w:rPr>
          <w:rFonts w:ascii="Times New Roman" w:hAnsi="Times New Roman"/>
          <w:sz w:val="24"/>
          <w:szCs w:val="24"/>
        </w:rPr>
      </w:pPr>
    </w:p>
    <w:p w14:paraId="2FD8E085"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Thus, the operations are:</w:t>
      </w:r>
    </w:p>
    <w:p w14:paraId="2E2A29F5"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PBP=2years + 15/60years =2years + 0.25years = 2.25 years</w:t>
      </w:r>
    </w:p>
    <w:p w14:paraId="2298551A"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Concluding,  </w:t>
      </w:r>
    </w:p>
    <w:p w14:paraId="490589A8" w14:textId="77777777" w:rsidR="0097713D" w:rsidRPr="00F3501B" w:rsidRDefault="0097713D" w:rsidP="00F3501B">
      <w:pPr>
        <w:spacing w:before="240"/>
        <w:ind w:left="720" w:firstLine="720"/>
        <w:rPr>
          <w:rFonts w:ascii="Times New Roman" w:hAnsi="Times New Roman"/>
          <w:sz w:val="24"/>
          <w:szCs w:val="24"/>
        </w:rPr>
      </w:pPr>
      <w:r w:rsidRPr="00F3501B">
        <w:rPr>
          <w:rFonts w:ascii="Times New Roman" w:hAnsi="Times New Roman"/>
          <w:sz w:val="24"/>
          <w:szCs w:val="24"/>
        </w:rPr>
        <w:t xml:space="preserve">PBP=2.25 years </w:t>
      </w:r>
    </w:p>
    <w:p w14:paraId="747EC93F"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that means the investment in this project needs 2.25 years to get the breakeven point.</w:t>
      </w:r>
    </w:p>
    <w:p w14:paraId="3EFB6036" w14:textId="77777777" w:rsidR="0097713D" w:rsidRPr="00F3501B" w:rsidRDefault="0097713D" w:rsidP="00F3501B">
      <w:pPr>
        <w:spacing w:before="240"/>
        <w:rPr>
          <w:rFonts w:ascii="Times New Roman" w:hAnsi="Times New Roman"/>
          <w:sz w:val="24"/>
          <w:szCs w:val="24"/>
        </w:rPr>
      </w:pPr>
    </w:p>
    <w:p w14:paraId="4CA6C7DD" w14:textId="780630C1" w:rsidR="0097713D" w:rsidRPr="00F3501B" w:rsidRDefault="00E31B77" w:rsidP="00F3501B">
      <w:pPr>
        <w:pStyle w:val="Heading3"/>
        <w:spacing w:before="240" w:line="360" w:lineRule="auto"/>
        <w:rPr>
          <w:rFonts w:ascii="Times New Roman" w:hAnsi="Times New Roman" w:cs="Times New Roman"/>
          <w:color w:val="auto"/>
        </w:rPr>
      </w:pPr>
      <w:bookmarkStart w:id="17" w:name="_Toc30186929"/>
      <w:r w:rsidRPr="00F3501B">
        <w:rPr>
          <w:rFonts w:ascii="Times New Roman" w:hAnsi="Times New Roman" w:cs="Times New Roman"/>
          <w:color w:val="auto"/>
        </w:rPr>
        <w:t xml:space="preserve">Calculation of </w:t>
      </w:r>
      <w:r w:rsidR="0097713D" w:rsidRPr="00F3501B">
        <w:rPr>
          <w:rFonts w:ascii="Times New Roman" w:hAnsi="Times New Roman" w:cs="Times New Roman"/>
          <w:color w:val="auto"/>
        </w:rPr>
        <w:t>Accounting Rate of Return</w:t>
      </w:r>
      <w:bookmarkEnd w:id="17"/>
    </w:p>
    <w:p w14:paraId="354E57BB" w14:textId="77777777" w:rsidR="0097713D" w:rsidRPr="00F3501B" w:rsidRDefault="0097713D" w:rsidP="00F3501B">
      <w:pPr>
        <w:spacing w:before="240"/>
        <w:rPr>
          <w:rFonts w:ascii="Times New Roman" w:hAnsi="Times New Roman"/>
          <w:sz w:val="24"/>
          <w:szCs w:val="24"/>
        </w:rPr>
      </w:pPr>
    </w:p>
    <w:p w14:paraId="198870BC"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Accounting Rate of return (ARR) is defined as “the percentage rate of return expected on investment as compared to the initial investment cost”.</w:t>
      </w:r>
    </w:p>
    <w:p w14:paraId="2259A0EF"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To be underlined that “ARR does not consider the time value of money or cash flows”.</w:t>
      </w:r>
    </w:p>
    <w:p w14:paraId="637FB2FC"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For Project A, the data are:</w:t>
      </w:r>
    </w:p>
    <w:tbl>
      <w:tblPr>
        <w:tblStyle w:val="TableGrid"/>
        <w:tblW w:w="0" w:type="auto"/>
        <w:tblLook w:val="04A0" w:firstRow="1" w:lastRow="0" w:firstColumn="1" w:lastColumn="0" w:noHBand="0" w:noVBand="1"/>
      </w:tblPr>
      <w:tblGrid>
        <w:gridCol w:w="4508"/>
        <w:gridCol w:w="4508"/>
      </w:tblGrid>
      <w:tr w:rsidR="00C370E9" w:rsidRPr="00F3501B" w14:paraId="0DEC00DA" w14:textId="77777777" w:rsidTr="000D6524">
        <w:tc>
          <w:tcPr>
            <w:tcW w:w="4508" w:type="dxa"/>
          </w:tcPr>
          <w:p w14:paraId="3502564C" w14:textId="67580174"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Initial investment</w:t>
            </w:r>
          </w:p>
        </w:tc>
        <w:tc>
          <w:tcPr>
            <w:tcW w:w="4508" w:type="dxa"/>
          </w:tcPr>
          <w:p w14:paraId="35B578E7" w14:textId="363C9AA1"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103 (£m)</w:t>
            </w:r>
          </w:p>
        </w:tc>
      </w:tr>
      <w:tr w:rsidR="00C370E9" w:rsidRPr="00F3501B" w14:paraId="0CACC20B" w14:textId="77777777" w:rsidTr="000D6524">
        <w:tc>
          <w:tcPr>
            <w:tcW w:w="4508" w:type="dxa"/>
          </w:tcPr>
          <w:p w14:paraId="31E950E3" w14:textId="77777777"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lastRenderedPageBreak/>
              <w:t>Number of years</w:t>
            </w:r>
          </w:p>
        </w:tc>
        <w:tc>
          <w:tcPr>
            <w:tcW w:w="4508" w:type="dxa"/>
          </w:tcPr>
          <w:p w14:paraId="5ED0D5F3" w14:textId="77777777"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4</w:t>
            </w:r>
          </w:p>
        </w:tc>
      </w:tr>
      <w:tr w:rsidR="00C370E9" w:rsidRPr="00F3501B" w14:paraId="6F56D374" w14:textId="77777777" w:rsidTr="000D6524">
        <w:tc>
          <w:tcPr>
            <w:tcW w:w="4508" w:type="dxa"/>
          </w:tcPr>
          <w:p w14:paraId="5A9CCFA6" w14:textId="7E52FA10"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Straight line depreciation</w:t>
            </w:r>
          </w:p>
        </w:tc>
        <w:tc>
          <w:tcPr>
            <w:tcW w:w="4508" w:type="dxa"/>
          </w:tcPr>
          <w:p w14:paraId="4CD70139" w14:textId="18A11B4E"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25.75</w:t>
            </w:r>
          </w:p>
        </w:tc>
      </w:tr>
      <w:tr w:rsidR="00C370E9" w:rsidRPr="00F3501B" w14:paraId="1B98DE71" w14:textId="77777777" w:rsidTr="000D6524">
        <w:tc>
          <w:tcPr>
            <w:tcW w:w="4508" w:type="dxa"/>
          </w:tcPr>
          <w:p w14:paraId="1E9A1246" w14:textId="79114084"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Total profit</w:t>
            </w:r>
          </w:p>
        </w:tc>
        <w:tc>
          <w:tcPr>
            <w:tcW w:w="4508" w:type="dxa"/>
          </w:tcPr>
          <w:p w14:paraId="17BBD2F6" w14:textId="25E50071"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10+30+50+65=155 (£m)</w:t>
            </w:r>
          </w:p>
        </w:tc>
      </w:tr>
      <w:tr w:rsidR="00C370E9" w:rsidRPr="00F3501B" w14:paraId="74BA23BD" w14:textId="77777777" w:rsidTr="000D6524">
        <w:tc>
          <w:tcPr>
            <w:tcW w:w="4508" w:type="dxa"/>
          </w:tcPr>
          <w:p w14:paraId="70FAEA9F" w14:textId="77777777" w:rsidR="00C370E9" w:rsidRPr="00F3501B" w:rsidRDefault="00C370E9" w:rsidP="00F3501B">
            <w:pPr>
              <w:spacing w:before="240" w:line="360" w:lineRule="auto"/>
              <w:rPr>
                <w:rFonts w:ascii="Times New Roman" w:hAnsi="Times New Roman"/>
                <w:sz w:val="24"/>
                <w:szCs w:val="24"/>
              </w:rPr>
            </w:pPr>
            <w:r w:rsidRPr="00F3501B">
              <w:rPr>
                <w:rFonts w:ascii="Times New Roman" w:hAnsi="Times New Roman"/>
                <w:sz w:val="24"/>
                <w:szCs w:val="24"/>
              </w:rPr>
              <w:t>Accounting Rate of Return</w:t>
            </w:r>
          </w:p>
        </w:tc>
        <w:tc>
          <w:tcPr>
            <w:tcW w:w="4508" w:type="dxa"/>
          </w:tcPr>
          <w:p w14:paraId="6507BBBD" w14:textId="07F26F16" w:rsidR="00C370E9" w:rsidRPr="00F3501B" w:rsidRDefault="00F21459" w:rsidP="00F3501B">
            <w:pPr>
              <w:spacing w:before="240" w:line="360" w:lineRule="auto"/>
              <w:rPr>
                <w:rFonts w:ascii="Times New Roman" w:hAnsi="Times New Roman"/>
                <w:sz w:val="24"/>
                <w:szCs w:val="24"/>
              </w:rPr>
            </w:pPr>
            <w:r w:rsidRPr="00F3501B">
              <w:rPr>
                <w:rFonts w:ascii="Times New Roman" w:hAnsi="Times New Roman"/>
                <w:sz w:val="24"/>
                <w:szCs w:val="24"/>
              </w:rPr>
              <w:t>12</w:t>
            </w:r>
            <w:r w:rsidR="00C370E9" w:rsidRPr="00F3501B">
              <w:rPr>
                <w:rFonts w:ascii="Times New Roman" w:hAnsi="Times New Roman"/>
                <w:sz w:val="24"/>
                <w:szCs w:val="24"/>
              </w:rPr>
              <w:t>.62%</w:t>
            </w:r>
          </w:p>
        </w:tc>
      </w:tr>
    </w:tbl>
    <w:p w14:paraId="23FA00F3" w14:textId="33CCAF4E" w:rsidR="0097713D" w:rsidRPr="00F3501B" w:rsidRDefault="00C370E9" w:rsidP="00F3501B">
      <w:pPr>
        <w:spacing w:before="240"/>
        <w:rPr>
          <w:rFonts w:ascii="Times New Roman" w:hAnsi="Times New Roman"/>
          <w:sz w:val="24"/>
          <w:szCs w:val="24"/>
        </w:rPr>
      </w:pPr>
      <w:r w:rsidRPr="00F3501B">
        <w:rPr>
          <w:rFonts w:ascii="Times New Roman" w:hAnsi="Times New Roman"/>
          <w:sz w:val="24"/>
          <w:szCs w:val="24"/>
        </w:rPr>
        <w:t>Depreciation = 103 – 0 = 103</w:t>
      </w:r>
    </w:p>
    <w:p w14:paraId="4E6E18AE" w14:textId="47EA3E8A" w:rsidR="00C370E9" w:rsidRPr="00F3501B" w:rsidRDefault="00C370E9" w:rsidP="00F3501B">
      <w:pPr>
        <w:spacing w:before="240"/>
        <w:rPr>
          <w:rFonts w:ascii="Times New Roman" w:hAnsi="Times New Roman"/>
          <w:sz w:val="24"/>
          <w:szCs w:val="24"/>
        </w:rPr>
      </w:pPr>
      <w:r w:rsidRPr="00F3501B">
        <w:rPr>
          <w:rFonts w:ascii="Times New Roman" w:hAnsi="Times New Roman"/>
          <w:sz w:val="24"/>
          <w:szCs w:val="24"/>
        </w:rPr>
        <w:t>Straight line depreciation = 103 / 4 = 25.75</w:t>
      </w:r>
    </w:p>
    <w:p w14:paraId="006E11CC" w14:textId="5D7EDAAC" w:rsidR="00F21459" w:rsidRPr="00F3501B" w:rsidRDefault="00F21459" w:rsidP="00F3501B">
      <w:pPr>
        <w:spacing w:before="240"/>
        <w:rPr>
          <w:rFonts w:ascii="Times New Roman" w:hAnsi="Times New Roman"/>
          <w:sz w:val="24"/>
          <w:szCs w:val="24"/>
        </w:rPr>
      </w:pPr>
      <w:r w:rsidRPr="00F3501B">
        <w:rPr>
          <w:rFonts w:ascii="Times New Roman" w:hAnsi="Times New Roman"/>
          <w:sz w:val="24"/>
          <w:szCs w:val="24"/>
        </w:rPr>
        <w:t>So, the total generated profit is</w:t>
      </w:r>
    </w:p>
    <w:p w14:paraId="65D63538" w14:textId="4B4773B4" w:rsidR="00F21459" w:rsidRPr="00F3501B" w:rsidRDefault="00F21459" w:rsidP="00F3501B">
      <w:pPr>
        <w:spacing w:before="240"/>
        <w:rPr>
          <w:rFonts w:ascii="Times New Roman" w:hAnsi="Times New Roman"/>
          <w:sz w:val="24"/>
          <w:szCs w:val="24"/>
        </w:rPr>
      </w:pPr>
      <w:r w:rsidRPr="00F3501B">
        <w:rPr>
          <w:rFonts w:ascii="Times New Roman" w:hAnsi="Times New Roman"/>
          <w:sz w:val="24"/>
          <w:szCs w:val="24"/>
        </w:rPr>
        <w:t>155 – 103 = 52</w:t>
      </w:r>
    </w:p>
    <w:p w14:paraId="49032459" w14:textId="610C772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ARR=</w:t>
      </w:r>
      <w:r w:rsidR="00F21459" w:rsidRPr="00F3501B">
        <w:rPr>
          <w:rFonts w:ascii="Times New Roman" w:hAnsi="Times New Roman"/>
          <w:sz w:val="24"/>
          <w:szCs w:val="24"/>
        </w:rPr>
        <w:t>52</w:t>
      </w:r>
      <w:r w:rsidRPr="00F3501B">
        <w:rPr>
          <w:rFonts w:ascii="Times New Roman" w:hAnsi="Times New Roman"/>
          <w:sz w:val="24"/>
          <w:szCs w:val="24"/>
        </w:rPr>
        <w:t>/4/103=38.75/103=</w:t>
      </w:r>
      <w:r w:rsidR="00F21459" w:rsidRPr="00F3501B">
        <w:rPr>
          <w:rFonts w:ascii="Times New Roman" w:hAnsi="Times New Roman"/>
          <w:sz w:val="24"/>
          <w:szCs w:val="24"/>
        </w:rPr>
        <w:t>12</w:t>
      </w:r>
      <w:r w:rsidRPr="00F3501B">
        <w:rPr>
          <w:rFonts w:ascii="Times New Roman" w:hAnsi="Times New Roman"/>
          <w:sz w:val="24"/>
          <w:szCs w:val="24"/>
        </w:rPr>
        <w:t>.62%</w:t>
      </w:r>
    </w:p>
    <w:p w14:paraId="18963B68"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So, the result is:</w:t>
      </w:r>
    </w:p>
    <w:p w14:paraId="5671CCC9" w14:textId="7C2F8501"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ARR=</w:t>
      </w:r>
      <w:r w:rsidR="00F21459" w:rsidRPr="00F3501B">
        <w:rPr>
          <w:rFonts w:ascii="Times New Roman" w:hAnsi="Times New Roman"/>
          <w:sz w:val="24"/>
          <w:szCs w:val="24"/>
        </w:rPr>
        <w:t>12</w:t>
      </w:r>
      <w:r w:rsidRPr="00F3501B">
        <w:rPr>
          <w:rFonts w:ascii="Times New Roman" w:hAnsi="Times New Roman"/>
          <w:sz w:val="24"/>
          <w:szCs w:val="24"/>
        </w:rPr>
        <w:t>.62%</w:t>
      </w:r>
    </w:p>
    <w:p w14:paraId="66CA2A36" w14:textId="77777777" w:rsidR="0097713D" w:rsidRPr="00F3501B" w:rsidRDefault="0097713D" w:rsidP="00F3501B">
      <w:pPr>
        <w:spacing w:before="240"/>
        <w:rPr>
          <w:rFonts w:ascii="Times New Roman" w:hAnsi="Times New Roman"/>
          <w:sz w:val="24"/>
          <w:szCs w:val="24"/>
        </w:rPr>
      </w:pPr>
    </w:p>
    <w:p w14:paraId="74C248BC"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For Project B, the calculations are as follows:</w:t>
      </w:r>
    </w:p>
    <w:tbl>
      <w:tblPr>
        <w:tblStyle w:val="TableGrid"/>
        <w:tblW w:w="0" w:type="auto"/>
        <w:tblLook w:val="04A0" w:firstRow="1" w:lastRow="0" w:firstColumn="1" w:lastColumn="0" w:noHBand="0" w:noVBand="1"/>
      </w:tblPr>
      <w:tblGrid>
        <w:gridCol w:w="4508"/>
        <w:gridCol w:w="4508"/>
      </w:tblGrid>
      <w:tr w:rsidR="006D6699" w:rsidRPr="00F3501B" w14:paraId="64495E36" w14:textId="77777777" w:rsidTr="000D6524">
        <w:tc>
          <w:tcPr>
            <w:tcW w:w="4508" w:type="dxa"/>
          </w:tcPr>
          <w:p w14:paraId="5C6D3C72"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Total profit</w:t>
            </w:r>
          </w:p>
        </w:tc>
        <w:tc>
          <w:tcPr>
            <w:tcW w:w="4508" w:type="dxa"/>
          </w:tcPr>
          <w:p w14:paraId="65B4CDD5"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60+40+60+5=165 (£m)</w:t>
            </w:r>
          </w:p>
        </w:tc>
      </w:tr>
      <w:tr w:rsidR="006D6699" w:rsidRPr="00F3501B" w14:paraId="6CA8F946" w14:textId="77777777" w:rsidTr="000D6524">
        <w:tc>
          <w:tcPr>
            <w:tcW w:w="4508" w:type="dxa"/>
          </w:tcPr>
          <w:p w14:paraId="6DB024CA"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Number of years</w:t>
            </w:r>
          </w:p>
        </w:tc>
        <w:tc>
          <w:tcPr>
            <w:tcW w:w="4508" w:type="dxa"/>
          </w:tcPr>
          <w:p w14:paraId="19805E29"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4</w:t>
            </w:r>
          </w:p>
        </w:tc>
      </w:tr>
      <w:tr w:rsidR="006D6699" w:rsidRPr="00F3501B" w14:paraId="3841DD69" w14:textId="77777777" w:rsidTr="000D6524">
        <w:tc>
          <w:tcPr>
            <w:tcW w:w="4508" w:type="dxa"/>
          </w:tcPr>
          <w:p w14:paraId="296FDCFB"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Initial investment</w:t>
            </w:r>
          </w:p>
        </w:tc>
        <w:tc>
          <w:tcPr>
            <w:tcW w:w="4508" w:type="dxa"/>
          </w:tcPr>
          <w:p w14:paraId="437D480C"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115 (£m)</w:t>
            </w:r>
          </w:p>
        </w:tc>
      </w:tr>
      <w:tr w:rsidR="0097713D" w:rsidRPr="00F3501B" w14:paraId="4E1AB3C2" w14:textId="77777777" w:rsidTr="000D6524">
        <w:tc>
          <w:tcPr>
            <w:tcW w:w="4508" w:type="dxa"/>
          </w:tcPr>
          <w:p w14:paraId="51D7D1F2"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Accounting Rate of Return</w:t>
            </w:r>
          </w:p>
        </w:tc>
        <w:tc>
          <w:tcPr>
            <w:tcW w:w="4508" w:type="dxa"/>
          </w:tcPr>
          <w:p w14:paraId="5F9E11B8" w14:textId="3212E281" w:rsidR="0097713D" w:rsidRPr="00F3501B" w:rsidRDefault="00F21459" w:rsidP="00F3501B">
            <w:pPr>
              <w:spacing w:before="240" w:line="360" w:lineRule="auto"/>
              <w:rPr>
                <w:rFonts w:ascii="Times New Roman" w:hAnsi="Times New Roman"/>
                <w:sz w:val="24"/>
                <w:szCs w:val="24"/>
              </w:rPr>
            </w:pPr>
            <w:r w:rsidRPr="00F3501B">
              <w:rPr>
                <w:rFonts w:ascii="Times New Roman" w:hAnsi="Times New Roman"/>
                <w:sz w:val="24"/>
                <w:szCs w:val="24"/>
              </w:rPr>
              <w:t>10.8</w:t>
            </w:r>
            <w:r w:rsidR="00E56915" w:rsidRPr="00F3501B">
              <w:rPr>
                <w:rFonts w:ascii="Times New Roman" w:hAnsi="Times New Roman"/>
                <w:sz w:val="24"/>
                <w:szCs w:val="24"/>
              </w:rPr>
              <w:t>7</w:t>
            </w:r>
            <w:r w:rsidRPr="00F3501B">
              <w:rPr>
                <w:rFonts w:ascii="Times New Roman" w:hAnsi="Times New Roman"/>
                <w:sz w:val="24"/>
                <w:szCs w:val="24"/>
              </w:rPr>
              <w:t xml:space="preserve"> </w:t>
            </w:r>
            <w:r w:rsidR="0097713D" w:rsidRPr="00F3501B">
              <w:rPr>
                <w:rFonts w:ascii="Times New Roman" w:hAnsi="Times New Roman"/>
                <w:sz w:val="24"/>
                <w:szCs w:val="24"/>
              </w:rPr>
              <w:t>%</w:t>
            </w:r>
          </w:p>
        </w:tc>
      </w:tr>
    </w:tbl>
    <w:p w14:paraId="5BE9222F" w14:textId="14AF1397" w:rsidR="00F21459" w:rsidRPr="00F3501B" w:rsidRDefault="00F21459" w:rsidP="00F3501B">
      <w:pPr>
        <w:spacing w:before="240"/>
        <w:rPr>
          <w:rFonts w:ascii="Times New Roman" w:hAnsi="Times New Roman"/>
          <w:sz w:val="24"/>
          <w:szCs w:val="24"/>
        </w:rPr>
      </w:pPr>
      <w:r w:rsidRPr="00F3501B">
        <w:rPr>
          <w:rFonts w:ascii="Times New Roman" w:hAnsi="Times New Roman"/>
          <w:sz w:val="24"/>
          <w:szCs w:val="24"/>
        </w:rPr>
        <w:t>Straight line depreciation = 115 / 4 = 28.75</w:t>
      </w:r>
    </w:p>
    <w:p w14:paraId="48765C3A" w14:textId="4E00CE02"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ARR=</w:t>
      </w:r>
      <w:r w:rsidR="00F21459" w:rsidRPr="00F3501B">
        <w:rPr>
          <w:rFonts w:ascii="Times New Roman" w:hAnsi="Times New Roman"/>
          <w:sz w:val="24"/>
          <w:szCs w:val="24"/>
        </w:rPr>
        <w:t>50</w:t>
      </w:r>
      <w:r w:rsidRPr="00F3501B">
        <w:rPr>
          <w:rFonts w:ascii="Times New Roman" w:hAnsi="Times New Roman"/>
          <w:sz w:val="24"/>
          <w:szCs w:val="24"/>
        </w:rPr>
        <w:t>/4/115=</w:t>
      </w:r>
      <w:r w:rsidR="00F21459" w:rsidRPr="00F3501B">
        <w:rPr>
          <w:rFonts w:ascii="Times New Roman" w:hAnsi="Times New Roman"/>
          <w:sz w:val="24"/>
          <w:szCs w:val="24"/>
        </w:rPr>
        <w:t>12.5</w:t>
      </w:r>
      <w:r w:rsidRPr="00F3501B">
        <w:rPr>
          <w:rFonts w:ascii="Times New Roman" w:hAnsi="Times New Roman"/>
          <w:sz w:val="24"/>
          <w:szCs w:val="24"/>
        </w:rPr>
        <w:t>/115=%</w:t>
      </w:r>
    </w:p>
    <w:p w14:paraId="7FBCFAA7"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Thus, the result is:</w:t>
      </w:r>
    </w:p>
    <w:p w14:paraId="0FE8D3DA" w14:textId="19AAF1F9"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ARR=</w:t>
      </w:r>
      <w:r w:rsidR="00F21459" w:rsidRPr="00F3501B">
        <w:rPr>
          <w:rFonts w:ascii="Times New Roman" w:hAnsi="Times New Roman"/>
          <w:sz w:val="24"/>
          <w:szCs w:val="24"/>
        </w:rPr>
        <w:t xml:space="preserve"> 10.8</w:t>
      </w:r>
      <w:r w:rsidR="00E56915" w:rsidRPr="00F3501B">
        <w:rPr>
          <w:rFonts w:ascii="Times New Roman" w:hAnsi="Times New Roman"/>
          <w:sz w:val="24"/>
          <w:szCs w:val="24"/>
        </w:rPr>
        <w:t>7</w:t>
      </w:r>
      <w:r w:rsidR="00F21459" w:rsidRPr="00F3501B">
        <w:rPr>
          <w:rFonts w:ascii="Times New Roman" w:hAnsi="Times New Roman"/>
          <w:sz w:val="24"/>
          <w:szCs w:val="24"/>
        </w:rPr>
        <w:t xml:space="preserve"> </w:t>
      </w:r>
      <w:r w:rsidRPr="00F3501B">
        <w:rPr>
          <w:rFonts w:ascii="Times New Roman" w:hAnsi="Times New Roman"/>
          <w:sz w:val="24"/>
          <w:szCs w:val="24"/>
        </w:rPr>
        <w:t>%</w:t>
      </w:r>
    </w:p>
    <w:p w14:paraId="72141D58" w14:textId="77777777" w:rsidR="0097713D" w:rsidRPr="00F3501B" w:rsidRDefault="0097713D" w:rsidP="00F3501B">
      <w:pPr>
        <w:spacing w:before="240"/>
        <w:rPr>
          <w:rFonts w:ascii="Times New Roman" w:hAnsi="Times New Roman"/>
          <w:sz w:val="24"/>
          <w:szCs w:val="24"/>
        </w:rPr>
      </w:pPr>
    </w:p>
    <w:p w14:paraId="08B6C04B" w14:textId="65D37A5A" w:rsidR="0097713D" w:rsidRPr="00F3501B" w:rsidRDefault="00E31B77" w:rsidP="00F3501B">
      <w:pPr>
        <w:pStyle w:val="Heading3"/>
        <w:spacing w:before="240" w:line="360" w:lineRule="auto"/>
        <w:rPr>
          <w:rFonts w:ascii="Times New Roman" w:hAnsi="Times New Roman" w:cs="Times New Roman"/>
          <w:color w:val="auto"/>
        </w:rPr>
      </w:pPr>
      <w:bookmarkStart w:id="18" w:name="_Toc30186930"/>
      <w:r w:rsidRPr="00F3501B">
        <w:rPr>
          <w:rFonts w:ascii="Times New Roman" w:hAnsi="Times New Roman" w:cs="Times New Roman"/>
          <w:color w:val="auto"/>
        </w:rPr>
        <w:t xml:space="preserve">Calculation of </w:t>
      </w:r>
      <w:r w:rsidR="0097713D" w:rsidRPr="00F3501B">
        <w:rPr>
          <w:rFonts w:ascii="Times New Roman" w:hAnsi="Times New Roman" w:cs="Times New Roman"/>
          <w:color w:val="auto"/>
        </w:rPr>
        <w:t>Net Present Value</w:t>
      </w:r>
      <w:bookmarkEnd w:id="18"/>
      <w:r w:rsidR="0097713D" w:rsidRPr="00F3501B">
        <w:rPr>
          <w:rFonts w:ascii="Times New Roman" w:hAnsi="Times New Roman" w:cs="Times New Roman"/>
          <w:color w:val="auto"/>
        </w:rPr>
        <w:t xml:space="preserve"> </w:t>
      </w:r>
    </w:p>
    <w:p w14:paraId="65FBB285" w14:textId="77777777" w:rsidR="0097713D" w:rsidRPr="00F3501B" w:rsidRDefault="0097713D" w:rsidP="00F3501B">
      <w:pPr>
        <w:spacing w:before="240"/>
        <w:rPr>
          <w:rFonts w:ascii="Times New Roman" w:hAnsi="Times New Roman"/>
          <w:sz w:val="24"/>
          <w:szCs w:val="24"/>
        </w:rPr>
      </w:pPr>
    </w:p>
    <w:p w14:paraId="03FC77C7"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definition of Net Present Value (NPV) is “the difference between the present value of cash inflows and the present value of cash outflows over a period of time”.</w:t>
      </w:r>
    </w:p>
    <w:p w14:paraId="078BD082"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is used “to analyse the profitability of a projected investment”.</w:t>
      </w:r>
    </w:p>
    <w:p w14:paraId="19CABC15"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is calculated using the formula bellow:</w:t>
      </w:r>
    </w:p>
    <w:p w14:paraId="119E3598" w14:textId="77777777" w:rsidR="0097713D" w:rsidRPr="00F3501B" w:rsidRDefault="0097713D" w:rsidP="00F3501B">
      <w:pPr>
        <w:spacing w:before="240"/>
        <w:rPr>
          <w:rFonts w:ascii="Times New Roman" w:hAnsi="Times New Roman"/>
          <w:sz w:val="24"/>
          <w:szCs w:val="24"/>
          <w:vertAlign w:val="superscript"/>
        </w:rPr>
      </w:pPr>
      <w:r w:rsidRPr="00F3501B">
        <w:rPr>
          <w:rFonts w:ascii="Times New Roman" w:hAnsi="Times New Roman"/>
          <w:sz w:val="24"/>
          <w:szCs w:val="24"/>
        </w:rPr>
        <w:t>NPV=I0 + C1/(1+r) + C2/(1+r)</w:t>
      </w:r>
      <w:r w:rsidRPr="00F3501B">
        <w:rPr>
          <w:rFonts w:ascii="Times New Roman" w:hAnsi="Times New Roman"/>
          <w:sz w:val="24"/>
          <w:szCs w:val="24"/>
          <w:vertAlign w:val="superscript"/>
        </w:rPr>
        <w:t xml:space="preserve">2 </w:t>
      </w:r>
      <w:r w:rsidRPr="00F3501B">
        <w:rPr>
          <w:rFonts w:ascii="Times New Roman" w:hAnsi="Times New Roman"/>
          <w:sz w:val="24"/>
          <w:szCs w:val="24"/>
        </w:rPr>
        <w:t>+ C3/(1+r)</w:t>
      </w:r>
      <w:r w:rsidRPr="00F3501B">
        <w:rPr>
          <w:rFonts w:ascii="Times New Roman" w:hAnsi="Times New Roman"/>
          <w:sz w:val="24"/>
          <w:szCs w:val="24"/>
          <w:vertAlign w:val="superscript"/>
        </w:rPr>
        <w:t xml:space="preserve">3 </w:t>
      </w:r>
      <w:r w:rsidRPr="00F3501B">
        <w:rPr>
          <w:rFonts w:ascii="Times New Roman" w:hAnsi="Times New Roman"/>
          <w:sz w:val="24"/>
          <w:szCs w:val="24"/>
        </w:rPr>
        <w:t>+ C4/(1+r)</w:t>
      </w:r>
      <w:r w:rsidRPr="00F3501B">
        <w:rPr>
          <w:rFonts w:ascii="Times New Roman" w:hAnsi="Times New Roman"/>
          <w:sz w:val="24"/>
          <w:szCs w:val="24"/>
          <w:vertAlign w:val="superscript"/>
        </w:rPr>
        <w:t>4</w:t>
      </w:r>
    </w:p>
    <w:p w14:paraId="7D7AB206"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Considering our data for the Project A, the calculation for NPV is:</w:t>
      </w:r>
    </w:p>
    <w:p w14:paraId="670C9E04"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 -103 + 10</w:t>
      </w:r>
      <w:proofErr w:type="gramStart"/>
      <w:r w:rsidRPr="00F3501B">
        <w:rPr>
          <w:rFonts w:ascii="Times New Roman" w:hAnsi="Times New Roman"/>
          <w:sz w:val="24"/>
          <w:szCs w:val="24"/>
        </w:rPr>
        <w:t>/(</w:t>
      </w:r>
      <w:proofErr w:type="gramEnd"/>
      <w:r w:rsidRPr="00F3501B">
        <w:rPr>
          <w:rFonts w:ascii="Times New Roman" w:hAnsi="Times New Roman"/>
          <w:sz w:val="24"/>
          <w:szCs w:val="24"/>
        </w:rPr>
        <w:t>1+8.73%) + 30/(1+8.73%)</w:t>
      </w:r>
      <w:r w:rsidRPr="00F3501B">
        <w:rPr>
          <w:rFonts w:ascii="Times New Roman" w:hAnsi="Times New Roman"/>
          <w:sz w:val="24"/>
          <w:szCs w:val="24"/>
          <w:vertAlign w:val="superscript"/>
        </w:rPr>
        <w:t>2</w:t>
      </w:r>
      <w:r w:rsidRPr="00F3501B">
        <w:rPr>
          <w:rFonts w:ascii="Times New Roman" w:hAnsi="Times New Roman"/>
          <w:sz w:val="24"/>
          <w:szCs w:val="24"/>
        </w:rPr>
        <w:t xml:space="preserve"> + 50/(1+8.73%)</w:t>
      </w:r>
      <w:r w:rsidRPr="00F3501B">
        <w:rPr>
          <w:rFonts w:ascii="Times New Roman" w:hAnsi="Times New Roman"/>
          <w:sz w:val="24"/>
          <w:szCs w:val="24"/>
          <w:vertAlign w:val="superscript"/>
        </w:rPr>
        <w:t>3</w:t>
      </w:r>
      <w:r w:rsidRPr="00F3501B">
        <w:rPr>
          <w:rFonts w:ascii="Times New Roman" w:hAnsi="Times New Roman"/>
          <w:sz w:val="24"/>
          <w:szCs w:val="24"/>
        </w:rPr>
        <w:t xml:space="preserve"> + 65/(1+8.73%)</w:t>
      </w:r>
      <w:r w:rsidRPr="00F3501B">
        <w:rPr>
          <w:rFonts w:ascii="Times New Roman" w:hAnsi="Times New Roman"/>
          <w:sz w:val="24"/>
          <w:szCs w:val="24"/>
          <w:vertAlign w:val="superscript"/>
        </w:rPr>
        <w:t xml:space="preserve">4 </w:t>
      </w:r>
      <w:r w:rsidRPr="00F3501B">
        <w:rPr>
          <w:rFonts w:ascii="Times New Roman" w:hAnsi="Times New Roman"/>
          <w:sz w:val="24"/>
          <w:szCs w:val="24"/>
        </w:rPr>
        <w:t>= -103 + 9.2 + 25.37 + 38.90 + 46.50 = 16.98</w:t>
      </w:r>
    </w:p>
    <w:p w14:paraId="6A16F9CF"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So, for this project the result is</w:t>
      </w:r>
    </w:p>
    <w:p w14:paraId="0E7A6BCB"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NPV = 16.98</w:t>
      </w:r>
    </w:p>
    <w:p w14:paraId="09860C50"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For Project B, the steps in calculations are:</w:t>
      </w:r>
    </w:p>
    <w:p w14:paraId="76930A10"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 -115 + 60</w:t>
      </w:r>
      <w:proofErr w:type="gramStart"/>
      <w:r w:rsidRPr="00F3501B">
        <w:rPr>
          <w:rFonts w:ascii="Times New Roman" w:hAnsi="Times New Roman"/>
          <w:sz w:val="24"/>
          <w:szCs w:val="24"/>
        </w:rPr>
        <w:t>/(</w:t>
      </w:r>
      <w:proofErr w:type="gramEnd"/>
      <w:r w:rsidRPr="00F3501B">
        <w:rPr>
          <w:rFonts w:ascii="Times New Roman" w:hAnsi="Times New Roman"/>
          <w:sz w:val="24"/>
          <w:szCs w:val="24"/>
        </w:rPr>
        <w:t>1+8.73%) + 40/(1+8.73%)</w:t>
      </w:r>
      <w:r w:rsidRPr="00F3501B">
        <w:rPr>
          <w:rFonts w:ascii="Times New Roman" w:hAnsi="Times New Roman"/>
          <w:sz w:val="24"/>
          <w:szCs w:val="24"/>
          <w:vertAlign w:val="superscript"/>
        </w:rPr>
        <w:t>2</w:t>
      </w:r>
      <w:r w:rsidRPr="00F3501B">
        <w:rPr>
          <w:rFonts w:ascii="Times New Roman" w:hAnsi="Times New Roman"/>
          <w:sz w:val="24"/>
          <w:szCs w:val="24"/>
        </w:rPr>
        <w:t xml:space="preserve"> + 60/(1+8.73%)</w:t>
      </w:r>
      <w:r w:rsidRPr="00F3501B">
        <w:rPr>
          <w:rFonts w:ascii="Times New Roman" w:hAnsi="Times New Roman"/>
          <w:sz w:val="24"/>
          <w:szCs w:val="24"/>
          <w:vertAlign w:val="superscript"/>
        </w:rPr>
        <w:t>3</w:t>
      </w:r>
      <w:r w:rsidRPr="00F3501B">
        <w:rPr>
          <w:rFonts w:ascii="Times New Roman" w:hAnsi="Times New Roman"/>
          <w:sz w:val="24"/>
          <w:szCs w:val="24"/>
        </w:rPr>
        <w:t xml:space="preserve"> + 5/(1+8.73%)</w:t>
      </w:r>
      <w:r w:rsidRPr="00F3501B">
        <w:rPr>
          <w:rFonts w:ascii="Times New Roman" w:hAnsi="Times New Roman"/>
          <w:sz w:val="24"/>
          <w:szCs w:val="24"/>
          <w:vertAlign w:val="superscript"/>
        </w:rPr>
        <w:t xml:space="preserve">4 </w:t>
      </w:r>
      <w:r w:rsidRPr="00F3501B">
        <w:rPr>
          <w:rFonts w:ascii="Times New Roman" w:hAnsi="Times New Roman"/>
          <w:sz w:val="24"/>
          <w:szCs w:val="24"/>
        </w:rPr>
        <w:t>= 24.27</w:t>
      </w:r>
    </w:p>
    <w:p w14:paraId="01F60014"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Then the result is:</w:t>
      </w:r>
    </w:p>
    <w:p w14:paraId="556DA0E8"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NPV = 24.72</w:t>
      </w:r>
    </w:p>
    <w:p w14:paraId="69C2D37A" w14:textId="31AF8C47" w:rsidR="0097713D" w:rsidRPr="00F3501B" w:rsidRDefault="0097713D" w:rsidP="00F3501B">
      <w:pPr>
        <w:pStyle w:val="Heading3"/>
        <w:spacing w:before="240" w:line="360" w:lineRule="auto"/>
        <w:rPr>
          <w:rFonts w:ascii="Times New Roman" w:hAnsi="Times New Roman" w:cs="Times New Roman"/>
          <w:color w:val="auto"/>
        </w:rPr>
      </w:pPr>
      <w:bookmarkStart w:id="19" w:name="_Toc30186931"/>
      <w:r w:rsidRPr="00F3501B">
        <w:rPr>
          <w:rFonts w:ascii="Times New Roman" w:hAnsi="Times New Roman" w:cs="Times New Roman"/>
          <w:color w:val="auto"/>
        </w:rPr>
        <w:t>Calculation of Internal Rate of Return</w:t>
      </w:r>
      <w:bookmarkEnd w:id="19"/>
    </w:p>
    <w:p w14:paraId="7237CF13" w14:textId="77777777" w:rsidR="0097713D" w:rsidRPr="00F3501B" w:rsidRDefault="0097713D" w:rsidP="00F3501B">
      <w:pPr>
        <w:spacing w:before="240"/>
        <w:rPr>
          <w:rFonts w:ascii="Times New Roman" w:hAnsi="Times New Roman"/>
          <w:sz w:val="24"/>
          <w:szCs w:val="24"/>
        </w:rPr>
      </w:pPr>
    </w:p>
    <w:p w14:paraId="62101159"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The definition of Internal Rate of Return (IRR) is “a discount rate that makes the net present value (NPV) of all cash flows from a particular project equal to zero”. </w:t>
      </w:r>
    </w:p>
    <w:p w14:paraId="1D767081"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“IRR calculations rely on the same formula as NPV does”.</w:t>
      </w:r>
    </w:p>
    <w:p w14:paraId="63C6D14A"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IRR = r1 + (r2 – r1) x NPV1 / (NPV1 – NPV2) </w:t>
      </w:r>
    </w:p>
    <w:p w14:paraId="5D57E836"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lastRenderedPageBreak/>
        <w:t>“To calculate IRR, because of the nature of its formula, IRR cannot be calculated analytically and therefore must instead be calculated either through trial-and-error or using software programmed to calculate it”.</w:t>
      </w:r>
    </w:p>
    <w:p w14:paraId="107441C7"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For Project A, taking in consideration the information that </w:t>
      </w:r>
    </w:p>
    <w:p w14:paraId="570C20D2" w14:textId="77777777" w:rsidR="0097713D" w:rsidRPr="00F3501B" w:rsidRDefault="0097713D" w:rsidP="00F3501B">
      <w:pPr>
        <w:spacing w:before="240"/>
        <w:ind w:left="720" w:firstLine="720"/>
        <w:rPr>
          <w:rFonts w:ascii="Times New Roman" w:hAnsi="Times New Roman"/>
          <w:sz w:val="24"/>
          <w:szCs w:val="24"/>
        </w:rPr>
      </w:pPr>
      <w:r w:rsidRPr="00F3501B">
        <w:rPr>
          <w:rFonts w:ascii="Times New Roman" w:hAnsi="Times New Roman"/>
          <w:sz w:val="24"/>
          <w:szCs w:val="24"/>
        </w:rPr>
        <w:t xml:space="preserve">r1 = 8.73% </w:t>
      </w:r>
    </w:p>
    <w:p w14:paraId="0753F49B"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 xml:space="preserve">and having calculated above the </w:t>
      </w:r>
    </w:p>
    <w:p w14:paraId="3ADB8965" w14:textId="77777777" w:rsidR="0097713D" w:rsidRPr="00F3501B" w:rsidRDefault="0097713D" w:rsidP="00F3501B">
      <w:pPr>
        <w:spacing w:before="240"/>
        <w:ind w:left="720" w:firstLine="720"/>
        <w:rPr>
          <w:rFonts w:ascii="Times New Roman" w:hAnsi="Times New Roman"/>
          <w:sz w:val="24"/>
          <w:szCs w:val="24"/>
        </w:rPr>
      </w:pPr>
      <w:r w:rsidRPr="00F3501B">
        <w:rPr>
          <w:rFonts w:ascii="Times New Roman" w:hAnsi="Times New Roman"/>
          <w:sz w:val="24"/>
          <w:szCs w:val="24"/>
        </w:rPr>
        <w:t>NPV = 16.98</w:t>
      </w:r>
    </w:p>
    <w:p w14:paraId="1332AC2E"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Using the error-and-trial, by given the value 11 to r2,</w:t>
      </w:r>
    </w:p>
    <w:p w14:paraId="1A0414F0"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r2 = 11</w:t>
      </w:r>
    </w:p>
    <w:p w14:paraId="29A405D1"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corresponding NPV would be:</w:t>
      </w:r>
    </w:p>
    <w:p w14:paraId="147FF979"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 -103 + 10/ (1+11%) + 30</w:t>
      </w:r>
      <w:proofErr w:type="gramStart"/>
      <w:r w:rsidRPr="00F3501B">
        <w:rPr>
          <w:rFonts w:ascii="Times New Roman" w:hAnsi="Times New Roman"/>
          <w:sz w:val="24"/>
          <w:szCs w:val="24"/>
        </w:rPr>
        <w:t>/(</w:t>
      </w:r>
      <w:proofErr w:type="gramEnd"/>
      <w:r w:rsidRPr="00F3501B">
        <w:rPr>
          <w:rFonts w:ascii="Times New Roman" w:hAnsi="Times New Roman"/>
          <w:sz w:val="24"/>
          <w:szCs w:val="24"/>
        </w:rPr>
        <w:t>1+11%)</w:t>
      </w:r>
      <w:r w:rsidRPr="00F3501B">
        <w:rPr>
          <w:rFonts w:ascii="Times New Roman" w:hAnsi="Times New Roman"/>
          <w:sz w:val="24"/>
          <w:szCs w:val="24"/>
          <w:vertAlign w:val="superscript"/>
        </w:rPr>
        <w:t>2</w:t>
      </w:r>
      <w:r w:rsidRPr="00F3501B">
        <w:rPr>
          <w:rFonts w:ascii="Times New Roman" w:hAnsi="Times New Roman"/>
          <w:sz w:val="24"/>
          <w:szCs w:val="24"/>
        </w:rPr>
        <w:t xml:space="preserve"> + 50/(1+11%)</w:t>
      </w:r>
      <w:r w:rsidRPr="00F3501B">
        <w:rPr>
          <w:rFonts w:ascii="Times New Roman" w:hAnsi="Times New Roman"/>
          <w:sz w:val="24"/>
          <w:szCs w:val="24"/>
          <w:vertAlign w:val="superscript"/>
        </w:rPr>
        <w:t>3</w:t>
      </w:r>
      <w:r w:rsidRPr="00F3501B">
        <w:rPr>
          <w:rFonts w:ascii="Times New Roman" w:hAnsi="Times New Roman"/>
          <w:sz w:val="24"/>
          <w:szCs w:val="24"/>
        </w:rPr>
        <w:t xml:space="preserve"> + 65/(1+11%)</w:t>
      </w:r>
      <w:r w:rsidRPr="00F3501B">
        <w:rPr>
          <w:rFonts w:ascii="Times New Roman" w:hAnsi="Times New Roman"/>
          <w:sz w:val="24"/>
          <w:szCs w:val="24"/>
          <w:vertAlign w:val="superscript"/>
        </w:rPr>
        <w:t xml:space="preserve">4 </w:t>
      </w:r>
      <w:r w:rsidRPr="00F3501B">
        <w:rPr>
          <w:rFonts w:ascii="Times New Roman" w:hAnsi="Times New Roman"/>
          <w:sz w:val="24"/>
          <w:szCs w:val="24"/>
        </w:rPr>
        <w:t>=</w:t>
      </w:r>
    </w:p>
    <w:p w14:paraId="0C924292"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NPV (r2=11) = 9.73</w:t>
      </w:r>
    </w:p>
    <w:p w14:paraId="62108393"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result is still above zero thus another calculation is to be done.</w:t>
      </w:r>
    </w:p>
    <w:p w14:paraId="2E948282"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By doing the next trial as giving the value 15 to r2, then for corresponding NPV would be:</w:t>
      </w:r>
    </w:p>
    <w:p w14:paraId="125F827B"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 -103 + 10</w:t>
      </w:r>
      <w:proofErr w:type="gramStart"/>
      <w:r w:rsidRPr="00F3501B">
        <w:rPr>
          <w:rFonts w:ascii="Times New Roman" w:hAnsi="Times New Roman"/>
          <w:sz w:val="24"/>
          <w:szCs w:val="24"/>
        </w:rPr>
        <w:t>/(</w:t>
      </w:r>
      <w:proofErr w:type="gramEnd"/>
      <w:r w:rsidRPr="00F3501B">
        <w:rPr>
          <w:rFonts w:ascii="Times New Roman" w:hAnsi="Times New Roman"/>
          <w:sz w:val="24"/>
          <w:szCs w:val="24"/>
        </w:rPr>
        <w:t>1+15%) + 30/(1+15%)</w:t>
      </w:r>
      <w:r w:rsidRPr="00F3501B">
        <w:rPr>
          <w:rFonts w:ascii="Times New Roman" w:hAnsi="Times New Roman"/>
          <w:sz w:val="24"/>
          <w:szCs w:val="24"/>
          <w:vertAlign w:val="superscript"/>
        </w:rPr>
        <w:t>2</w:t>
      </w:r>
      <w:r w:rsidRPr="00F3501B">
        <w:rPr>
          <w:rFonts w:ascii="Times New Roman" w:hAnsi="Times New Roman"/>
          <w:sz w:val="24"/>
          <w:szCs w:val="24"/>
        </w:rPr>
        <w:t xml:space="preserve"> + 50/(1+15%)</w:t>
      </w:r>
      <w:r w:rsidRPr="00F3501B">
        <w:rPr>
          <w:rFonts w:ascii="Times New Roman" w:hAnsi="Times New Roman"/>
          <w:sz w:val="24"/>
          <w:szCs w:val="24"/>
          <w:vertAlign w:val="superscript"/>
        </w:rPr>
        <w:t>3</w:t>
      </w:r>
      <w:r w:rsidRPr="00F3501B">
        <w:rPr>
          <w:rFonts w:ascii="Times New Roman" w:hAnsi="Times New Roman"/>
          <w:sz w:val="24"/>
          <w:szCs w:val="24"/>
        </w:rPr>
        <w:t xml:space="preserve"> + 65/(1+15%)</w:t>
      </w:r>
      <w:r w:rsidRPr="00F3501B">
        <w:rPr>
          <w:rFonts w:ascii="Times New Roman" w:hAnsi="Times New Roman"/>
          <w:sz w:val="24"/>
          <w:szCs w:val="24"/>
          <w:vertAlign w:val="superscript"/>
        </w:rPr>
        <w:t xml:space="preserve">4 </w:t>
      </w:r>
      <w:r w:rsidRPr="00F3501B">
        <w:rPr>
          <w:rFonts w:ascii="Times New Roman" w:hAnsi="Times New Roman"/>
          <w:sz w:val="24"/>
          <w:szCs w:val="24"/>
        </w:rPr>
        <w:t>= -1.58</w:t>
      </w:r>
    </w:p>
    <w:p w14:paraId="751D6692"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NPV (r2=15) = -1.58</w:t>
      </w:r>
    </w:p>
    <w:p w14:paraId="03F4F098"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With this result, furthermore the calculation to find out the IRR is</w:t>
      </w:r>
    </w:p>
    <w:p w14:paraId="66BEACF1"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IRR = 8.73% + (15% - 8.73%) x 16.98 / (16.98 – (-1.58)) = 8.73% + 6.27% x 16.98/18.56 = 14.4</w:t>
      </w:r>
    </w:p>
    <w:p w14:paraId="3BFD7C75"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So</w:t>
      </w:r>
    </w:p>
    <w:p w14:paraId="069C655B"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b/>
      </w:r>
      <w:r w:rsidRPr="00F3501B">
        <w:rPr>
          <w:rFonts w:ascii="Times New Roman" w:hAnsi="Times New Roman"/>
          <w:sz w:val="24"/>
          <w:szCs w:val="24"/>
        </w:rPr>
        <w:tab/>
        <w:t>IRR = 14.4</w:t>
      </w:r>
    </w:p>
    <w:p w14:paraId="38E90729"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same result is obtained if using a software programmed to calculate it.</w:t>
      </w:r>
    </w:p>
    <w:p w14:paraId="5EC48516"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lastRenderedPageBreak/>
        <w:t>Following the steps mentioned anteriorly, for Project B, as well by using the error-and-trial, given the value 20 to r2,</w:t>
      </w:r>
    </w:p>
    <w:p w14:paraId="34328AFD"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r2 = 20</w:t>
      </w:r>
    </w:p>
    <w:p w14:paraId="120AD844"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corresponding NPV would be:</w:t>
      </w:r>
    </w:p>
    <w:p w14:paraId="45175FB3"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NPV = -115 + 60</w:t>
      </w:r>
      <w:proofErr w:type="gramStart"/>
      <w:r w:rsidRPr="00F3501B">
        <w:rPr>
          <w:rFonts w:ascii="Times New Roman" w:hAnsi="Times New Roman"/>
          <w:sz w:val="24"/>
          <w:szCs w:val="24"/>
        </w:rPr>
        <w:t>/(</w:t>
      </w:r>
      <w:proofErr w:type="gramEnd"/>
      <w:r w:rsidRPr="00F3501B">
        <w:rPr>
          <w:rFonts w:ascii="Times New Roman" w:hAnsi="Times New Roman"/>
          <w:sz w:val="24"/>
          <w:szCs w:val="24"/>
        </w:rPr>
        <w:t>1+20%) + 40/(1+20%)</w:t>
      </w:r>
      <w:r w:rsidRPr="00F3501B">
        <w:rPr>
          <w:rFonts w:ascii="Times New Roman" w:hAnsi="Times New Roman"/>
          <w:sz w:val="24"/>
          <w:szCs w:val="24"/>
          <w:vertAlign w:val="superscript"/>
        </w:rPr>
        <w:t>2</w:t>
      </w:r>
      <w:r w:rsidRPr="00F3501B">
        <w:rPr>
          <w:rFonts w:ascii="Times New Roman" w:hAnsi="Times New Roman"/>
          <w:sz w:val="24"/>
          <w:szCs w:val="24"/>
        </w:rPr>
        <w:t xml:space="preserve"> + 60/(1+20%)</w:t>
      </w:r>
      <w:r w:rsidRPr="00F3501B">
        <w:rPr>
          <w:rFonts w:ascii="Times New Roman" w:hAnsi="Times New Roman"/>
          <w:sz w:val="24"/>
          <w:szCs w:val="24"/>
          <w:vertAlign w:val="superscript"/>
        </w:rPr>
        <w:t>3</w:t>
      </w:r>
      <w:r w:rsidRPr="00F3501B">
        <w:rPr>
          <w:rFonts w:ascii="Times New Roman" w:hAnsi="Times New Roman"/>
          <w:sz w:val="24"/>
          <w:szCs w:val="24"/>
        </w:rPr>
        <w:t xml:space="preserve"> + 5/(1+20%)</w:t>
      </w:r>
      <w:r w:rsidRPr="00F3501B">
        <w:rPr>
          <w:rFonts w:ascii="Times New Roman" w:hAnsi="Times New Roman"/>
          <w:sz w:val="24"/>
          <w:szCs w:val="24"/>
          <w:vertAlign w:val="superscript"/>
        </w:rPr>
        <w:t xml:space="preserve">4 </w:t>
      </w:r>
      <w:r w:rsidRPr="00F3501B">
        <w:rPr>
          <w:rFonts w:ascii="Times New Roman" w:hAnsi="Times New Roman"/>
          <w:sz w:val="24"/>
          <w:szCs w:val="24"/>
        </w:rPr>
        <w:t>= -115 + 50 + 27.78 + 34.72 + 2.41 = -0.09</w:t>
      </w:r>
    </w:p>
    <w:p w14:paraId="2CBF3C4E"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And based on these values, IRR is calculated as:</w:t>
      </w:r>
    </w:p>
    <w:p w14:paraId="3F7953DA"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IRR = 8.73% + (20% - 8.73%) x 24.72 / (24.72 – (-0.09)) = 8.73% + 11.27 x 24.72/24.81 = 19.95</w:t>
      </w:r>
    </w:p>
    <w:p w14:paraId="2C92B208" w14:textId="77777777" w:rsidR="0097713D" w:rsidRPr="00F3501B" w:rsidRDefault="0097713D" w:rsidP="00F3501B">
      <w:pPr>
        <w:spacing w:before="240"/>
        <w:ind w:left="720" w:firstLine="720"/>
        <w:rPr>
          <w:rFonts w:ascii="Times New Roman" w:hAnsi="Times New Roman"/>
          <w:sz w:val="24"/>
          <w:szCs w:val="24"/>
        </w:rPr>
      </w:pPr>
      <w:r w:rsidRPr="00F3501B">
        <w:rPr>
          <w:rFonts w:ascii="Times New Roman" w:hAnsi="Times New Roman"/>
          <w:sz w:val="24"/>
          <w:szCs w:val="24"/>
        </w:rPr>
        <w:t>IRR = 19.95</w:t>
      </w:r>
    </w:p>
    <w:p w14:paraId="12C49C99" w14:textId="77777777" w:rsidR="0097713D" w:rsidRPr="00F3501B" w:rsidRDefault="0097713D" w:rsidP="00F3501B">
      <w:pPr>
        <w:spacing w:before="240"/>
        <w:rPr>
          <w:rFonts w:ascii="Times New Roman" w:hAnsi="Times New Roman"/>
          <w:sz w:val="24"/>
          <w:szCs w:val="24"/>
        </w:rPr>
      </w:pPr>
    </w:p>
    <w:p w14:paraId="1BB85C32"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Summarizing all the above calculations the results for Project A and Project B are as follows in the table below:</w:t>
      </w:r>
    </w:p>
    <w:tbl>
      <w:tblPr>
        <w:tblStyle w:val="TableGrid"/>
        <w:tblW w:w="0" w:type="auto"/>
        <w:tblLook w:val="04A0" w:firstRow="1" w:lastRow="0" w:firstColumn="1" w:lastColumn="0" w:noHBand="0" w:noVBand="1"/>
      </w:tblPr>
      <w:tblGrid>
        <w:gridCol w:w="3005"/>
        <w:gridCol w:w="3005"/>
        <w:gridCol w:w="3006"/>
      </w:tblGrid>
      <w:tr w:rsidR="006D6699" w:rsidRPr="00F3501B" w14:paraId="351631A2" w14:textId="77777777" w:rsidTr="000D6524">
        <w:tc>
          <w:tcPr>
            <w:tcW w:w="3005" w:type="dxa"/>
          </w:tcPr>
          <w:p w14:paraId="0AB5B000"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Capital investment appraisals</w:t>
            </w:r>
          </w:p>
        </w:tc>
        <w:tc>
          <w:tcPr>
            <w:tcW w:w="3005" w:type="dxa"/>
          </w:tcPr>
          <w:p w14:paraId="772DAE90"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Project A</w:t>
            </w:r>
          </w:p>
        </w:tc>
        <w:tc>
          <w:tcPr>
            <w:tcW w:w="3006" w:type="dxa"/>
          </w:tcPr>
          <w:p w14:paraId="2E8EBDDA"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Project B</w:t>
            </w:r>
          </w:p>
        </w:tc>
      </w:tr>
      <w:tr w:rsidR="006D6699" w:rsidRPr="00F3501B" w14:paraId="3FBDE4C2" w14:textId="77777777" w:rsidTr="000D6524">
        <w:tc>
          <w:tcPr>
            <w:tcW w:w="3005" w:type="dxa"/>
          </w:tcPr>
          <w:p w14:paraId="2F7ADABC"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PBP</w:t>
            </w:r>
          </w:p>
        </w:tc>
        <w:tc>
          <w:tcPr>
            <w:tcW w:w="3005" w:type="dxa"/>
          </w:tcPr>
          <w:p w14:paraId="172631B2"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3.2</w:t>
            </w:r>
          </w:p>
        </w:tc>
        <w:tc>
          <w:tcPr>
            <w:tcW w:w="3006" w:type="dxa"/>
          </w:tcPr>
          <w:p w14:paraId="2F4D3383"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2.25</w:t>
            </w:r>
          </w:p>
        </w:tc>
      </w:tr>
      <w:tr w:rsidR="006D6699" w:rsidRPr="00F3501B" w14:paraId="31644641" w14:textId="77777777" w:rsidTr="000D6524">
        <w:tc>
          <w:tcPr>
            <w:tcW w:w="3005" w:type="dxa"/>
          </w:tcPr>
          <w:p w14:paraId="72FDBAD8"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ARR</w:t>
            </w:r>
          </w:p>
        </w:tc>
        <w:tc>
          <w:tcPr>
            <w:tcW w:w="3005" w:type="dxa"/>
          </w:tcPr>
          <w:p w14:paraId="0AF5DE8B" w14:textId="52FD19F3" w:rsidR="0097713D" w:rsidRPr="00F3501B" w:rsidRDefault="00F21459" w:rsidP="00F3501B">
            <w:pPr>
              <w:spacing w:before="240" w:line="360" w:lineRule="auto"/>
              <w:rPr>
                <w:rFonts w:ascii="Times New Roman" w:hAnsi="Times New Roman"/>
                <w:sz w:val="24"/>
                <w:szCs w:val="24"/>
              </w:rPr>
            </w:pPr>
            <w:r w:rsidRPr="00F3501B">
              <w:rPr>
                <w:rFonts w:ascii="Times New Roman" w:hAnsi="Times New Roman"/>
                <w:sz w:val="24"/>
                <w:szCs w:val="24"/>
              </w:rPr>
              <w:t>12</w:t>
            </w:r>
            <w:r w:rsidR="0097713D" w:rsidRPr="00F3501B">
              <w:rPr>
                <w:rFonts w:ascii="Times New Roman" w:hAnsi="Times New Roman"/>
                <w:sz w:val="24"/>
                <w:szCs w:val="24"/>
              </w:rPr>
              <w:t>.6</w:t>
            </w:r>
            <w:r w:rsidRPr="00F3501B">
              <w:rPr>
                <w:rFonts w:ascii="Times New Roman" w:hAnsi="Times New Roman"/>
                <w:sz w:val="24"/>
                <w:szCs w:val="24"/>
              </w:rPr>
              <w:t>2</w:t>
            </w:r>
          </w:p>
        </w:tc>
        <w:tc>
          <w:tcPr>
            <w:tcW w:w="3006" w:type="dxa"/>
          </w:tcPr>
          <w:p w14:paraId="15672788" w14:textId="16C066A8" w:rsidR="0097713D" w:rsidRPr="00F3501B" w:rsidRDefault="00F21459" w:rsidP="00F3501B">
            <w:pPr>
              <w:spacing w:before="240" w:line="360" w:lineRule="auto"/>
              <w:rPr>
                <w:rFonts w:ascii="Times New Roman" w:hAnsi="Times New Roman"/>
                <w:sz w:val="24"/>
                <w:szCs w:val="24"/>
              </w:rPr>
            </w:pPr>
            <w:r w:rsidRPr="00F3501B">
              <w:rPr>
                <w:rFonts w:ascii="Times New Roman" w:hAnsi="Times New Roman"/>
                <w:sz w:val="24"/>
                <w:szCs w:val="24"/>
              </w:rPr>
              <w:t>10.8</w:t>
            </w:r>
            <w:r w:rsidR="00E56915" w:rsidRPr="00F3501B">
              <w:rPr>
                <w:rFonts w:ascii="Times New Roman" w:hAnsi="Times New Roman"/>
                <w:sz w:val="24"/>
                <w:szCs w:val="24"/>
              </w:rPr>
              <w:t>7</w:t>
            </w:r>
          </w:p>
        </w:tc>
      </w:tr>
      <w:tr w:rsidR="006D6699" w:rsidRPr="00F3501B" w14:paraId="198DA650" w14:textId="77777777" w:rsidTr="000D6524">
        <w:tc>
          <w:tcPr>
            <w:tcW w:w="3005" w:type="dxa"/>
          </w:tcPr>
          <w:p w14:paraId="6EE7E7C7"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NPV</w:t>
            </w:r>
          </w:p>
        </w:tc>
        <w:tc>
          <w:tcPr>
            <w:tcW w:w="3005" w:type="dxa"/>
          </w:tcPr>
          <w:p w14:paraId="51B3B806"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16.98</w:t>
            </w:r>
          </w:p>
        </w:tc>
        <w:tc>
          <w:tcPr>
            <w:tcW w:w="3006" w:type="dxa"/>
          </w:tcPr>
          <w:p w14:paraId="76A7AC65"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24.72</w:t>
            </w:r>
          </w:p>
        </w:tc>
      </w:tr>
      <w:tr w:rsidR="0097713D" w:rsidRPr="00F3501B" w14:paraId="55CD1497" w14:textId="77777777" w:rsidTr="000D6524">
        <w:tc>
          <w:tcPr>
            <w:tcW w:w="3005" w:type="dxa"/>
          </w:tcPr>
          <w:p w14:paraId="6A321C35"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IRR</w:t>
            </w:r>
          </w:p>
        </w:tc>
        <w:tc>
          <w:tcPr>
            <w:tcW w:w="3005" w:type="dxa"/>
          </w:tcPr>
          <w:p w14:paraId="1F711298"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14.4</w:t>
            </w:r>
          </w:p>
        </w:tc>
        <w:tc>
          <w:tcPr>
            <w:tcW w:w="3006" w:type="dxa"/>
          </w:tcPr>
          <w:p w14:paraId="4FE315ED" w14:textId="77777777" w:rsidR="0097713D" w:rsidRPr="00F3501B" w:rsidRDefault="0097713D" w:rsidP="00F3501B">
            <w:pPr>
              <w:spacing w:before="240" w:line="360" w:lineRule="auto"/>
              <w:rPr>
                <w:rFonts w:ascii="Times New Roman" w:hAnsi="Times New Roman"/>
                <w:sz w:val="24"/>
                <w:szCs w:val="24"/>
              </w:rPr>
            </w:pPr>
            <w:r w:rsidRPr="00F3501B">
              <w:rPr>
                <w:rFonts w:ascii="Times New Roman" w:hAnsi="Times New Roman"/>
                <w:sz w:val="24"/>
                <w:szCs w:val="24"/>
              </w:rPr>
              <w:t>19.95</w:t>
            </w:r>
          </w:p>
        </w:tc>
      </w:tr>
    </w:tbl>
    <w:p w14:paraId="379BC97C" w14:textId="77777777" w:rsidR="0097713D" w:rsidRPr="00F3501B" w:rsidRDefault="0097713D" w:rsidP="00F3501B">
      <w:pPr>
        <w:spacing w:before="240"/>
        <w:rPr>
          <w:rFonts w:ascii="Times New Roman" w:hAnsi="Times New Roman"/>
          <w:sz w:val="24"/>
          <w:szCs w:val="24"/>
        </w:rPr>
      </w:pPr>
    </w:p>
    <w:p w14:paraId="6E8D71B6"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By comparing and evaluation the figures from this table, it is recommended to invest in project B.</w:t>
      </w:r>
    </w:p>
    <w:p w14:paraId="435040E3"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reason for this is that there are three appraisals more advantageous than for Project A.</w:t>
      </w:r>
    </w:p>
    <w:p w14:paraId="78D62259"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These are: PBP, NPV and IRR.</w:t>
      </w:r>
    </w:p>
    <w:p w14:paraId="49F0A106" w14:textId="77777777" w:rsidR="0097713D" w:rsidRPr="00F3501B" w:rsidRDefault="0097713D" w:rsidP="00F3501B">
      <w:pPr>
        <w:spacing w:before="240"/>
        <w:rPr>
          <w:rFonts w:ascii="Times New Roman" w:hAnsi="Times New Roman"/>
          <w:sz w:val="24"/>
          <w:szCs w:val="24"/>
        </w:rPr>
      </w:pPr>
    </w:p>
    <w:p w14:paraId="2F5E4437"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The only advantage to choose Project A would be the ARR.</w:t>
      </w:r>
    </w:p>
    <w:p w14:paraId="4E6BAE13" w14:textId="77777777" w:rsidR="0097713D" w:rsidRPr="00F3501B" w:rsidRDefault="0097713D" w:rsidP="00F3501B">
      <w:pPr>
        <w:pStyle w:val="Heading2"/>
        <w:numPr>
          <w:ilvl w:val="0"/>
          <w:numId w:val="9"/>
        </w:numPr>
        <w:spacing w:before="240"/>
        <w:jc w:val="left"/>
        <w:rPr>
          <w:rFonts w:ascii="Times New Roman" w:hAnsi="Times New Roman"/>
          <w:color w:val="auto"/>
          <w:sz w:val="24"/>
          <w:szCs w:val="24"/>
        </w:rPr>
      </w:pPr>
      <w:bookmarkStart w:id="20" w:name="_Toc30186932"/>
      <w:r w:rsidRPr="00F3501B">
        <w:rPr>
          <w:rFonts w:ascii="Times New Roman" w:hAnsi="Times New Roman"/>
          <w:color w:val="auto"/>
          <w:sz w:val="24"/>
          <w:szCs w:val="24"/>
        </w:rPr>
        <w:t>Evaluating capital projects</w:t>
      </w:r>
      <w:bookmarkEnd w:id="20"/>
      <w:r w:rsidRPr="00F3501B">
        <w:rPr>
          <w:rFonts w:ascii="Times New Roman" w:hAnsi="Times New Roman"/>
          <w:color w:val="auto"/>
          <w:sz w:val="24"/>
          <w:szCs w:val="24"/>
        </w:rPr>
        <w:t xml:space="preserve"> </w:t>
      </w:r>
    </w:p>
    <w:p w14:paraId="1401DC4E" w14:textId="77777777" w:rsidR="0097713D" w:rsidRPr="00F3501B" w:rsidRDefault="0097713D" w:rsidP="00F3501B">
      <w:pPr>
        <w:spacing w:before="240"/>
        <w:rPr>
          <w:rFonts w:ascii="Times New Roman" w:hAnsi="Times New Roman"/>
          <w:sz w:val="24"/>
          <w:szCs w:val="24"/>
        </w:rPr>
      </w:pPr>
    </w:p>
    <w:p w14:paraId="266D682A" w14:textId="77777777" w:rsidR="0097713D" w:rsidRPr="00F3501B" w:rsidRDefault="0097713D" w:rsidP="00F3501B">
      <w:pPr>
        <w:spacing w:before="240"/>
        <w:rPr>
          <w:rFonts w:ascii="Times New Roman" w:hAnsi="Times New Roman"/>
          <w:sz w:val="24"/>
          <w:szCs w:val="24"/>
          <w:shd w:val="clear" w:color="auto" w:fill="FFFFFF"/>
        </w:rPr>
      </w:pPr>
      <w:bookmarkStart w:id="21" w:name="_Hlk30071571"/>
      <w:r w:rsidRPr="00F3501B">
        <w:rPr>
          <w:rFonts w:ascii="Times New Roman" w:hAnsi="Times New Roman"/>
          <w:sz w:val="24"/>
          <w:szCs w:val="24"/>
          <w:shd w:val="clear" w:color="auto" w:fill="FFFFFF"/>
        </w:rPr>
        <w:t>This chapter presents the advantages and shortcomings of the PBP, IRR and NPV techniques as ways of evaluating capital projects.</w:t>
      </w:r>
    </w:p>
    <w:p w14:paraId="4E41E634" w14:textId="77777777" w:rsidR="0097713D" w:rsidRPr="00F3501B" w:rsidRDefault="0097713D" w:rsidP="00F3501B">
      <w:pPr>
        <w:spacing w:before="240"/>
        <w:rPr>
          <w:rFonts w:ascii="Times New Roman" w:hAnsi="Times New Roman"/>
          <w:sz w:val="24"/>
          <w:szCs w:val="24"/>
          <w:shd w:val="clear" w:color="auto" w:fill="FFFFFF"/>
        </w:rPr>
      </w:pPr>
    </w:p>
    <w:p w14:paraId="512935A7" w14:textId="77777777" w:rsidR="0097713D" w:rsidRPr="00F3501B" w:rsidRDefault="0097713D" w:rsidP="00F3501B">
      <w:pPr>
        <w:pStyle w:val="Heading3"/>
        <w:spacing w:before="240" w:line="360" w:lineRule="auto"/>
        <w:rPr>
          <w:rFonts w:ascii="Times New Roman" w:hAnsi="Times New Roman" w:cs="Times New Roman"/>
          <w:color w:val="auto"/>
          <w:shd w:val="clear" w:color="auto" w:fill="FFFFFF"/>
        </w:rPr>
      </w:pPr>
      <w:bookmarkStart w:id="22" w:name="_Toc30186933"/>
      <w:r w:rsidRPr="00F3501B">
        <w:rPr>
          <w:rFonts w:ascii="Times New Roman" w:hAnsi="Times New Roman" w:cs="Times New Roman"/>
          <w:color w:val="auto"/>
          <w:shd w:val="clear" w:color="auto" w:fill="FFFFFF"/>
        </w:rPr>
        <w:t>PBP</w:t>
      </w:r>
      <w:bookmarkEnd w:id="22"/>
      <w:r w:rsidRPr="00F3501B">
        <w:rPr>
          <w:rFonts w:ascii="Times New Roman" w:hAnsi="Times New Roman" w:cs="Times New Roman"/>
          <w:color w:val="auto"/>
          <w:shd w:val="clear" w:color="auto" w:fill="FFFFFF"/>
        </w:rPr>
        <w:t xml:space="preserve"> </w:t>
      </w:r>
    </w:p>
    <w:p w14:paraId="34FC1C90" w14:textId="77777777" w:rsidR="0097713D" w:rsidRPr="00F3501B" w:rsidRDefault="0097713D" w:rsidP="00F3501B">
      <w:pPr>
        <w:spacing w:before="240"/>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The theory introduces the PBP as “given its nature, the payback period is often used as an initial analysis that can be understood without much technical knowledge”. </w:t>
      </w:r>
    </w:p>
    <w:p w14:paraId="46E0926F" w14:textId="77777777" w:rsidR="0097713D" w:rsidRPr="00F3501B" w:rsidRDefault="0097713D" w:rsidP="00F3501B">
      <w:pPr>
        <w:spacing w:before="240"/>
        <w:rPr>
          <w:rFonts w:ascii="Times New Roman" w:hAnsi="Times New Roman"/>
          <w:sz w:val="24"/>
          <w:szCs w:val="24"/>
          <w:shd w:val="clear" w:color="auto" w:fill="FFFFFF"/>
        </w:rPr>
      </w:pPr>
      <w:r w:rsidRPr="00F3501B">
        <w:rPr>
          <w:rFonts w:ascii="Times New Roman" w:hAnsi="Times New Roman"/>
          <w:sz w:val="24"/>
          <w:szCs w:val="24"/>
          <w:shd w:val="clear" w:color="auto" w:fill="FFFFFF"/>
        </w:rPr>
        <w:t xml:space="preserve">About the Payback Periods, financial books mention that “it is easy to </w:t>
      </w:r>
      <w:proofErr w:type="gramStart"/>
      <w:r w:rsidRPr="00F3501B">
        <w:rPr>
          <w:rFonts w:ascii="Times New Roman" w:hAnsi="Times New Roman"/>
          <w:sz w:val="24"/>
          <w:szCs w:val="24"/>
          <w:shd w:val="clear" w:color="auto" w:fill="FFFFFF"/>
        </w:rPr>
        <w:t>calculate</w:t>
      </w:r>
      <w:proofErr w:type="gramEnd"/>
      <w:r w:rsidRPr="00F3501B">
        <w:rPr>
          <w:rFonts w:ascii="Times New Roman" w:hAnsi="Times New Roman"/>
          <w:sz w:val="24"/>
          <w:szCs w:val="24"/>
          <w:shd w:val="clear" w:color="auto" w:fill="FFFFFF"/>
        </w:rPr>
        <w:t xml:space="preserve"> and it is a simple measure of risk as it shows how quickly money can be returned from an investment”.</w:t>
      </w:r>
    </w:p>
    <w:p w14:paraId="305E8929" w14:textId="77777777" w:rsidR="0097713D" w:rsidRPr="00F3501B" w:rsidRDefault="0097713D" w:rsidP="00F3501B">
      <w:pPr>
        <w:shd w:val="clear" w:color="auto" w:fill="FFFFFF"/>
        <w:spacing w:before="24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As it gives a rapid information and picture of for how long the initial investment could be at risk, the payback period is valuable from a risk analysis perspective.</w:t>
      </w:r>
    </w:p>
    <w:p w14:paraId="35C0C5C2" w14:textId="77777777" w:rsidR="0097713D" w:rsidRPr="00F3501B" w:rsidRDefault="0097713D" w:rsidP="00F3501B">
      <w:pPr>
        <w:shd w:val="clear" w:color="auto" w:fill="FFFFFF"/>
        <w:spacing w:before="24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 xml:space="preserve">The tendency when analysing a prospective investment using the payback method is to accept those investments having rapid payback periods and reject those having longer ones. </w:t>
      </w:r>
    </w:p>
    <w:p w14:paraId="3F6F717A" w14:textId="77777777" w:rsidR="0097713D" w:rsidRPr="00F3501B" w:rsidRDefault="0097713D" w:rsidP="00F3501B">
      <w:pPr>
        <w:shd w:val="clear" w:color="auto" w:fill="FFFFFF"/>
        <w:spacing w:before="240" w:after="360"/>
        <w:rPr>
          <w:rStyle w:val="Strong"/>
          <w:rFonts w:ascii="Times New Roman" w:hAnsi="Times New Roman"/>
          <w:b w:val="0"/>
          <w:bCs w:val="0"/>
          <w:sz w:val="24"/>
          <w:szCs w:val="24"/>
        </w:rPr>
      </w:pPr>
      <w:r w:rsidRPr="00F3501B">
        <w:rPr>
          <w:rFonts w:ascii="Times New Roman" w:hAnsi="Times New Roman"/>
          <w:sz w:val="24"/>
          <w:szCs w:val="24"/>
        </w:rPr>
        <w:t>The PBP method advantages are: “the formula is straightforward to know and calculate, Payback Period Helps in Project Evaluation Quickly and it h</w:t>
      </w:r>
      <w:r w:rsidRPr="00F3501B">
        <w:rPr>
          <w:rStyle w:val="Strong"/>
          <w:rFonts w:ascii="Times New Roman" w:hAnsi="Times New Roman"/>
          <w:b w:val="0"/>
          <w:bCs w:val="0"/>
          <w:sz w:val="24"/>
          <w:szCs w:val="24"/>
        </w:rPr>
        <w:t>elps in Reducing the Risk Of losses”.</w:t>
      </w:r>
    </w:p>
    <w:p w14:paraId="31613288" w14:textId="1199F364" w:rsidR="0097713D" w:rsidRPr="00F3501B" w:rsidRDefault="0097713D" w:rsidP="00F3501B">
      <w:pPr>
        <w:shd w:val="clear" w:color="auto" w:fill="FFFFFF"/>
        <w:spacing w:before="240" w:after="36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 xml:space="preserve">Still, “though the payback method is widely used due to its simplicity, it suffers from </w:t>
      </w:r>
      <w:r w:rsidR="00694919" w:rsidRPr="00F3501B">
        <w:rPr>
          <w:rFonts w:ascii="Times New Roman" w:eastAsia="Times New Roman" w:hAnsi="Times New Roman"/>
          <w:spacing w:val="5"/>
          <w:sz w:val="24"/>
          <w:szCs w:val="24"/>
          <w:lang w:eastAsia="en-GB"/>
        </w:rPr>
        <w:t>few</w:t>
      </w:r>
      <w:r w:rsidRPr="00F3501B">
        <w:rPr>
          <w:rFonts w:ascii="Times New Roman" w:eastAsia="Times New Roman" w:hAnsi="Times New Roman"/>
          <w:spacing w:val="5"/>
          <w:sz w:val="24"/>
          <w:szCs w:val="24"/>
          <w:lang w:eastAsia="en-GB"/>
        </w:rPr>
        <w:t xml:space="preserve"> problems</w:t>
      </w:r>
      <w:r w:rsidR="00694919" w:rsidRPr="00F3501B">
        <w:rPr>
          <w:rFonts w:ascii="Times New Roman" w:eastAsia="Times New Roman" w:hAnsi="Times New Roman"/>
          <w:spacing w:val="5"/>
          <w:sz w:val="24"/>
          <w:szCs w:val="24"/>
          <w:lang w:eastAsia="en-GB"/>
        </w:rPr>
        <w:t>”.</w:t>
      </w:r>
    </w:p>
    <w:p w14:paraId="78DC63BE" w14:textId="77777777" w:rsidR="0097713D" w:rsidRPr="00F3501B" w:rsidRDefault="0097713D" w:rsidP="00F3501B">
      <w:pPr>
        <w:shd w:val="clear" w:color="auto" w:fill="FFFFFF"/>
        <w:spacing w:before="240" w:after="12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On one hand, “Asset life span”. “If an asset’s useful life expires immediately after it pays back the initial investment, then there is no opportunity to generate additional cash flows. The payback method does not incorporate any assumption regarding asset life span”.</w:t>
      </w:r>
    </w:p>
    <w:p w14:paraId="39EB7625" w14:textId="77777777" w:rsidR="0097713D" w:rsidRPr="00F3501B" w:rsidRDefault="0097713D" w:rsidP="00F3501B">
      <w:pPr>
        <w:shd w:val="clear" w:color="auto" w:fill="FFFFFF"/>
        <w:spacing w:before="240" w:after="12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lastRenderedPageBreak/>
        <w:t>Then, it is about: “Additional cash flows”. “The concept does not consider the presence of any additional cash flows that may arise from an investment in the periods after full payback has been achieved”.</w:t>
      </w:r>
    </w:p>
    <w:p w14:paraId="192048AE" w14:textId="77777777" w:rsidR="0097713D" w:rsidRPr="00F3501B" w:rsidRDefault="0097713D" w:rsidP="00F3501B">
      <w:pPr>
        <w:shd w:val="clear" w:color="auto" w:fill="FFFFFF"/>
        <w:spacing w:before="240" w:after="12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Furthermore, other problem is “Cash flow complexity”. “The formula is too simplistic to account for the multitude of cash flows that actually arise with a capital investment. For example, cash investments may be required at several stages, such as cash outlays for periodic upgrades. Also, cash outflows may change significantly over time, varying with customer demand and the amount of competition”.</w:t>
      </w:r>
    </w:p>
    <w:p w14:paraId="0690E985" w14:textId="77777777" w:rsidR="0097713D" w:rsidRPr="00F3501B" w:rsidRDefault="0097713D" w:rsidP="00F3501B">
      <w:pPr>
        <w:shd w:val="clear" w:color="auto" w:fill="FFFFFF"/>
        <w:spacing w:before="240" w:after="12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Moreover, talking about profitability: “the payback method focuses solely upon the time required to pay back the initial investment; it does not track the ultimate profitability of a project at all. Thus, the method may indicate that a project having a short payback but with no overall profitability is a better investment than a project requiring a long-term payback but having substantial long-term profitability”.</w:t>
      </w:r>
    </w:p>
    <w:p w14:paraId="005B5089" w14:textId="2514226C" w:rsidR="0097713D" w:rsidRPr="00F3501B" w:rsidRDefault="0097713D" w:rsidP="00F3501B">
      <w:pPr>
        <w:shd w:val="clear" w:color="auto" w:fill="FFFFFF"/>
        <w:spacing w:before="240" w:after="120"/>
        <w:rPr>
          <w:rFonts w:ascii="Times New Roman" w:eastAsia="Times New Roman" w:hAnsi="Times New Roman"/>
          <w:spacing w:val="5"/>
          <w:sz w:val="24"/>
          <w:szCs w:val="24"/>
          <w:lang w:eastAsia="en-GB"/>
        </w:rPr>
      </w:pPr>
      <w:r w:rsidRPr="00F3501B">
        <w:rPr>
          <w:rFonts w:ascii="Times New Roman" w:eastAsia="Times New Roman" w:hAnsi="Times New Roman"/>
          <w:spacing w:val="5"/>
          <w:sz w:val="24"/>
          <w:szCs w:val="24"/>
          <w:lang w:eastAsia="en-GB"/>
        </w:rPr>
        <w:t xml:space="preserve">And </w:t>
      </w:r>
      <w:r w:rsidR="000D6524" w:rsidRPr="00F3501B">
        <w:rPr>
          <w:rFonts w:ascii="Times New Roman" w:eastAsia="Times New Roman" w:hAnsi="Times New Roman"/>
          <w:spacing w:val="5"/>
          <w:sz w:val="24"/>
          <w:szCs w:val="24"/>
          <w:lang w:eastAsia="en-GB"/>
        </w:rPr>
        <w:t>finally,</w:t>
      </w:r>
      <w:r w:rsidRPr="00F3501B">
        <w:rPr>
          <w:rFonts w:ascii="Times New Roman" w:eastAsia="Times New Roman" w:hAnsi="Times New Roman"/>
          <w:spacing w:val="5"/>
          <w:sz w:val="24"/>
          <w:szCs w:val="24"/>
          <w:lang w:eastAsia="en-GB"/>
        </w:rPr>
        <w:t xml:space="preserve"> there should be added the fact that “the method does not </w:t>
      </w:r>
      <w:proofErr w:type="gramStart"/>
      <w:r w:rsidRPr="00F3501B">
        <w:rPr>
          <w:rFonts w:ascii="Times New Roman" w:eastAsia="Times New Roman" w:hAnsi="Times New Roman"/>
          <w:spacing w:val="5"/>
          <w:sz w:val="24"/>
          <w:szCs w:val="24"/>
          <w:lang w:eastAsia="en-GB"/>
        </w:rPr>
        <w:t>take into account</w:t>
      </w:r>
      <w:proofErr w:type="gramEnd"/>
      <w:r w:rsidRPr="00F3501B">
        <w:rPr>
          <w:rFonts w:ascii="Times New Roman" w:eastAsia="Times New Roman" w:hAnsi="Times New Roman"/>
          <w:spacing w:val="5"/>
          <w:sz w:val="24"/>
          <w:szCs w:val="24"/>
          <w:lang w:eastAsia="en-GB"/>
        </w:rPr>
        <w:t xml:space="preserve"> the time value of money, where cash generated in later periods is worth less than cash earned in the current period. A variation on the payback period formula eliminates this concern by incorporating the time value of money into the calculation”. </w:t>
      </w:r>
    </w:p>
    <w:p w14:paraId="4A2D5A9B" w14:textId="77777777" w:rsidR="0097713D" w:rsidRPr="00F3501B" w:rsidRDefault="0097713D" w:rsidP="00F3501B">
      <w:pPr>
        <w:spacing w:before="240"/>
        <w:rPr>
          <w:rFonts w:ascii="Times New Roman" w:eastAsia="Times New Roman" w:hAnsi="Times New Roman"/>
          <w:spacing w:val="5"/>
          <w:sz w:val="24"/>
          <w:szCs w:val="24"/>
          <w:lang w:eastAsia="en-GB"/>
        </w:rPr>
      </w:pPr>
      <w:r w:rsidRPr="00F3501B">
        <w:rPr>
          <w:rFonts w:ascii="Times New Roman" w:hAnsi="Times New Roman"/>
          <w:sz w:val="24"/>
          <w:szCs w:val="24"/>
          <w:shd w:val="clear" w:color="auto" w:fill="FFFFFF"/>
        </w:rPr>
        <w:t>Nevertheless, being true that as it does not account what happens after payback, PBP ignores the overall profitability of an investment, t</w:t>
      </w:r>
      <w:r w:rsidRPr="00F3501B">
        <w:rPr>
          <w:rFonts w:ascii="Times New Roman" w:eastAsia="Times New Roman" w:hAnsi="Times New Roman"/>
          <w:spacing w:val="5"/>
          <w:sz w:val="24"/>
          <w:szCs w:val="24"/>
          <w:lang w:eastAsia="en-GB"/>
        </w:rPr>
        <w:t>here are other capital budgeting analysis methods which consider the time value of money and these are the following: the IRR and the NPV.</w:t>
      </w:r>
    </w:p>
    <w:p w14:paraId="48F9C70C" w14:textId="77777777" w:rsidR="0097713D" w:rsidRPr="00F3501B" w:rsidRDefault="0097713D" w:rsidP="00F3501B">
      <w:pPr>
        <w:spacing w:before="240" w:after="160"/>
        <w:rPr>
          <w:rFonts w:ascii="Times New Roman" w:eastAsia="Times New Roman" w:hAnsi="Times New Roman"/>
          <w:spacing w:val="5"/>
          <w:sz w:val="24"/>
          <w:szCs w:val="24"/>
          <w:lang w:eastAsia="en-GB"/>
        </w:rPr>
      </w:pPr>
    </w:p>
    <w:p w14:paraId="3155FE50" w14:textId="77777777" w:rsidR="0097713D" w:rsidRPr="00F3501B" w:rsidRDefault="0097713D" w:rsidP="00F3501B">
      <w:pPr>
        <w:pStyle w:val="Heading3"/>
        <w:spacing w:before="240" w:line="360" w:lineRule="auto"/>
        <w:rPr>
          <w:rFonts w:ascii="Times New Roman" w:hAnsi="Times New Roman" w:cs="Times New Roman"/>
          <w:color w:val="auto"/>
          <w:shd w:val="clear" w:color="auto" w:fill="FFFFFF"/>
        </w:rPr>
      </w:pPr>
      <w:bookmarkStart w:id="23" w:name="_Toc30186934"/>
      <w:r w:rsidRPr="00F3501B">
        <w:rPr>
          <w:rFonts w:ascii="Times New Roman" w:hAnsi="Times New Roman" w:cs="Times New Roman"/>
          <w:color w:val="auto"/>
          <w:shd w:val="clear" w:color="auto" w:fill="FFFFFF"/>
        </w:rPr>
        <w:t>IRR</w:t>
      </w:r>
      <w:bookmarkEnd w:id="23"/>
    </w:p>
    <w:p w14:paraId="4B0A0C91" w14:textId="77777777" w:rsidR="0097713D" w:rsidRPr="00F3501B" w:rsidRDefault="0097713D" w:rsidP="00F3501B">
      <w:pPr>
        <w:spacing w:before="240"/>
        <w:rPr>
          <w:rFonts w:ascii="Times New Roman" w:hAnsi="Times New Roman"/>
          <w:sz w:val="24"/>
          <w:szCs w:val="24"/>
        </w:rPr>
      </w:pPr>
      <w:r w:rsidRPr="00F3501B">
        <w:rPr>
          <w:rFonts w:ascii="Times New Roman" w:hAnsi="Times New Roman"/>
          <w:sz w:val="24"/>
          <w:szCs w:val="24"/>
        </w:rPr>
        <w:t>When it is to compare different projects, it could be better and more useful to pay attention to the IRR.</w:t>
      </w:r>
    </w:p>
    <w:p w14:paraId="5B90F7C8" w14:textId="77777777" w:rsidR="0097713D" w:rsidRPr="00F3501B" w:rsidRDefault="0097713D" w:rsidP="00F3501B">
      <w:pPr>
        <w:pStyle w:val="NormalWeb"/>
        <w:shd w:val="clear" w:color="auto" w:fill="FFFFFF"/>
        <w:spacing w:before="240" w:beforeAutospacing="0" w:line="360" w:lineRule="auto"/>
        <w:rPr>
          <w:shd w:val="clear" w:color="auto" w:fill="FFFFFF"/>
        </w:rPr>
      </w:pPr>
      <w:r w:rsidRPr="00F3501B">
        <w:rPr>
          <w:shd w:val="clear" w:color="auto" w:fill="FFFFFF"/>
        </w:rPr>
        <w:t xml:space="preserve">If the IRR is greater than or equal to the cost of capital, the investors assess the project as a good investment. </w:t>
      </w:r>
    </w:p>
    <w:p w14:paraId="637E9D14" w14:textId="77777777"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That investment with the highest internal rate of return is generally preferred.</w:t>
      </w:r>
    </w:p>
    <w:p w14:paraId="0B5CF7EA" w14:textId="77777777"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p>
    <w:p w14:paraId="089F71DA" w14:textId="77777777" w:rsidR="0097713D" w:rsidRPr="00F3501B" w:rsidRDefault="0097713D" w:rsidP="00F3501B">
      <w:pPr>
        <w:pStyle w:val="Heading3"/>
        <w:spacing w:before="240" w:line="360" w:lineRule="auto"/>
        <w:rPr>
          <w:rFonts w:ascii="Times New Roman" w:hAnsi="Times New Roman" w:cs="Times New Roman"/>
          <w:color w:val="auto"/>
        </w:rPr>
      </w:pPr>
      <w:bookmarkStart w:id="24" w:name="_Toc30186935"/>
      <w:r w:rsidRPr="00F3501B">
        <w:rPr>
          <w:rFonts w:ascii="Times New Roman" w:hAnsi="Times New Roman" w:cs="Times New Roman"/>
          <w:color w:val="auto"/>
        </w:rPr>
        <w:lastRenderedPageBreak/>
        <w:t>NPV</w:t>
      </w:r>
      <w:bookmarkEnd w:id="24"/>
    </w:p>
    <w:p w14:paraId="67DF6141" w14:textId="77777777" w:rsidR="0097713D" w:rsidRPr="00F3501B" w:rsidRDefault="0097713D" w:rsidP="00F3501B">
      <w:pPr>
        <w:pStyle w:val="NormalWeb"/>
        <w:shd w:val="clear" w:color="auto" w:fill="FFFFFF"/>
        <w:spacing w:before="240" w:beforeAutospacing="0" w:line="360" w:lineRule="auto"/>
      </w:pPr>
      <w:r w:rsidRPr="00F3501B">
        <w:t xml:space="preserve">If the net present value of a project is negative, it means the expected rate of return that will be earned on it is less than the required rate. This does not for sure mean that the project will “lose money.” It could be that </w:t>
      </w:r>
      <w:proofErr w:type="spellStart"/>
      <w:r w:rsidRPr="00F3501B">
        <w:t>ne</w:t>
      </w:r>
      <w:proofErr w:type="spellEnd"/>
      <w:r w:rsidRPr="00F3501B">
        <w:t xml:space="preserve"> income to be generated but, still, as the rate of return generated is less than the required rate, this means that the value is destroyed. Once the NPV is positive, it does create value.</w:t>
      </w:r>
    </w:p>
    <w:p w14:paraId="7FA2E921" w14:textId="77777777" w:rsidR="0097713D" w:rsidRPr="00F3501B" w:rsidRDefault="0097713D" w:rsidP="00F3501B">
      <w:pPr>
        <w:pStyle w:val="NormalWeb"/>
        <w:shd w:val="clear" w:color="auto" w:fill="FFFFFF"/>
        <w:spacing w:before="240" w:beforeAutospacing="0" w:line="360" w:lineRule="auto"/>
      </w:pPr>
    </w:p>
    <w:p w14:paraId="27D6941F" w14:textId="77777777" w:rsidR="0097713D" w:rsidRPr="00F3501B" w:rsidRDefault="0097713D" w:rsidP="00F3501B">
      <w:pPr>
        <w:pStyle w:val="Heading3"/>
        <w:spacing w:before="240" w:line="360" w:lineRule="auto"/>
        <w:rPr>
          <w:rFonts w:ascii="Times New Roman" w:hAnsi="Times New Roman" w:cs="Times New Roman"/>
          <w:color w:val="auto"/>
        </w:rPr>
      </w:pPr>
      <w:bookmarkStart w:id="25" w:name="_Toc30186936"/>
      <w:r w:rsidRPr="00F3501B">
        <w:rPr>
          <w:rFonts w:ascii="Times New Roman" w:hAnsi="Times New Roman" w:cs="Times New Roman"/>
          <w:color w:val="auto"/>
        </w:rPr>
        <w:t>Conclusion</w:t>
      </w:r>
      <w:bookmarkEnd w:id="25"/>
    </w:p>
    <w:p w14:paraId="6DFD29EC" w14:textId="77777777"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In conclusion, in order to choose the right project for investment, a thorough analysis requires  to examine both the </w:t>
      </w:r>
      <w:hyperlink r:id="rId8" w:history="1">
        <w:r w:rsidRPr="00F3501B">
          <w:rPr>
            <w:rFonts w:ascii="Times New Roman" w:eastAsia="Times New Roman" w:hAnsi="Times New Roman"/>
            <w:sz w:val="24"/>
            <w:szCs w:val="24"/>
            <w:lang w:eastAsia="en-GB"/>
          </w:rPr>
          <w:t>NPV and the IRR</w:t>
        </w:r>
      </w:hyperlink>
      <w:r w:rsidRPr="00F3501B">
        <w:rPr>
          <w:rFonts w:ascii="Times New Roman" w:eastAsia="Times New Roman" w:hAnsi="Times New Roman"/>
          <w:sz w:val="24"/>
          <w:szCs w:val="24"/>
          <w:lang w:eastAsia="en-GB"/>
        </w:rPr>
        <w:t>, along with other indicators, such as PBP.</w:t>
      </w:r>
    </w:p>
    <w:p w14:paraId="243E3993" w14:textId="77777777"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 xml:space="preserve">Investing in quite small projects with high rate of return make investors sometimes to make the choice of a lower percentage return but higher “absolute money value” opportunity. </w:t>
      </w:r>
    </w:p>
    <w:p w14:paraId="0233732E" w14:textId="405ED6CC"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r w:rsidRPr="00F3501B">
        <w:rPr>
          <w:rFonts w:ascii="Times New Roman" w:eastAsia="Times New Roman" w:hAnsi="Times New Roman"/>
          <w:sz w:val="24"/>
          <w:szCs w:val="24"/>
          <w:lang w:eastAsia="en-GB"/>
        </w:rPr>
        <w:t xml:space="preserve">Also, as </w:t>
      </w:r>
      <w:r w:rsidR="008D235C" w:rsidRPr="00F3501B">
        <w:rPr>
          <w:rFonts w:ascii="Times New Roman" w:eastAsia="Times New Roman" w:hAnsi="Times New Roman"/>
          <w:sz w:val="24"/>
          <w:szCs w:val="24"/>
          <w:lang w:eastAsia="en-GB"/>
        </w:rPr>
        <w:t xml:space="preserve">for an </w:t>
      </w:r>
      <w:r w:rsidRPr="00F3501B">
        <w:rPr>
          <w:rFonts w:ascii="Times New Roman" w:eastAsia="Times New Roman" w:hAnsi="Times New Roman"/>
          <w:sz w:val="24"/>
          <w:szCs w:val="24"/>
          <w:lang w:eastAsia="en-GB"/>
        </w:rPr>
        <w:t>investor it’s very important to have a good understanding of other company’s investment needs.</w:t>
      </w:r>
    </w:p>
    <w:p w14:paraId="0AD656B9" w14:textId="77777777"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p>
    <w:p w14:paraId="5BC9B4B9" w14:textId="77777777" w:rsidR="0097713D" w:rsidRPr="00F3501B" w:rsidRDefault="0097713D" w:rsidP="00F3501B">
      <w:pPr>
        <w:shd w:val="clear" w:color="auto" w:fill="FFFFFF"/>
        <w:spacing w:before="240" w:after="100" w:afterAutospacing="1"/>
        <w:rPr>
          <w:rFonts w:ascii="Times New Roman" w:eastAsia="Times New Roman" w:hAnsi="Times New Roman"/>
          <w:sz w:val="24"/>
          <w:szCs w:val="24"/>
          <w:lang w:eastAsia="en-GB"/>
        </w:rPr>
      </w:pPr>
    </w:p>
    <w:p w14:paraId="642712E8" w14:textId="77777777" w:rsidR="0097713D" w:rsidRPr="00F3501B" w:rsidRDefault="0097713D" w:rsidP="00F3501B">
      <w:pPr>
        <w:pStyle w:val="NormalWeb"/>
        <w:shd w:val="clear" w:color="auto" w:fill="FFFFFF"/>
        <w:spacing w:before="240" w:beforeAutospacing="0" w:line="360" w:lineRule="auto"/>
      </w:pPr>
    </w:p>
    <w:bookmarkEnd w:id="21"/>
    <w:p w14:paraId="4A0D4CE9" w14:textId="77777777" w:rsidR="0097713D" w:rsidRPr="00F3501B" w:rsidRDefault="0097713D" w:rsidP="00F3501B">
      <w:pPr>
        <w:spacing w:before="240"/>
        <w:rPr>
          <w:rFonts w:ascii="Times New Roman" w:hAnsi="Times New Roman"/>
          <w:sz w:val="24"/>
          <w:szCs w:val="24"/>
        </w:rPr>
      </w:pPr>
    </w:p>
    <w:p w14:paraId="7B4C5F6E" w14:textId="77777777" w:rsidR="0097713D" w:rsidRPr="00F3501B" w:rsidRDefault="0097713D" w:rsidP="00F3501B">
      <w:pPr>
        <w:spacing w:before="240"/>
        <w:rPr>
          <w:rFonts w:ascii="Times New Roman" w:hAnsi="Times New Roman"/>
          <w:sz w:val="24"/>
          <w:szCs w:val="24"/>
        </w:rPr>
      </w:pPr>
    </w:p>
    <w:p w14:paraId="3BF60888" w14:textId="77777777" w:rsidR="0097713D" w:rsidRPr="00F3501B" w:rsidRDefault="0097713D" w:rsidP="00F3501B">
      <w:pPr>
        <w:spacing w:before="240"/>
        <w:rPr>
          <w:rFonts w:ascii="Times New Roman" w:hAnsi="Times New Roman"/>
          <w:sz w:val="24"/>
          <w:szCs w:val="24"/>
        </w:rPr>
      </w:pPr>
    </w:p>
    <w:p w14:paraId="68B20FC3" w14:textId="77777777" w:rsidR="0097713D" w:rsidRPr="00F3501B" w:rsidRDefault="0097713D" w:rsidP="00F3501B">
      <w:pPr>
        <w:spacing w:before="240"/>
        <w:rPr>
          <w:rFonts w:ascii="Times New Roman" w:hAnsi="Times New Roman"/>
          <w:sz w:val="24"/>
          <w:szCs w:val="24"/>
        </w:rPr>
      </w:pPr>
    </w:p>
    <w:p w14:paraId="12139B30" w14:textId="77777777" w:rsidR="0097713D" w:rsidRPr="00F3501B" w:rsidRDefault="0097713D" w:rsidP="00F3501B">
      <w:pPr>
        <w:spacing w:before="240"/>
        <w:rPr>
          <w:rFonts w:ascii="Times New Roman" w:hAnsi="Times New Roman"/>
          <w:sz w:val="24"/>
          <w:szCs w:val="24"/>
        </w:rPr>
      </w:pPr>
    </w:p>
    <w:p w14:paraId="153530C5" w14:textId="77777777" w:rsidR="0097713D" w:rsidRPr="00F3501B" w:rsidRDefault="0097713D" w:rsidP="00F3501B">
      <w:pPr>
        <w:spacing w:before="240"/>
        <w:rPr>
          <w:rFonts w:ascii="Times New Roman" w:hAnsi="Times New Roman"/>
          <w:sz w:val="24"/>
          <w:szCs w:val="24"/>
        </w:rPr>
      </w:pPr>
    </w:p>
    <w:p w14:paraId="349CAF1D" w14:textId="6A38F7D6" w:rsidR="0097713D" w:rsidRDefault="0097713D" w:rsidP="00F3501B">
      <w:pPr>
        <w:spacing w:before="240"/>
        <w:rPr>
          <w:rFonts w:ascii="Times New Roman" w:hAnsi="Times New Roman"/>
          <w:sz w:val="24"/>
          <w:szCs w:val="24"/>
        </w:rPr>
      </w:pPr>
    </w:p>
    <w:p w14:paraId="6B9C0FE9" w14:textId="1F26B8B3" w:rsidR="00DE544C" w:rsidRPr="00F3501B" w:rsidRDefault="00F60964" w:rsidP="00F3501B">
      <w:pPr>
        <w:pStyle w:val="Heading1"/>
        <w:spacing w:line="360" w:lineRule="auto"/>
        <w:rPr>
          <w:rFonts w:ascii="Times New Roman" w:hAnsi="Times New Roman"/>
          <w:color w:val="auto"/>
          <w:sz w:val="24"/>
          <w:szCs w:val="24"/>
        </w:rPr>
      </w:pPr>
      <w:bookmarkStart w:id="26" w:name="_Toc30186937"/>
      <w:r w:rsidRPr="00F3501B">
        <w:rPr>
          <w:rFonts w:ascii="Times New Roman" w:hAnsi="Times New Roman"/>
          <w:color w:val="auto"/>
          <w:sz w:val="24"/>
          <w:szCs w:val="24"/>
        </w:rPr>
        <w:lastRenderedPageBreak/>
        <w:t>References</w:t>
      </w:r>
      <w:bookmarkEnd w:id="26"/>
    </w:p>
    <w:p w14:paraId="2B8872BC" w14:textId="77777777" w:rsidR="007452E8" w:rsidRPr="00F3501B" w:rsidRDefault="007452E8" w:rsidP="00F3501B">
      <w:pPr>
        <w:pStyle w:val="NormalWeb"/>
        <w:shd w:val="clear" w:color="auto" w:fill="FFFFFF"/>
        <w:spacing w:after="0" w:afterAutospacing="0" w:line="360" w:lineRule="auto"/>
      </w:pPr>
    </w:p>
    <w:p w14:paraId="23A5E268" w14:textId="77777777" w:rsidR="007452E8" w:rsidRPr="00F3501B" w:rsidRDefault="007452E8" w:rsidP="00F3501B">
      <w:pPr>
        <w:rPr>
          <w:rFonts w:ascii="Times New Roman" w:hAnsi="Times New Roman"/>
          <w:sz w:val="24"/>
          <w:szCs w:val="24"/>
        </w:rPr>
      </w:pPr>
      <w:r w:rsidRPr="00F3501B">
        <w:rPr>
          <w:rFonts w:ascii="Times New Roman" w:hAnsi="Times New Roman"/>
          <w:sz w:val="24"/>
          <w:szCs w:val="24"/>
        </w:rPr>
        <w:t xml:space="preserve">BP, 2018. </w:t>
      </w:r>
      <w:r w:rsidRPr="00F3501B">
        <w:rPr>
          <w:rFonts w:ascii="Times New Roman" w:hAnsi="Times New Roman"/>
          <w:i/>
          <w:sz w:val="24"/>
          <w:szCs w:val="24"/>
        </w:rPr>
        <w:t xml:space="preserve">BP Annual Report and Form 20-F 2018, </w:t>
      </w:r>
      <w:r w:rsidRPr="00F3501B">
        <w:rPr>
          <w:rFonts w:ascii="Times New Roman" w:hAnsi="Times New Roman"/>
          <w:sz w:val="24"/>
          <w:szCs w:val="24"/>
        </w:rPr>
        <w:t>[pdf] Available at: &lt;</w:t>
      </w:r>
      <w:hyperlink r:id="rId9" w:history="1">
        <w:r w:rsidRPr="00F3501B">
          <w:rPr>
            <w:rStyle w:val="Hyperlink"/>
            <w:rFonts w:ascii="Times New Roman" w:hAnsi="Times New Roman"/>
            <w:sz w:val="24"/>
            <w:szCs w:val="24"/>
          </w:rPr>
          <w:t>https://www.bp.com/content/dam/bp/business-sites/en/global/corporate/pdfs/investors/bp-annual-report-and-form-20f-2018.pdf</w:t>
        </w:r>
      </w:hyperlink>
      <w:r w:rsidRPr="00F3501B">
        <w:rPr>
          <w:rFonts w:ascii="Times New Roman" w:hAnsi="Times New Roman"/>
          <w:sz w:val="24"/>
          <w:szCs w:val="24"/>
        </w:rPr>
        <w:t>&gt; [Accessed on 7 January 2020]</w:t>
      </w:r>
    </w:p>
    <w:p w14:paraId="2DEB837A" w14:textId="77777777" w:rsidR="007452E8" w:rsidRPr="00F3501B" w:rsidRDefault="007452E8" w:rsidP="00F3501B">
      <w:pPr>
        <w:rPr>
          <w:rFonts w:ascii="Times New Roman" w:hAnsi="Times New Roman"/>
          <w:sz w:val="24"/>
          <w:szCs w:val="24"/>
        </w:rPr>
      </w:pPr>
      <w:r w:rsidRPr="00F3501B">
        <w:rPr>
          <w:rFonts w:ascii="Times New Roman" w:hAnsi="Times New Roman"/>
          <w:sz w:val="24"/>
          <w:szCs w:val="24"/>
        </w:rPr>
        <w:t xml:space="preserve">BP, 2017. </w:t>
      </w:r>
      <w:r w:rsidRPr="00F3501B">
        <w:rPr>
          <w:rFonts w:ascii="Times New Roman" w:hAnsi="Times New Roman"/>
          <w:i/>
          <w:sz w:val="24"/>
          <w:szCs w:val="24"/>
        </w:rPr>
        <w:t>BP Annual Report and Form 20-F 2017</w:t>
      </w:r>
      <w:r w:rsidRPr="00F3501B">
        <w:rPr>
          <w:rFonts w:ascii="Times New Roman" w:hAnsi="Times New Roman"/>
          <w:sz w:val="24"/>
          <w:szCs w:val="24"/>
        </w:rPr>
        <w:t>, [pdf] Available at: &lt;</w:t>
      </w:r>
      <w:hyperlink r:id="rId10" w:history="1">
        <w:r w:rsidRPr="00F3501B">
          <w:rPr>
            <w:rStyle w:val="Hyperlink"/>
            <w:rFonts w:ascii="Times New Roman" w:hAnsi="Times New Roman"/>
            <w:sz w:val="24"/>
            <w:szCs w:val="24"/>
          </w:rPr>
          <w:t>https://www.bp.com/content/dam/bp/business-sites/en/global/corporate/pdfs/investors/bp-annual-report-and-form-20f-2017.pdf</w:t>
        </w:r>
      </w:hyperlink>
      <w:r w:rsidRPr="00F3501B">
        <w:rPr>
          <w:rFonts w:ascii="Times New Roman" w:hAnsi="Times New Roman"/>
          <w:sz w:val="24"/>
          <w:szCs w:val="24"/>
        </w:rPr>
        <w:t>&gt; [Accessed on 7 January 2020]</w:t>
      </w:r>
    </w:p>
    <w:p w14:paraId="3F1FB50A" w14:textId="77777777" w:rsidR="007452E8" w:rsidRPr="00F3501B" w:rsidRDefault="007452E8" w:rsidP="00F3501B">
      <w:pPr>
        <w:rPr>
          <w:rFonts w:ascii="Times New Roman" w:hAnsi="Times New Roman"/>
          <w:sz w:val="24"/>
          <w:szCs w:val="24"/>
        </w:rPr>
      </w:pPr>
      <w:r w:rsidRPr="00F3501B">
        <w:rPr>
          <w:rFonts w:ascii="Times New Roman" w:hAnsi="Times New Roman"/>
          <w:sz w:val="24"/>
          <w:szCs w:val="24"/>
        </w:rPr>
        <w:t xml:space="preserve">BP, 2016. </w:t>
      </w:r>
      <w:r w:rsidRPr="00F3501B">
        <w:rPr>
          <w:rFonts w:ascii="Times New Roman" w:hAnsi="Times New Roman"/>
          <w:i/>
          <w:sz w:val="24"/>
          <w:szCs w:val="24"/>
        </w:rPr>
        <w:t>BP Annual Report and Form 20-F 2016</w:t>
      </w:r>
      <w:r w:rsidRPr="00F3501B">
        <w:rPr>
          <w:rFonts w:ascii="Times New Roman" w:hAnsi="Times New Roman"/>
          <w:sz w:val="24"/>
          <w:szCs w:val="24"/>
        </w:rPr>
        <w:t>, [pdf] Available at: &lt;</w:t>
      </w:r>
      <w:hyperlink r:id="rId11" w:history="1">
        <w:r w:rsidRPr="00F3501B">
          <w:rPr>
            <w:rStyle w:val="Hyperlink"/>
            <w:rFonts w:ascii="Times New Roman" w:hAnsi="Times New Roman"/>
            <w:sz w:val="24"/>
            <w:szCs w:val="24"/>
          </w:rPr>
          <w:t>https://www.bp.com/content/dam/bp/business-sites/en/global/corporate/pdfs/investors/bp-annual-report-and-form-20f-2016.pdf</w:t>
        </w:r>
      </w:hyperlink>
      <w:r w:rsidRPr="00F3501B">
        <w:rPr>
          <w:rFonts w:ascii="Times New Roman" w:hAnsi="Times New Roman"/>
          <w:sz w:val="24"/>
          <w:szCs w:val="24"/>
        </w:rPr>
        <w:t>&gt; [Accessed on 7 January 2020]</w:t>
      </w:r>
    </w:p>
    <w:p w14:paraId="3E7112AE" w14:textId="77777777" w:rsidR="007452E8" w:rsidRPr="00F3501B" w:rsidRDefault="007452E8" w:rsidP="00F3501B">
      <w:pPr>
        <w:rPr>
          <w:rFonts w:ascii="Times New Roman" w:hAnsi="Times New Roman"/>
          <w:sz w:val="24"/>
          <w:szCs w:val="24"/>
        </w:rPr>
      </w:pPr>
      <w:r w:rsidRPr="00F3501B">
        <w:rPr>
          <w:rFonts w:ascii="Times New Roman" w:hAnsi="Times New Roman"/>
          <w:sz w:val="24"/>
          <w:szCs w:val="24"/>
        </w:rPr>
        <w:t xml:space="preserve">BP, 2015. </w:t>
      </w:r>
      <w:r w:rsidRPr="00F3501B">
        <w:rPr>
          <w:rFonts w:ascii="Times New Roman" w:hAnsi="Times New Roman"/>
          <w:i/>
          <w:sz w:val="24"/>
          <w:szCs w:val="24"/>
        </w:rPr>
        <w:t>BP Annual Report and Form 20-F 2015</w:t>
      </w:r>
      <w:r w:rsidRPr="00F3501B">
        <w:rPr>
          <w:rFonts w:ascii="Times New Roman" w:hAnsi="Times New Roman"/>
          <w:sz w:val="24"/>
          <w:szCs w:val="24"/>
        </w:rPr>
        <w:t>, [pdf] Available at: &lt;</w:t>
      </w:r>
      <w:hyperlink r:id="rId12" w:history="1">
        <w:r w:rsidRPr="00F3501B">
          <w:rPr>
            <w:rStyle w:val="Hyperlink"/>
            <w:rFonts w:ascii="Times New Roman" w:hAnsi="Times New Roman"/>
            <w:sz w:val="24"/>
            <w:szCs w:val="24"/>
          </w:rPr>
          <w:t>https://www.bp.com/content/dam/bp/business-sites/en/global/corporate/pdfs/investors/bp-annual-report-and-form-20f-2015.pdf</w:t>
        </w:r>
      </w:hyperlink>
      <w:r w:rsidRPr="00F3501B">
        <w:rPr>
          <w:rFonts w:ascii="Times New Roman" w:hAnsi="Times New Roman"/>
          <w:sz w:val="24"/>
          <w:szCs w:val="24"/>
        </w:rPr>
        <w:t>&gt; [Accessed on 7 January 2020]</w:t>
      </w:r>
    </w:p>
    <w:p w14:paraId="12E67315" w14:textId="77777777" w:rsidR="007452E8" w:rsidRPr="00F3501B" w:rsidRDefault="007452E8" w:rsidP="00F3501B">
      <w:pPr>
        <w:rPr>
          <w:rFonts w:ascii="Times New Roman" w:hAnsi="Times New Roman"/>
          <w:sz w:val="24"/>
          <w:szCs w:val="24"/>
        </w:rPr>
      </w:pPr>
      <w:r w:rsidRPr="00F3501B">
        <w:rPr>
          <w:rFonts w:ascii="Times New Roman" w:hAnsi="Times New Roman"/>
          <w:sz w:val="24"/>
          <w:szCs w:val="24"/>
        </w:rPr>
        <w:t xml:space="preserve">BP, 2014. </w:t>
      </w:r>
      <w:r w:rsidRPr="00F3501B">
        <w:rPr>
          <w:rFonts w:ascii="Times New Roman" w:hAnsi="Times New Roman"/>
          <w:i/>
          <w:sz w:val="24"/>
          <w:szCs w:val="24"/>
        </w:rPr>
        <w:t>BP Annual Report and Form 20-F 2014</w:t>
      </w:r>
      <w:r w:rsidRPr="00F3501B">
        <w:rPr>
          <w:rFonts w:ascii="Times New Roman" w:hAnsi="Times New Roman"/>
          <w:sz w:val="24"/>
          <w:szCs w:val="24"/>
        </w:rPr>
        <w:t>, [pdf] Available at: &lt;</w:t>
      </w:r>
      <w:hyperlink r:id="rId13" w:history="1">
        <w:r w:rsidRPr="00F3501B">
          <w:rPr>
            <w:rStyle w:val="Hyperlink"/>
            <w:rFonts w:ascii="Times New Roman" w:hAnsi="Times New Roman"/>
            <w:sz w:val="24"/>
            <w:szCs w:val="24"/>
          </w:rPr>
          <w:t>https://www.bp.com/content/dam/bp/business-sites/en/global/corporate/pdfs/investors/bp-annual-report-and-form-20f-2014.pdf</w:t>
        </w:r>
      </w:hyperlink>
      <w:r w:rsidRPr="00F3501B">
        <w:rPr>
          <w:rFonts w:ascii="Times New Roman" w:hAnsi="Times New Roman"/>
          <w:sz w:val="24"/>
          <w:szCs w:val="24"/>
        </w:rPr>
        <w:t>&gt; [Accessed on 7 January 2020]</w:t>
      </w:r>
    </w:p>
    <w:p w14:paraId="2DD9A640" w14:textId="77777777" w:rsidR="007452E8" w:rsidRPr="00F3501B" w:rsidRDefault="007452E8" w:rsidP="00F3501B">
      <w:pPr>
        <w:rPr>
          <w:rFonts w:ascii="Times New Roman" w:hAnsi="Times New Roman"/>
          <w:sz w:val="24"/>
          <w:szCs w:val="24"/>
        </w:rPr>
      </w:pPr>
      <w:r w:rsidRPr="00F3501B">
        <w:rPr>
          <w:rFonts w:ascii="Times New Roman" w:hAnsi="Times New Roman"/>
          <w:sz w:val="24"/>
          <w:szCs w:val="24"/>
        </w:rPr>
        <w:t xml:space="preserve">Chevron, 2018. </w:t>
      </w:r>
      <w:r w:rsidRPr="00F3501B">
        <w:rPr>
          <w:rFonts w:ascii="Times New Roman" w:hAnsi="Times New Roman"/>
          <w:i/>
          <w:sz w:val="24"/>
          <w:szCs w:val="24"/>
        </w:rPr>
        <w:t xml:space="preserve">2018 Annual Report,  </w:t>
      </w:r>
      <w:r w:rsidRPr="00F3501B">
        <w:rPr>
          <w:rFonts w:ascii="Times New Roman" w:hAnsi="Times New Roman"/>
          <w:sz w:val="24"/>
          <w:szCs w:val="24"/>
        </w:rPr>
        <w:t>[pdf] Available at: &lt;</w:t>
      </w:r>
      <w:hyperlink r:id="rId14" w:history="1">
        <w:r w:rsidRPr="00F3501B">
          <w:rPr>
            <w:rStyle w:val="Hyperlink"/>
            <w:rFonts w:ascii="Times New Roman" w:hAnsi="Times New Roman"/>
            <w:sz w:val="24"/>
            <w:szCs w:val="24"/>
          </w:rPr>
          <w:t>https://www.chevron.com/-/media/chevron/annual-report/2018/documents/2018-Annual-Report.pdf</w:t>
        </w:r>
      </w:hyperlink>
      <w:r w:rsidRPr="00F3501B">
        <w:rPr>
          <w:rFonts w:ascii="Times New Roman" w:hAnsi="Times New Roman"/>
          <w:sz w:val="24"/>
          <w:szCs w:val="24"/>
        </w:rPr>
        <w:t>&gt; [Accessed on 7 January 2020]</w:t>
      </w:r>
    </w:p>
    <w:p w14:paraId="11CBB2E1" w14:textId="77777777" w:rsidR="007452E8" w:rsidRPr="00F3501B" w:rsidRDefault="007452E8" w:rsidP="00F3501B">
      <w:pPr>
        <w:rPr>
          <w:rFonts w:ascii="Times New Roman" w:eastAsia="Times New Roman" w:hAnsi="Times New Roman"/>
          <w:color w:val="0B0C0C"/>
          <w:sz w:val="24"/>
          <w:szCs w:val="24"/>
          <w:lang w:eastAsia="en-GB"/>
        </w:rPr>
      </w:pPr>
      <w:r w:rsidRPr="00F3501B">
        <w:rPr>
          <w:rFonts w:ascii="Times New Roman" w:hAnsi="Times New Roman"/>
          <w:sz w:val="24"/>
          <w:szCs w:val="24"/>
        </w:rPr>
        <w:t xml:space="preserve">GOV, 2019. </w:t>
      </w:r>
      <w:r w:rsidRPr="00F3501B">
        <w:rPr>
          <w:rFonts w:ascii="Times New Roman" w:eastAsia="Times New Roman" w:hAnsi="Times New Roman"/>
          <w:bCs/>
          <w:i/>
          <w:color w:val="0B0C0C"/>
          <w:sz w:val="24"/>
          <w:szCs w:val="24"/>
          <w:bdr w:val="none" w:sz="0" w:space="0" w:color="auto" w:frame="1"/>
          <w:lang w:eastAsia="en-GB"/>
        </w:rPr>
        <w:t>Group of companies' accounts</w:t>
      </w:r>
      <w:r w:rsidRPr="00F3501B">
        <w:rPr>
          <w:rFonts w:ascii="Times New Roman" w:eastAsia="Times New Roman" w:hAnsi="Times New Roman"/>
          <w:i/>
          <w:color w:val="0B0C0C"/>
          <w:sz w:val="24"/>
          <w:szCs w:val="24"/>
          <w:lang w:eastAsia="en-GB"/>
        </w:rPr>
        <w:t xml:space="preserve"> made up to 31 December 2018, </w:t>
      </w:r>
      <w:r w:rsidRPr="00F3501B">
        <w:rPr>
          <w:rFonts w:ascii="Times New Roman" w:eastAsia="Times New Roman" w:hAnsi="Times New Roman"/>
          <w:color w:val="0B0C0C"/>
          <w:sz w:val="24"/>
          <w:szCs w:val="24"/>
          <w:lang w:eastAsia="en-GB"/>
        </w:rPr>
        <w:t>[online] Available at: &lt;</w:t>
      </w:r>
      <w:hyperlink r:id="rId15" w:history="1">
        <w:r w:rsidRPr="00F3501B">
          <w:rPr>
            <w:rStyle w:val="Hyperlink"/>
            <w:rFonts w:ascii="Times New Roman" w:hAnsi="Times New Roman"/>
            <w:sz w:val="24"/>
            <w:szCs w:val="24"/>
          </w:rPr>
          <w:t>https://beta.companieshouse.gov.uk/company/00102498/filing-history</w:t>
        </w:r>
      </w:hyperlink>
      <w:r w:rsidRPr="00F3501B">
        <w:rPr>
          <w:rFonts w:ascii="Times New Roman" w:hAnsi="Times New Roman"/>
          <w:sz w:val="24"/>
          <w:szCs w:val="24"/>
        </w:rPr>
        <w:t xml:space="preserve"> &gt;</w:t>
      </w:r>
      <w:r w:rsidRPr="00F3501B">
        <w:rPr>
          <w:rFonts w:ascii="Times New Roman" w:eastAsia="Times New Roman" w:hAnsi="Times New Roman"/>
          <w:color w:val="0B0C0C"/>
          <w:sz w:val="24"/>
          <w:szCs w:val="24"/>
          <w:lang w:eastAsia="en-GB"/>
        </w:rPr>
        <w:t xml:space="preserve"> [Accessed on 8 January 2020]</w:t>
      </w:r>
    </w:p>
    <w:p w14:paraId="4E9A1C1B" w14:textId="072EABA4" w:rsidR="007452E8" w:rsidRPr="00F3501B" w:rsidRDefault="007452E8" w:rsidP="00F3501B">
      <w:pPr>
        <w:rPr>
          <w:rFonts w:ascii="Times New Roman" w:hAnsi="Times New Roman"/>
          <w:sz w:val="24"/>
          <w:szCs w:val="24"/>
          <w:lang w:eastAsia="en-GB"/>
        </w:rPr>
      </w:pPr>
      <w:r w:rsidRPr="00F3501B">
        <w:rPr>
          <w:rFonts w:ascii="Times New Roman" w:hAnsi="Times New Roman"/>
          <w:sz w:val="24"/>
          <w:szCs w:val="24"/>
          <w:lang w:eastAsia="en-GB"/>
        </w:rPr>
        <w:t xml:space="preserve">Horngren, C. T., 2005 </w:t>
      </w:r>
      <w:r w:rsidRPr="00F3501B">
        <w:rPr>
          <w:rFonts w:ascii="Times New Roman" w:hAnsi="Times New Roman"/>
          <w:i/>
          <w:sz w:val="24"/>
          <w:szCs w:val="24"/>
          <w:lang w:eastAsia="en-GB"/>
        </w:rPr>
        <w:t xml:space="preserve">Introduction to financial </w:t>
      </w:r>
      <w:proofErr w:type="spellStart"/>
      <w:proofErr w:type="gramStart"/>
      <w:r w:rsidRPr="00F3501B">
        <w:rPr>
          <w:rFonts w:ascii="Times New Roman" w:hAnsi="Times New Roman"/>
          <w:i/>
          <w:sz w:val="24"/>
          <w:szCs w:val="24"/>
          <w:lang w:eastAsia="en-GB"/>
        </w:rPr>
        <w:t>accounting:United</w:t>
      </w:r>
      <w:proofErr w:type="spellEnd"/>
      <w:proofErr w:type="gramEnd"/>
      <w:r w:rsidRPr="00F3501B">
        <w:rPr>
          <w:rFonts w:ascii="Times New Roman" w:hAnsi="Times New Roman"/>
          <w:i/>
          <w:sz w:val="24"/>
          <w:szCs w:val="24"/>
          <w:lang w:eastAsia="en-GB"/>
        </w:rPr>
        <w:t xml:space="preserve"> States Edition by Charles T. Horngren. </w:t>
      </w:r>
      <w:r w:rsidRPr="00F3501B">
        <w:rPr>
          <w:rFonts w:ascii="Times New Roman" w:hAnsi="Times New Roman"/>
          <w:sz w:val="24"/>
          <w:szCs w:val="24"/>
          <w:lang w:eastAsia="en-GB"/>
        </w:rPr>
        <w:t xml:space="preserve">Pearson </w:t>
      </w:r>
      <w:proofErr w:type="gramStart"/>
      <w:r w:rsidRPr="00F3501B">
        <w:rPr>
          <w:rFonts w:ascii="Times New Roman" w:hAnsi="Times New Roman"/>
          <w:sz w:val="24"/>
          <w:szCs w:val="24"/>
          <w:lang w:eastAsia="en-GB"/>
        </w:rPr>
        <w:t>Education(</w:t>
      </w:r>
      <w:proofErr w:type="gramEnd"/>
      <w:r w:rsidRPr="00F3501B">
        <w:rPr>
          <w:rFonts w:ascii="Times New Roman" w:hAnsi="Times New Roman"/>
          <w:sz w:val="24"/>
          <w:szCs w:val="24"/>
          <w:lang w:eastAsia="en-GB"/>
        </w:rPr>
        <w:t>US)</w:t>
      </w:r>
    </w:p>
    <w:p w14:paraId="093524C2" w14:textId="2EF282A5" w:rsidR="007452E8" w:rsidRPr="00F3501B" w:rsidRDefault="007452E8" w:rsidP="00F3501B">
      <w:pPr>
        <w:rPr>
          <w:rFonts w:ascii="Times New Roman" w:eastAsia="Times New Roman" w:hAnsi="Times New Roman"/>
          <w:color w:val="0B0C0C"/>
          <w:sz w:val="24"/>
          <w:szCs w:val="24"/>
          <w:lang w:eastAsia="en-GB"/>
        </w:rPr>
      </w:pPr>
      <w:r w:rsidRPr="00F3501B">
        <w:rPr>
          <w:rFonts w:ascii="Times New Roman" w:eastAsia="Times New Roman" w:hAnsi="Times New Roman"/>
          <w:color w:val="0B0C0C"/>
          <w:sz w:val="24"/>
          <w:szCs w:val="24"/>
          <w:lang w:eastAsia="en-GB"/>
        </w:rPr>
        <w:t xml:space="preserve">Moles, P., Terry, </w:t>
      </w:r>
      <w:proofErr w:type="gramStart"/>
      <w:r w:rsidRPr="00F3501B">
        <w:rPr>
          <w:rFonts w:ascii="Times New Roman" w:eastAsia="Times New Roman" w:hAnsi="Times New Roman"/>
          <w:color w:val="0B0C0C"/>
          <w:sz w:val="24"/>
          <w:szCs w:val="24"/>
          <w:lang w:eastAsia="en-GB"/>
        </w:rPr>
        <w:t>N. ,</w:t>
      </w:r>
      <w:proofErr w:type="gramEnd"/>
      <w:r w:rsidRPr="00F3501B">
        <w:rPr>
          <w:rFonts w:ascii="Times New Roman" w:eastAsia="Times New Roman" w:hAnsi="Times New Roman"/>
          <w:color w:val="0B0C0C"/>
          <w:sz w:val="24"/>
          <w:szCs w:val="24"/>
          <w:lang w:eastAsia="en-GB"/>
        </w:rPr>
        <w:t xml:space="preserve"> 1997. </w:t>
      </w:r>
      <w:r w:rsidRPr="00F3501B">
        <w:rPr>
          <w:rFonts w:ascii="Times New Roman" w:eastAsia="Times New Roman" w:hAnsi="Times New Roman"/>
          <w:i/>
          <w:color w:val="0B0C0C"/>
          <w:sz w:val="24"/>
          <w:szCs w:val="24"/>
          <w:lang w:eastAsia="en-GB"/>
        </w:rPr>
        <w:t xml:space="preserve">The Handbook of International Financial Term. </w:t>
      </w:r>
      <w:r w:rsidRPr="00F3501B">
        <w:rPr>
          <w:rFonts w:ascii="Times New Roman" w:eastAsia="Times New Roman" w:hAnsi="Times New Roman"/>
          <w:color w:val="0B0C0C"/>
          <w:sz w:val="24"/>
          <w:szCs w:val="24"/>
          <w:lang w:eastAsia="en-GB"/>
        </w:rPr>
        <w:t>Oxford University Press</w:t>
      </w:r>
    </w:p>
    <w:p w14:paraId="56CFDDFF" w14:textId="288ABF2C" w:rsidR="007452E8" w:rsidRPr="00F3501B" w:rsidRDefault="007452E8" w:rsidP="00F3501B">
      <w:pPr>
        <w:rPr>
          <w:rFonts w:ascii="Times New Roman" w:hAnsi="Times New Roman"/>
          <w:sz w:val="24"/>
          <w:szCs w:val="24"/>
          <w:lang w:eastAsia="en-GB"/>
        </w:rPr>
      </w:pPr>
      <w:r w:rsidRPr="00F3501B">
        <w:rPr>
          <w:rFonts w:ascii="Times New Roman" w:eastAsia="Times New Roman" w:hAnsi="Times New Roman"/>
          <w:color w:val="0B0C0C"/>
          <w:sz w:val="24"/>
          <w:szCs w:val="24"/>
          <w:lang w:eastAsia="en-GB"/>
        </w:rPr>
        <w:t xml:space="preserve">Rashid, C. A., 2018. </w:t>
      </w:r>
      <w:r w:rsidRPr="00F3501B">
        <w:rPr>
          <w:rFonts w:ascii="Times New Roman" w:eastAsia="Times New Roman" w:hAnsi="Times New Roman"/>
          <w:i/>
          <w:color w:val="0B0C0C"/>
          <w:sz w:val="24"/>
          <w:szCs w:val="24"/>
          <w:lang w:eastAsia="en-GB"/>
        </w:rPr>
        <w:t xml:space="preserve">Efficiency of Financial Ratios Analysis for Evaluating Companies’ </w:t>
      </w:r>
      <w:proofErr w:type="spellStart"/>
      <w:r w:rsidRPr="00F3501B">
        <w:rPr>
          <w:rFonts w:ascii="Times New Roman" w:eastAsia="Times New Roman" w:hAnsi="Times New Roman"/>
          <w:i/>
          <w:color w:val="0B0C0C"/>
          <w:sz w:val="24"/>
          <w:szCs w:val="24"/>
          <w:lang w:eastAsia="en-GB"/>
        </w:rPr>
        <w:t>Liquidit</w:t>
      </w:r>
      <w:proofErr w:type="spellEnd"/>
      <w:r w:rsidRPr="00F3501B">
        <w:rPr>
          <w:rFonts w:ascii="Times New Roman" w:eastAsia="Times New Roman" w:hAnsi="Times New Roman"/>
          <w:i/>
          <w:color w:val="0B0C0C"/>
          <w:sz w:val="24"/>
          <w:szCs w:val="24"/>
          <w:lang w:eastAsia="en-GB"/>
        </w:rPr>
        <w:t xml:space="preserve">. </w:t>
      </w:r>
      <w:r w:rsidRPr="00F3501B">
        <w:rPr>
          <w:rFonts w:ascii="Times New Roman" w:hAnsi="Times New Roman"/>
          <w:iCs/>
          <w:sz w:val="24"/>
          <w:szCs w:val="24"/>
          <w:lang w:eastAsia="en-GB"/>
        </w:rPr>
        <w:t xml:space="preserve">[article] </w:t>
      </w:r>
      <w:r w:rsidRPr="00F3501B">
        <w:rPr>
          <w:rFonts w:ascii="Times New Roman" w:hAnsi="Times New Roman"/>
          <w:sz w:val="24"/>
          <w:szCs w:val="24"/>
          <w:lang w:eastAsia="en-GB"/>
        </w:rPr>
        <w:t xml:space="preserve">Available through UWTSD Library website:&lt; </w:t>
      </w:r>
      <w:hyperlink r:id="rId16" w:history="1">
        <w:r w:rsidRPr="00F3501B">
          <w:rPr>
            <w:rStyle w:val="Hyperlink"/>
            <w:rFonts w:ascii="Times New Roman" w:hAnsi="Times New Roman"/>
            <w:sz w:val="24"/>
            <w:szCs w:val="24"/>
            <w:lang w:eastAsia="en-GB"/>
          </w:rPr>
          <w:t>https://www.uwtsd.ac.uk</w:t>
        </w:r>
      </w:hyperlink>
      <w:r w:rsidRPr="00F3501B">
        <w:rPr>
          <w:rFonts w:ascii="Times New Roman" w:hAnsi="Times New Roman"/>
          <w:sz w:val="24"/>
          <w:szCs w:val="24"/>
          <w:lang w:eastAsia="en-GB"/>
        </w:rPr>
        <w:t>&gt; [Accessed on 8 January 2020]</w:t>
      </w:r>
    </w:p>
    <w:p w14:paraId="112EA22D" w14:textId="0F41D4CB" w:rsidR="00DE03D0" w:rsidRPr="00F3501B" w:rsidRDefault="007452E8" w:rsidP="0044160B">
      <w:pPr>
        <w:rPr>
          <w:rFonts w:ascii="Times New Roman" w:hAnsi="Times New Roman"/>
          <w:sz w:val="24"/>
          <w:szCs w:val="24"/>
          <w:lang w:eastAsia="en-GB"/>
        </w:rPr>
      </w:pPr>
      <w:r w:rsidRPr="00F3501B">
        <w:rPr>
          <w:rFonts w:ascii="Times New Roman" w:hAnsi="Times New Roman"/>
          <w:sz w:val="24"/>
          <w:szCs w:val="24"/>
          <w:lang w:eastAsia="en-GB"/>
        </w:rPr>
        <w:t xml:space="preserve">Walsh, C., 1996. </w:t>
      </w:r>
      <w:r w:rsidRPr="00F3501B">
        <w:rPr>
          <w:rFonts w:ascii="Times New Roman" w:hAnsi="Times New Roman"/>
          <w:i/>
          <w:sz w:val="24"/>
          <w:szCs w:val="24"/>
          <w:lang w:eastAsia="en-GB"/>
        </w:rPr>
        <w:t xml:space="preserve">Key Management Ratios: how to analyse, compare and control the figures that drive company value. </w:t>
      </w:r>
      <w:r w:rsidRPr="00F3501B">
        <w:rPr>
          <w:rFonts w:ascii="Times New Roman" w:hAnsi="Times New Roman"/>
          <w:sz w:val="24"/>
          <w:szCs w:val="24"/>
          <w:lang w:eastAsia="en-GB"/>
        </w:rPr>
        <w:t>London: Financial Times/Pitman Publishing 1996</w:t>
      </w:r>
    </w:p>
    <w:p w14:paraId="35BCCFC5" w14:textId="3BE399AD" w:rsidR="000941AF" w:rsidRPr="00F3501B" w:rsidRDefault="003172E6" w:rsidP="00F3501B">
      <w:pPr>
        <w:pStyle w:val="Heading1"/>
        <w:spacing w:line="360" w:lineRule="auto"/>
        <w:rPr>
          <w:rFonts w:ascii="Times New Roman" w:hAnsi="Times New Roman"/>
          <w:color w:val="auto"/>
          <w:sz w:val="24"/>
          <w:szCs w:val="24"/>
        </w:rPr>
      </w:pPr>
      <w:bookmarkStart w:id="27" w:name="_Toc30186938"/>
      <w:r w:rsidRPr="00F3501B">
        <w:rPr>
          <w:rFonts w:ascii="Times New Roman" w:hAnsi="Times New Roman"/>
          <w:color w:val="auto"/>
          <w:sz w:val="24"/>
          <w:szCs w:val="24"/>
        </w:rPr>
        <w:lastRenderedPageBreak/>
        <w:t>Appendix</w:t>
      </w:r>
      <w:bookmarkEnd w:id="27"/>
    </w:p>
    <w:p w14:paraId="47429AA7" w14:textId="77777777" w:rsidR="007452E8" w:rsidRPr="00F3501B" w:rsidRDefault="007452E8" w:rsidP="00F3501B">
      <w:pPr>
        <w:rPr>
          <w:rFonts w:ascii="Times New Roman" w:hAnsi="Times New Roman"/>
          <w:sz w:val="24"/>
          <w:szCs w:val="24"/>
          <w:lang w:val="en-US"/>
        </w:rPr>
      </w:pPr>
    </w:p>
    <w:p w14:paraId="258B65F4" w14:textId="3DD225FD" w:rsidR="0002459F" w:rsidRPr="00D912EF" w:rsidRDefault="0002459F" w:rsidP="00D912EF">
      <w:pPr>
        <w:pStyle w:val="Heading2"/>
        <w:rPr>
          <w:rFonts w:ascii="Times New Roman" w:hAnsi="Times New Roman"/>
          <w:color w:val="auto"/>
          <w:sz w:val="24"/>
          <w:szCs w:val="24"/>
          <w:lang w:val="en-US"/>
        </w:rPr>
      </w:pPr>
      <w:bookmarkStart w:id="28" w:name="_Toc30186939"/>
      <w:r w:rsidRPr="00D912EF">
        <w:rPr>
          <w:rFonts w:ascii="Times New Roman" w:hAnsi="Times New Roman"/>
          <w:color w:val="auto"/>
          <w:sz w:val="24"/>
          <w:szCs w:val="24"/>
          <w:lang w:val="en-US"/>
        </w:rPr>
        <w:t>BP Income Statement 2018</w:t>
      </w:r>
      <w:r w:rsidR="00395F3B" w:rsidRPr="00D912EF">
        <w:rPr>
          <w:rFonts w:ascii="Times New Roman" w:hAnsi="Times New Roman"/>
          <w:color w:val="auto"/>
          <w:sz w:val="24"/>
          <w:szCs w:val="24"/>
          <w:lang w:val="en-US"/>
        </w:rPr>
        <w:t xml:space="preserve"> (Including data for 2017 and 2016)</w:t>
      </w:r>
      <w:bookmarkEnd w:id="28"/>
    </w:p>
    <w:p w14:paraId="6D78F450" w14:textId="77777777" w:rsidR="00B90698" w:rsidRPr="00F3501B" w:rsidRDefault="00B90698" w:rsidP="00F3501B">
      <w:pPr>
        <w:rPr>
          <w:rFonts w:ascii="Times New Roman" w:hAnsi="Times New Roman"/>
          <w:sz w:val="24"/>
          <w:szCs w:val="24"/>
          <w:lang w:val="en-US"/>
        </w:rPr>
      </w:pPr>
    </w:p>
    <w:p w14:paraId="10BEFCF5" w14:textId="260EE028" w:rsidR="001B5E9D" w:rsidRPr="00F3501B" w:rsidRDefault="0002459F" w:rsidP="00F3501B">
      <w:pPr>
        <w:rPr>
          <w:rFonts w:ascii="Times New Roman" w:hAnsi="Times New Roman"/>
          <w:sz w:val="24"/>
          <w:szCs w:val="24"/>
        </w:rPr>
      </w:pPr>
      <w:r w:rsidRPr="00F3501B">
        <w:rPr>
          <w:rFonts w:ascii="Times New Roman" w:hAnsi="Times New Roman"/>
          <w:noProof/>
          <w:sz w:val="24"/>
          <w:szCs w:val="24"/>
        </w:rPr>
        <w:drawing>
          <wp:inline distT="0" distB="0" distL="0" distR="0" wp14:anchorId="23BA2BB6" wp14:editId="7B3C5FF8">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20795"/>
                    </a:xfrm>
                    <a:prstGeom prst="rect">
                      <a:avLst/>
                    </a:prstGeom>
                  </pic:spPr>
                </pic:pic>
              </a:graphicData>
            </a:graphic>
          </wp:inline>
        </w:drawing>
      </w:r>
    </w:p>
    <w:p w14:paraId="787BAA42" w14:textId="77777777" w:rsidR="00395F3B" w:rsidRDefault="00395F3B" w:rsidP="00F3501B">
      <w:pPr>
        <w:rPr>
          <w:rFonts w:ascii="Times New Roman" w:hAnsi="Times New Roman"/>
          <w:sz w:val="24"/>
          <w:szCs w:val="24"/>
        </w:rPr>
      </w:pPr>
    </w:p>
    <w:p w14:paraId="1555532F" w14:textId="77777777" w:rsidR="00395F3B" w:rsidRDefault="00395F3B" w:rsidP="00F3501B">
      <w:pPr>
        <w:rPr>
          <w:rFonts w:ascii="Times New Roman" w:hAnsi="Times New Roman"/>
          <w:sz w:val="24"/>
          <w:szCs w:val="24"/>
        </w:rPr>
      </w:pPr>
    </w:p>
    <w:p w14:paraId="0ECF1578" w14:textId="7FA5FEC5" w:rsidR="00395F3B" w:rsidRDefault="00395F3B" w:rsidP="00F3501B">
      <w:pPr>
        <w:rPr>
          <w:rFonts w:ascii="Times New Roman" w:hAnsi="Times New Roman"/>
          <w:sz w:val="24"/>
          <w:szCs w:val="24"/>
        </w:rPr>
      </w:pPr>
    </w:p>
    <w:p w14:paraId="1E2BCE52" w14:textId="32022F3C" w:rsidR="00D912EF" w:rsidRDefault="00D912EF" w:rsidP="00F3501B">
      <w:pPr>
        <w:rPr>
          <w:rFonts w:ascii="Times New Roman" w:hAnsi="Times New Roman"/>
          <w:sz w:val="24"/>
          <w:szCs w:val="24"/>
        </w:rPr>
      </w:pPr>
    </w:p>
    <w:p w14:paraId="18DAD848" w14:textId="1EA80093" w:rsidR="00D912EF" w:rsidRDefault="00D912EF" w:rsidP="00F3501B">
      <w:pPr>
        <w:rPr>
          <w:rFonts w:ascii="Times New Roman" w:hAnsi="Times New Roman"/>
          <w:sz w:val="24"/>
          <w:szCs w:val="24"/>
        </w:rPr>
      </w:pPr>
    </w:p>
    <w:p w14:paraId="2E2AC6A5" w14:textId="3A13671B" w:rsidR="00D912EF" w:rsidRDefault="00D912EF" w:rsidP="00F3501B">
      <w:pPr>
        <w:rPr>
          <w:rFonts w:ascii="Times New Roman" w:hAnsi="Times New Roman"/>
          <w:sz w:val="24"/>
          <w:szCs w:val="24"/>
        </w:rPr>
      </w:pPr>
    </w:p>
    <w:p w14:paraId="1567555F" w14:textId="3842D9D4" w:rsidR="00D912EF" w:rsidRDefault="00D912EF" w:rsidP="00F3501B">
      <w:pPr>
        <w:rPr>
          <w:rFonts w:ascii="Times New Roman" w:hAnsi="Times New Roman"/>
          <w:sz w:val="24"/>
          <w:szCs w:val="24"/>
        </w:rPr>
      </w:pPr>
    </w:p>
    <w:p w14:paraId="77AB7C52" w14:textId="08CD3B9F" w:rsidR="00D912EF" w:rsidRDefault="00D912EF" w:rsidP="00F3501B">
      <w:pPr>
        <w:rPr>
          <w:rFonts w:ascii="Times New Roman" w:hAnsi="Times New Roman"/>
          <w:sz w:val="24"/>
          <w:szCs w:val="24"/>
        </w:rPr>
      </w:pPr>
    </w:p>
    <w:p w14:paraId="4474F08B" w14:textId="553CDDA9" w:rsidR="00D912EF" w:rsidRDefault="00D912EF" w:rsidP="00F3501B">
      <w:pPr>
        <w:rPr>
          <w:rFonts w:ascii="Times New Roman" w:hAnsi="Times New Roman"/>
          <w:sz w:val="24"/>
          <w:szCs w:val="24"/>
        </w:rPr>
      </w:pPr>
    </w:p>
    <w:p w14:paraId="1B107C15" w14:textId="6274E361" w:rsidR="00D912EF" w:rsidRDefault="00D912EF" w:rsidP="00F3501B">
      <w:pPr>
        <w:rPr>
          <w:rFonts w:ascii="Times New Roman" w:hAnsi="Times New Roman"/>
          <w:sz w:val="24"/>
          <w:szCs w:val="24"/>
        </w:rPr>
      </w:pPr>
    </w:p>
    <w:p w14:paraId="3943F175" w14:textId="7E92DA96" w:rsidR="00D912EF" w:rsidRDefault="00D912EF" w:rsidP="00F3501B">
      <w:pPr>
        <w:rPr>
          <w:rFonts w:ascii="Times New Roman" w:hAnsi="Times New Roman"/>
          <w:sz w:val="24"/>
          <w:szCs w:val="24"/>
        </w:rPr>
      </w:pPr>
    </w:p>
    <w:p w14:paraId="62D89876" w14:textId="2A5DDD55" w:rsidR="00D912EF" w:rsidRDefault="00D912EF" w:rsidP="00F3501B">
      <w:pPr>
        <w:rPr>
          <w:rFonts w:ascii="Times New Roman" w:hAnsi="Times New Roman"/>
          <w:sz w:val="24"/>
          <w:szCs w:val="24"/>
        </w:rPr>
      </w:pPr>
    </w:p>
    <w:p w14:paraId="6E00C005" w14:textId="77777777" w:rsidR="00D912EF" w:rsidRDefault="00D912EF" w:rsidP="00F3501B">
      <w:pPr>
        <w:rPr>
          <w:rFonts w:ascii="Times New Roman" w:hAnsi="Times New Roman"/>
          <w:sz w:val="24"/>
          <w:szCs w:val="24"/>
        </w:rPr>
      </w:pPr>
    </w:p>
    <w:p w14:paraId="33B75826" w14:textId="77777777" w:rsidR="00395F3B" w:rsidRDefault="00395F3B" w:rsidP="00F3501B">
      <w:pPr>
        <w:rPr>
          <w:rFonts w:ascii="Times New Roman" w:hAnsi="Times New Roman"/>
          <w:sz w:val="24"/>
          <w:szCs w:val="24"/>
        </w:rPr>
      </w:pPr>
    </w:p>
    <w:p w14:paraId="4E95D7F4" w14:textId="77777777" w:rsidR="00395F3B" w:rsidRDefault="00395F3B" w:rsidP="00F3501B">
      <w:pPr>
        <w:rPr>
          <w:rFonts w:ascii="Times New Roman" w:hAnsi="Times New Roman"/>
          <w:sz w:val="24"/>
          <w:szCs w:val="24"/>
        </w:rPr>
      </w:pPr>
    </w:p>
    <w:p w14:paraId="2A73852B" w14:textId="1BBD7748" w:rsidR="00BC6E79" w:rsidRPr="00D912EF" w:rsidRDefault="00321AB1" w:rsidP="00D912EF">
      <w:pPr>
        <w:pStyle w:val="Heading2"/>
        <w:rPr>
          <w:rFonts w:ascii="Times New Roman" w:hAnsi="Times New Roman"/>
          <w:color w:val="auto"/>
          <w:sz w:val="24"/>
          <w:szCs w:val="24"/>
        </w:rPr>
      </w:pPr>
      <w:bookmarkStart w:id="29" w:name="_Toc30186940"/>
      <w:r w:rsidRPr="00D912EF">
        <w:rPr>
          <w:rFonts w:ascii="Times New Roman" w:hAnsi="Times New Roman"/>
          <w:color w:val="auto"/>
          <w:sz w:val="24"/>
          <w:szCs w:val="24"/>
        </w:rPr>
        <w:lastRenderedPageBreak/>
        <w:t>BP Balance Sheet 2018</w:t>
      </w:r>
      <w:bookmarkEnd w:id="29"/>
    </w:p>
    <w:p w14:paraId="283EEA8A" w14:textId="50DD9F65" w:rsidR="00BC6E79" w:rsidRPr="00F3501B" w:rsidRDefault="0002459F" w:rsidP="00F3501B">
      <w:pPr>
        <w:rPr>
          <w:rFonts w:ascii="Times New Roman" w:hAnsi="Times New Roman"/>
          <w:sz w:val="24"/>
          <w:szCs w:val="24"/>
        </w:rPr>
      </w:pPr>
      <w:r w:rsidRPr="00F3501B">
        <w:rPr>
          <w:rFonts w:ascii="Times New Roman" w:hAnsi="Times New Roman"/>
          <w:noProof/>
          <w:sz w:val="24"/>
          <w:szCs w:val="24"/>
        </w:rPr>
        <w:drawing>
          <wp:inline distT="0" distB="0" distL="0" distR="0" wp14:anchorId="6138CEE4" wp14:editId="1884DB73">
            <wp:extent cx="5731510" cy="43694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69435"/>
                    </a:xfrm>
                    <a:prstGeom prst="rect">
                      <a:avLst/>
                    </a:prstGeom>
                  </pic:spPr>
                </pic:pic>
              </a:graphicData>
            </a:graphic>
          </wp:inline>
        </w:drawing>
      </w:r>
    </w:p>
    <w:p w14:paraId="2F31535E" w14:textId="2DD37E39" w:rsidR="00BC6E79" w:rsidRDefault="00BC6E79" w:rsidP="00F3501B">
      <w:pPr>
        <w:rPr>
          <w:rFonts w:ascii="Times New Roman" w:hAnsi="Times New Roman"/>
          <w:sz w:val="24"/>
          <w:szCs w:val="24"/>
        </w:rPr>
      </w:pPr>
    </w:p>
    <w:p w14:paraId="259E14AB" w14:textId="3C8BB44B" w:rsidR="00D912EF" w:rsidRDefault="00D912EF" w:rsidP="00F3501B">
      <w:pPr>
        <w:rPr>
          <w:rFonts w:ascii="Times New Roman" w:hAnsi="Times New Roman"/>
          <w:sz w:val="24"/>
          <w:szCs w:val="24"/>
        </w:rPr>
      </w:pPr>
    </w:p>
    <w:p w14:paraId="569088B9" w14:textId="01D9F521" w:rsidR="00D912EF" w:rsidRDefault="00D912EF" w:rsidP="00F3501B">
      <w:pPr>
        <w:rPr>
          <w:rFonts w:ascii="Times New Roman" w:hAnsi="Times New Roman"/>
          <w:sz w:val="24"/>
          <w:szCs w:val="24"/>
        </w:rPr>
      </w:pPr>
    </w:p>
    <w:p w14:paraId="219DB740" w14:textId="3A8BD7F0" w:rsidR="00D912EF" w:rsidRDefault="00D912EF" w:rsidP="00F3501B">
      <w:pPr>
        <w:rPr>
          <w:rFonts w:ascii="Times New Roman" w:hAnsi="Times New Roman"/>
          <w:sz w:val="24"/>
          <w:szCs w:val="24"/>
        </w:rPr>
      </w:pPr>
    </w:p>
    <w:p w14:paraId="21E7D9D2" w14:textId="569C19A4" w:rsidR="00D912EF" w:rsidRDefault="00D912EF" w:rsidP="00F3501B">
      <w:pPr>
        <w:rPr>
          <w:rFonts w:ascii="Times New Roman" w:hAnsi="Times New Roman"/>
          <w:sz w:val="24"/>
          <w:szCs w:val="24"/>
        </w:rPr>
      </w:pPr>
    </w:p>
    <w:p w14:paraId="3D9085F0" w14:textId="6C6F2E76" w:rsidR="00D912EF" w:rsidRDefault="00D912EF" w:rsidP="00F3501B">
      <w:pPr>
        <w:rPr>
          <w:rFonts w:ascii="Times New Roman" w:hAnsi="Times New Roman"/>
          <w:sz w:val="24"/>
          <w:szCs w:val="24"/>
        </w:rPr>
      </w:pPr>
    </w:p>
    <w:p w14:paraId="005662C0" w14:textId="0D171939" w:rsidR="00D912EF" w:rsidRDefault="00D912EF" w:rsidP="00F3501B">
      <w:pPr>
        <w:rPr>
          <w:rFonts w:ascii="Times New Roman" w:hAnsi="Times New Roman"/>
          <w:sz w:val="24"/>
          <w:szCs w:val="24"/>
        </w:rPr>
      </w:pPr>
    </w:p>
    <w:p w14:paraId="4A2F5F66" w14:textId="166B9D0C" w:rsidR="00D912EF" w:rsidRDefault="00D912EF" w:rsidP="00F3501B">
      <w:pPr>
        <w:rPr>
          <w:rFonts w:ascii="Times New Roman" w:hAnsi="Times New Roman"/>
          <w:sz w:val="24"/>
          <w:szCs w:val="24"/>
        </w:rPr>
      </w:pPr>
    </w:p>
    <w:p w14:paraId="3974871D" w14:textId="38376509" w:rsidR="00D912EF" w:rsidRDefault="00D912EF" w:rsidP="00F3501B">
      <w:pPr>
        <w:rPr>
          <w:rFonts w:ascii="Times New Roman" w:hAnsi="Times New Roman"/>
          <w:sz w:val="24"/>
          <w:szCs w:val="24"/>
        </w:rPr>
      </w:pPr>
    </w:p>
    <w:p w14:paraId="402BE289" w14:textId="6E9E7A8F" w:rsidR="00D912EF" w:rsidRDefault="00D912EF" w:rsidP="00F3501B">
      <w:pPr>
        <w:rPr>
          <w:rFonts w:ascii="Times New Roman" w:hAnsi="Times New Roman"/>
          <w:sz w:val="24"/>
          <w:szCs w:val="24"/>
        </w:rPr>
      </w:pPr>
    </w:p>
    <w:p w14:paraId="50D0A327" w14:textId="6F0FFBE3" w:rsidR="00D912EF" w:rsidRDefault="00D912EF" w:rsidP="00F3501B">
      <w:pPr>
        <w:rPr>
          <w:rFonts w:ascii="Times New Roman" w:hAnsi="Times New Roman"/>
          <w:sz w:val="24"/>
          <w:szCs w:val="24"/>
        </w:rPr>
      </w:pPr>
    </w:p>
    <w:p w14:paraId="533F22CF" w14:textId="3827360B" w:rsidR="00D912EF" w:rsidRDefault="00D912EF" w:rsidP="00F3501B">
      <w:pPr>
        <w:rPr>
          <w:rFonts w:ascii="Times New Roman" w:hAnsi="Times New Roman"/>
          <w:sz w:val="24"/>
          <w:szCs w:val="24"/>
        </w:rPr>
      </w:pPr>
    </w:p>
    <w:p w14:paraId="53510B7A" w14:textId="67322C19" w:rsidR="00D912EF" w:rsidRDefault="00D912EF" w:rsidP="00F3501B">
      <w:pPr>
        <w:rPr>
          <w:rFonts w:ascii="Times New Roman" w:hAnsi="Times New Roman"/>
          <w:sz w:val="24"/>
          <w:szCs w:val="24"/>
        </w:rPr>
      </w:pPr>
    </w:p>
    <w:p w14:paraId="0AD2A0B0" w14:textId="4D6B3F1A" w:rsidR="00D912EF" w:rsidRDefault="00D912EF" w:rsidP="00F3501B">
      <w:pPr>
        <w:rPr>
          <w:rFonts w:ascii="Times New Roman" w:hAnsi="Times New Roman"/>
          <w:sz w:val="24"/>
          <w:szCs w:val="24"/>
        </w:rPr>
      </w:pPr>
    </w:p>
    <w:p w14:paraId="2660A702" w14:textId="77777777" w:rsidR="00D912EF" w:rsidRDefault="00D912EF" w:rsidP="00F3501B">
      <w:pPr>
        <w:rPr>
          <w:rFonts w:ascii="Times New Roman" w:hAnsi="Times New Roman"/>
          <w:sz w:val="24"/>
          <w:szCs w:val="24"/>
        </w:rPr>
      </w:pPr>
    </w:p>
    <w:p w14:paraId="58B07769" w14:textId="77777777" w:rsidR="00D912EF" w:rsidRDefault="00D912EF" w:rsidP="00F3501B">
      <w:pPr>
        <w:rPr>
          <w:rFonts w:ascii="Times New Roman" w:hAnsi="Times New Roman"/>
          <w:sz w:val="24"/>
          <w:szCs w:val="24"/>
        </w:rPr>
      </w:pPr>
    </w:p>
    <w:p w14:paraId="68A419F2" w14:textId="6E2EB271" w:rsidR="00395F3B" w:rsidRPr="00D912EF" w:rsidRDefault="00395F3B" w:rsidP="00D912EF">
      <w:pPr>
        <w:pStyle w:val="Heading2"/>
        <w:rPr>
          <w:rFonts w:ascii="Times New Roman" w:hAnsi="Times New Roman"/>
          <w:color w:val="auto"/>
          <w:sz w:val="24"/>
          <w:szCs w:val="24"/>
          <w:lang w:val="en-US"/>
        </w:rPr>
      </w:pPr>
      <w:bookmarkStart w:id="30" w:name="_Toc30186941"/>
      <w:r w:rsidRPr="00D912EF">
        <w:rPr>
          <w:rFonts w:ascii="Times New Roman" w:hAnsi="Times New Roman"/>
          <w:color w:val="auto"/>
          <w:sz w:val="24"/>
          <w:szCs w:val="24"/>
          <w:lang w:val="en-US"/>
        </w:rPr>
        <w:lastRenderedPageBreak/>
        <w:t>BP Income Statement 2016 (Including data for 2015 and 2014)</w:t>
      </w:r>
      <w:bookmarkEnd w:id="30"/>
    </w:p>
    <w:p w14:paraId="0C89045F" w14:textId="77777777" w:rsidR="00395F3B" w:rsidRPr="00F3501B" w:rsidRDefault="00395F3B" w:rsidP="00F3501B">
      <w:pPr>
        <w:rPr>
          <w:rFonts w:ascii="Times New Roman" w:hAnsi="Times New Roman"/>
          <w:sz w:val="24"/>
          <w:szCs w:val="24"/>
        </w:rPr>
      </w:pPr>
    </w:p>
    <w:p w14:paraId="408D9695" w14:textId="63CB2013" w:rsidR="00BC6E79" w:rsidRPr="00F3501B" w:rsidRDefault="00395F3B" w:rsidP="00F3501B">
      <w:pPr>
        <w:rPr>
          <w:rFonts w:ascii="Times New Roman" w:hAnsi="Times New Roman"/>
          <w:sz w:val="24"/>
          <w:szCs w:val="24"/>
        </w:rPr>
      </w:pPr>
      <w:r w:rsidRPr="00395F3B">
        <w:rPr>
          <w:rFonts w:ascii="Times New Roman" w:hAnsi="Times New Roman"/>
          <w:noProof/>
          <w:sz w:val="24"/>
          <w:szCs w:val="24"/>
        </w:rPr>
        <w:drawing>
          <wp:inline distT="0" distB="0" distL="0" distR="0" wp14:anchorId="029A651A" wp14:editId="39BFC363">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20795"/>
                    </a:xfrm>
                    <a:prstGeom prst="rect">
                      <a:avLst/>
                    </a:prstGeom>
                  </pic:spPr>
                </pic:pic>
              </a:graphicData>
            </a:graphic>
          </wp:inline>
        </w:drawing>
      </w:r>
    </w:p>
    <w:p w14:paraId="076343B6" w14:textId="018137DF" w:rsidR="00BC6E79" w:rsidRPr="00F3501B" w:rsidRDefault="00BC6E79" w:rsidP="00F3501B">
      <w:pPr>
        <w:rPr>
          <w:rFonts w:ascii="Times New Roman" w:hAnsi="Times New Roman"/>
          <w:sz w:val="24"/>
          <w:szCs w:val="24"/>
        </w:rPr>
      </w:pPr>
    </w:p>
    <w:p w14:paraId="55492267" w14:textId="5EA15DC4" w:rsidR="00BC6E79" w:rsidRPr="00F3501B" w:rsidRDefault="00BC6E79" w:rsidP="00F3501B">
      <w:pPr>
        <w:rPr>
          <w:rFonts w:ascii="Times New Roman" w:hAnsi="Times New Roman"/>
          <w:sz w:val="24"/>
          <w:szCs w:val="24"/>
        </w:rPr>
      </w:pPr>
    </w:p>
    <w:p w14:paraId="6F9707E2" w14:textId="423B6D4F" w:rsidR="00BC6E79" w:rsidRPr="00F3501B" w:rsidRDefault="00BC6E79" w:rsidP="00F3501B">
      <w:pPr>
        <w:rPr>
          <w:rFonts w:ascii="Times New Roman" w:hAnsi="Times New Roman"/>
          <w:sz w:val="24"/>
          <w:szCs w:val="24"/>
        </w:rPr>
      </w:pPr>
    </w:p>
    <w:p w14:paraId="7CDD5992" w14:textId="74C26390" w:rsidR="00BC6E79" w:rsidRPr="00F3501B" w:rsidRDefault="00BC6E79" w:rsidP="00F3501B">
      <w:pPr>
        <w:rPr>
          <w:rFonts w:ascii="Times New Roman" w:hAnsi="Times New Roman"/>
          <w:sz w:val="24"/>
          <w:szCs w:val="24"/>
        </w:rPr>
      </w:pPr>
    </w:p>
    <w:p w14:paraId="60728BE3" w14:textId="6B4475F1" w:rsidR="00BC6E79" w:rsidRPr="00F3501B" w:rsidRDefault="00BC6E79" w:rsidP="00F3501B">
      <w:pPr>
        <w:rPr>
          <w:rFonts w:ascii="Times New Roman" w:hAnsi="Times New Roman"/>
          <w:sz w:val="24"/>
          <w:szCs w:val="24"/>
        </w:rPr>
      </w:pPr>
    </w:p>
    <w:p w14:paraId="3C6D8700" w14:textId="702C21EC" w:rsidR="00BC6E79" w:rsidRPr="00F3501B" w:rsidRDefault="00BC6E79" w:rsidP="00F3501B">
      <w:pPr>
        <w:rPr>
          <w:rFonts w:ascii="Times New Roman" w:hAnsi="Times New Roman"/>
          <w:sz w:val="24"/>
          <w:szCs w:val="24"/>
        </w:rPr>
      </w:pPr>
    </w:p>
    <w:p w14:paraId="681E3FBC" w14:textId="48852EBF" w:rsidR="00BC6E79" w:rsidRPr="00F3501B" w:rsidRDefault="00BC6E79" w:rsidP="00F3501B">
      <w:pPr>
        <w:rPr>
          <w:rFonts w:ascii="Times New Roman" w:hAnsi="Times New Roman"/>
          <w:sz w:val="24"/>
          <w:szCs w:val="24"/>
        </w:rPr>
      </w:pPr>
    </w:p>
    <w:p w14:paraId="385F22A3" w14:textId="7E087814" w:rsidR="00BC6E79" w:rsidRPr="00F3501B" w:rsidRDefault="00BC6E79" w:rsidP="00F3501B">
      <w:pPr>
        <w:rPr>
          <w:rFonts w:ascii="Times New Roman" w:hAnsi="Times New Roman"/>
          <w:sz w:val="24"/>
          <w:szCs w:val="24"/>
        </w:rPr>
      </w:pPr>
    </w:p>
    <w:p w14:paraId="25F399DE" w14:textId="73B3FFF1" w:rsidR="00BC6E79" w:rsidRPr="00F3501B" w:rsidRDefault="00BC6E79" w:rsidP="00F3501B">
      <w:pPr>
        <w:rPr>
          <w:rFonts w:ascii="Times New Roman" w:hAnsi="Times New Roman"/>
          <w:sz w:val="24"/>
          <w:szCs w:val="24"/>
        </w:rPr>
      </w:pPr>
    </w:p>
    <w:p w14:paraId="5B6EAD58" w14:textId="60259927" w:rsidR="00BC6E79" w:rsidRPr="00F3501B" w:rsidRDefault="00BC6E79" w:rsidP="00F3501B">
      <w:pPr>
        <w:rPr>
          <w:rFonts w:ascii="Times New Roman" w:hAnsi="Times New Roman"/>
          <w:sz w:val="24"/>
          <w:szCs w:val="24"/>
        </w:rPr>
      </w:pPr>
    </w:p>
    <w:p w14:paraId="1D71582B" w14:textId="40912598" w:rsidR="00BC6E79" w:rsidRPr="00F3501B" w:rsidRDefault="00BC6E79" w:rsidP="00F3501B">
      <w:pPr>
        <w:rPr>
          <w:rFonts w:ascii="Times New Roman" w:hAnsi="Times New Roman"/>
          <w:sz w:val="24"/>
          <w:szCs w:val="24"/>
        </w:rPr>
      </w:pPr>
    </w:p>
    <w:p w14:paraId="1B5C05C6" w14:textId="5A8B41FD" w:rsidR="00BC6E79" w:rsidRPr="00F3501B" w:rsidRDefault="00BC6E79" w:rsidP="00F3501B">
      <w:pPr>
        <w:rPr>
          <w:rFonts w:ascii="Times New Roman" w:hAnsi="Times New Roman"/>
          <w:sz w:val="24"/>
          <w:szCs w:val="24"/>
        </w:rPr>
      </w:pPr>
    </w:p>
    <w:p w14:paraId="2B6F7BCD" w14:textId="4F4AE522" w:rsidR="00BC6E79" w:rsidRPr="00F3501B" w:rsidRDefault="00BC6E79" w:rsidP="00F3501B">
      <w:pPr>
        <w:rPr>
          <w:rFonts w:ascii="Times New Roman" w:hAnsi="Times New Roman"/>
          <w:sz w:val="24"/>
          <w:szCs w:val="24"/>
        </w:rPr>
      </w:pPr>
    </w:p>
    <w:p w14:paraId="07453002" w14:textId="77777777" w:rsidR="00BC6E79" w:rsidRPr="00F3501B" w:rsidRDefault="00BC6E79" w:rsidP="00F3501B">
      <w:pPr>
        <w:rPr>
          <w:rFonts w:ascii="Times New Roman" w:hAnsi="Times New Roman"/>
          <w:sz w:val="24"/>
          <w:szCs w:val="24"/>
        </w:rPr>
      </w:pPr>
    </w:p>
    <w:sectPr w:rsidR="00BC6E79" w:rsidRPr="00F3501B" w:rsidSect="001B5065">
      <w:footerReference w:type="default" r:id="rId20"/>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517DF" w14:textId="77777777" w:rsidR="00032ADE" w:rsidRDefault="00032ADE">
      <w:pPr>
        <w:spacing w:line="240" w:lineRule="auto"/>
      </w:pPr>
      <w:r>
        <w:separator/>
      </w:r>
    </w:p>
  </w:endnote>
  <w:endnote w:type="continuationSeparator" w:id="0">
    <w:p w14:paraId="3588CCBF" w14:textId="77777777" w:rsidR="00032ADE" w:rsidRDefault="00032A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9AD02" w14:textId="77777777" w:rsidR="00522F16" w:rsidRDefault="00522F16">
    <w:pPr>
      <w:pStyle w:val="Footer"/>
      <w:jc w:val="center"/>
    </w:pPr>
    <w:r>
      <w:fldChar w:fldCharType="begin"/>
    </w:r>
    <w:r>
      <w:instrText xml:space="preserve"> PAGE </w:instrText>
    </w:r>
    <w:r>
      <w:fldChar w:fldCharType="separate"/>
    </w:r>
    <w:r>
      <w:t>2</w:t>
    </w:r>
    <w:r>
      <w:fldChar w:fldCharType="end"/>
    </w:r>
  </w:p>
  <w:p w14:paraId="2F6EEA70" w14:textId="77777777" w:rsidR="00522F16" w:rsidRDefault="00522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F60BB" w14:textId="77777777" w:rsidR="00032ADE" w:rsidRDefault="00032ADE">
      <w:pPr>
        <w:spacing w:line="240" w:lineRule="auto"/>
      </w:pPr>
      <w:r>
        <w:rPr>
          <w:color w:val="000000"/>
        </w:rPr>
        <w:separator/>
      </w:r>
    </w:p>
  </w:footnote>
  <w:footnote w:type="continuationSeparator" w:id="0">
    <w:p w14:paraId="50B0ADD9" w14:textId="77777777" w:rsidR="00032ADE" w:rsidRDefault="00032A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A855C5"/>
    <w:multiLevelType w:val="hybridMultilevel"/>
    <w:tmpl w:val="E8B29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8"/>
  </w:num>
  <w:num w:numId="3">
    <w:abstractNumId w:val="0"/>
  </w:num>
  <w:num w:numId="4">
    <w:abstractNumId w:val="3"/>
  </w:num>
  <w:num w:numId="5">
    <w:abstractNumId w:val="1"/>
  </w:num>
  <w:num w:numId="6">
    <w:abstractNumId w:val="4"/>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2585"/>
    <w:rsid w:val="0000475F"/>
    <w:rsid w:val="00006EB3"/>
    <w:rsid w:val="000104DB"/>
    <w:rsid w:val="000160E7"/>
    <w:rsid w:val="0002459F"/>
    <w:rsid w:val="00024E03"/>
    <w:rsid w:val="00030778"/>
    <w:rsid w:val="00032ADE"/>
    <w:rsid w:val="000443E9"/>
    <w:rsid w:val="00054390"/>
    <w:rsid w:val="00057DE2"/>
    <w:rsid w:val="00066A19"/>
    <w:rsid w:val="000941AF"/>
    <w:rsid w:val="000A5CE8"/>
    <w:rsid w:val="000C0FF4"/>
    <w:rsid w:val="000D6524"/>
    <w:rsid w:val="000E4266"/>
    <w:rsid w:val="00124544"/>
    <w:rsid w:val="00132D0A"/>
    <w:rsid w:val="001335AA"/>
    <w:rsid w:val="001457A0"/>
    <w:rsid w:val="00145F7E"/>
    <w:rsid w:val="00147B18"/>
    <w:rsid w:val="001541A2"/>
    <w:rsid w:val="00164110"/>
    <w:rsid w:val="00167C7B"/>
    <w:rsid w:val="001749A7"/>
    <w:rsid w:val="001949BE"/>
    <w:rsid w:val="001B5065"/>
    <w:rsid w:val="001B5E9D"/>
    <w:rsid w:val="001C478A"/>
    <w:rsid w:val="001E2EC8"/>
    <w:rsid w:val="001F0691"/>
    <w:rsid w:val="001F0C2A"/>
    <w:rsid w:val="001F7070"/>
    <w:rsid w:val="002047A7"/>
    <w:rsid w:val="00273370"/>
    <w:rsid w:val="002C58AB"/>
    <w:rsid w:val="002D7313"/>
    <w:rsid w:val="002E5CEF"/>
    <w:rsid w:val="002F2E2C"/>
    <w:rsid w:val="003017C8"/>
    <w:rsid w:val="003172E6"/>
    <w:rsid w:val="003201DC"/>
    <w:rsid w:val="00321AB1"/>
    <w:rsid w:val="003224B6"/>
    <w:rsid w:val="00327C1A"/>
    <w:rsid w:val="0033428F"/>
    <w:rsid w:val="0034417A"/>
    <w:rsid w:val="003951A3"/>
    <w:rsid w:val="00395F3B"/>
    <w:rsid w:val="003B3E42"/>
    <w:rsid w:val="00406764"/>
    <w:rsid w:val="0044160B"/>
    <w:rsid w:val="0044225A"/>
    <w:rsid w:val="00446B6D"/>
    <w:rsid w:val="0047205B"/>
    <w:rsid w:val="004A074F"/>
    <w:rsid w:val="004A4D95"/>
    <w:rsid w:val="004B59F6"/>
    <w:rsid w:val="004F1D75"/>
    <w:rsid w:val="004F6686"/>
    <w:rsid w:val="00516EC5"/>
    <w:rsid w:val="00520CF5"/>
    <w:rsid w:val="00522F16"/>
    <w:rsid w:val="00530D7B"/>
    <w:rsid w:val="005431F1"/>
    <w:rsid w:val="00547CBD"/>
    <w:rsid w:val="005517BC"/>
    <w:rsid w:val="005748C5"/>
    <w:rsid w:val="00580B50"/>
    <w:rsid w:val="005826FB"/>
    <w:rsid w:val="00592D5C"/>
    <w:rsid w:val="005A108C"/>
    <w:rsid w:val="005A4D36"/>
    <w:rsid w:val="005B4092"/>
    <w:rsid w:val="005C7D19"/>
    <w:rsid w:val="005D00BB"/>
    <w:rsid w:val="006003BB"/>
    <w:rsid w:val="00642571"/>
    <w:rsid w:val="006612E0"/>
    <w:rsid w:val="00663B2D"/>
    <w:rsid w:val="00673094"/>
    <w:rsid w:val="00674AE2"/>
    <w:rsid w:val="0068696B"/>
    <w:rsid w:val="00691E0C"/>
    <w:rsid w:val="0069346C"/>
    <w:rsid w:val="00694919"/>
    <w:rsid w:val="006A2743"/>
    <w:rsid w:val="006A3C61"/>
    <w:rsid w:val="006B7F5F"/>
    <w:rsid w:val="006C19DA"/>
    <w:rsid w:val="006D6699"/>
    <w:rsid w:val="006E1298"/>
    <w:rsid w:val="006F385C"/>
    <w:rsid w:val="00700CBA"/>
    <w:rsid w:val="007151DA"/>
    <w:rsid w:val="007178A0"/>
    <w:rsid w:val="007452E8"/>
    <w:rsid w:val="007715CC"/>
    <w:rsid w:val="007739CE"/>
    <w:rsid w:val="00775BF3"/>
    <w:rsid w:val="007A657C"/>
    <w:rsid w:val="007A78B4"/>
    <w:rsid w:val="007B415A"/>
    <w:rsid w:val="007E6699"/>
    <w:rsid w:val="007F0196"/>
    <w:rsid w:val="007F0CBB"/>
    <w:rsid w:val="00804729"/>
    <w:rsid w:val="0080725B"/>
    <w:rsid w:val="00834F4E"/>
    <w:rsid w:val="00865669"/>
    <w:rsid w:val="00867CB6"/>
    <w:rsid w:val="008903FD"/>
    <w:rsid w:val="008945CB"/>
    <w:rsid w:val="008A4273"/>
    <w:rsid w:val="008C28DA"/>
    <w:rsid w:val="008D235C"/>
    <w:rsid w:val="008D3D12"/>
    <w:rsid w:val="008E0623"/>
    <w:rsid w:val="008F00E6"/>
    <w:rsid w:val="0090060C"/>
    <w:rsid w:val="00925CED"/>
    <w:rsid w:val="00934746"/>
    <w:rsid w:val="00936134"/>
    <w:rsid w:val="00941F53"/>
    <w:rsid w:val="0097713D"/>
    <w:rsid w:val="009832D3"/>
    <w:rsid w:val="00984C15"/>
    <w:rsid w:val="00994A71"/>
    <w:rsid w:val="009A75F3"/>
    <w:rsid w:val="009B7017"/>
    <w:rsid w:val="009C4E17"/>
    <w:rsid w:val="009D4BF5"/>
    <w:rsid w:val="009D741F"/>
    <w:rsid w:val="009E14D5"/>
    <w:rsid w:val="009E19F6"/>
    <w:rsid w:val="00A076DE"/>
    <w:rsid w:val="00A12138"/>
    <w:rsid w:val="00A25750"/>
    <w:rsid w:val="00A36F6E"/>
    <w:rsid w:val="00A4629F"/>
    <w:rsid w:val="00A60939"/>
    <w:rsid w:val="00A716F1"/>
    <w:rsid w:val="00A85777"/>
    <w:rsid w:val="00AA3B08"/>
    <w:rsid w:val="00AB35C4"/>
    <w:rsid w:val="00AB3FEE"/>
    <w:rsid w:val="00AE293D"/>
    <w:rsid w:val="00AE3C28"/>
    <w:rsid w:val="00AE4D60"/>
    <w:rsid w:val="00AE52FC"/>
    <w:rsid w:val="00AE76D2"/>
    <w:rsid w:val="00AF11B5"/>
    <w:rsid w:val="00B05D4A"/>
    <w:rsid w:val="00B06E7A"/>
    <w:rsid w:val="00B10725"/>
    <w:rsid w:val="00B463FD"/>
    <w:rsid w:val="00B55A5A"/>
    <w:rsid w:val="00B56DA8"/>
    <w:rsid w:val="00B67BB9"/>
    <w:rsid w:val="00B757AE"/>
    <w:rsid w:val="00B812D3"/>
    <w:rsid w:val="00B81546"/>
    <w:rsid w:val="00B86C00"/>
    <w:rsid w:val="00B90698"/>
    <w:rsid w:val="00BA218D"/>
    <w:rsid w:val="00BA3F75"/>
    <w:rsid w:val="00BB05E7"/>
    <w:rsid w:val="00BB0C4C"/>
    <w:rsid w:val="00BC06B0"/>
    <w:rsid w:val="00BC4BD7"/>
    <w:rsid w:val="00BC6E79"/>
    <w:rsid w:val="00BF04BB"/>
    <w:rsid w:val="00C03276"/>
    <w:rsid w:val="00C15322"/>
    <w:rsid w:val="00C17700"/>
    <w:rsid w:val="00C370E9"/>
    <w:rsid w:val="00C44FA1"/>
    <w:rsid w:val="00C63CF7"/>
    <w:rsid w:val="00C76FBB"/>
    <w:rsid w:val="00C837E1"/>
    <w:rsid w:val="00C9561B"/>
    <w:rsid w:val="00C96A11"/>
    <w:rsid w:val="00CA3787"/>
    <w:rsid w:val="00CA7316"/>
    <w:rsid w:val="00CC3BE7"/>
    <w:rsid w:val="00CE69EB"/>
    <w:rsid w:val="00D04A1C"/>
    <w:rsid w:val="00D220B8"/>
    <w:rsid w:val="00D3075B"/>
    <w:rsid w:val="00D40C5E"/>
    <w:rsid w:val="00D41ADB"/>
    <w:rsid w:val="00D43C08"/>
    <w:rsid w:val="00D600DF"/>
    <w:rsid w:val="00D62B79"/>
    <w:rsid w:val="00D841FF"/>
    <w:rsid w:val="00D912EF"/>
    <w:rsid w:val="00DD435D"/>
    <w:rsid w:val="00DE03D0"/>
    <w:rsid w:val="00DE544C"/>
    <w:rsid w:val="00DE6547"/>
    <w:rsid w:val="00E02B97"/>
    <w:rsid w:val="00E30A7A"/>
    <w:rsid w:val="00E31B77"/>
    <w:rsid w:val="00E3493E"/>
    <w:rsid w:val="00E413AC"/>
    <w:rsid w:val="00E439FD"/>
    <w:rsid w:val="00E56915"/>
    <w:rsid w:val="00EB296D"/>
    <w:rsid w:val="00EE1E6F"/>
    <w:rsid w:val="00EE1F36"/>
    <w:rsid w:val="00F106BC"/>
    <w:rsid w:val="00F21459"/>
    <w:rsid w:val="00F30797"/>
    <w:rsid w:val="00F32AC7"/>
    <w:rsid w:val="00F3316F"/>
    <w:rsid w:val="00F341E7"/>
    <w:rsid w:val="00F34A30"/>
    <w:rsid w:val="00F3501B"/>
    <w:rsid w:val="00F53857"/>
    <w:rsid w:val="00F55F16"/>
    <w:rsid w:val="00F60964"/>
    <w:rsid w:val="00F62BAB"/>
    <w:rsid w:val="00F74F8A"/>
    <w:rsid w:val="00F86AD3"/>
    <w:rsid w:val="00FD0E13"/>
    <w:rsid w:val="00FD2E21"/>
    <w:rsid w:val="00FD7CCC"/>
    <w:rsid w:val="00FF2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97713D"/>
    <w:pPr>
      <w:keepNext/>
      <w:keepLines/>
      <w:spacing w:before="40" w:line="259" w:lineRule="auto"/>
      <w:jc w:val="left"/>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D6699"/>
    <w:pPr>
      <w:keepNext/>
      <w:keepLines/>
      <w:spacing w:before="40" w:line="259" w:lineRule="auto"/>
      <w:jc w:val="left"/>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NoSpacing">
    <w:name w:val="No Spacing"/>
    <w:uiPriority w:val="1"/>
    <w:qFormat/>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 w:type="character" w:customStyle="1" w:styleId="Heading3Char">
    <w:name w:val="Heading 3 Char"/>
    <w:basedOn w:val="DefaultParagraphFont"/>
    <w:link w:val="Heading3"/>
    <w:uiPriority w:val="9"/>
    <w:rsid w:val="0097713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7713D"/>
    <w:pPr>
      <w:spacing w:after="100"/>
      <w:ind w:left="440"/>
    </w:pPr>
  </w:style>
  <w:style w:type="character" w:customStyle="1" w:styleId="Heading4Char">
    <w:name w:val="Heading 4 Char"/>
    <w:basedOn w:val="DefaultParagraphFont"/>
    <w:link w:val="Heading4"/>
    <w:uiPriority w:val="9"/>
    <w:rsid w:val="006D669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valuation/net-present-value-npv/" TargetMode="External"/><Relationship Id="rId13" Type="http://schemas.openxmlformats.org/officeDocument/2006/relationships/hyperlink" Target="https://www.bp.com/content/dam/bp/business-sites/en/global/corporate/pdfs/investors/bp-annual-report-and-form-20f-2014.pdf"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p.com/content/dam/bp/business-sites/en/global/corporate/pdfs/investors/bp-annual-report-and-form-20f-2015.pdf"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p.com/content/dam/bp/business-sites/en/global/corporate/pdfs/investors/bp-annual-report-and-form-20f-2016.pdf" TargetMode="External"/><Relationship Id="rId5" Type="http://schemas.openxmlformats.org/officeDocument/2006/relationships/webSettings" Target="webSettings.xml"/><Relationship Id="rId15" Type="http://schemas.openxmlformats.org/officeDocument/2006/relationships/hyperlink" Target="https://beta.companieshouse.gov.uk/company/00102498/filing-history" TargetMode="External"/><Relationship Id="rId10" Type="http://schemas.openxmlformats.org/officeDocument/2006/relationships/hyperlink" Target="https://www.bp.com/content/dam/bp/business-sites/en/global/corporate/pdfs/investors/bp-annual-report-and-form-20f-2017.pdf"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bp.com/content/dam/bp/business-sites/en/global/corporate/pdfs/investors/bp-annual-report-and-form-20f-2018.pdf" TargetMode="External"/><Relationship Id="rId14" Type="http://schemas.openxmlformats.org/officeDocument/2006/relationships/hyperlink" Target="https://www.chevron.com/-/media/chevron/annual-report/2018/documents/2018-Annual-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CBDE8A71-42E9-4084-A7AC-97303EC1F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26</Pages>
  <Words>5095</Words>
  <Characters>29047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30</cp:revision>
  <dcterms:created xsi:type="dcterms:W3CDTF">2020-01-09T11:45:00Z</dcterms:created>
  <dcterms:modified xsi:type="dcterms:W3CDTF">2020-01-17T20:57:00Z</dcterms:modified>
</cp:coreProperties>
</file>