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D7D81" w14:textId="1545EDDE" w:rsidR="0078774B" w:rsidRPr="00D73174" w:rsidRDefault="00915B66" w:rsidP="00602747">
      <w:pPr>
        <w:spacing w:line="360" w:lineRule="auto"/>
        <w:jc w:val="center"/>
        <w:rPr>
          <w:sz w:val="32"/>
          <w:szCs w:val="32"/>
        </w:rPr>
      </w:pPr>
      <w:r w:rsidRPr="00D73174">
        <w:rPr>
          <w:sz w:val="32"/>
          <w:szCs w:val="32"/>
        </w:rPr>
        <w:t>From Gateway to Stewardship: How Outdoor Education Fosters Community Inclusion and Sustainability Understanding through a Critical Pedagogy of Place.</w:t>
      </w:r>
    </w:p>
    <w:p w14:paraId="5767EFAC" w14:textId="77777777" w:rsidR="00F30B55" w:rsidRDefault="00F30B55" w:rsidP="00602747">
      <w:pPr>
        <w:spacing w:line="360" w:lineRule="auto"/>
        <w:jc w:val="center"/>
      </w:pPr>
    </w:p>
    <w:p w14:paraId="65616C9D" w14:textId="415A7B8B" w:rsidR="00F30B55" w:rsidRPr="00D73174" w:rsidRDefault="00F30B55" w:rsidP="00602747">
      <w:pPr>
        <w:spacing w:line="360" w:lineRule="auto"/>
        <w:rPr>
          <w:b/>
          <w:bCs/>
          <w:sz w:val="24"/>
          <w:szCs w:val="24"/>
        </w:rPr>
      </w:pPr>
      <w:r w:rsidRPr="00D73174">
        <w:rPr>
          <w:b/>
          <w:bCs/>
          <w:sz w:val="24"/>
          <w:szCs w:val="24"/>
        </w:rPr>
        <w:t>Research question</w:t>
      </w:r>
    </w:p>
    <w:p w14:paraId="576B24C4" w14:textId="448ED68D" w:rsidR="00F30B55" w:rsidRPr="00D73174" w:rsidRDefault="00F30B55" w:rsidP="00602747">
      <w:pPr>
        <w:spacing w:line="360" w:lineRule="auto"/>
        <w:rPr>
          <w:sz w:val="24"/>
          <w:szCs w:val="24"/>
        </w:rPr>
      </w:pPr>
      <w:r w:rsidRPr="00D73174">
        <w:rPr>
          <w:sz w:val="24"/>
          <w:szCs w:val="24"/>
        </w:rPr>
        <w:t xml:space="preserve">To what extent, and through what mechanisms, does outdoor education in Welsh primary </w:t>
      </w:r>
      <w:r w:rsidR="00DD5D2A" w:rsidRPr="00D73174">
        <w:rPr>
          <w:sz w:val="24"/>
          <w:szCs w:val="24"/>
        </w:rPr>
        <w:t>schools</w:t>
      </w:r>
      <w:r w:rsidR="00D11C4B" w:rsidRPr="00D73174">
        <w:rPr>
          <w:sz w:val="24"/>
          <w:szCs w:val="24"/>
        </w:rPr>
        <w:t xml:space="preserve"> (Years 3-6)</w:t>
      </w:r>
      <w:r w:rsidRPr="00D73174">
        <w:rPr>
          <w:sz w:val="24"/>
          <w:szCs w:val="24"/>
        </w:rPr>
        <w:t xml:space="preserve"> function as a gateway (a) social/Inclusive community and (b) sustainability understanding and action, when evaluated through Critical Pedagogy of Place</w:t>
      </w:r>
      <w:r w:rsidR="00B73AFF" w:rsidRPr="00D73174">
        <w:rPr>
          <w:sz w:val="24"/>
          <w:szCs w:val="24"/>
        </w:rPr>
        <w:t xml:space="preserve"> (CPP)</w:t>
      </w:r>
      <w:r w:rsidR="00DD5D2A" w:rsidRPr="00D73174">
        <w:rPr>
          <w:sz w:val="24"/>
          <w:szCs w:val="24"/>
        </w:rPr>
        <w:t>?</w:t>
      </w:r>
    </w:p>
    <w:p w14:paraId="48C78FCB" w14:textId="24A039B1" w:rsidR="0047012D" w:rsidRPr="00D73174" w:rsidRDefault="00DD5D2A" w:rsidP="00602747">
      <w:pPr>
        <w:spacing w:line="360" w:lineRule="auto"/>
        <w:rPr>
          <w:b/>
          <w:bCs/>
          <w:sz w:val="24"/>
          <w:szCs w:val="24"/>
        </w:rPr>
      </w:pPr>
      <w:r w:rsidRPr="00D73174">
        <w:rPr>
          <w:b/>
          <w:bCs/>
          <w:sz w:val="24"/>
          <w:szCs w:val="24"/>
        </w:rPr>
        <w:t>Introduction/Literature</w:t>
      </w:r>
      <w:r w:rsidR="0059275F" w:rsidRPr="00D73174">
        <w:rPr>
          <w:b/>
          <w:bCs/>
          <w:sz w:val="24"/>
          <w:szCs w:val="24"/>
        </w:rPr>
        <w:t>/Rational</w:t>
      </w:r>
      <w:r w:rsidR="00DC1CC5" w:rsidRPr="00D73174">
        <w:rPr>
          <w:sz w:val="24"/>
          <w:szCs w:val="24"/>
        </w:rPr>
        <w:br/>
      </w:r>
      <w:r w:rsidR="00DC1CC5" w:rsidRPr="00D73174">
        <w:rPr>
          <w:sz w:val="24"/>
          <w:szCs w:val="24"/>
        </w:rPr>
        <w:br/>
        <w:t>Outdoor education (OE) continuously experiences a resurgence in Welsh schools since the implication of the Curriculum for Wales (</w:t>
      </w:r>
      <w:proofErr w:type="spellStart"/>
      <w:r w:rsidR="00DC1CC5" w:rsidRPr="00D73174">
        <w:rPr>
          <w:sz w:val="24"/>
          <w:szCs w:val="24"/>
        </w:rPr>
        <w:t>CfW</w:t>
      </w:r>
      <w:proofErr w:type="spellEnd"/>
      <w:r w:rsidR="00DC1CC5" w:rsidRPr="00D73174">
        <w:rPr>
          <w:sz w:val="24"/>
          <w:szCs w:val="24"/>
        </w:rPr>
        <w:t>) (Welsh Government, 2022) an evolution and developed framework from the 2015 Foundations Phase (Welsh Government). Educators seek innovative ways to boost student engagement, well-being and achievement, this is shown from a growing body of research, for example, facilitating sessions in an outdoor setting offers a magnitude of benefits such as, student engagement, stronger personal development, and improved socio-emotional well-being (Mann</w:t>
      </w:r>
      <w:r w:rsidR="00AA7381" w:rsidRPr="00D73174">
        <w:rPr>
          <w:sz w:val="24"/>
          <w:szCs w:val="24"/>
        </w:rPr>
        <w:t xml:space="preserve"> et al.</w:t>
      </w:r>
      <w:r w:rsidR="00DC1CC5" w:rsidRPr="00D73174">
        <w:rPr>
          <w:sz w:val="24"/>
          <w:szCs w:val="24"/>
        </w:rPr>
        <w:t xml:space="preserve">, 2022). Findings such as this have led schools to incorporate outdoor sessions into the school to enrich the children’s own curriculum, nature-based lessons, outdoor classrooms, and programs like Forest School for example have the potential to improve children’s mental health and wellbeing, suggests the NHS (2019). Schools in Wales are invited to produce and design locally orientated curricula that are closely associated to the Four Purposes, heavily connected to a learners authentic Sense of </w:t>
      </w:r>
      <w:proofErr w:type="spellStart"/>
      <w:r w:rsidR="00DC1CC5" w:rsidRPr="00D73174">
        <w:rPr>
          <w:sz w:val="24"/>
          <w:szCs w:val="24"/>
        </w:rPr>
        <w:t>Cynefin</w:t>
      </w:r>
      <w:proofErr w:type="spellEnd"/>
      <w:r w:rsidR="00DC1CC5" w:rsidRPr="00D73174">
        <w:rPr>
          <w:sz w:val="24"/>
          <w:szCs w:val="24"/>
        </w:rPr>
        <w:t xml:space="preserve"> (Welsh Government, 2019; Hwb, 2020). Case studies by Estyn (2023; 2024), also highlight the effectiveness of outdoor sessions increasing confidence, wellbeing and cross curricular skills.</w:t>
      </w:r>
      <w:r w:rsidR="00DC1CC5" w:rsidRPr="00D73174">
        <w:rPr>
          <w:sz w:val="24"/>
          <w:szCs w:val="24"/>
        </w:rPr>
        <w:br/>
      </w:r>
      <w:r w:rsidR="00DC1CC5" w:rsidRPr="00D73174">
        <w:rPr>
          <w:sz w:val="24"/>
          <w:szCs w:val="24"/>
        </w:rPr>
        <w:br/>
        <w:t xml:space="preserve">Yet there is a persistent problem: OE’s civic and sustainability potential is unevenly </w:t>
      </w:r>
      <w:r w:rsidR="00DC1CC5" w:rsidRPr="00D73174">
        <w:rPr>
          <w:sz w:val="24"/>
          <w:szCs w:val="24"/>
        </w:rPr>
        <w:lastRenderedPageBreak/>
        <w:t xml:space="preserve">realised. Programmes often have </w:t>
      </w:r>
      <w:r w:rsidR="00EC7D51" w:rsidRPr="00D73174">
        <w:rPr>
          <w:sz w:val="24"/>
          <w:szCs w:val="24"/>
        </w:rPr>
        <w:t>an</w:t>
      </w:r>
      <w:r w:rsidR="00DC1CC5" w:rsidRPr="00D73174">
        <w:rPr>
          <w:sz w:val="24"/>
          <w:szCs w:val="24"/>
        </w:rPr>
        <w:t xml:space="preserve"> over lapping theme to personal and social development, while attention to local socio-ecological issues, civic participation and environmental action is seen as much rarer (Becker et al., 2017; Mann et al., 2022)</w:t>
      </w:r>
      <w:r w:rsidR="0071456C" w:rsidRPr="00D73174">
        <w:rPr>
          <w:sz w:val="24"/>
          <w:szCs w:val="24"/>
        </w:rPr>
        <w:t xml:space="preserve">, this </w:t>
      </w:r>
      <w:r w:rsidR="00AD30CB" w:rsidRPr="00D73174">
        <w:rPr>
          <w:sz w:val="24"/>
          <w:szCs w:val="24"/>
        </w:rPr>
        <w:t>suggests</w:t>
      </w:r>
      <w:r w:rsidR="00C43BFA" w:rsidRPr="00D73174">
        <w:rPr>
          <w:sz w:val="24"/>
          <w:szCs w:val="24"/>
        </w:rPr>
        <w:t xml:space="preserve"> a heavy </w:t>
      </w:r>
      <w:r w:rsidR="008D337C" w:rsidRPr="00D73174">
        <w:rPr>
          <w:sz w:val="24"/>
          <w:szCs w:val="24"/>
        </w:rPr>
        <w:t xml:space="preserve">misalignment between wellbeing heavy practice and </w:t>
      </w:r>
      <w:r w:rsidR="00EC19D6" w:rsidRPr="00D73174">
        <w:rPr>
          <w:sz w:val="24"/>
          <w:szCs w:val="24"/>
        </w:rPr>
        <w:t>Critical pedagogy of place</w:t>
      </w:r>
      <w:r w:rsidR="00DC1CC5" w:rsidRPr="00D73174">
        <w:rPr>
          <w:sz w:val="24"/>
          <w:szCs w:val="24"/>
        </w:rPr>
        <w:t xml:space="preserve">. </w:t>
      </w:r>
      <w:r w:rsidR="00AD30CB" w:rsidRPr="00D73174">
        <w:rPr>
          <w:sz w:val="24"/>
          <w:szCs w:val="24"/>
        </w:rPr>
        <w:t xml:space="preserve">Becker </w:t>
      </w:r>
      <w:r w:rsidR="00116A26" w:rsidRPr="00D73174">
        <w:rPr>
          <w:sz w:val="24"/>
          <w:szCs w:val="24"/>
        </w:rPr>
        <w:t xml:space="preserve">et al. (2017) similarly </w:t>
      </w:r>
      <w:r w:rsidR="000A38B3" w:rsidRPr="00D73174">
        <w:rPr>
          <w:sz w:val="24"/>
          <w:szCs w:val="24"/>
        </w:rPr>
        <w:t xml:space="preserve">find outcomes centred </w:t>
      </w:r>
      <w:r w:rsidR="00822D96" w:rsidRPr="00D73174">
        <w:rPr>
          <w:sz w:val="24"/>
          <w:szCs w:val="24"/>
        </w:rPr>
        <w:t xml:space="preserve">around personal and social development, with fewer studies </w:t>
      </w:r>
      <w:r w:rsidR="00500169" w:rsidRPr="00D73174">
        <w:rPr>
          <w:sz w:val="24"/>
          <w:szCs w:val="24"/>
        </w:rPr>
        <w:t>about ecological understanding or action</w:t>
      </w:r>
      <w:r w:rsidR="00397557" w:rsidRPr="00D73174">
        <w:rPr>
          <w:sz w:val="24"/>
          <w:szCs w:val="24"/>
        </w:rPr>
        <w:t xml:space="preserve">. This </w:t>
      </w:r>
      <w:r w:rsidR="00194FB6" w:rsidRPr="00D73174">
        <w:rPr>
          <w:sz w:val="24"/>
          <w:szCs w:val="24"/>
        </w:rPr>
        <w:t xml:space="preserve">justifies my choice to </w:t>
      </w:r>
      <w:r w:rsidR="00D12EB7" w:rsidRPr="00D73174">
        <w:rPr>
          <w:sz w:val="24"/>
          <w:szCs w:val="24"/>
        </w:rPr>
        <w:t>create action and partnership indicators into the observation rubric.</w:t>
      </w:r>
      <w:r w:rsidR="00397557" w:rsidRPr="00D73174">
        <w:rPr>
          <w:sz w:val="24"/>
          <w:szCs w:val="24"/>
        </w:rPr>
        <w:t xml:space="preserve"> </w:t>
      </w:r>
      <w:r w:rsidR="00DC1CC5" w:rsidRPr="00D73174">
        <w:rPr>
          <w:sz w:val="24"/>
          <w:szCs w:val="24"/>
        </w:rPr>
        <w:t xml:space="preserve">A recent literature review by Fox et al (2022), in outdoor/environmental education found climate change is seldom addressed in the field’s research base, which highlights a missed opportunity to connect outdoor learning with urgent issues. In policy, England’s 2022 Sustainability and Climate Change Strategy positions education for climate action system-wide (DfE, 2022, 2023), and Scotland’s Learning for Sustainability strategy targets whole-setting change by 2030 (Scottish Government, 2023). Wales emphasises </w:t>
      </w:r>
      <w:proofErr w:type="spellStart"/>
      <w:r w:rsidR="00304977" w:rsidRPr="00D73174">
        <w:rPr>
          <w:sz w:val="24"/>
          <w:szCs w:val="24"/>
        </w:rPr>
        <w:t>C</w:t>
      </w:r>
      <w:r w:rsidR="00DC1CC5" w:rsidRPr="00D73174">
        <w:rPr>
          <w:sz w:val="24"/>
          <w:szCs w:val="24"/>
        </w:rPr>
        <w:t>ynefin</w:t>
      </w:r>
      <w:proofErr w:type="spellEnd"/>
      <w:r w:rsidR="00DC1CC5" w:rsidRPr="00D73174">
        <w:rPr>
          <w:sz w:val="24"/>
          <w:szCs w:val="24"/>
        </w:rPr>
        <w:t xml:space="preserve"> and cross-cutting themes through school-designed curricula (Welsh Government, 2019; 2024), but how far primary outdoor learning translates these aspirations into local sustainability understanding and civic action is unclear.</w:t>
      </w:r>
      <w:r w:rsidR="008D0B0D" w:rsidRPr="00D73174">
        <w:rPr>
          <w:sz w:val="24"/>
          <w:szCs w:val="24"/>
        </w:rPr>
        <w:t xml:space="preserve"> </w:t>
      </w:r>
      <w:r w:rsidR="004A24A9" w:rsidRPr="00D73174">
        <w:rPr>
          <w:sz w:val="24"/>
          <w:szCs w:val="24"/>
        </w:rPr>
        <w:t xml:space="preserve">A policy alignment matrix will test whether </w:t>
      </w:r>
      <w:r w:rsidR="00522D88" w:rsidRPr="00D73174">
        <w:rPr>
          <w:sz w:val="24"/>
          <w:szCs w:val="24"/>
        </w:rPr>
        <w:t>Welsh guidance implicitly or explicitly points to inclusio</w:t>
      </w:r>
      <w:r w:rsidR="000424FC" w:rsidRPr="00D73174">
        <w:rPr>
          <w:sz w:val="24"/>
          <w:szCs w:val="24"/>
        </w:rPr>
        <w:t xml:space="preserve">n and action, also how that compares with England and Scotland. </w:t>
      </w:r>
      <w:r w:rsidR="003A7264" w:rsidRPr="00D73174">
        <w:rPr>
          <w:sz w:val="24"/>
          <w:szCs w:val="24"/>
        </w:rPr>
        <w:t>E</w:t>
      </w:r>
      <w:r w:rsidR="003A7264" w:rsidRPr="00D73174">
        <w:rPr>
          <w:sz w:val="24"/>
          <w:szCs w:val="24"/>
        </w:rPr>
        <w:t>styn case studies celebrate confidence and cross-curricular skills; however, they seldom evidence pupil</w:t>
      </w:r>
      <w:r w:rsidR="003A7264" w:rsidRPr="00D73174">
        <w:rPr>
          <w:sz w:val="24"/>
          <w:szCs w:val="24"/>
        </w:rPr>
        <w:t xml:space="preserve"> </w:t>
      </w:r>
      <w:r w:rsidR="003A7264" w:rsidRPr="00D73174">
        <w:rPr>
          <w:sz w:val="24"/>
          <w:szCs w:val="24"/>
        </w:rPr>
        <w:t>led action or community partnerships as outcomes. This motivates the present study’s mechanism lens (voice</w:t>
      </w:r>
      <w:r w:rsidR="005620C1" w:rsidRPr="00D73174">
        <w:rPr>
          <w:sz w:val="24"/>
          <w:szCs w:val="24"/>
        </w:rPr>
        <w:t xml:space="preserve"> -</w:t>
      </w:r>
      <w:r w:rsidR="003A7264" w:rsidRPr="00D73174">
        <w:rPr>
          <w:sz w:val="24"/>
          <w:szCs w:val="24"/>
        </w:rPr>
        <w:t xml:space="preserve"> partnership </w:t>
      </w:r>
      <w:r w:rsidR="005620C1" w:rsidRPr="00D73174">
        <w:rPr>
          <w:sz w:val="24"/>
          <w:szCs w:val="24"/>
        </w:rPr>
        <w:t>- a</w:t>
      </w:r>
      <w:r w:rsidR="003A7264" w:rsidRPr="00D73174">
        <w:rPr>
          <w:sz w:val="24"/>
          <w:szCs w:val="24"/>
        </w:rPr>
        <w:t>ction)</w:t>
      </w:r>
      <w:r w:rsidR="005620C1" w:rsidRPr="00D73174">
        <w:rPr>
          <w:sz w:val="24"/>
          <w:szCs w:val="24"/>
        </w:rPr>
        <w:t xml:space="preserve">. </w:t>
      </w:r>
    </w:p>
    <w:p w14:paraId="57537440" w14:textId="6053718C" w:rsidR="008D0B0D" w:rsidRPr="00D73174" w:rsidRDefault="00F928B5" w:rsidP="00602747">
      <w:pPr>
        <w:spacing w:line="360" w:lineRule="auto"/>
        <w:rPr>
          <w:sz w:val="24"/>
          <w:szCs w:val="24"/>
        </w:rPr>
      </w:pPr>
      <w:r w:rsidRPr="00D73174">
        <w:rPr>
          <w:sz w:val="24"/>
          <w:szCs w:val="24"/>
        </w:rPr>
        <w:t xml:space="preserve">Critical pedagogy of place (CPP) offers a rigid evaluative lens. Gruenewald/Greenwood (2003) argues that outdoor learning should not merely “go outside”, but connect to local histories, power relations and ecosystems through the twin projects of </w:t>
      </w:r>
      <w:proofErr w:type="spellStart"/>
      <w:r w:rsidRPr="00D73174">
        <w:rPr>
          <w:sz w:val="24"/>
          <w:szCs w:val="24"/>
        </w:rPr>
        <w:t>reinhabitation</w:t>
      </w:r>
      <w:proofErr w:type="spellEnd"/>
      <w:r w:rsidRPr="00D73174">
        <w:rPr>
          <w:sz w:val="24"/>
          <w:szCs w:val="24"/>
        </w:rPr>
        <w:t xml:space="preserve"> (learning to live well in place) and decolonisation (challenging harmful ideologies/practices). Practically, that implies lessons that surface local environmental issues (e.g., river quality), include multiple community knowledges and histories, involve partnerships beyond school, and culminate in student agency or action (Sobel, 2004; Gallay et al., 2021).</w:t>
      </w:r>
      <w:r w:rsidR="00DB47BD" w:rsidRPr="00D73174">
        <w:rPr>
          <w:sz w:val="24"/>
          <w:szCs w:val="24"/>
        </w:rPr>
        <w:t xml:space="preserve"> </w:t>
      </w:r>
    </w:p>
    <w:p w14:paraId="52D75135" w14:textId="653DF103" w:rsidR="00DD5D2A" w:rsidRPr="00D73174" w:rsidRDefault="000B4177" w:rsidP="00602747">
      <w:pPr>
        <w:spacing w:line="360" w:lineRule="auto"/>
        <w:rPr>
          <w:sz w:val="24"/>
          <w:szCs w:val="24"/>
        </w:rPr>
      </w:pPr>
      <w:r w:rsidRPr="00D73174">
        <w:rPr>
          <w:sz w:val="24"/>
          <w:szCs w:val="24"/>
        </w:rPr>
        <w:lastRenderedPageBreak/>
        <w:t>This study is timely for three reasons. First, Welsh schools are soon to consolidate implementation of the new curriculum; understanding how OE can advance Cynefin, inclusion and sustainability would inform school-level design (Welsh Government, 2019, 2022, 2024). Second, there is UK-wide movement to embed sustainability and civic participation in education (DfE, 2022; Scottish Government, 2023), offering useful comparators. Third, research indicates that youth agency and community partnerships are key to translating environmental learning into hopeful action, especially for marginalised learners (Gallay et al., 2021).</w:t>
      </w:r>
    </w:p>
    <w:p w14:paraId="76B6BF3F" w14:textId="77777777" w:rsidR="006B0345" w:rsidRPr="00D73174" w:rsidRDefault="006B0345" w:rsidP="00602747">
      <w:pPr>
        <w:spacing w:line="360" w:lineRule="auto"/>
        <w:rPr>
          <w:sz w:val="24"/>
          <w:szCs w:val="24"/>
        </w:rPr>
      </w:pPr>
    </w:p>
    <w:p w14:paraId="244A0F4D" w14:textId="6BCAD410" w:rsidR="00E45D74" w:rsidRPr="00D73174" w:rsidRDefault="0060717F" w:rsidP="00602747">
      <w:pPr>
        <w:spacing w:line="360" w:lineRule="auto"/>
        <w:rPr>
          <w:sz w:val="24"/>
          <w:szCs w:val="24"/>
        </w:rPr>
      </w:pPr>
      <w:r w:rsidRPr="00D73174">
        <w:rPr>
          <w:b/>
          <w:bCs/>
          <w:sz w:val="24"/>
          <w:szCs w:val="24"/>
        </w:rPr>
        <w:t>Aims and Objectives</w:t>
      </w:r>
      <w:r w:rsidRPr="00D73174">
        <w:rPr>
          <w:sz w:val="24"/>
          <w:szCs w:val="24"/>
        </w:rPr>
        <w:br/>
      </w:r>
      <w:r w:rsidRPr="00D73174">
        <w:rPr>
          <w:sz w:val="24"/>
          <w:szCs w:val="24"/>
        </w:rPr>
        <w:br/>
        <w:t>To evaluate whether and how OE in Welsh primary schools acts as a gateway to social/community inclusion and sustainability understanding/action, using a critical pedagogy of place.</w:t>
      </w:r>
      <w:r w:rsidRPr="00D73174">
        <w:rPr>
          <w:sz w:val="24"/>
          <w:szCs w:val="24"/>
        </w:rPr>
        <w:br/>
      </w:r>
      <w:r w:rsidRPr="00D73174">
        <w:rPr>
          <w:sz w:val="24"/>
          <w:szCs w:val="24"/>
        </w:rPr>
        <w:br/>
      </w:r>
      <w:r w:rsidRPr="00D73174">
        <w:rPr>
          <w:b/>
          <w:bCs/>
          <w:sz w:val="24"/>
          <w:szCs w:val="24"/>
        </w:rPr>
        <w:t>Objectives</w:t>
      </w:r>
      <w:r w:rsidRPr="00D73174">
        <w:rPr>
          <w:sz w:val="24"/>
          <w:szCs w:val="24"/>
        </w:rPr>
        <w:br/>
      </w:r>
      <w:r w:rsidRPr="00D73174">
        <w:rPr>
          <w:sz w:val="24"/>
          <w:szCs w:val="24"/>
        </w:rPr>
        <w:br/>
      </w:r>
      <w:r w:rsidR="000E704A" w:rsidRPr="00D73174">
        <w:rPr>
          <w:sz w:val="24"/>
          <w:szCs w:val="24"/>
        </w:rPr>
        <w:t xml:space="preserve">1. </w:t>
      </w:r>
      <w:r w:rsidRPr="00D73174">
        <w:rPr>
          <w:sz w:val="24"/>
          <w:szCs w:val="24"/>
        </w:rPr>
        <w:t>Map OE-</w:t>
      </w:r>
      <w:r w:rsidR="00010EE0" w:rsidRPr="00D73174">
        <w:rPr>
          <w:sz w:val="24"/>
          <w:szCs w:val="24"/>
        </w:rPr>
        <w:t xml:space="preserve"> </w:t>
      </w:r>
      <w:r w:rsidRPr="00D73174">
        <w:rPr>
          <w:sz w:val="24"/>
          <w:szCs w:val="24"/>
        </w:rPr>
        <w:t xml:space="preserve">relevant intentions in the Curriculum for Wales (Humanities; Health &amp; Well-being; </w:t>
      </w:r>
      <w:proofErr w:type="spellStart"/>
      <w:r w:rsidR="00CD3D2E" w:rsidRPr="00D73174">
        <w:rPr>
          <w:sz w:val="24"/>
          <w:szCs w:val="24"/>
        </w:rPr>
        <w:t>C</w:t>
      </w:r>
      <w:r w:rsidRPr="00D73174">
        <w:rPr>
          <w:sz w:val="24"/>
          <w:szCs w:val="24"/>
        </w:rPr>
        <w:t>ynefin</w:t>
      </w:r>
      <w:proofErr w:type="spellEnd"/>
      <w:r w:rsidRPr="00D73174">
        <w:rPr>
          <w:sz w:val="24"/>
          <w:szCs w:val="24"/>
        </w:rPr>
        <w:t>) and contrast with selected UK comparators (England, Scotland, Northern Ireland).</w:t>
      </w:r>
      <w:r w:rsidRPr="00D73174">
        <w:rPr>
          <w:sz w:val="24"/>
          <w:szCs w:val="24"/>
        </w:rPr>
        <w:br/>
      </w:r>
      <w:r w:rsidRPr="00D73174">
        <w:rPr>
          <w:sz w:val="24"/>
          <w:szCs w:val="24"/>
        </w:rPr>
        <w:br/>
      </w:r>
      <w:r w:rsidR="000E704A" w:rsidRPr="00D73174">
        <w:rPr>
          <w:sz w:val="24"/>
          <w:szCs w:val="24"/>
        </w:rPr>
        <w:t xml:space="preserve">2. </w:t>
      </w:r>
      <w:r w:rsidRPr="00D73174">
        <w:rPr>
          <w:sz w:val="24"/>
          <w:szCs w:val="24"/>
        </w:rPr>
        <w:t>Analyse school-level curriculum/artefacts for CPP-aligned elements (</w:t>
      </w:r>
      <w:proofErr w:type="spellStart"/>
      <w:r w:rsidRPr="00D73174">
        <w:rPr>
          <w:sz w:val="24"/>
          <w:szCs w:val="24"/>
        </w:rPr>
        <w:t>reinhabitation</w:t>
      </w:r>
      <w:proofErr w:type="spellEnd"/>
      <w:r w:rsidRPr="00D73174">
        <w:rPr>
          <w:sz w:val="24"/>
          <w:szCs w:val="24"/>
        </w:rPr>
        <w:t>, decolonisation, partnerships, pupil agency).</w:t>
      </w:r>
      <w:r w:rsidRPr="00D73174">
        <w:rPr>
          <w:sz w:val="24"/>
          <w:szCs w:val="24"/>
        </w:rPr>
        <w:br/>
      </w:r>
      <w:r w:rsidRPr="00D73174">
        <w:rPr>
          <w:sz w:val="24"/>
          <w:szCs w:val="24"/>
        </w:rPr>
        <w:br/>
      </w:r>
      <w:r w:rsidR="000E704A" w:rsidRPr="00D73174">
        <w:rPr>
          <w:sz w:val="24"/>
          <w:szCs w:val="24"/>
        </w:rPr>
        <w:t xml:space="preserve">3. </w:t>
      </w:r>
      <w:r w:rsidRPr="00D73174">
        <w:rPr>
          <w:sz w:val="24"/>
          <w:szCs w:val="24"/>
        </w:rPr>
        <w:t>Examine classroom/field practices and elicit staff/pupil perspectives to identify mechanisms that support inclusion and sustainability action.</w:t>
      </w:r>
      <w:r w:rsidRPr="00D73174">
        <w:rPr>
          <w:sz w:val="24"/>
          <w:szCs w:val="24"/>
        </w:rPr>
        <w:br/>
      </w:r>
      <w:r w:rsidRPr="00D73174">
        <w:rPr>
          <w:sz w:val="24"/>
          <w:szCs w:val="24"/>
        </w:rPr>
        <w:br/>
      </w:r>
      <w:r w:rsidR="000E704A" w:rsidRPr="00D73174">
        <w:rPr>
          <w:sz w:val="24"/>
          <w:szCs w:val="24"/>
        </w:rPr>
        <w:t xml:space="preserve">4. </w:t>
      </w:r>
      <w:r w:rsidRPr="00D73174">
        <w:rPr>
          <w:sz w:val="24"/>
          <w:szCs w:val="24"/>
        </w:rPr>
        <w:t>Synthesise findings into practical recommendations for schools and teacher education in Wales.</w:t>
      </w:r>
      <w:r w:rsidRPr="00D73174">
        <w:rPr>
          <w:sz w:val="24"/>
          <w:szCs w:val="24"/>
        </w:rPr>
        <w:br/>
      </w:r>
      <w:r w:rsidRPr="00D73174">
        <w:rPr>
          <w:sz w:val="24"/>
          <w:szCs w:val="24"/>
        </w:rPr>
        <w:br/>
      </w:r>
      <w:r w:rsidRPr="00D73174">
        <w:rPr>
          <w:b/>
          <w:bCs/>
          <w:sz w:val="24"/>
          <w:szCs w:val="24"/>
        </w:rPr>
        <w:t>Method</w:t>
      </w:r>
      <w:r w:rsidRPr="00D73174">
        <w:rPr>
          <w:sz w:val="24"/>
          <w:szCs w:val="24"/>
        </w:rPr>
        <w:br/>
      </w:r>
      <w:r w:rsidRPr="00D73174">
        <w:rPr>
          <w:sz w:val="24"/>
          <w:szCs w:val="24"/>
        </w:rPr>
        <w:lastRenderedPageBreak/>
        <w:br/>
        <w:t>Design</w:t>
      </w:r>
      <w:r w:rsidR="00E00F40" w:rsidRPr="00D73174">
        <w:rPr>
          <w:sz w:val="24"/>
          <w:szCs w:val="24"/>
        </w:rPr>
        <w:t xml:space="preserve">- </w:t>
      </w:r>
      <w:r w:rsidRPr="00D73174">
        <w:rPr>
          <w:sz w:val="24"/>
          <w:szCs w:val="24"/>
        </w:rPr>
        <w:t>Qualitative multiple-case study with directed curriculum/document analysis. CPP demands attention to local context, histories and power; pairing document analysis (policy → school plans) with case-based practice (observations/interviews) aligns with that requirement (Gruenewald, 2003; Sobel, 2004).</w:t>
      </w:r>
      <w:r w:rsidRPr="00D73174">
        <w:rPr>
          <w:sz w:val="24"/>
          <w:szCs w:val="24"/>
        </w:rPr>
        <w:br/>
      </w:r>
      <w:r w:rsidRPr="00D73174">
        <w:rPr>
          <w:sz w:val="24"/>
          <w:szCs w:val="24"/>
        </w:rPr>
        <w:br/>
        <w:t>Sampling and sites</w:t>
      </w:r>
      <w:r w:rsidR="00E00F40" w:rsidRPr="00D73174">
        <w:rPr>
          <w:sz w:val="24"/>
          <w:szCs w:val="24"/>
        </w:rPr>
        <w:t xml:space="preserve">- </w:t>
      </w:r>
      <w:r w:rsidRPr="00D73174">
        <w:rPr>
          <w:sz w:val="24"/>
          <w:szCs w:val="24"/>
        </w:rPr>
        <w:t>Two to three Welsh primary schools using outdoor learning regularly (maximum-variation: e.g., urban/rural; different free-school-meal/ALN profiles). Preliminary access sought via headteachers/OE leads. Comparator curricula are national documents (England, Scotland, Northern Ireland).</w:t>
      </w:r>
      <w:r w:rsidRPr="00D73174">
        <w:rPr>
          <w:sz w:val="24"/>
          <w:szCs w:val="24"/>
        </w:rPr>
        <w:br/>
      </w:r>
      <w:r w:rsidRPr="00D73174">
        <w:rPr>
          <w:sz w:val="24"/>
          <w:szCs w:val="24"/>
        </w:rPr>
        <w:br/>
        <w:t>Participants</w:t>
      </w:r>
      <w:r w:rsidR="00E00F40" w:rsidRPr="00D73174">
        <w:rPr>
          <w:sz w:val="24"/>
          <w:szCs w:val="24"/>
        </w:rPr>
        <w:t xml:space="preserve">- </w:t>
      </w:r>
      <w:r w:rsidRPr="00D73174">
        <w:rPr>
          <w:sz w:val="24"/>
          <w:szCs w:val="24"/>
        </w:rPr>
        <w:t>Per school: OE lead and 1–2 teachers (semi-structured interviews); one pupil focus group (Years 3–6; 6–8 pupils) with parental consent and child assent.</w:t>
      </w:r>
      <w:r w:rsidRPr="00D73174">
        <w:rPr>
          <w:sz w:val="24"/>
          <w:szCs w:val="24"/>
        </w:rPr>
        <w:br/>
      </w:r>
      <w:r w:rsidRPr="00D73174">
        <w:rPr>
          <w:sz w:val="24"/>
          <w:szCs w:val="24"/>
        </w:rPr>
        <w:br/>
        <w:t>Data sources</w:t>
      </w:r>
      <w:r w:rsidR="00E00F40" w:rsidRPr="00D73174">
        <w:rPr>
          <w:sz w:val="24"/>
          <w:szCs w:val="24"/>
        </w:rPr>
        <w:t xml:space="preserve">- </w:t>
      </w:r>
      <w:r w:rsidRPr="00D73174">
        <w:rPr>
          <w:sz w:val="24"/>
          <w:szCs w:val="24"/>
        </w:rPr>
        <w:t xml:space="preserve">Policy/curriculum: Curriculum for Wales guidance and </w:t>
      </w:r>
      <w:proofErr w:type="spellStart"/>
      <w:r w:rsidRPr="00D73174">
        <w:rPr>
          <w:sz w:val="24"/>
          <w:szCs w:val="24"/>
        </w:rPr>
        <w:t>AoLE</w:t>
      </w:r>
      <w:proofErr w:type="spellEnd"/>
      <w:r w:rsidRPr="00D73174">
        <w:rPr>
          <w:sz w:val="24"/>
          <w:szCs w:val="24"/>
        </w:rPr>
        <w:t xml:space="preserve"> materials; school schemes of work/units, lesson plans, newsletters, partnership documents; England National Curriculum and DfE sustainability strategy; Scotland Learning for Sustainability plan; NI statutory curriculum pages.</w:t>
      </w:r>
      <w:r w:rsidRPr="00D73174">
        <w:rPr>
          <w:sz w:val="24"/>
          <w:szCs w:val="24"/>
        </w:rPr>
        <w:br/>
      </w:r>
      <w:r w:rsidRPr="00D73174">
        <w:rPr>
          <w:sz w:val="24"/>
          <w:szCs w:val="24"/>
        </w:rPr>
        <w:br/>
        <w:t>Practice: 2–3 observed outdoor lessons/activities per site using a CPP-aligned observation rubric.</w:t>
      </w:r>
      <w:r w:rsidRPr="00D73174">
        <w:rPr>
          <w:sz w:val="24"/>
          <w:szCs w:val="24"/>
        </w:rPr>
        <w:br/>
      </w:r>
      <w:r w:rsidRPr="00D73174">
        <w:rPr>
          <w:sz w:val="24"/>
          <w:szCs w:val="24"/>
        </w:rPr>
        <w:br/>
        <w:t>Voices: Interviews with staff; pupil focus groups exploring belonging, local issues noticed, and any action taken.</w:t>
      </w:r>
      <w:r w:rsidRPr="00D73174">
        <w:rPr>
          <w:sz w:val="24"/>
          <w:szCs w:val="24"/>
        </w:rPr>
        <w:br/>
      </w:r>
      <w:r w:rsidRPr="00D73174">
        <w:rPr>
          <w:sz w:val="24"/>
          <w:szCs w:val="24"/>
        </w:rPr>
        <w:br/>
      </w:r>
      <w:r w:rsidRPr="00D73174">
        <w:rPr>
          <w:b/>
          <w:bCs/>
          <w:sz w:val="24"/>
          <w:szCs w:val="24"/>
        </w:rPr>
        <w:t>Instruments</w:t>
      </w:r>
    </w:p>
    <w:p w14:paraId="027ACEA7" w14:textId="77777777" w:rsidR="00E45D74" w:rsidRPr="00D73174" w:rsidRDefault="0060717F" w:rsidP="00602747">
      <w:pPr>
        <w:spacing w:line="360" w:lineRule="auto"/>
        <w:rPr>
          <w:sz w:val="24"/>
          <w:szCs w:val="24"/>
        </w:rPr>
      </w:pPr>
      <w:r w:rsidRPr="00D73174">
        <w:rPr>
          <w:sz w:val="24"/>
          <w:szCs w:val="24"/>
        </w:rPr>
        <w:t>Brief interview/focus-group guides (pilot-tested). Observation rubric with operational indicators:</w:t>
      </w:r>
      <w:r w:rsidRPr="00D73174">
        <w:rPr>
          <w:sz w:val="24"/>
          <w:szCs w:val="24"/>
        </w:rPr>
        <w:br/>
      </w:r>
    </w:p>
    <w:p w14:paraId="497CFB90" w14:textId="77777777" w:rsidR="00E45D74" w:rsidRPr="00D73174" w:rsidRDefault="0060717F" w:rsidP="00602747">
      <w:pPr>
        <w:pStyle w:val="ListParagraph"/>
        <w:numPr>
          <w:ilvl w:val="0"/>
          <w:numId w:val="6"/>
        </w:numPr>
        <w:spacing w:line="360" w:lineRule="auto"/>
        <w:rPr>
          <w:sz w:val="24"/>
          <w:szCs w:val="24"/>
        </w:rPr>
      </w:pPr>
      <w:r w:rsidRPr="00D73174">
        <w:rPr>
          <w:sz w:val="24"/>
          <w:szCs w:val="24"/>
        </w:rPr>
        <w:lastRenderedPageBreak/>
        <w:t>Inclusion: pupil voice/choice; universal access/adaptations; family/community links; partnership artefacts; participation beyond school.</w:t>
      </w:r>
      <w:r w:rsidRPr="00D73174">
        <w:rPr>
          <w:sz w:val="24"/>
          <w:szCs w:val="24"/>
        </w:rPr>
        <w:br/>
      </w:r>
    </w:p>
    <w:p w14:paraId="56AF6932" w14:textId="77777777" w:rsidR="00E45D74" w:rsidRPr="00D73174" w:rsidRDefault="0060717F" w:rsidP="00602747">
      <w:pPr>
        <w:pStyle w:val="ListParagraph"/>
        <w:numPr>
          <w:ilvl w:val="0"/>
          <w:numId w:val="6"/>
        </w:numPr>
        <w:spacing w:line="360" w:lineRule="auto"/>
        <w:rPr>
          <w:sz w:val="24"/>
          <w:szCs w:val="24"/>
        </w:rPr>
      </w:pPr>
      <w:r w:rsidRPr="00D73174">
        <w:rPr>
          <w:sz w:val="24"/>
          <w:szCs w:val="24"/>
        </w:rPr>
        <w:t>Sustainability: explicit local issue framing; links to histories/power; inquiry with local data; action components (e.g., habitat work, citizen science, campaigns); student agency.</w:t>
      </w:r>
      <w:r w:rsidRPr="00D73174">
        <w:rPr>
          <w:sz w:val="24"/>
          <w:szCs w:val="24"/>
        </w:rPr>
        <w:br/>
      </w:r>
    </w:p>
    <w:p w14:paraId="67D1148F" w14:textId="77777777" w:rsidR="00F47EC3" w:rsidRPr="00D73174" w:rsidRDefault="0060717F" w:rsidP="00602747">
      <w:pPr>
        <w:pStyle w:val="ListParagraph"/>
        <w:numPr>
          <w:ilvl w:val="0"/>
          <w:numId w:val="6"/>
        </w:numPr>
        <w:spacing w:line="360" w:lineRule="auto"/>
        <w:rPr>
          <w:sz w:val="24"/>
          <w:szCs w:val="24"/>
        </w:rPr>
      </w:pPr>
      <w:r w:rsidRPr="00D73174">
        <w:rPr>
          <w:sz w:val="24"/>
          <w:szCs w:val="24"/>
        </w:rPr>
        <w:t>CPP: re</w:t>
      </w:r>
      <w:r w:rsidR="00F47EC3" w:rsidRPr="00D73174">
        <w:rPr>
          <w:sz w:val="24"/>
          <w:szCs w:val="24"/>
        </w:rPr>
        <w:t>-</w:t>
      </w:r>
      <w:r w:rsidRPr="00D73174">
        <w:rPr>
          <w:sz w:val="24"/>
          <w:szCs w:val="24"/>
        </w:rPr>
        <w:t>inhabitation (care/restore/live well in place), decolonisation (whose stories; equity; challenging dominant narratives).</w:t>
      </w:r>
    </w:p>
    <w:p w14:paraId="5894105D" w14:textId="77777777" w:rsidR="00F47EC3" w:rsidRPr="00D73174" w:rsidRDefault="00F47EC3" w:rsidP="00602747">
      <w:pPr>
        <w:pStyle w:val="ListParagraph"/>
        <w:spacing w:line="360" w:lineRule="auto"/>
        <w:rPr>
          <w:sz w:val="24"/>
          <w:szCs w:val="24"/>
        </w:rPr>
      </w:pPr>
    </w:p>
    <w:p w14:paraId="175B36E6" w14:textId="77777777" w:rsidR="00F47EC3" w:rsidRPr="00D73174" w:rsidRDefault="00F47EC3" w:rsidP="00602747">
      <w:pPr>
        <w:pStyle w:val="ListParagraph"/>
        <w:spacing w:line="360" w:lineRule="auto"/>
        <w:rPr>
          <w:sz w:val="24"/>
          <w:szCs w:val="24"/>
        </w:rPr>
      </w:pPr>
    </w:p>
    <w:p w14:paraId="2E777EFC" w14:textId="77777777" w:rsidR="00F47EC3" w:rsidRPr="00D73174" w:rsidRDefault="00F47EC3" w:rsidP="00602747">
      <w:pPr>
        <w:spacing w:line="360" w:lineRule="auto"/>
        <w:rPr>
          <w:sz w:val="24"/>
          <w:szCs w:val="24"/>
        </w:rPr>
      </w:pPr>
      <w:r w:rsidRPr="00D73174">
        <w:rPr>
          <w:b/>
          <w:bCs/>
          <w:sz w:val="24"/>
          <w:szCs w:val="24"/>
        </w:rPr>
        <w:t>Ethics</w:t>
      </w:r>
    </w:p>
    <w:p w14:paraId="32A20105" w14:textId="0C370151" w:rsidR="0079064E" w:rsidRPr="00D73174" w:rsidRDefault="0060717F" w:rsidP="00602747">
      <w:pPr>
        <w:spacing w:line="360" w:lineRule="auto"/>
        <w:rPr>
          <w:sz w:val="24"/>
          <w:szCs w:val="24"/>
        </w:rPr>
      </w:pPr>
      <w:r w:rsidRPr="00D73174">
        <w:rPr>
          <w:sz w:val="24"/>
          <w:szCs w:val="24"/>
        </w:rPr>
        <w:t>Institutional approval prior to any data collection; GDPR-compliant storage; anonymisation of schools/participants; safeguarding procedures; right to withdraw; child-friendly assent. Member-checking of case summaries with staff to enhance credibility.</w:t>
      </w:r>
      <w:r w:rsidR="00A73AA1" w:rsidRPr="00D73174">
        <w:rPr>
          <w:sz w:val="24"/>
          <w:szCs w:val="24"/>
        </w:rPr>
        <w:t xml:space="preserve"> DBS Compliant researche</w:t>
      </w:r>
      <w:r w:rsidR="00D4420B" w:rsidRPr="00D73174">
        <w:rPr>
          <w:sz w:val="24"/>
          <w:szCs w:val="24"/>
        </w:rPr>
        <w:t xml:space="preserve">r, schedule co-planned to minimise disruption </w:t>
      </w:r>
      <w:r w:rsidRPr="00D73174">
        <w:rPr>
          <w:sz w:val="24"/>
          <w:szCs w:val="24"/>
        </w:rPr>
        <w:br/>
      </w:r>
      <w:r w:rsidRPr="00D73174">
        <w:rPr>
          <w:sz w:val="24"/>
          <w:szCs w:val="24"/>
        </w:rPr>
        <w:br/>
      </w:r>
      <w:r w:rsidRPr="00D73174">
        <w:rPr>
          <w:b/>
          <w:bCs/>
          <w:sz w:val="24"/>
          <w:szCs w:val="24"/>
        </w:rPr>
        <w:t>Limitations and mitigation</w:t>
      </w:r>
    </w:p>
    <w:p w14:paraId="00DBDAD3" w14:textId="4135B477" w:rsidR="0060717F" w:rsidRPr="00D73174" w:rsidRDefault="0060717F" w:rsidP="00602747">
      <w:pPr>
        <w:spacing w:line="360" w:lineRule="auto"/>
        <w:rPr>
          <w:sz w:val="24"/>
          <w:szCs w:val="24"/>
        </w:rPr>
      </w:pPr>
      <w:r w:rsidRPr="00D73174">
        <w:rPr>
          <w:sz w:val="24"/>
          <w:szCs w:val="24"/>
        </w:rPr>
        <w:t>Small, non-probabilistic sample (mitigate via maximum-variation and rich description); observer effect (prolonged engagement across multiple sessions); researcher positionality (maintain reflexive journal); transferability rather than generalisability.</w:t>
      </w:r>
      <w:r w:rsidR="00F37685" w:rsidRPr="00D73174">
        <w:rPr>
          <w:sz w:val="24"/>
          <w:szCs w:val="24"/>
        </w:rPr>
        <w:t xml:space="preserve"> </w:t>
      </w:r>
      <w:r w:rsidR="00CD0AB2" w:rsidRPr="00D73174">
        <w:rPr>
          <w:sz w:val="24"/>
          <w:szCs w:val="24"/>
        </w:rPr>
        <w:t>Selection bias (schools predisposed to OE) mitigated by maximum-variation sampling; observer effect mitigated via repeat visits; transferability supported through thick description and an audit trail.</w:t>
      </w:r>
      <w:r w:rsidRPr="00D73174">
        <w:rPr>
          <w:sz w:val="24"/>
          <w:szCs w:val="24"/>
        </w:rPr>
        <w:br/>
      </w:r>
      <w:r w:rsidRPr="00D73174">
        <w:rPr>
          <w:sz w:val="24"/>
          <w:szCs w:val="24"/>
        </w:rPr>
        <w:br/>
      </w:r>
      <w:r w:rsidRPr="00D73174">
        <w:rPr>
          <w:b/>
          <w:bCs/>
          <w:sz w:val="24"/>
          <w:szCs w:val="24"/>
        </w:rPr>
        <w:t>Data Analysis</w:t>
      </w:r>
      <w:r w:rsidRPr="00D73174">
        <w:rPr>
          <w:sz w:val="24"/>
          <w:szCs w:val="24"/>
        </w:rPr>
        <w:br/>
      </w:r>
      <w:r w:rsidRPr="00D73174">
        <w:rPr>
          <w:sz w:val="24"/>
          <w:szCs w:val="24"/>
        </w:rPr>
        <w:br/>
        <w:t>Documents</w:t>
      </w:r>
      <w:r w:rsidR="00B37277" w:rsidRPr="00D73174">
        <w:rPr>
          <w:sz w:val="24"/>
          <w:szCs w:val="24"/>
        </w:rPr>
        <w:t xml:space="preserve">- </w:t>
      </w:r>
      <w:r w:rsidRPr="00D73174">
        <w:rPr>
          <w:sz w:val="24"/>
          <w:szCs w:val="24"/>
        </w:rPr>
        <w:t xml:space="preserve"> Directed content analysis using a CPP-derived codebook; produce a policy alignment matrix (Wales vs England/Scotland/NI) for inclusion, local sustainability, action expectations (Welsh Government, 2019; DfE, 2022; Scottish Government, 2023; DoE NI, </w:t>
      </w:r>
      <w:r w:rsidR="00CE4BCE" w:rsidRPr="00D73174">
        <w:rPr>
          <w:sz w:val="24"/>
          <w:szCs w:val="24"/>
        </w:rPr>
        <w:t>2017</w:t>
      </w:r>
      <w:r w:rsidRPr="00D73174">
        <w:rPr>
          <w:sz w:val="24"/>
          <w:szCs w:val="24"/>
        </w:rPr>
        <w:t>).</w:t>
      </w:r>
      <w:r w:rsidR="00334660" w:rsidRPr="00D73174">
        <w:rPr>
          <w:sz w:val="24"/>
          <w:szCs w:val="24"/>
        </w:rPr>
        <w:t xml:space="preserve"> </w:t>
      </w:r>
      <w:r w:rsidR="00334660" w:rsidRPr="00D73174">
        <w:rPr>
          <w:sz w:val="24"/>
          <w:szCs w:val="24"/>
        </w:rPr>
        <w:t>CPP provides theoretically derived categories (re</w:t>
      </w:r>
      <w:r w:rsidR="00334660" w:rsidRPr="00D73174">
        <w:rPr>
          <w:sz w:val="24"/>
          <w:szCs w:val="24"/>
        </w:rPr>
        <w:t>-</w:t>
      </w:r>
      <w:r w:rsidR="00334660" w:rsidRPr="00D73174">
        <w:rPr>
          <w:sz w:val="24"/>
          <w:szCs w:val="24"/>
        </w:rPr>
        <w:lastRenderedPageBreak/>
        <w:t>inhabitation/decolonisation) suitable for directed content analysis of policy and school artefacts, while reflexive thematic analysis accommodates emergent, context-specific mechanisms in practice data. Combining both supports theory-informed yet inductive insight.</w:t>
      </w:r>
      <w:r w:rsidRPr="00D73174">
        <w:rPr>
          <w:sz w:val="24"/>
          <w:szCs w:val="24"/>
        </w:rPr>
        <w:br/>
      </w:r>
      <w:r w:rsidRPr="00D73174">
        <w:rPr>
          <w:sz w:val="24"/>
          <w:szCs w:val="24"/>
        </w:rPr>
        <w:br/>
        <w:t>Interviews and observations</w:t>
      </w:r>
      <w:r w:rsidR="00B37277" w:rsidRPr="00D73174">
        <w:rPr>
          <w:sz w:val="24"/>
          <w:szCs w:val="24"/>
        </w:rPr>
        <w:t xml:space="preserve">- </w:t>
      </w:r>
      <w:r w:rsidRPr="00D73174">
        <w:rPr>
          <w:sz w:val="24"/>
          <w:szCs w:val="24"/>
        </w:rPr>
        <w:t>Reflexive thematic analysis (deductive CPP codes + inductive themes) to surface mechanisms (Braun &amp; Clarke approach; implemented via coding memos). Decision rules: a lesson is coded CPP-aligned if it evidences ≥2 CPP codes plus ≥1 action/partnership indicator; gateway to inclusion if ≥2 inclusion indicators appear with corroborating pupil/teacher testimony.</w:t>
      </w:r>
    </w:p>
    <w:p w14:paraId="09600111" w14:textId="0473B91A" w:rsidR="00A35840" w:rsidRPr="00D73174" w:rsidRDefault="00A35840" w:rsidP="00602747">
      <w:pPr>
        <w:spacing w:line="360" w:lineRule="auto"/>
        <w:rPr>
          <w:sz w:val="24"/>
          <w:szCs w:val="24"/>
        </w:rPr>
      </w:pPr>
      <w:r w:rsidRPr="00D73174">
        <w:rPr>
          <w:sz w:val="24"/>
          <w:szCs w:val="24"/>
        </w:rPr>
        <w:t>Cross-case synthesis</w:t>
      </w:r>
      <w:r w:rsidR="00F47EC3" w:rsidRPr="00D73174">
        <w:rPr>
          <w:sz w:val="24"/>
          <w:szCs w:val="24"/>
        </w:rPr>
        <w:t>- Within</w:t>
      </w:r>
      <w:r w:rsidRPr="00D73174">
        <w:rPr>
          <w:sz w:val="24"/>
          <w:szCs w:val="24"/>
        </w:rPr>
        <w:t>-case write-</w:t>
      </w:r>
      <w:proofErr w:type="gramStart"/>
      <w:r w:rsidRPr="00D73174">
        <w:rPr>
          <w:sz w:val="24"/>
          <w:szCs w:val="24"/>
        </w:rPr>
        <w:t>ups</w:t>
      </w:r>
      <w:r w:rsidR="00787118" w:rsidRPr="00D73174">
        <w:rPr>
          <w:sz w:val="24"/>
          <w:szCs w:val="24"/>
        </w:rPr>
        <w:t xml:space="preserve">, </w:t>
      </w:r>
      <w:r w:rsidRPr="00D73174">
        <w:rPr>
          <w:sz w:val="24"/>
          <w:szCs w:val="24"/>
        </w:rPr>
        <w:t xml:space="preserve"> cross</w:t>
      </w:r>
      <w:proofErr w:type="gramEnd"/>
      <w:r w:rsidRPr="00D73174">
        <w:rPr>
          <w:sz w:val="24"/>
          <w:szCs w:val="24"/>
        </w:rPr>
        <w:t>-case matrix comparing CPP alignment and gateway mechanisms. Trustworthiness: triangulation (docs/</w:t>
      </w:r>
      <w:proofErr w:type="spellStart"/>
      <w:r w:rsidRPr="00D73174">
        <w:rPr>
          <w:sz w:val="24"/>
          <w:szCs w:val="24"/>
        </w:rPr>
        <w:t>obs</w:t>
      </w:r>
      <w:proofErr w:type="spellEnd"/>
      <w:r w:rsidRPr="00D73174">
        <w:rPr>
          <w:sz w:val="24"/>
          <w:szCs w:val="24"/>
        </w:rPr>
        <w:t xml:space="preserve">/interviews), member checking (staff), audit trail and reflexive </w:t>
      </w:r>
      <w:r w:rsidR="00E91968" w:rsidRPr="00D73174">
        <w:rPr>
          <w:sz w:val="24"/>
          <w:szCs w:val="24"/>
        </w:rPr>
        <w:t>memos maintained throughout</w:t>
      </w:r>
      <w:r w:rsidRPr="00D73174">
        <w:rPr>
          <w:sz w:val="24"/>
          <w:szCs w:val="24"/>
        </w:rPr>
        <w:t>. This analytic approach directly addresses calls to move beyond descriptive accounts of OE towards mechanism-focused evaluation of civic/sustainability outcomes (Mann et al., 2022; Gallay et al., 2021).</w:t>
      </w:r>
    </w:p>
    <w:p w14:paraId="1EDC8636" w14:textId="6EC5415B" w:rsidR="0093719F" w:rsidRPr="00D73174" w:rsidRDefault="008D3476" w:rsidP="00602747">
      <w:pPr>
        <w:spacing w:line="360" w:lineRule="auto"/>
        <w:rPr>
          <w:sz w:val="24"/>
          <w:szCs w:val="24"/>
        </w:rPr>
      </w:pPr>
      <w:r w:rsidRPr="00D73174">
        <w:rPr>
          <w:sz w:val="24"/>
          <w:szCs w:val="24"/>
        </w:rPr>
        <w:t>Research Timetable (indicative; adjust to module calendar)</w:t>
      </w:r>
    </w:p>
    <w:tbl>
      <w:tblPr>
        <w:tblStyle w:val="TableGrid"/>
        <w:tblW w:w="0" w:type="auto"/>
        <w:tblInd w:w="720" w:type="dxa"/>
        <w:tblLook w:val="04A0" w:firstRow="1" w:lastRow="0" w:firstColumn="1" w:lastColumn="0" w:noHBand="0" w:noVBand="1"/>
      </w:tblPr>
      <w:tblGrid>
        <w:gridCol w:w="4152"/>
        <w:gridCol w:w="4370"/>
      </w:tblGrid>
      <w:tr w:rsidR="0093719F" w:rsidRPr="00D73174" w14:paraId="62E7357F" w14:textId="77777777" w:rsidTr="00405890">
        <w:tc>
          <w:tcPr>
            <w:tcW w:w="4152" w:type="dxa"/>
          </w:tcPr>
          <w:p w14:paraId="3ADB51B2" w14:textId="360C1F76" w:rsidR="0093719F" w:rsidRPr="00D73174" w:rsidRDefault="0093719F" w:rsidP="00602747">
            <w:pPr>
              <w:spacing w:line="360" w:lineRule="auto"/>
              <w:rPr>
                <w:sz w:val="24"/>
                <w:szCs w:val="24"/>
              </w:rPr>
            </w:pPr>
            <w:r w:rsidRPr="00D73174">
              <w:rPr>
                <w:sz w:val="24"/>
                <w:szCs w:val="24"/>
              </w:rPr>
              <w:t>Weeks 1-2</w:t>
            </w:r>
            <w:r w:rsidR="00E963DF" w:rsidRPr="00D73174">
              <w:rPr>
                <w:sz w:val="24"/>
                <w:szCs w:val="24"/>
              </w:rPr>
              <w:t xml:space="preserve"> </w:t>
            </w:r>
          </w:p>
        </w:tc>
        <w:tc>
          <w:tcPr>
            <w:tcW w:w="4370" w:type="dxa"/>
          </w:tcPr>
          <w:p w14:paraId="0AD9DC5B" w14:textId="7D6717FF" w:rsidR="0093719F" w:rsidRPr="00D73174" w:rsidRDefault="00E963DF" w:rsidP="00602747">
            <w:pPr>
              <w:spacing w:line="360" w:lineRule="auto"/>
              <w:rPr>
                <w:sz w:val="24"/>
                <w:szCs w:val="24"/>
              </w:rPr>
            </w:pPr>
            <w:r w:rsidRPr="00D73174">
              <w:rPr>
                <w:sz w:val="24"/>
                <w:szCs w:val="24"/>
              </w:rPr>
              <w:t>Finalise RQ, sampling criteria; supervisor discussion and preliminary approval.</w:t>
            </w:r>
          </w:p>
        </w:tc>
      </w:tr>
      <w:tr w:rsidR="0093719F" w:rsidRPr="00D73174" w14:paraId="75B90CFE" w14:textId="77777777" w:rsidTr="00405890">
        <w:tc>
          <w:tcPr>
            <w:tcW w:w="4152" w:type="dxa"/>
          </w:tcPr>
          <w:p w14:paraId="5AFC29F1" w14:textId="7346B045" w:rsidR="0093719F" w:rsidRPr="00D73174" w:rsidRDefault="00E963DF" w:rsidP="00602747">
            <w:pPr>
              <w:spacing w:line="360" w:lineRule="auto"/>
              <w:rPr>
                <w:sz w:val="24"/>
                <w:szCs w:val="24"/>
              </w:rPr>
            </w:pPr>
            <w:r w:rsidRPr="00D73174">
              <w:rPr>
                <w:sz w:val="24"/>
                <w:szCs w:val="24"/>
              </w:rPr>
              <w:t>Weeks 2-4</w:t>
            </w:r>
          </w:p>
        </w:tc>
        <w:tc>
          <w:tcPr>
            <w:tcW w:w="4370" w:type="dxa"/>
          </w:tcPr>
          <w:p w14:paraId="16E1F678" w14:textId="24D1B324" w:rsidR="0093719F" w:rsidRPr="00D73174" w:rsidRDefault="00E963DF" w:rsidP="00602747">
            <w:pPr>
              <w:spacing w:line="360" w:lineRule="auto"/>
              <w:rPr>
                <w:sz w:val="24"/>
                <w:szCs w:val="24"/>
              </w:rPr>
            </w:pPr>
            <w:r w:rsidRPr="00D73174">
              <w:rPr>
                <w:sz w:val="24"/>
                <w:szCs w:val="24"/>
              </w:rPr>
              <w:t>Literature update; build CPP codebook; draft and pilot interview/observation tools.</w:t>
            </w:r>
          </w:p>
        </w:tc>
      </w:tr>
      <w:tr w:rsidR="0093719F" w:rsidRPr="00D73174" w14:paraId="4F8D1C9E" w14:textId="77777777" w:rsidTr="00405890">
        <w:tc>
          <w:tcPr>
            <w:tcW w:w="4152" w:type="dxa"/>
          </w:tcPr>
          <w:p w14:paraId="57345D57" w14:textId="7E799FA4" w:rsidR="0093719F" w:rsidRPr="00D73174" w:rsidRDefault="00E963DF" w:rsidP="00602747">
            <w:pPr>
              <w:spacing w:line="360" w:lineRule="auto"/>
              <w:rPr>
                <w:sz w:val="24"/>
                <w:szCs w:val="24"/>
              </w:rPr>
            </w:pPr>
            <w:r w:rsidRPr="00D73174">
              <w:rPr>
                <w:sz w:val="24"/>
                <w:szCs w:val="24"/>
              </w:rPr>
              <w:t>Weeks 3-6</w:t>
            </w:r>
          </w:p>
        </w:tc>
        <w:tc>
          <w:tcPr>
            <w:tcW w:w="4370" w:type="dxa"/>
          </w:tcPr>
          <w:p w14:paraId="0EEDB032" w14:textId="7F94EC57" w:rsidR="0093719F" w:rsidRPr="00D73174" w:rsidRDefault="004375B2" w:rsidP="00602747">
            <w:pPr>
              <w:spacing w:line="360" w:lineRule="auto"/>
              <w:rPr>
                <w:sz w:val="24"/>
                <w:szCs w:val="24"/>
              </w:rPr>
            </w:pPr>
            <w:r w:rsidRPr="00D73174">
              <w:rPr>
                <w:sz w:val="24"/>
                <w:szCs w:val="24"/>
              </w:rPr>
              <w:t>Ethics submission and approval; safeguarding/GDPR setup; confirm school access.</w:t>
            </w:r>
          </w:p>
        </w:tc>
      </w:tr>
      <w:tr w:rsidR="0093719F" w:rsidRPr="00D73174" w14:paraId="336A065E" w14:textId="77777777" w:rsidTr="00405890">
        <w:tc>
          <w:tcPr>
            <w:tcW w:w="4152" w:type="dxa"/>
          </w:tcPr>
          <w:p w14:paraId="738FCAE9" w14:textId="6D52A846" w:rsidR="0093719F" w:rsidRPr="00D73174" w:rsidRDefault="004375B2" w:rsidP="00602747">
            <w:pPr>
              <w:spacing w:line="360" w:lineRule="auto"/>
              <w:rPr>
                <w:sz w:val="24"/>
                <w:szCs w:val="24"/>
              </w:rPr>
            </w:pPr>
            <w:r w:rsidRPr="00D73174">
              <w:rPr>
                <w:sz w:val="24"/>
                <w:szCs w:val="24"/>
              </w:rPr>
              <w:t xml:space="preserve">Weeks </w:t>
            </w:r>
            <w:r w:rsidR="00EE4368" w:rsidRPr="00D73174">
              <w:rPr>
                <w:sz w:val="24"/>
                <w:szCs w:val="24"/>
              </w:rPr>
              <w:t>5-7</w:t>
            </w:r>
          </w:p>
        </w:tc>
        <w:tc>
          <w:tcPr>
            <w:tcW w:w="4370" w:type="dxa"/>
          </w:tcPr>
          <w:p w14:paraId="6E6853F6" w14:textId="1DCE0E73" w:rsidR="0093719F" w:rsidRPr="00D73174" w:rsidRDefault="00EE4368" w:rsidP="00602747">
            <w:pPr>
              <w:spacing w:after="160" w:line="360" w:lineRule="auto"/>
              <w:rPr>
                <w:sz w:val="24"/>
                <w:szCs w:val="24"/>
              </w:rPr>
            </w:pPr>
            <w:r w:rsidRPr="00D73174">
              <w:rPr>
                <w:sz w:val="24"/>
                <w:szCs w:val="24"/>
              </w:rPr>
              <w:t>Collect national and school documents; set up analysis environment (e.g., NVivo).</w:t>
            </w:r>
          </w:p>
        </w:tc>
      </w:tr>
      <w:tr w:rsidR="0093719F" w:rsidRPr="00D73174" w14:paraId="04955136" w14:textId="77777777" w:rsidTr="00405890">
        <w:tc>
          <w:tcPr>
            <w:tcW w:w="4152" w:type="dxa"/>
          </w:tcPr>
          <w:p w14:paraId="058323B0" w14:textId="012DA63C" w:rsidR="0093719F" w:rsidRPr="00D73174" w:rsidRDefault="006931A6" w:rsidP="00602747">
            <w:pPr>
              <w:spacing w:line="360" w:lineRule="auto"/>
              <w:rPr>
                <w:sz w:val="24"/>
                <w:szCs w:val="24"/>
              </w:rPr>
            </w:pPr>
            <w:r w:rsidRPr="00D73174">
              <w:rPr>
                <w:sz w:val="24"/>
                <w:szCs w:val="24"/>
              </w:rPr>
              <w:t>Weeks 7-10</w:t>
            </w:r>
          </w:p>
        </w:tc>
        <w:tc>
          <w:tcPr>
            <w:tcW w:w="4370" w:type="dxa"/>
          </w:tcPr>
          <w:p w14:paraId="12FCBAC2" w14:textId="2713B60A" w:rsidR="0093719F" w:rsidRPr="00D73174" w:rsidRDefault="006931A6" w:rsidP="00602747">
            <w:pPr>
              <w:spacing w:line="360" w:lineRule="auto"/>
              <w:rPr>
                <w:sz w:val="24"/>
                <w:szCs w:val="24"/>
              </w:rPr>
            </w:pPr>
            <w:r w:rsidRPr="00D73174">
              <w:rPr>
                <w:sz w:val="24"/>
                <w:szCs w:val="24"/>
              </w:rPr>
              <w:t xml:space="preserve">Fieldwork at schools (2–3 </w:t>
            </w:r>
            <w:r w:rsidRPr="00D73174">
              <w:rPr>
                <w:sz w:val="24"/>
                <w:szCs w:val="24"/>
              </w:rPr>
              <w:lastRenderedPageBreak/>
              <w:t>observations/site; staff interviews; pupil focus groups).</w:t>
            </w:r>
          </w:p>
        </w:tc>
      </w:tr>
      <w:tr w:rsidR="0093719F" w:rsidRPr="00D73174" w14:paraId="5F166131" w14:textId="77777777" w:rsidTr="00405890">
        <w:tc>
          <w:tcPr>
            <w:tcW w:w="4152" w:type="dxa"/>
          </w:tcPr>
          <w:p w14:paraId="6F5948F3" w14:textId="4EEA9834" w:rsidR="0093719F" w:rsidRPr="00D73174" w:rsidRDefault="006931A6" w:rsidP="00602747">
            <w:pPr>
              <w:spacing w:line="360" w:lineRule="auto"/>
              <w:rPr>
                <w:sz w:val="24"/>
                <w:szCs w:val="24"/>
              </w:rPr>
            </w:pPr>
            <w:r w:rsidRPr="00D73174">
              <w:rPr>
                <w:sz w:val="24"/>
                <w:szCs w:val="24"/>
              </w:rPr>
              <w:lastRenderedPageBreak/>
              <w:t>Weeks 8-11</w:t>
            </w:r>
          </w:p>
        </w:tc>
        <w:tc>
          <w:tcPr>
            <w:tcW w:w="4370" w:type="dxa"/>
          </w:tcPr>
          <w:p w14:paraId="4F50854B" w14:textId="50BAEFE9" w:rsidR="0093719F" w:rsidRPr="00D73174" w:rsidRDefault="000A40A2" w:rsidP="00602747">
            <w:pPr>
              <w:spacing w:line="360" w:lineRule="auto"/>
              <w:rPr>
                <w:sz w:val="24"/>
                <w:szCs w:val="24"/>
              </w:rPr>
            </w:pPr>
            <w:proofErr w:type="gramStart"/>
            <w:r w:rsidRPr="00D73174">
              <w:rPr>
                <w:sz w:val="24"/>
                <w:szCs w:val="24"/>
              </w:rPr>
              <w:t>Transcription;</w:t>
            </w:r>
            <w:proofErr w:type="gramEnd"/>
            <w:r w:rsidRPr="00D73174">
              <w:rPr>
                <w:sz w:val="24"/>
                <w:szCs w:val="24"/>
              </w:rPr>
              <w:t xml:space="preserve"> initial coding (directed for documents; inductive/deductive for interviews/observations).</w:t>
            </w:r>
          </w:p>
        </w:tc>
      </w:tr>
      <w:tr w:rsidR="0093719F" w:rsidRPr="00D73174" w14:paraId="55A3A173" w14:textId="77777777" w:rsidTr="00405890">
        <w:tc>
          <w:tcPr>
            <w:tcW w:w="4152" w:type="dxa"/>
          </w:tcPr>
          <w:p w14:paraId="789B718F" w14:textId="5E622011" w:rsidR="0093719F" w:rsidRPr="00D73174" w:rsidRDefault="000A40A2" w:rsidP="00602747">
            <w:pPr>
              <w:spacing w:line="360" w:lineRule="auto"/>
              <w:rPr>
                <w:sz w:val="24"/>
                <w:szCs w:val="24"/>
              </w:rPr>
            </w:pPr>
            <w:r w:rsidRPr="00D73174">
              <w:rPr>
                <w:sz w:val="24"/>
                <w:szCs w:val="24"/>
              </w:rPr>
              <w:t>Weeks 11-13</w:t>
            </w:r>
          </w:p>
        </w:tc>
        <w:tc>
          <w:tcPr>
            <w:tcW w:w="4370" w:type="dxa"/>
          </w:tcPr>
          <w:p w14:paraId="7E607634" w14:textId="6F3E849B" w:rsidR="0093719F" w:rsidRPr="00D73174" w:rsidRDefault="000A40A2" w:rsidP="00602747">
            <w:pPr>
              <w:spacing w:line="360" w:lineRule="auto"/>
              <w:rPr>
                <w:sz w:val="24"/>
                <w:szCs w:val="24"/>
              </w:rPr>
            </w:pPr>
            <w:r w:rsidRPr="00D73174">
              <w:rPr>
                <w:sz w:val="24"/>
                <w:szCs w:val="24"/>
              </w:rPr>
              <w:t>Thematic development; cross-case matrices; member-checking with staff.</w:t>
            </w:r>
          </w:p>
        </w:tc>
      </w:tr>
      <w:tr w:rsidR="0093719F" w:rsidRPr="00D73174" w14:paraId="7B20BE46" w14:textId="77777777" w:rsidTr="00405890">
        <w:tc>
          <w:tcPr>
            <w:tcW w:w="4152" w:type="dxa"/>
          </w:tcPr>
          <w:p w14:paraId="01759CA9" w14:textId="6530BE84" w:rsidR="0093719F" w:rsidRPr="00D73174" w:rsidRDefault="0079064E" w:rsidP="00602747">
            <w:pPr>
              <w:spacing w:line="360" w:lineRule="auto"/>
              <w:rPr>
                <w:sz w:val="24"/>
                <w:szCs w:val="24"/>
              </w:rPr>
            </w:pPr>
            <w:r w:rsidRPr="00D73174">
              <w:rPr>
                <w:sz w:val="24"/>
                <w:szCs w:val="24"/>
              </w:rPr>
              <w:t>Weeks 13-16</w:t>
            </w:r>
          </w:p>
        </w:tc>
        <w:tc>
          <w:tcPr>
            <w:tcW w:w="4370" w:type="dxa"/>
          </w:tcPr>
          <w:p w14:paraId="1807B7BE" w14:textId="088F2521" w:rsidR="0093719F" w:rsidRPr="00D73174" w:rsidRDefault="0079064E" w:rsidP="00602747">
            <w:pPr>
              <w:spacing w:line="360" w:lineRule="auto"/>
              <w:rPr>
                <w:sz w:val="24"/>
                <w:szCs w:val="24"/>
              </w:rPr>
            </w:pPr>
            <w:r w:rsidRPr="00D73174">
              <w:rPr>
                <w:sz w:val="24"/>
                <w:szCs w:val="24"/>
              </w:rPr>
              <w:t>Draft dissertation chapters; integrate supervisor feedback; revise</w:t>
            </w:r>
            <w:r w:rsidRPr="00D73174">
              <w:rPr>
                <w:sz w:val="24"/>
                <w:szCs w:val="24"/>
              </w:rPr>
              <w:t>.</w:t>
            </w:r>
          </w:p>
        </w:tc>
      </w:tr>
    </w:tbl>
    <w:p w14:paraId="5EC76B6D" w14:textId="000C8D21" w:rsidR="00DD5D2A" w:rsidRDefault="00405890" w:rsidP="00602747">
      <w:pPr>
        <w:spacing w:line="360" w:lineRule="auto"/>
        <w:ind w:left="720"/>
        <w:rPr>
          <w:sz w:val="24"/>
          <w:szCs w:val="24"/>
        </w:rPr>
      </w:pPr>
      <w:r w:rsidRPr="00D73174">
        <w:rPr>
          <w:sz w:val="24"/>
          <w:szCs w:val="24"/>
        </w:rPr>
        <w:t>No data will be gathered before formal ethics approval and supervisor sign-off</w:t>
      </w:r>
    </w:p>
    <w:p w14:paraId="1482CF36" w14:textId="77777777" w:rsidR="004B3C79" w:rsidRDefault="004B3C79" w:rsidP="00602747">
      <w:pPr>
        <w:spacing w:line="360" w:lineRule="auto"/>
        <w:ind w:left="720"/>
        <w:rPr>
          <w:sz w:val="24"/>
          <w:szCs w:val="24"/>
        </w:rPr>
      </w:pPr>
    </w:p>
    <w:p w14:paraId="2872776F" w14:textId="77777777" w:rsidR="004B3C79" w:rsidRDefault="004B3C79" w:rsidP="00602747">
      <w:pPr>
        <w:spacing w:line="360" w:lineRule="auto"/>
        <w:ind w:left="720"/>
        <w:rPr>
          <w:sz w:val="24"/>
          <w:szCs w:val="24"/>
        </w:rPr>
      </w:pPr>
    </w:p>
    <w:p w14:paraId="5DA74912" w14:textId="3CE68F32" w:rsidR="004B3C79" w:rsidRDefault="004B3C79" w:rsidP="00602747">
      <w:pPr>
        <w:spacing w:line="360" w:lineRule="auto"/>
        <w:ind w:left="720"/>
        <w:rPr>
          <w:sz w:val="24"/>
          <w:szCs w:val="24"/>
        </w:rPr>
      </w:pPr>
      <w:r>
        <w:rPr>
          <w:sz w:val="24"/>
          <w:szCs w:val="24"/>
        </w:rPr>
        <w:t>Word count- 1350</w:t>
      </w:r>
    </w:p>
    <w:p w14:paraId="436C925F" w14:textId="77777777" w:rsidR="004B3C79" w:rsidRDefault="004B3C79" w:rsidP="00602747">
      <w:pPr>
        <w:spacing w:line="360" w:lineRule="auto"/>
        <w:ind w:left="720"/>
        <w:rPr>
          <w:sz w:val="24"/>
          <w:szCs w:val="24"/>
        </w:rPr>
      </w:pPr>
    </w:p>
    <w:p w14:paraId="7C750E70" w14:textId="77777777" w:rsidR="004B3C79" w:rsidRDefault="004B3C79" w:rsidP="00602747">
      <w:pPr>
        <w:spacing w:line="360" w:lineRule="auto"/>
        <w:ind w:left="720"/>
        <w:rPr>
          <w:sz w:val="24"/>
          <w:szCs w:val="24"/>
        </w:rPr>
      </w:pPr>
    </w:p>
    <w:p w14:paraId="73CC7B25" w14:textId="77777777" w:rsidR="004B3C79" w:rsidRDefault="004B3C79" w:rsidP="00602747">
      <w:pPr>
        <w:spacing w:line="360" w:lineRule="auto"/>
        <w:ind w:left="720"/>
        <w:rPr>
          <w:sz w:val="24"/>
          <w:szCs w:val="24"/>
        </w:rPr>
      </w:pPr>
    </w:p>
    <w:p w14:paraId="5675996B" w14:textId="77777777" w:rsidR="004B3C79" w:rsidRDefault="004B3C79" w:rsidP="00602747">
      <w:pPr>
        <w:spacing w:line="360" w:lineRule="auto"/>
        <w:ind w:left="720"/>
        <w:rPr>
          <w:sz w:val="24"/>
          <w:szCs w:val="24"/>
        </w:rPr>
      </w:pPr>
    </w:p>
    <w:p w14:paraId="19F7ED3B" w14:textId="77777777" w:rsidR="004B3C79" w:rsidRDefault="004B3C79" w:rsidP="00602747">
      <w:pPr>
        <w:spacing w:line="360" w:lineRule="auto"/>
        <w:ind w:left="720"/>
        <w:rPr>
          <w:sz w:val="24"/>
          <w:szCs w:val="24"/>
        </w:rPr>
      </w:pPr>
    </w:p>
    <w:p w14:paraId="67431ABE" w14:textId="77777777" w:rsidR="004B3C79" w:rsidRDefault="004B3C79" w:rsidP="00602747">
      <w:pPr>
        <w:spacing w:line="360" w:lineRule="auto"/>
        <w:ind w:left="720"/>
        <w:rPr>
          <w:sz w:val="24"/>
          <w:szCs w:val="24"/>
        </w:rPr>
      </w:pPr>
    </w:p>
    <w:p w14:paraId="2290FDAE" w14:textId="77777777" w:rsidR="004B3C79" w:rsidRDefault="004B3C79" w:rsidP="00602747">
      <w:pPr>
        <w:spacing w:line="360" w:lineRule="auto"/>
        <w:ind w:left="720"/>
        <w:rPr>
          <w:sz w:val="24"/>
          <w:szCs w:val="24"/>
        </w:rPr>
      </w:pPr>
    </w:p>
    <w:p w14:paraId="2C5A77F0" w14:textId="77777777" w:rsidR="004B3C79" w:rsidRDefault="004B3C79" w:rsidP="00602747">
      <w:pPr>
        <w:spacing w:line="360" w:lineRule="auto"/>
        <w:ind w:left="720"/>
        <w:rPr>
          <w:sz w:val="24"/>
          <w:szCs w:val="24"/>
        </w:rPr>
      </w:pPr>
    </w:p>
    <w:p w14:paraId="1D98DDE9" w14:textId="77777777" w:rsidR="004B3C79" w:rsidRDefault="004B3C79" w:rsidP="00602747">
      <w:pPr>
        <w:spacing w:line="360" w:lineRule="auto"/>
        <w:ind w:left="720"/>
        <w:rPr>
          <w:sz w:val="24"/>
          <w:szCs w:val="24"/>
        </w:rPr>
      </w:pPr>
    </w:p>
    <w:p w14:paraId="0BA977C7" w14:textId="77777777" w:rsidR="004B3C79" w:rsidRDefault="004B3C79" w:rsidP="00602747">
      <w:pPr>
        <w:spacing w:line="360" w:lineRule="auto"/>
        <w:ind w:left="720"/>
        <w:rPr>
          <w:sz w:val="24"/>
          <w:szCs w:val="24"/>
        </w:rPr>
      </w:pPr>
    </w:p>
    <w:p w14:paraId="23EDD4DD" w14:textId="77777777" w:rsidR="004B3C79" w:rsidRPr="004B3C79" w:rsidRDefault="004B3C79" w:rsidP="00602747">
      <w:pPr>
        <w:spacing w:after="240" w:line="360" w:lineRule="auto"/>
        <w:outlineLvl w:val="0"/>
        <w:rPr>
          <w:rFonts w:ascii="Times New Roman" w:eastAsia="Times New Roman" w:hAnsi="Times New Roman" w:cs="Times New Roman"/>
          <w:b/>
          <w:bCs/>
          <w:kern w:val="36"/>
          <w:sz w:val="36"/>
          <w:szCs w:val="36"/>
          <w:lang w:eastAsia="en-GB"/>
          <w14:ligatures w14:val="none"/>
        </w:rPr>
      </w:pPr>
      <w:r w:rsidRPr="004B3C79">
        <w:rPr>
          <w:rFonts w:ascii="Times New Roman" w:eastAsia="Times New Roman" w:hAnsi="Times New Roman" w:cs="Times New Roman"/>
          <w:b/>
          <w:bCs/>
          <w:kern w:val="36"/>
          <w:sz w:val="36"/>
          <w:szCs w:val="36"/>
          <w:lang w:eastAsia="en-GB"/>
          <w14:ligatures w14:val="none"/>
        </w:rPr>
        <w:t>Reference list</w:t>
      </w:r>
    </w:p>
    <w:p w14:paraId="760BF8D3"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Becker, C., Lauterbach, G., Spengler, S., Dettweiler, U. and Mess, F. (2017). Effects of Regular Classes in Outdoor Education Settings: A Systematic Review on Students’ Learning, </w:t>
      </w:r>
      <w:r w:rsidRPr="004B3C79">
        <w:rPr>
          <w:rFonts w:ascii="Times New Roman" w:eastAsia="Times New Roman" w:hAnsi="Times New Roman" w:cs="Times New Roman"/>
          <w:kern w:val="0"/>
          <w:sz w:val="24"/>
          <w:szCs w:val="24"/>
          <w:lang w:eastAsia="en-GB"/>
          <w14:ligatures w14:val="none"/>
        </w:rPr>
        <w:lastRenderedPageBreak/>
        <w:t xml:space="preserve">Social and Health Dimensions. </w:t>
      </w:r>
      <w:r w:rsidRPr="004B3C79">
        <w:rPr>
          <w:rFonts w:ascii="Times New Roman" w:eastAsia="Times New Roman" w:hAnsi="Times New Roman" w:cs="Times New Roman"/>
          <w:i/>
          <w:iCs/>
          <w:kern w:val="0"/>
          <w:sz w:val="24"/>
          <w:szCs w:val="24"/>
          <w:lang w:eastAsia="en-GB"/>
          <w14:ligatures w14:val="none"/>
        </w:rPr>
        <w:t>International Journal of Environmental Research and Public Health</w:t>
      </w:r>
      <w:r w:rsidRPr="004B3C79">
        <w:rPr>
          <w:rFonts w:ascii="Times New Roman" w:eastAsia="Times New Roman" w:hAnsi="Times New Roman" w:cs="Times New Roman"/>
          <w:kern w:val="0"/>
          <w:sz w:val="24"/>
          <w:szCs w:val="24"/>
          <w:lang w:eastAsia="en-GB"/>
          <w14:ligatures w14:val="none"/>
        </w:rPr>
        <w:t>, 14(5), p.485.</w:t>
      </w:r>
    </w:p>
    <w:p w14:paraId="4455AEFD"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Department For Education (2022). </w:t>
      </w:r>
      <w:r w:rsidRPr="004B3C79">
        <w:rPr>
          <w:rFonts w:ascii="Times New Roman" w:eastAsia="Times New Roman" w:hAnsi="Times New Roman" w:cs="Times New Roman"/>
          <w:i/>
          <w:iCs/>
          <w:kern w:val="0"/>
          <w:sz w:val="24"/>
          <w:szCs w:val="24"/>
          <w:lang w:eastAsia="en-GB"/>
          <w14:ligatures w14:val="none"/>
        </w:rPr>
        <w:t xml:space="preserve">Sustainability and Climate Change </w:t>
      </w:r>
      <w:proofErr w:type="gramStart"/>
      <w:r w:rsidRPr="004B3C79">
        <w:rPr>
          <w:rFonts w:ascii="Times New Roman" w:eastAsia="Times New Roman" w:hAnsi="Times New Roman" w:cs="Times New Roman"/>
          <w:i/>
          <w:iCs/>
          <w:kern w:val="0"/>
          <w:sz w:val="24"/>
          <w:szCs w:val="24"/>
          <w:lang w:eastAsia="en-GB"/>
          <w14:ligatures w14:val="none"/>
        </w:rPr>
        <w:t xml:space="preserve">Strategy </w:t>
      </w:r>
      <w:r w:rsidRPr="004B3C79">
        <w:rPr>
          <w:rFonts w:ascii="Times New Roman" w:eastAsia="Times New Roman" w:hAnsi="Times New Roman" w:cs="Times New Roman"/>
          <w:kern w:val="0"/>
          <w:sz w:val="24"/>
          <w:szCs w:val="24"/>
          <w:lang w:eastAsia="en-GB"/>
          <w14:ligatures w14:val="none"/>
        </w:rPr>
        <w:t>.</w:t>
      </w:r>
      <w:proofErr w:type="gramEnd"/>
      <w:r w:rsidRPr="004B3C79">
        <w:rPr>
          <w:rFonts w:ascii="Times New Roman" w:eastAsia="Times New Roman" w:hAnsi="Times New Roman" w:cs="Times New Roman"/>
          <w:kern w:val="0"/>
          <w:sz w:val="24"/>
          <w:szCs w:val="24"/>
          <w:lang w:eastAsia="en-GB"/>
          <w14:ligatures w14:val="none"/>
        </w:rPr>
        <w:t xml:space="preserve"> [online] Available at: https://qna.files.parliament.uk/ws-attachments/1459027/original/Sustainability%20and%20Climate%20Change%20Strategy%20APRIL%202022.pdf.</w:t>
      </w:r>
    </w:p>
    <w:p w14:paraId="2626EEF6"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Department For Education (2023). </w:t>
      </w:r>
      <w:r w:rsidRPr="004B3C79">
        <w:rPr>
          <w:rFonts w:ascii="Times New Roman" w:eastAsia="Times New Roman" w:hAnsi="Times New Roman" w:cs="Times New Roman"/>
          <w:i/>
          <w:iCs/>
          <w:kern w:val="0"/>
          <w:sz w:val="24"/>
          <w:szCs w:val="24"/>
          <w:lang w:eastAsia="en-GB"/>
          <w14:ligatures w14:val="none"/>
        </w:rPr>
        <w:t>Sustainability and Climate Change Strategy: our progress so far</w:t>
      </w:r>
      <w:r w:rsidRPr="004B3C79">
        <w:rPr>
          <w:rFonts w:ascii="Times New Roman" w:eastAsia="Times New Roman" w:hAnsi="Times New Roman" w:cs="Times New Roman"/>
          <w:kern w:val="0"/>
          <w:sz w:val="24"/>
          <w:szCs w:val="24"/>
          <w:lang w:eastAsia="en-GB"/>
          <w14:ligatures w14:val="none"/>
        </w:rPr>
        <w:t>. [online] Available at: https://assets.publishing.service.gov.uk/media/658188b323b70a0013234bdb/Sustainability_and_climate_change_strategy_-_our_progress_so_far__December_2023.pdf.</w:t>
      </w:r>
    </w:p>
    <w:p w14:paraId="3EAA1F0C"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Department for Education (2014). </w:t>
      </w:r>
      <w:r w:rsidRPr="004B3C79">
        <w:rPr>
          <w:rFonts w:ascii="Times New Roman" w:eastAsia="Times New Roman" w:hAnsi="Times New Roman" w:cs="Times New Roman"/>
          <w:i/>
          <w:iCs/>
          <w:kern w:val="0"/>
          <w:sz w:val="24"/>
          <w:szCs w:val="24"/>
          <w:lang w:eastAsia="en-GB"/>
          <w14:ligatures w14:val="none"/>
        </w:rPr>
        <w:t>National curriculum in England: framework for key stages 1 to 4</w:t>
      </w:r>
      <w:r w:rsidRPr="004B3C79">
        <w:rPr>
          <w:rFonts w:ascii="Times New Roman" w:eastAsia="Times New Roman" w:hAnsi="Times New Roman" w:cs="Times New Roman"/>
          <w:kern w:val="0"/>
          <w:sz w:val="24"/>
          <w:szCs w:val="24"/>
          <w:lang w:eastAsia="en-GB"/>
          <w14:ligatures w14:val="none"/>
        </w:rPr>
        <w:t>. [online] GOV.UK. Available at: https://www.gov.uk/government/publications/national-curriculum-in-england-framework-for-key-stages-1-to-4.</w:t>
      </w:r>
    </w:p>
    <w:p w14:paraId="1F75D45F"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Department of Education (2017). </w:t>
      </w:r>
      <w:r w:rsidRPr="004B3C79">
        <w:rPr>
          <w:rFonts w:ascii="Times New Roman" w:eastAsia="Times New Roman" w:hAnsi="Times New Roman" w:cs="Times New Roman"/>
          <w:i/>
          <w:iCs/>
          <w:kern w:val="0"/>
          <w:sz w:val="24"/>
          <w:szCs w:val="24"/>
          <w:lang w:eastAsia="en-GB"/>
          <w14:ligatures w14:val="none"/>
        </w:rPr>
        <w:t>Statutory Curriculum | Department of Education</w:t>
      </w:r>
      <w:r w:rsidRPr="004B3C79">
        <w:rPr>
          <w:rFonts w:ascii="Times New Roman" w:eastAsia="Times New Roman" w:hAnsi="Times New Roman" w:cs="Times New Roman"/>
          <w:kern w:val="0"/>
          <w:sz w:val="24"/>
          <w:szCs w:val="24"/>
          <w:lang w:eastAsia="en-GB"/>
          <w14:ligatures w14:val="none"/>
        </w:rPr>
        <w:t>. [online] Department of Education. Available at: https://www.education-ni.gov.uk/articles/statutory-curriculum.</w:t>
      </w:r>
    </w:p>
    <w:p w14:paraId="0660FF28"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Estyn (2023). </w:t>
      </w:r>
      <w:r w:rsidRPr="004B3C79">
        <w:rPr>
          <w:rFonts w:ascii="Times New Roman" w:eastAsia="Times New Roman" w:hAnsi="Times New Roman" w:cs="Times New Roman"/>
          <w:i/>
          <w:iCs/>
          <w:kern w:val="0"/>
          <w:sz w:val="24"/>
          <w:szCs w:val="24"/>
          <w:lang w:eastAsia="en-GB"/>
          <w14:ligatures w14:val="none"/>
        </w:rPr>
        <w:t>High quality outdoor learning and experiences - Estyn</w:t>
      </w:r>
      <w:r w:rsidRPr="004B3C79">
        <w:rPr>
          <w:rFonts w:ascii="Times New Roman" w:eastAsia="Times New Roman" w:hAnsi="Times New Roman" w:cs="Times New Roman"/>
          <w:kern w:val="0"/>
          <w:sz w:val="24"/>
          <w:szCs w:val="24"/>
          <w:lang w:eastAsia="en-GB"/>
          <w14:ligatures w14:val="none"/>
        </w:rPr>
        <w:t>. [online] Estyn. Available at: https://estyn.gov.wales/improvement-resources/high-quality-outdoor-learning-and-experiences/.</w:t>
      </w:r>
    </w:p>
    <w:p w14:paraId="52294F50"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Estyn (2024). </w:t>
      </w:r>
      <w:r w:rsidRPr="004B3C79">
        <w:rPr>
          <w:rFonts w:ascii="Times New Roman" w:eastAsia="Times New Roman" w:hAnsi="Times New Roman" w:cs="Times New Roman"/>
          <w:i/>
          <w:iCs/>
          <w:kern w:val="0"/>
          <w:sz w:val="24"/>
          <w:szCs w:val="24"/>
          <w:lang w:eastAsia="en-GB"/>
          <w14:ligatures w14:val="none"/>
        </w:rPr>
        <w:t>Effective use of the outdoor areas to develop pupils’ skills across the curriculum - Estyn</w:t>
      </w:r>
      <w:r w:rsidRPr="004B3C79">
        <w:rPr>
          <w:rFonts w:ascii="Times New Roman" w:eastAsia="Times New Roman" w:hAnsi="Times New Roman" w:cs="Times New Roman"/>
          <w:kern w:val="0"/>
          <w:sz w:val="24"/>
          <w:szCs w:val="24"/>
          <w:lang w:eastAsia="en-GB"/>
          <w14:ligatures w14:val="none"/>
        </w:rPr>
        <w:t>. [online] Estyn. Available at: https://estyn.gov.wales/improvement-resources/effective-use-of-the-outdoor-areas-to-develop-pupils-skills-across-the-curriculum-2/.</w:t>
      </w:r>
    </w:p>
    <w:p w14:paraId="15D4893B"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Fox, R. and Thomas, G. (2022). </w:t>
      </w:r>
      <w:proofErr w:type="gramStart"/>
      <w:r w:rsidRPr="004B3C79">
        <w:rPr>
          <w:rFonts w:ascii="Times New Roman" w:eastAsia="Times New Roman" w:hAnsi="Times New Roman" w:cs="Times New Roman"/>
          <w:kern w:val="0"/>
          <w:sz w:val="24"/>
          <w:szCs w:val="24"/>
          <w:lang w:eastAsia="en-GB"/>
          <w14:ligatures w14:val="none"/>
        </w:rPr>
        <w:t>Is</w:t>
      </w:r>
      <w:proofErr w:type="gramEnd"/>
      <w:r w:rsidRPr="004B3C79">
        <w:rPr>
          <w:rFonts w:ascii="Times New Roman" w:eastAsia="Times New Roman" w:hAnsi="Times New Roman" w:cs="Times New Roman"/>
          <w:kern w:val="0"/>
          <w:sz w:val="24"/>
          <w:szCs w:val="24"/>
          <w:lang w:eastAsia="en-GB"/>
          <w14:ligatures w14:val="none"/>
        </w:rPr>
        <w:t xml:space="preserve"> climate change the ‘elephant in the room’ for outdoor environmental </w:t>
      </w:r>
      <w:proofErr w:type="gramStart"/>
      <w:r w:rsidRPr="004B3C79">
        <w:rPr>
          <w:rFonts w:ascii="Times New Roman" w:eastAsia="Times New Roman" w:hAnsi="Times New Roman" w:cs="Times New Roman"/>
          <w:kern w:val="0"/>
          <w:sz w:val="24"/>
          <w:szCs w:val="24"/>
          <w:lang w:eastAsia="en-GB"/>
          <w14:ligatures w14:val="none"/>
        </w:rPr>
        <w:t>education?.</w:t>
      </w:r>
      <w:proofErr w:type="gramEnd"/>
      <w:r w:rsidRPr="004B3C79">
        <w:rPr>
          <w:rFonts w:ascii="Times New Roman" w:eastAsia="Times New Roman" w:hAnsi="Times New Roman" w:cs="Times New Roman"/>
          <w:kern w:val="0"/>
          <w:sz w:val="24"/>
          <w:szCs w:val="24"/>
          <w:lang w:eastAsia="en-GB"/>
          <w14:ligatures w14:val="none"/>
        </w:rPr>
        <w:t xml:space="preserve"> </w:t>
      </w:r>
      <w:r w:rsidRPr="004B3C79">
        <w:rPr>
          <w:rFonts w:ascii="Times New Roman" w:eastAsia="Times New Roman" w:hAnsi="Times New Roman" w:cs="Times New Roman"/>
          <w:i/>
          <w:iCs/>
          <w:kern w:val="0"/>
          <w:sz w:val="24"/>
          <w:szCs w:val="24"/>
          <w:lang w:eastAsia="en-GB"/>
          <w14:ligatures w14:val="none"/>
        </w:rPr>
        <w:t>Journal of Outdoor and Environmental Education</w:t>
      </w:r>
      <w:r w:rsidRPr="004B3C79">
        <w:rPr>
          <w:rFonts w:ascii="Times New Roman" w:eastAsia="Times New Roman" w:hAnsi="Times New Roman" w:cs="Times New Roman"/>
          <w:kern w:val="0"/>
          <w:sz w:val="24"/>
          <w:szCs w:val="24"/>
          <w:lang w:eastAsia="en-GB"/>
          <w14:ligatures w14:val="none"/>
        </w:rPr>
        <w:t xml:space="preserve">, 26, pp.167–187. </w:t>
      </w:r>
      <w:proofErr w:type="spellStart"/>
      <w:proofErr w:type="gramStart"/>
      <w:r w:rsidRPr="004B3C79">
        <w:rPr>
          <w:rFonts w:ascii="Times New Roman" w:eastAsia="Times New Roman" w:hAnsi="Times New Roman" w:cs="Times New Roman"/>
          <w:kern w:val="0"/>
          <w:sz w:val="24"/>
          <w:szCs w:val="24"/>
          <w:lang w:eastAsia="en-GB"/>
          <w14:ligatures w14:val="none"/>
        </w:rPr>
        <w:t>doi:https</w:t>
      </w:r>
      <w:proofErr w:type="spellEnd"/>
      <w:r w:rsidRPr="004B3C79">
        <w:rPr>
          <w:rFonts w:ascii="Times New Roman" w:eastAsia="Times New Roman" w:hAnsi="Times New Roman" w:cs="Times New Roman"/>
          <w:kern w:val="0"/>
          <w:sz w:val="24"/>
          <w:szCs w:val="24"/>
          <w:lang w:eastAsia="en-GB"/>
          <w14:ligatures w14:val="none"/>
        </w:rPr>
        <w:t>://doi.org/10.1007/s42322-022-00119-9</w:t>
      </w:r>
      <w:proofErr w:type="gramEnd"/>
      <w:r w:rsidRPr="004B3C79">
        <w:rPr>
          <w:rFonts w:ascii="Times New Roman" w:eastAsia="Times New Roman" w:hAnsi="Times New Roman" w:cs="Times New Roman"/>
          <w:kern w:val="0"/>
          <w:sz w:val="24"/>
          <w:szCs w:val="24"/>
          <w:lang w:eastAsia="en-GB"/>
          <w14:ligatures w14:val="none"/>
        </w:rPr>
        <w:t>.</w:t>
      </w:r>
    </w:p>
    <w:p w14:paraId="15A155C2"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lastRenderedPageBreak/>
        <w:t xml:space="preserve">Gallay, E., Furlan Brighente, M., Flanagan, C. and Lowenstein, E. (2021). Place‐based civic science—collective environmental action and solidarity for eco‐resilience. </w:t>
      </w:r>
      <w:r w:rsidRPr="004B3C79">
        <w:rPr>
          <w:rFonts w:ascii="Times New Roman" w:eastAsia="Times New Roman" w:hAnsi="Times New Roman" w:cs="Times New Roman"/>
          <w:i/>
          <w:iCs/>
          <w:kern w:val="0"/>
          <w:sz w:val="24"/>
          <w:szCs w:val="24"/>
          <w:lang w:eastAsia="en-GB"/>
          <w14:ligatures w14:val="none"/>
        </w:rPr>
        <w:t>Child and Adolescent Mental Health</w:t>
      </w:r>
      <w:r w:rsidRPr="004B3C79">
        <w:rPr>
          <w:rFonts w:ascii="Times New Roman" w:eastAsia="Times New Roman" w:hAnsi="Times New Roman" w:cs="Times New Roman"/>
          <w:kern w:val="0"/>
          <w:sz w:val="24"/>
          <w:szCs w:val="24"/>
          <w:lang w:eastAsia="en-GB"/>
          <w14:ligatures w14:val="none"/>
        </w:rPr>
        <w:t xml:space="preserve">, 27(1), pp.39–46. </w:t>
      </w:r>
      <w:proofErr w:type="spellStart"/>
      <w:proofErr w:type="gramStart"/>
      <w:r w:rsidRPr="004B3C79">
        <w:rPr>
          <w:rFonts w:ascii="Times New Roman" w:eastAsia="Times New Roman" w:hAnsi="Times New Roman" w:cs="Times New Roman"/>
          <w:kern w:val="0"/>
          <w:sz w:val="24"/>
          <w:szCs w:val="24"/>
          <w:lang w:eastAsia="en-GB"/>
          <w14:ligatures w14:val="none"/>
        </w:rPr>
        <w:t>doi:https</w:t>
      </w:r>
      <w:proofErr w:type="spellEnd"/>
      <w:r w:rsidRPr="004B3C79">
        <w:rPr>
          <w:rFonts w:ascii="Times New Roman" w:eastAsia="Times New Roman" w:hAnsi="Times New Roman" w:cs="Times New Roman"/>
          <w:kern w:val="0"/>
          <w:sz w:val="24"/>
          <w:szCs w:val="24"/>
          <w:lang w:eastAsia="en-GB"/>
          <w14:ligatures w14:val="none"/>
        </w:rPr>
        <w:t>://doi.org/10.1111/camh.12537</w:t>
      </w:r>
      <w:proofErr w:type="gramEnd"/>
      <w:r w:rsidRPr="004B3C79">
        <w:rPr>
          <w:rFonts w:ascii="Times New Roman" w:eastAsia="Times New Roman" w:hAnsi="Times New Roman" w:cs="Times New Roman"/>
          <w:kern w:val="0"/>
          <w:sz w:val="24"/>
          <w:szCs w:val="24"/>
          <w:lang w:eastAsia="en-GB"/>
          <w14:ligatures w14:val="none"/>
        </w:rPr>
        <w:t>.</w:t>
      </w:r>
    </w:p>
    <w:p w14:paraId="6963A53A"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Gruenewald, D.A. (2003). The Best of Both Worlds: </w:t>
      </w:r>
      <w:proofErr w:type="gramStart"/>
      <w:r w:rsidRPr="004B3C79">
        <w:rPr>
          <w:rFonts w:ascii="Times New Roman" w:eastAsia="Times New Roman" w:hAnsi="Times New Roman" w:cs="Times New Roman"/>
          <w:kern w:val="0"/>
          <w:sz w:val="24"/>
          <w:szCs w:val="24"/>
          <w:lang w:eastAsia="en-GB"/>
          <w14:ligatures w14:val="none"/>
        </w:rPr>
        <w:t>a</w:t>
      </w:r>
      <w:proofErr w:type="gramEnd"/>
      <w:r w:rsidRPr="004B3C79">
        <w:rPr>
          <w:rFonts w:ascii="Times New Roman" w:eastAsia="Times New Roman" w:hAnsi="Times New Roman" w:cs="Times New Roman"/>
          <w:kern w:val="0"/>
          <w:sz w:val="24"/>
          <w:szCs w:val="24"/>
          <w:lang w:eastAsia="en-GB"/>
          <w14:ligatures w14:val="none"/>
        </w:rPr>
        <w:t xml:space="preserve"> Critical Pedagogy of Place. </w:t>
      </w:r>
      <w:r w:rsidRPr="004B3C79">
        <w:rPr>
          <w:rFonts w:ascii="Times New Roman" w:eastAsia="Times New Roman" w:hAnsi="Times New Roman" w:cs="Times New Roman"/>
          <w:i/>
          <w:iCs/>
          <w:kern w:val="0"/>
          <w:sz w:val="24"/>
          <w:szCs w:val="24"/>
          <w:lang w:eastAsia="en-GB"/>
          <w14:ligatures w14:val="none"/>
        </w:rPr>
        <w:t>Educational Researcher</w:t>
      </w:r>
      <w:r w:rsidRPr="004B3C79">
        <w:rPr>
          <w:rFonts w:ascii="Times New Roman" w:eastAsia="Times New Roman" w:hAnsi="Times New Roman" w:cs="Times New Roman"/>
          <w:kern w:val="0"/>
          <w:sz w:val="24"/>
          <w:szCs w:val="24"/>
          <w:lang w:eastAsia="en-GB"/>
          <w14:ligatures w14:val="none"/>
        </w:rPr>
        <w:t xml:space="preserve">, [online] 32(4), pp.3–12. </w:t>
      </w:r>
      <w:proofErr w:type="spellStart"/>
      <w:proofErr w:type="gramStart"/>
      <w:r w:rsidRPr="004B3C79">
        <w:rPr>
          <w:rFonts w:ascii="Times New Roman" w:eastAsia="Times New Roman" w:hAnsi="Times New Roman" w:cs="Times New Roman"/>
          <w:kern w:val="0"/>
          <w:sz w:val="24"/>
          <w:szCs w:val="24"/>
          <w:lang w:eastAsia="en-GB"/>
          <w14:ligatures w14:val="none"/>
        </w:rPr>
        <w:t>doi:https</w:t>
      </w:r>
      <w:proofErr w:type="spellEnd"/>
      <w:r w:rsidRPr="004B3C79">
        <w:rPr>
          <w:rFonts w:ascii="Times New Roman" w:eastAsia="Times New Roman" w:hAnsi="Times New Roman" w:cs="Times New Roman"/>
          <w:kern w:val="0"/>
          <w:sz w:val="24"/>
          <w:szCs w:val="24"/>
          <w:lang w:eastAsia="en-GB"/>
          <w14:ligatures w14:val="none"/>
        </w:rPr>
        <w:t>://doi.org/10.3102/0013189x032004003</w:t>
      </w:r>
      <w:proofErr w:type="gramEnd"/>
      <w:r w:rsidRPr="004B3C79">
        <w:rPr>
          <w:rFonts w:ascii="Times New Roman" w:eastAsia="Times New Roman" w:hAnsi="Times New Roman" w:cs="Times New Roman"/>
          <w:kern w:val="0"/>
          <w:sz w:val="24"/>
          <w:szCs w:val="24"/>
          <w:lang w:eastAsia="en-GB"/>
          <w14:ligatures w14:val="none"/>
        </w:rPr>
        <w:t>.</w:t>
      </w:r>
    </w:p>
    <w:p w14:paraId="2EC6934A"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Mann, J., Gray, T., Truong, S., Brymer, E., Passy, R., Ho, S., Sahlberg, P., Ward, K., Bentsen, P., Curry, C. and Cowper, R. (2022). Getting out of the </w:t>
      </w:r>
      <w:proofErr w:type="gramStart"/>
      <w:r w:rsidRPr="004B3C79">
        <w:rPr>
          <w:rFonts w:ascii="Times New Roman" w:eastAsia="Times New Roman" w:hAnsi="Times New Roman" w:cs="Times New Roman"/>
          <w:kern w:val="0"/>
          <w:sz w:val="24"/>
          <w:szCs w:val="24"/>
          <w:lang w:eastAsia="en-GB"/>
          <w14:ligatures w14:val="none"/>
        </w:rPr>
        <w:t>Classroom</w:t>
      </w:r>
      <w:proofErr w:type="gramEnd"/>
      <w:r w:rsidRPr="004B3C79">
        <w:rPr>
          <w:rFonts w:ascii="Times New Roman" w:eastAsia="Times New Roman" w:hAnsi="Times New Roman" w:cs="Times New Roman"/>
          <w:kern w:val="0"/>
          <w:sz w:val="24"/>
          <w:szCs w:val="24"/>
          <w:lang w:eastAsia="en-GB"/>
          <w14:ligatures w14:val="none"/>
        </w:rPr>
        <w:t xml:space="preserve"> and into Nature: </w:t>
      </w:r>
      <w:proofErr w:type="gramStart"/>
      <w:r w:rsidRPr="004B3C79">
        <w:rPr>
          <w:rFonts w:ascii="Times New Roman" w:eastAsia="Times New Roman" w:hAnsi="Times New Roman" w:cs="Times New Roman"/>
          <w:kern w:val="0"/>
          <w:sz w:val="24"/>
          <w:szCs w:val="24"/>
          <w:lang w:eastAsia="en-GB"/>
          <w14:ligatures w14:val="none"/>
        </w:rPr>
        <w:t>a</w:t>
      </w:r>
      <w:proofErr w:type="gramEnd"/>
      <w:r w:rsidRPr="004B3C79">
        <w:rPr>
          <w:rFonts w:ascii="Times New Roman" w:eastAsia="Times New Roman" w:hAnsi="Times New Roman" w:cs="Times New Roman"/>
          <w:kern w:val="0"/>
          <w:sz w:val="24"/>
          <w:szCs w:val="24"/>
          <w:lang w:eastAsia="en-GB"/>
          <w14:ligatures w14:val="none"/>
        </w:rPr>
        <w:t xml:space="preserve"> Systematic Review of Nature-Specific Outdoor Learning on School Children’s Learning and Development. </w:t>
      </w:r>
      <w:r w:rsidRPr="004B3C79">
        <w:rPr>
          <w:rFonts w:ascii="Times New Roman" w:eastAsia="Times New Roman" w:hAnsi="Times New Roman" w:cs="Times New Roman"/>
          <w:i/>
          <w:iCs/>
          <w:kern w:val="0"/>
          <w:sz w:val="24"/>
          <w:szCs w:val="24"/>
          <w:lang w:eastAsia="en-GB"/>
          <w14:ligatures w14:val="none"/>
        </w:rPr>
        <w:t>Frontiers in Public Health</w:t>
      </w:r>
      <w:r w:rsidRPr="004B3C79">
        <w:rPr>
          <w:rFonts w:ascii="Times New Roman" w:eastAsia="Times New Roman" w:hAnsi="Times New Roman" w:cs="Times New Roman"/>
          <w:kern w:val="0"/>
          <w:sz w:val="24"/>
          <w:szCs w:val="24"/>
          <w:lang w:eastAsia="en-GB"/>
          <w14:ligatures w14:val="none"/>
        </w:rPr>
        <w:t xml:space="preserve">, [online] 10(10). </w:t>
      </w:r>
      <w:proofErr w:type="spellStart"/>
      <w:proofErr w:type="gramStart"/>
      <w:r w:rsidRPr="004B3C79">
        <w:rPr>
          <w:rFonts w:ascii="Times New Roman" w:eastAsia="Times New Roman" w:hAnsi="Times New Roman" w:cs="Times New Roman"/>
          <w:kern w:val="0"/>
          <w:sz w:val="24"/>
          <w:szCs w:val="24"/>
          <w:lang w:eastAsia="en-GB"/>
          <w14:ligatures w14:val="none"/>
        </w:rPr>
        <w:t>doi:https</w:t>
      </w:r>
      <w:proofErr w:type="spellEnd"/>
      <w:r w:rsidRPr="004B3C79">
        <w:rPr>
          <w:rFonts w:ascii="Times New Roman" w:eastAsia="Times New Roman" w:hAnsi="Times New Roman" w:cs="Times New Roman"/>
          <w:kern w:val="0"/>
          <w:sz w:val="24"/>
          <w:szCs w:val="24"/>
          <w:lang w:eastAsia="en-GB"/>
          <w14:ligatures w14:val="none"/>
        </w:rPr>
        <w:t>://doi.org/10.3389/fpubh.2022.877058</w:t>
      </w:r>
      <w:proofErr w:type="gramEnd"/>
      <w:r w:rsidRPr="004B3C79">
        <w:rPr>
          <w:rFonts w:ascii="Times New Roman" w:eastAsia="Times New Roman" w:hAnsi="Times New Roman" w:cs="Times New Roman"/>
          <w:kern w:val="0"/>
          <w:sz w:val="24"/>
          <w:szCs w:val="24"/>
          <w:lang w:eastAsia="en-GB"/>
          <w14:ligatures w14:val="none"/>
        </w:rPr>
        <w:t>.</w:t>
      </w:r>
    </w:p>
    <w:p w14:paraId="130D42F8"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NHS (2019). </w:t>
      </w:r>
      <w:r w:rsidRPr="004B3C79">
        <w:rPr>
          <w:rFonts w:ascii="Times New Roman" w:eastAsia="Times New Roman" w:hAnsi="Times New Roman" w:cs="Times New Roman"/>
          <w:i/>
          <w:iCs/>
          <w:kern w:val="0"/>
          <w:sz w:val="24"/>
          <w:szCs w:val="24"/>
          <w:lang w:eastAsia="en-GB"/>
          <w14:ligatures w14:val="none"/>
        </w:rPr>
        <w:t>Research to explore benefits of forest school on children’s mental health | Humber Teaching NHS Foundation Trust</w:t>
      </w:r>
      <w:r w:rsidRPr="004B3C79">
        <w:rPr>
          <w:rFonts w:ascii="Times New Roman" w:eastAsia="Times New Roman" w:hAnsi="Times New Roman" w:cs="Times New Roman"/>
          <w:kern w:val="0"/>
          <w:sz w:val="24"/>
          <w:szCs w:val="24"/>
          <w:lang w:eastAsia="en-GB"/>
          <w14:ligatures w14:val="none"/>
        </w:rPr>
        <w:t>. [online] Humber.nhs.uk. Available at: https://www.humber.nhs.uk/news/research-to-explore-benefits-of-forest-school-on-children-s-mental-health/.</w:t>
      </w:r>
    </w:p>
    <w:p w14:paraId="7ECEE9B3"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Scottish Government (2023). </w:t>
      </w:r>
      <w:r w:rsidRPr="004B3C79">
        <w:rPr>
          <w:rFonts w:ascii="Times New Roman" w:eastAsia="Times New Roman" w:hAnsi="Times New Roman" w:cs="Times New Roman"/>
          <w:i/>
          <w:iCs/>
          <w:kern w:val="0"/>
          <w:sz w:val="24"/>
          <w:szCs w:val="24"/>
          <w:lang w:eastAsia="en-GB"/>
          <w14:ligatures w14:val="none"/>
        </w:rPr>
        <w:t>Target 2030: Scotland’s Learning for Sustainability Action Plan 2023–2030</w:t>
      </w:r>
      <w:r w:rsidRPr="004B3C79">
        <w:rPr>
          <w:rFonts w:ascii="Times New Roman" w:eastAsia="Times New Roman" w:hAnsi="Times New Roman" w:cs="Times New Roman"/>
          <w:kern w:val="0"/>
          <w:sz w:val="24"/>
          <w:szCs w:val="24"/>
          <w:lang w:eastAsia="en-GB"/>
          <w14:ligatures w14:val="none"/>
        </w:rPr>
        <w:t>. [online] Available at: https://www.gov.scot/binaries/content/documents/govscot/publications/strategy-plan/2023/06/target-2030-movement-people-planet-prosperity/documents/target-2030-movement-people-planet-prosperity-scotlands-learning-sustainability-action-plan-2023-2030/target-2030-movement-people-planet-prosperity-scotlands-learning-sustainability-action-plan-2023-2030/govscot%3Adocument/target-2030-movement-people-planet-prosperity-scotlands-learning-sustainability-action-plan-2023-2030.pdf.</w:t>
      </w:r>
    </w:p>
    <w:p w14:paraId="62E86E6A"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Sobel, D. (2004). </w:t>
      </w:r>
      <w:r w:rsidRPr="004B3C79">
        <w:rPr>
          <w:rFonts w:ascii="Times New Roman" w:eastAsia="Times New Roman" w:hAnsi="Times New Roman" w:cs="Times New Roman"/>
          <w:i/>
          <w:iCs/>
          <w:kern w:val="0"/>
          <w:sz w:val="24"/>
          <w:szCs w:val="24"/>
          <w:lang w:eastAsia="en-GB"/>
          <w14:ligatures w14:val="none"/>
        </w:rPr>
        <w:t>Place-Based Education: Connecting Classrooms and Communities</w:t>
      </w:r>
      <w:r w:rsidRPr="004B3C79">
        <w:rPr>
          <w:rFonts w:ascii="Times New Roman" w:eastAsia="Times New Roman" w:hAnsi="Times New Roman" w:cs="Times New Roman"/>
          <w:kern w:val="0"/>
          <w:sz w:val="24"/>
          <w:szCs w:val="24"/>
          <w:lang w:eastAsia="en-GB"/>
          <w14:ligatures w14:val="none"/>
        </w:rPr>
        <w:t>. [online] Available at: Place-Based Education: Connecting Classrooms and Communities.</w:t>
      </w:r>
    </w:p>
    <w:p w14:paraId="09E0B20D"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Welsh Government (2015). </w:t>
      </w:r>
      <w:r w:rsidRPr="004B3C79">
        <w:rPr>
          <w:rFonts w:ascii="Times New Roman" w:eastAsia="Times New Roman" w:hAnsi="Times New Roman" w:cs="Times New Roman"/>
          <w:i/>
          <w:iCs/>
          <w:kern w:val="0"/>
          <w:sz w:val="24"/>
          <w:szCs w:val="24"/>
          <w:lang w:eastAsia="en-GB"/>
          <w14:ligatures w14:val="none"/>
        </w:rPr>
        <w:t>Foundation Phase Framework Curriculum for Wales</w:t>
      </w:r>
      <w:r w:rsidRPr="004B3C79">
        <w:rPr>
          <w:rFonts w:ascii="Times New Roman" w:eastAsia="Times New Roman" w:hAnsi="Times New Roman" w:cs="Times New Roman"/>
          <w:kern w:val="0"/>
          <w:sz w:val="24"/>
          <w:szCs w:val="24"/>
          <w:lang w:eastAsia="en-GB"/>
          <w14:ligatures w14:val="none"/>
        </w:rPr>
        <w:t>. [online] p.2. Available at: https://hwb.gov.wales/storage/d5d8e39c-b534-40cb-a3f5-7e2e126d8077/foundation-phase-framework.pdf.</w:t>
      </w:r>
    </w:p>
    <w:p w14:paraId="0C1B5286"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lastRenderedPageBreak/>
        <w:t xml:space="preserve">Welsh Government (2019). </w:t>
      </w:r>
      <w:r w:rsidRPr="004B3C79">
        <w:rPr>
          <w:rFonts w:ascii="Times New Roman" w:eastAsia="Times New Roman" w:hAnsi="Times New Roman" w:cs="Times New Roman"/>
          <w:i/>
          <w:iCs/>
          <w:kern w:val="0"/>
          <w:sz w:val="24"/>
          <w:szCs w:val="24"/>
          <w:lang w:eastAsia="en-GB"/>
          <w14:ligatures w14:val="none"/>
        </w:rPr>
        <w:t>Humanities: Introduction - Hwb</w:t>
      </w:r>
      <w:r w:rsidRPr="004B3C79">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4B3C79">
        <w:rPr>
          <w:rFonts w:ascii="Times New Roman" w:eastAsia="Times New Roman" w:hAnsi="Times New Roman" w:cs="Times New Roman"/>
          <w:kern w:val="0"/>
          <w:sz w:val="24"/>
          <w:szCs w:val="24"/>
          <w:lang w:eastAsia="en-GB"/>
          <w14:ligatures w14:val="none"/>
        </w:rPr>
        <w:t>hwb.gov.wales</w:t>
      </w:r>
      <w:proofErr w:type="spellEnd"/>
      <w:proofErr w:type="gramEnd"/>
      <w:r w:rsidRPr="004B3C79">
        <w:rPr>
          <w:rFonts w:ascii="Times New Roman" w:eastAsia="Times New Roman" w:hAnsi="Times New Roman" w:cs="Times New Roman"/>
          <w:kern w:val="0"/>
          <w:sz w:val="24"/>
          <w:szCs w:val="24"/>
          <w:lang w:eastAsia="en-GB"/>
          <w14:ligatures w14:val="none"/>
        </w:rPr>
        <w:t>. Available at: https://hwb.gov.wales/curriculum-for-wales/humanities/.</w:t>
      </w:r>
    </w:p>
    <w:p w14:paraId="0F39A232"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Welsh Government (2020). </w:t>
      </w:r>
      <w:r w:rsidRPr="004B3C79">
        <w:rPr>
          <w:rFonts w:ascii="Times New Roman" w:eastAsia="Times New Roman" w:hAnsi="Times New Roman" w:cs="Times New Roman"/>
          <w:i/>
          <w:iCs/>
          <w:kern w:val="0"/>
          <w:sz w:val="24"/>
          <w:szCs w:val="24"/>
          <w:lang w:eastAsia="en-GB"/>
          <w14:ligatures w14:val="none"/>
        </w:rPr>
        <w:t>Health and Well-being: Introduction - Hwb</w:t>
      </w:r>
      <w:r w:rsidRPr="004B3C79">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4B3C79">
        <w:rPr>
          <w:rFonts w:ascii="Times New Roman" w:eastAsia="Times New Roman" w:hAnsi="Times New Roman" w:cs="Times New Roman"/>
          <w:kern w:val="0"/>
          <w:sz w:val="24"/>
          <w:szCs w:val="24"/>
          <w:lang w:eastAsia="en-GB"/>
          <w14:ligatures w14:val="none"/>
        </w:rPr>
        <w:t>hwb.gov.wales</w:t>
      </w:r>
      <w:proofErr w:type="spellEnd"/>
      <w:proofErr w:type="gramEnd"/>
      <w:r w:rsidRPr="004B3C79">
        <w:rPr>
          <w:rFonts w:ascii="Times New Roman" w:eastAsia="Times New Roman" w:hAnsi="Times New Roman" w:cs="Times New Roman"/>
          <w:kern w:val="0"/>
          <w:sz w:val="24"/>
          <w:szCs w:val="24"/>
          <w:lang w:eastAsia="en-GB"/>
          <w14:ligatures w14:val="none"/>
        </w:rPr>
        <w:t>. Available at: https://hwb.gov.wales/curriculum-for-wales/health-and-well-being/.</w:t>
      </w:r>
    </w:p>
    <w:p w14:paraId="310FFE87"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Welsh Government (2022a). </w:t>
      </w:r>
      <w:r w:rsidRPr="004B3C79">
        <w:rPr>
          <w:rFonts w:ascii="Times New Roman" w:eastAsia="Times New Roman" w:hAnsi="Times New Roman" w:cs="Times New Roman"/>
          <w:i/>
          <w:iCs/>
          <w:kern w:val="0"/>
          <w:sz w:val="24"/>
          <w:szCs w:val="24"/>
          <w:lang w:eastAsia="en-GB"/>
          <w14:ligatures w14:val="none"/>
        </w:rPr>
        <w:t>Curriculum for Wales 2022 A guide to Curriculum for Wales</w:t>
      </w:r>
      <w:r w:rsidRPr="004B3C79">
        <w:rPr>
          <w:rFonts w:ascii="Times New Roman" w:eastAsia="Times New Roman" w:hAnsi="Times New Roman" w:cs="Times New Roman"/>
          <w:kern w:val="0"/>
          <w:sz w:val="24"/>
          <w:szCs w:val="24"/>
          <w:lang w:eastAsia="en-GB"/>
          <w14:ligatures w14:val="none"/>
        </w:rPr>
        <w:t>. [online] Available at: https://hwb.gov.wales/storage/f8f9760c-64a1-48ea-80fd-db130ad9050b/a-guide-to-curriculum-for-wales-2022.pdf.</w:t>
      </w:r>
    </w:p>
    <w:p w14:paraId="4DA45AE2" w14:textId="77777777" w:rsidR="004B3C79" w:rsidRPr="004B3C79" w:rsidRDefault="004B3C79" w:rsidP="00602747">
      <w:pPr>
        <w:spacing w:after="240" w:line="360" w:lineRule="auto"/>
        <w:rPr>
          <w:rFonts w:ascii="Times New Roman" w:eastAsia="Times New Roman" w:hAnsi="Times New Roman" w:cs="Times New Roman"/>
          <w:kern w:val="0"/>
          <w:sz w:val="24"/>
          <w:szCs w:val="24"/>
          <w:lang w:eastAsia="en-GB"/>
          <w14:ligatures w14:val="none"/>
        </w:rPr>
      </w:pPr>
      <w:r w:rsidRPr="004B3C79">
        <w:rPr>
          <w:rFonts w:ascii="Times New Roman" w:eastAsia="Times New Roman" w:hAnsi="Times New Roman" w:cs="Times New Roman"/>
          <w:kern w:val="0"/>
          <w:sz w:val="24"/>
          <w:szCs w:val="24"/>
          <w:lang w:eastAsia="en-GB"/>
          <w14:ligatures w14:val="none"/>
        </w:rPr>
        <w:t xml:space="preserve">Welsh Government (2022b). </w:t>
      </w:r>
      <w:r w:rsidRPr="004B3C79">
        <w:rPr>
          <w:rFonts w:ascii="Times New Roman" w:eastAsia="Times New Roman" w:hAnsi="Times New Roman" w:cs="Times New Roman"/>
          <w:i/>
          <w:iCs/>
          <w:kern w:val="0"/>
          <w:sz w:val="24"/>
          <w:szCs w:val="24"/>
          <w:lang w:eastAsia="en-GB"/>
          <w14:ligatures w14:val="none"/>
        </w:rPr>
        <w:t>The Curriculum for Wales – Clarifying the Humanities area in relation to the history of Wales and the world [HTML]</w:t>
      </w:r>
      <w:r w:rsidRPr="004B3C79">
        <w:rPr>
          <w:rFonts w:ascii="Times New Roman" w:eastAsia="Times New Roman" w:hAnsi="Times New Roman" w:cs="Times New Roman"/>
          <w:kern w:val="0"/>
          <w:sz w:val="24"/>
          <w:szCs w:val="24"/>
          <w:lang w:eastAsia="en-GB"/>
          <w14:ligatures w14:val="none"/>
        </w:rPr>
        <w:t>. [online] GOV.WALES. Available at: https://www.gov.wales/curriculum-wales-clarifying-humanities-area-relation-history-wales-and-world-html.</w:t>
      </w:r>
    </w:p>
    <w:p w14:paraId="735EA3F1" w14:textId="77777777" w:rsidR="004B3C79" w:rsidRPr="00D73174" w:rsidRDefault="004B3C79" w:rsidP="0079064E">
      <w:pPr>
        <w:ind w:left="720"/>
        <w:rPr>
          <w:sz w:val="24"/>
          <w:szCs w:val="24"/>
        </w:rPr>
      </w:pPr>
    </w:p>
    <w:p w14:paraId="40F57CDA" w14:textId="77777777" w:rsidR="00DD5D2A" w:rsidRPr="00F30B55" w:rsidRDefault="00DD5D2A" w:rsidP="00F30B55"/>
    <w:p w14:paraId="786E5C83" w14:textId="77777777" w:rsidR="00915B66" w:rsidRDefault="00915B66" w:rsidP="0078774B">
      <w:pPr>
        <w:jc w:val="center"/>
      </w:pPr>
    </w:p>
    <w:sectPr w:rsidR="00915B6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32CFD" w14:textId="77777777" w:rsidR="00F30B55" w:rsidRDefault="00F30B55" w:rsidP="00F30B55">
      <w:pPr>
        <w:spacing w:after="0" w:line="240" w:lineRule="auto"/>
      </w:pPr>
      <w:r>
        <w:separator/>
      </w:r>
    </w:p>
  </w:endnote>
  <w:endnote w:type="continuationSeparator" w:id="0">
    <w:p w14:paraId="706B6968" w14:textId="77777777" w:rsidR="00F30B55" w:rsidRDefault="00F30B55" w:rsidP="00F30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2BE42" w14:textId="77777777" w:rsidR="00F30B55" w:rsidRDefault="00F30B55" w:rsidP="00F30B55">
      <w:pPr>
        <w:spacing w:after="0" w:line="240" w:lineRule="auto"/>
      </w:pPr>
      <w:r>
        <w:separator/>
      </w:r>
    </w:p>
  </w:footnote>
  <w:footnote w:type="continuationSeparator" w:id="0">
    <w:p w14:paraId="6E80CCD6" w14:textId="77777777" w:rsidR="00F30B55" w:rsidRDefault="00F30B55" w:rsidP="00F30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AF5B59" w14:textId="044C8C1C" w:rsidR="00F30B55" w:rsidRPr="00F30B55" w:rsidRDefault="00F30B55" w:rsidP="00F30B55">
    <w:pPr>
      <w:pStyle w:val="Header"/>
    </w:pPr>
    <w:r>
      <w:t>BMSS6007</w:t>
    </w:r>
    <w:r>
      <w:tab/>
    </w:r>
    <w:r>
      <w:tab/>
      <w:t>2306032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C4D25"/>
    <w:multiLevelType w:val="hybridMultilevel"/>
    <w:tmpl w:val="70C81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E172FB"/>
    <w:multiLevelType w:val="multilevel"/>
    <w:tmpl w:val="AAF60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35A24"/>
    <w:multiLevelType w:val="multilevel"/>
    <w:tmpl w:val="CD7CA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EB6351"/>
    <w:multiLevelType w:val="multilevel"/>
    <w:tmpl w:val="EAC8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153712"/>
    <w:multiLevelType w:val="hybridMultilevel"/>
    <w:tmpl w:val="C9C8B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B17EA8"/>
    <w:multiLevelType w:val="multilevel"/>
    <w:tmpl w:val="79844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4009885">
    <w:abstractNumId w:val="1"/>
  </w:num>
  <w:num w:numId="2" w16cid:durableId="1918711329">
    <w:abstractNumId w:val="5"/>
  </w:num>
  <w:num w:numId="3" w16cid:durableId="176040929">
    <w:abstractNumId w:val="2"/>
  </w:num>
  <w:num w:numId="4" w16cid:durableId="1814247297">
    <w:abstractNumId w:val="3"/>
  </w:num>
  <w:num w:numId="5" w16cid:durableId="1319847875">
    <w:abstractNumId w:val="4"/>
  </w:num>
  <w:num w:numId="6" w16cid:durableId="823855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774B"/>
    <w:rsid w:val="00010D10"/>
    <w:rsid w:val="00010EE0"/>
    <w:rsid w:val="000424FC"/>
    <w:rsid w:val="000A38B3"/>
    <w:rsid w:val="000A40A2"/>
    <w:rsid w:val="000B4177"/>
    <w:rsid w:val="000C1052"/>
    <w:rsid w:val="000C7B44"/>
    <w:rsid w:val="000D5F12"/>
    <w:rsid w:val="000E551E"/>
    <w:rsid w:val="000E704A"/>
    <w:rsid w:val="000F07D2"/>
    <w:rsid w:val="00116A26"/>
    <w:rsid w:val="00122985"/>
    <w:rsid w:val="00130698"/>
    <w:rsid w:val="00170943"/>
    <w:rsid w:val="00194FB6"/>
    <w:rsid w:val="0024664D"/>
    <w:rsid w:val="00272E24"/>
    <w:rsid w:val="00287021"/>
    <w:rsid w:val="002A2BC7"/>
    <w:rsid w:val="002D79E9"/>
    <w:rsid w:val="00304977"/>
    <w:rsid w:val="00334660"/>
    <w:rsid w:val="00344E99"/>
    <w:rsid w:val="00355AC0"/>
    <w:rsid w:val="00397557"/>
    <w:rsid w:val="003A7264"/>
    <w:rsid w:val="003C0046"/>
    <w:rsid w:val="003F3528"/>
    <w:rsid w:val="00405890"/>
    <w:rsid w:val="004375B2"/>
    <w:rsid w:val="00442934"/>
    <w:rsid w:val="00444BFB"/>
    <w:rsid w:val="0047012D"/>
    <w:rsid w:val="0048395C"/>
    <w:rsid w:val="004A24A9"/>
    <w:rsid w:val="004B3C79"/>
    <w:rsid w:val="004D7318"/>
    <w:rsid w:val="00500169"/>
    <w:rsid w:val="00522D88"/>
    <w:rsid w:val="005620C1"/>
    <w:rsid w:val="00584BA5"/>
    <w:rsid w:val="0059275F"/>
    <w:rsid w:val="00602747"/>
    <w:rsid w:val="0060717F"/>
    <w:rsid w:val="00617A0E"/>
    <w:rsid w:val="00642A10"/>
    <w:rsid w:val="00664FFD"/>
    <w:rsid w:val="0067012C"/>
    <w:rsid w:val="006931A6"/>
    <w:rsid w:val="006A2D19"/>
    <w:rsid w:val="006B0345"/>
    <w:rsid w:val="006D1655"/>
    <w:rsid w:val="0071456C"/>
    <w:rsid w:val="00787118"/>
    <w:rsid w:val="0078774B"/>
    <w:rsid w:val="0079064E"/>
    <w:rsid w:val="007F7A99"/>
    <w:rsid w:val="00822D96"/>
    <w:rsid w:val="00853D3B"/>
    <w:rsid w:val="00860435"/>
    <w:rsid w:val="00880B3F"/>
    <w:rsid w:val="00882677"/>
    <w:rsid w:val="008D0B0D"/>
    <w:rsid w:val="008D337C"/>
    <w:rsid w:val="008D3476"/>
    <w:rsid w:val="00915B66"/>
    <w:rsid w:val="0093719F"/>
    <w:rsid w:val="009C3574"/>
    <w:rsid w:val="009C67BE"/>
    <w:rsid w:val="00A35840"/>
    <w:rsid w:val="00A50E28"/>
    <w:rsid w:val="00A60944"/>
    <w:rsid w:val="00A7009B"/>
    <w:rsid w:val="00A73AA1"/>
    <w:rsid w:val="00AA7381"/>
    <w:rsid w:val="00AD30CB"/>
    <w:rsid w:val="00B01E45"/>
    <w:rsid w:val="00B37277"/>
    <w:rsid w:val="00B40983"/>
    <w:rsid w:val="00B73AFF"/>
    <w:rsid w:val="00C43BFA"/>
    <w:rsid w:val="00C737EE"/>
    <w:rsid w:val="00C91D4F"/>
    <w:rsid w:val="00CA1760"/>
    <w:rsid w:val="00CD0AB2"/>
    <w:rsid w:val="00CD3D2E"/>
    <w:rsid w:val="00CD701E"/>
    <w:rsid w:val="00CE1985"/>
    <w:rsid w:val="00CE4BCE"/>
    <w:rsid w:val="00D11C4B"/>
    <w:rsid w:val="00D12EB7"/>
    <w:rsid w:val="00D4420B"/>
    <w:rsid w:val="00D73174"/>
    <w:rsid w:val="00DB47BD"/>
    <w:rsid w:val="00DC1CC5"/>
    <w:rsid w:val="00DD5D2A"/>
    <w:rsid w:val="00E00F40"/>
    <w:rsid w:val="00E45D74"/>
    <w:rsid w:val="00E66C48"/>
    <w:rsid w:val="00E7617B"/>
    <w:rsid w:val="00E91968"/>
    <w:rsid w:val="00E963DF"/>
    <w:rsid w:val="00EC19D6"/>
    <w:rsid w:val="00EC7D51"/>
    <w:rsid w:val="00EE4368"/>
    <w:rsid w:val="00EF32C0"/>
    <w:rsid w:val="00EF3EC1"/>
    <w:rsid w:val="00F007A7"/>
    <w:rsid w:val="00F30B55"/>
    <w:rsid w:val="00F37685"/>
    <w:rsid w:val="00F47EC3"/>
    <w:rsid w:val="00F55580"/>
    <w:rsid w:val="00F649DF"/>
    <w:rsid w:val="00F91BE5"/>
    <w:rsid w:val="00F920FC"/>
    <w:rsid w:val="00F928B5"/>
    <w:rsid w:val="00FD3351"/>
    <w:rsid w:val="00FE7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6BE0C"/>
  <w15:chartTrackingRefBased/>
  <w15:docId w15:val="{F121BB92-4A88-4F9B-9039-0367CB72C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7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7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7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7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7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7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7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7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7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74B"/>
    <w:rPr>
      <w:rFonts w:eastAsiaTheme="majorEastAsia" w:cstheme="majorBidi"/>
      <w:color w:val="272727" w:themeColor="text1" w:themeTint="D8"/>
    </w:rPr>
  </w:style>
  <w:style w:type="paragraph" w:styleId="Title">
    <w:name w:val="Title"/>
    <w:basedOn w:val="Normal"/>
    <w:next w:val="Normal"/>
    <w:link w:val="TitleChar"/>
    <w:uiPriority w:val="10"/>
    <w:qFormat/>
    <w:rsid w:val="00787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74B"/>
    <w:pPr>
      <w:spacing w:before="160"/>
      <w:jc w:val="center"/>
    </w:pPr>
    <w:rPr>
      <w:i/>
      <w:iCs/>
      <w:color w:val="404040" w:themeColor="text1" w:themeTint="BF"/>
    </w:rPr>
  </w:style>
  <w:style w:type="character" w:customStyle="1" w:styleId="QuoteChar">
    <w:name w:val="Quote Char"/>
    <w:basedOn w:val="DefaultParagraphFont"/>
    <w:link w:val="Quote"/>
    <w:uiPriority w:val="29"/>
    <w:rsid w:val="0078774B"/>
    <w:rPr>
      <w:i/>
      <w:iCs/>
      <w:color w:val="404040" w:themeColor="text1" w:themeTint="BF"/>
    </w:rPr>
  </w:style>
  <w:style w:type="paragraph" w:styleId="ListParagraph">
    <w:name w:val="List Paragraph"/>
    <w:basedOn w:val="Normal"/>
    <w:uiPriority w:val="34"/>
    <w:qFormat/>
    <w:rsid w:val="0078774B"/>
    <w:pPr>
      <w:ind w:left="720"/>
      <w:contextualSpacing/>
    </w:pPr>
  </w:style>
  <w:style w:type="character" w:styleId="IntenseEmphasis">
    <w:name w:val="Intense Emphasis"/>
    <w:basedOn w:val="DefaultParagraphFont"/>
    <w:uiPriority w:val="21"/>
    <w:qFormat/>
    <w:rsid w:val="0078774B"/>
    <w:rPr>
      <w:i/>
      <w:iCs/>
      <w:color w:val="0F4761" w:themeColor="accent1" w:themeShade="BF"/>
    </w:rPr>
  </w:style>
  <w:style w:type="paragraph" w:styleId="IntenseQuote">
    <w:name w:val="Intense Quote"/>
    <w:basedOn w:val="Normal"/>
    <w:next w:val="Normal"/>
    <w:link w:val="IntenseQuoteChar"/>
    <w:uiPriority w:val="30"/>
    <w:qFormat/>
    <w:rsid w:val="00787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74B"/>
    <w:rPr>
      <w:i/>
      <w:iCs/>
      <w:color w:val="0F4761" w:themeColor="accent1" w:themeShade="BF"/>
    </w:rPr>
  </w:style>
  <w:style w:type="character" w:styleId="IntenseReference">
    <w:name w:val="Intense Reference"/>
    <w:basedOn w:val="DefaultParagraphFont"/>
    <w:uiPriority w:val="32"/>
    <w:qFormat/>
    <w:rsid w:val="0078774B"/>
    <w:rPr>
      <w:b/>
      <w:bCs/>
      <w:smallCaps/>
      <w:color w:val="0F4761" w:themeColor="accent1" w:themeShade="BF"/>
      <w:spacing w:val="5"/>
    </w:rPr>
  </w:style>
  <w:style w:type="paragraph" w:styleId="Header">
    <w:name w:val="header"/>
    <w:basedOn w:val="Normal"/>
    <w:link w:val="HeaderChar"/>
    <w:uiPriority w:val="99"/>
    <w:unhideWhenUsed/>
    <w:rsid w:val="00F30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B55"/>
  </w:style>
  <w:style w:type="paragraph" w:styleId="Footer">
    <w:name w:val="footer"/>
    <w:basedOn w:val="Normal"/>
    <w:link w:val="FooterChar"/>
    <w:uiPriority w:val="99"/>
    <w:unhideWhenUsed/>
    <w:rsid w:val="00F30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B55"/>
  </w:style>
  <w:style w:type="table" w:styleId="TableGrid">
    <w:name w:val="Table Grid"/>
    <w:basedOn w:val="TableNormal"/>
    <w:uiPriority w:val="39"/>
    <w:rsid w:val="009371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0698"/>
    <w:rPr>
      <w:color w:val="467886" w:themeColor="hyperlink"/>
      <w:u w:val="single"/>
    </w:rPr>
  </w:style>
  <w:style w:type="character" w:styleId="UnresolvedMention">
    <w:name w:val="Unresolved Mention"/>
    <w:basedOn w:val="DefaultParagraphFont"/>
    <w:uiPriority w:val="99"/>
    <w:semiHidden/>
    <w:unhideWhenUsed/>
    <w:rsid w:val="00130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aa08b4bf64634db90acecfecf2ea3c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43ae78b59d73bdd52d200b4c309b06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8B2130-FA8A-4C26-8442-40C45412CAB3}">
  <ds:schemaRefs>
    <ds:schemaRef ds:uri="http://purl.org/dc/elements/1.1/"/>
    <ds:schemaRef ds:uri="http://schemas.microsoft.com/office/infopath/2007/PartnerControls"/>
    <ds:schemaRef ds:uri="http://purl.org/dc/terms/"/>
    <ds:schemaRef ds:uri="http://schemas.microsoft.com/office/2006/metadata/properties"/>
    <ds:schemaRef ds:uri="0ebdf10f-b5a3-45b6-acdb-7dc1eb398785"/>
    <ds:schemaRef ds:uri="http://schemas.microsoft.com/office/2006/documentManagement/types"/>
    <ds:schemaRef ds:uri="550816ce-8156-4f45-b1c4-24236a73d01f"/>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37F51C0A-1BBE-41AE-B180-0A28F4050F61}">
  <ds:schemaRefs>
    <ds:schemaRef ds:uri="http://schemas.microsoft.com/sharepoint/v3/contenttype/forms"/>
  </ds:schemaRefs>
</ds:datastoreItem>
</file>

<file path=customXml/itemProps3.xml><?xml version="1.0" encoding="utf-8"?>
<ds:datastoreItem xmlns:ds="http://schemas.openxmlformats.org/officeDocument/2006/customXml" ds:itemID="{F54DE028-B196-4B4B-BC8A-505ABE4A5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10</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Penton-Voak (2306032)</dc:creator>
  <cp:keywords/>
  <dc:description/>
  <cp:lastModifiedBy>Owen Penton-Voak (2306032)</cp:lastModifiedBy>
  <cp:revision>109</cp:revision>
  <dcterms:created xsi:type="dcterms:W3CDTF">2025-10-23T20:37:00Z</dcterms:created>
  <dcterms:modified xsi:type="dcterms:W3CDTF">2025-10-24T13:48:00Z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