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195F2A3"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CA3E39">
              <w:rPr>
                <w:rFonts w:ascii="Tahoma" w:hAnsi="Tahoma" w:cs="Tahoma"/>
                <w:b/>
                <w:sz w:val="20"/>
                <w:szCs w:val="20"/>
              </w:rPr>
              <w:t>Alexandru Zali</w:t>
            </w:r>
            <w:r w:rsidR="005C7A1F">
              <w:rPr>
                <w:rFonts w:ascii="Tahoma" w:hAnsi="Tahoma" w:cs="Tahoma"/>
                <w:b/>
                <w:sz w:val="20"/>
                <w:szCs w:val="20"/>
              </w:rPr>
              <w:t>schi</w:t>
            </w:r>
          </w:p>
          <w:p w14:paraId="498F0B10" w14:textId="77777777" w:rsidR="001B69C8" w:rsidRPr="003C3341" w:rsidRDefault="001B69C8">
            <w:pPr>
              <w:rPr>
                <w:rFonts w:ascii="Tahoma" w:hAnsi="Tahoma" w:cs="Tahoma"/>
                <w:b/>
                <w:sz w:val="20"/>
                <w:szCs w:val="20"/>
              </w:rPr>
            </w:pPr>
          </w:p>
          <w:p w14:paraId="69E1F0CF" w14:textId="3286363B"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5C7A1F">
              <w:rPr>
                <w:rFonts w:ascii="Tahoma" w:hAnsi="Tahoma" w:cs="Tahoma"/>
                <w:b/>
                <w:sz w:val="20"/>
                <w:szCs w:val="20"/>
              </w:rPr>
              <w:t>2107298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E0F0CB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83A80">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6DCD5615"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5C7A1F">
              <w:rPr>
                <w:rFonts w:ascii="Tahoma" w:hAnsi="Tahoma" w:cs="Tahoma"/>
                <w:b/>
                <w:sz w:val="20"/>
                <w:szCs w:val="20"/>
              </w:rPr>
              <w:t>Ffion Cumberpatch</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62A7449D"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B83A80">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733FBFA5" w14:textId="77777777" w:rsidR="00375882" w:rsidRDefault="00375882" w:rsidP="00447AEC">
            <w:pPr>
              <w:jc w:val="both"/>
              <w:rPr>
                <w:rFonts w:ascii="Tahoma" w:hAnsi="Tahoma" w:cs="Tahoma"/>
                <w:sz w:val="20"/>
                <w:szCs w:val="20"/>
              </w:rPr>
            </w:pPr>
          </w:p>
          <w:p w14:paraId="75807CBD" w14:textId="2CF361AE" w:rsidR="00CA3E39" w:rsidRDefault="00CA3E39" w:rsidP="00CA3E39">
            <w:pPr>
              <w:spacing w:line="360" w:lineRule="auto"/>
              <w:jc w:val="both"/>
              <w:rPr>
                <w:rFonts w:ascii="Arial" w:hAnsi="Arial" w:cs="Arial"/>
              </w:rPr>
            </w:pPr>
            <w:r>
              <w:rPr>
                <w:rFonts w:ascii="Arial" w:hAnsi="Arial" w:cs="Arial"/>
              </w:rPr>
              <w:t xml:space="preserve">It is believed that one in five UK adults have a significant food allergy. These allergic reactions involve a response by the immune system to various components of food and usually occur within minutes of interacting with the allergic substance. The common symptoms are itchy and runny eyes and nose, swollen face of chest tightness. An extreme and serious allergic reaction affects the whole </w:t>
            </w:r>
            <w:proofErr w:type="gramStart"/>
            <w:r>
              <w:rPr>
                <w:rFonts w:ascii="Arial" w:hAnsi="Arial" w:cs="Arial"/>
              </w:rPr>
              <w:t>body</w:t>
            </w:r>
            <w:proofErr w:type="gramEnd"/>
            <w:r>
              <w:rPr>
                <w:rFonts w:ascii="Arial" w:hAnsi="Arial" w:cs="Arial"/>
              </w:rPr>
              <w:t xml:space="preserve"> and it is known to be called – “anaphylaxis”. There are around 20 deaths per year and a quick response is needed when dealing with this severe reaction (Robinson, 2016).</w:t>
            </w:r>
          </w:p>
          <w:p w14:paraId="0FF71D04" w14:textId="77777777" w:rsidR="00CA3E39" w:rsidRDefault="00CA3E39" w:rsidP="00CA3E39">
            <w:pPr>
              <w:spacing w:line="360" w:lineRule="auto"/>
              <w:jc w:val="both"/>
              <w:rPr>
                <w:rFonts w:ascii="Arial" w:hAnsi="Arial" w:cs="Arial"/>
              </w:rPr>
            </w:pPr>
          </w:p>
          <w:p w14:paraId="5D3E57F8" w14:textId="2CAD8148" w:rsidR="00CA3E39" w:rsidRDefault="00CA3E39" w:rsidP="00CA3E39">
            <w:pPr>
              <w:spacing w:line="360" w:lineRule="auto"/>
              <w:jc w:val="both"/>
              <w:rPr>
                <w:rFonts w:ascii="Arial" w:hAnsi="Arial" w:cs="Arial"/>
              </w:rPr>
            </w:pPr>
            <w:r>
              <w:rPr>
                <w:rFonts w:ascii="Arial" w:hAnsi="Arial" w:cs="Arial"/>
              </w:rPr>
              <w:t xml:space="preserve">On the other hand, food intolerance is not as severe as the one above – mainly due to the fact that it is not caused by the immune </w:t>
            </w:r>
            <w:proofErr w:type="gramStart"/>
            <w:r>
              <w:rPr>
                <w:rFonts w:ascii="Arial" w:hAnsi="Arial" w:cs="Arial"/>
              </w:rPr>
              <w:t>system</w:t>
            </w:r>
            <w:proofErr w:type="gramEnd"/>
            <w:r>
              <w:rPr>
                <w:rFonts w:ascii="Arial" w:hAnsi="Arial" w:cs="Arial"/>
              </w:rPr>
              <w:t xml:space="preserve"> and it is not life-threatening. The effects of food intolerances are mainly bloating or headaches (Robinson, 2016). </w:t>
            </w:r>
            <w:proofErr w:type="gramStart"/>
            <w:r>
              <w:rPr>
                <w:rFonts w:ascii="Arial" w:hAnsi="Arial" w:cs="Arial"/>
              </w:rPr>
              <w:t>At the moment</w:t>
            </w:r>
            <w:proofErr w:type="gramEnd"/>
            <w:r>
              <w:rPr>
                <w:rFonts w:ascii="Arial" w:hAnsi="Arial" w:cs="Arial"/>
              </w:rPr>
              <w:t>, the legislation identified 14 foods as being responsible for allergies – fish, eggs, peanuts, milk, wheat, nuts, seeds, fruits and vegetables, celery and soya (Wollenberg, 2012).</w:t>
            </w:r>
          </w:p>
          <w:p w14:paraId="17457A7B" w14:textId="77777777" w:rsidR="00CA3E39" w:rsidRDefault="00CA3E39" w:rsidP="00CA3E39">
            <w:pPr>
              <w:spacing w:line="360" w:lineRule="auto"/>
              <w:jc w:val="both"/>
              <w:rPr>
                <w:rFonts w:ascii="Arial" w:hAnsi="Arial" w:cs="Arial"/>
              </w:rPr>
            </w:pPr>
          </w:p>
          <w:p w14:paraId="3BC1A1EE" w14:textId="77777777" w:rsidR="00CA3E39" w:rsidRDefault="00CA3E39" w:rsidP="00CA3E39">
            <w:pPr>
              <w:spacing w:line="360" w:lineRule="auto"/>
              <w:jc w:val="both"/>
              <w:rPr>
                <w:rFonts w:ascii="Arial" w:hAnsi="Arial" w:cs="Arial"/>
              </w:rPr>
            </w:pPr>
            <w:r>
              <w:rPr>
                <w:rFonts w:ascii="Arial" w:hAnsi="Arial" w:cs="Arial"/>
              </w:rPr>
              <w:t xml:space="preserve">As the potential effects of these allergies can be life-threatening, the hospitality industry must pay attention to this topic. The legislation has been updated in September 2019 – “Natasha’s Law” which requires all food businesses to present a full list of ingredients with a clear label of allergens. This must be present in all food pre-packed or prepared on-premises including sandwiches or salads. The </w:t>
            </w:r>
            <w:r>
              <w:rPr>
                <w:rFonts w:ascii="Arial" w:hAnsi="Arial" w:cs="Arial"/>
              </w:rPr>
              <w:lastRenderedPageBreak/>
              <w:t>legislation changed following the unfortunate death of a teenager who died after suffering an allergic reaction to a Pret a Manger baguette (The Access Group, 2021).</w:t>
            </w:r>
          </w:p>
          <w:p w14:paraId="0E6E0354" w14:textId="05762958" w:rsidR="00CA3E39" w:rsidRDefault="00CA3E39" w:rsidP="00CA3E39">
            <w:pPr>
              <w:spacing w:line="360" w:lineRule="auto"/>
              <w:jc w:val="both"/>
              <w:rPr>
                <w:rFonts w:ascii="Arial" w:hAnsi="Arial" w:cs="Arial"/>
              </w:rPr>
            </w:pPr>
            <w:r>
              <w:rPr>
                <w:rFonts w:ascii="Arial" w:hAnsi="Arial" w:cs="Arial"/>
              </w:rPr>
              <w:t xml:space="preserve">Therefore, it is critical for any business to be aware of the importance of correct labelling, cross-contamination, </w:t>
            </w:r>
            <w:proofErr w:type="gramStart"/>
            <w:r>
              <w:rPr>
                <w:rFonts w:ascii="Arial" w:hAnsi="Arial" w:cs="Arial"/>
              </w:rPr>
              <w:t>and also</w:t>
            </w:r>
            <w:proofErr w:type="gramEnd"/>
            <w:r>
              <w:rPr>
                <w:rFonts w:ascii="Arial" w:hAnsi="Arial" w:cs="Arial"/>
              </w:rPr>
              <w:t xml:space="preserve"> training the staff in order to identify any breach of the legislation. This is because any breach of it, can lead to huge financial losses </w:t>
            </w:r>
            <w:proofErr w:type="gramStart"/>
            <w:r>
              <w:rPr>
                <w:rFonts w:ascii="Arial" w:hAnsi="Arial" w:cs="Arial"/>
              </w:rPr>
              <w:t>and also</w:t>
            </w:r>
            <w:proofErr w:type="gramEnd"/>
            <w:r>
              <w:rPr>
                <w:rFonts w:ascii="Arial" w:hAnsi="Arial" w:cs="Arial"/>
              </w:rPr>
              <w:t xml:space="preserve"> a loss of confidence in the ability of the business to protect their customer (Patel, 2019). On the other hand, customers must have the safety precautions that if they choose to eat at </w:t>
            </w:r>
            <w:proofErr w:type="gramStart"/>
            <w:r>
              <w:rPr>
                <w:rFonts w:ascii="Arial" w:hAnsi="Arial" w:cs="Arial"/>
              </w:rPr>
              <w:t>particular food</w:t>
            </w:r>
            <w:proofErr w:type="gramEnd"/>
            <w:r>
              <w:rPr>
                <w:rFonts w:ascii="Arial" w:hAnsi="Arial" w:cs="Arial"/>
              </w:rPr>
              <w:t xml:space="preserve"> premises, their health is protected – for example, if staff is not properly trained, supposedly allergen-free meals can be easily contaminated through cross-contamination. An example would be when the same work surface is used for the preparation of both allergen and non-allergen meals (Kale, 2019).</w:t>
            </w:r>
          </w:p>
          <w:p w14:paraId="211CDA34" w14:textId="77777777" w:rsidR="00CA3E39" w:rsidRDefault="00CA3E39" w:rsidP="00CA3E39">
            <w:pPr>
              <w:spacing w:line="360" w:lineRule="auto"/>
              <w:jc w:val="both"/>
              <w:rPr>
                <w:rFonts w:ascii="Arial" w:hAnsi="Arial" w:cs="Arial"/>
              </w:rPr>
            </w:pPr>
          </w:p>
          <w:p w14:paraId="2D825527" w14:textId="3B275938" w:rsidR="00CA3E39" w:rsidRDefault="00CA3E39" w:rsidP="00CA3E39">
            <w:pPr>
              <w:spacing w:line="360" w:lineRule="auto"/>
              <w:jc w:val="both"/>
              <w:rPr>
                <w:rFonts w:ascii="Arial" w:hAnsi="Arial" w:cs="Arial"/>
              </w:rPr>
            </w:pPr>
            <w:r>
              <w:rPr>
                <w:rFonts w:ascii="Arial" w:hAnsi="Arial" w:cs="Arial"/>
              </w:rPr>
              <w:t xml:space="preserve">I can clearly say that my knowledge in this area has widened – before reading on the subject, I had prior knowledge about food intolerance and </w:t>
            </w:r>
            <w:proofErr w:type="gramStart"/>
            <w:r>
              <w:rPr>
                <w:rFonts w:ascii="Arial" w:hAnsi="Arial" w:cs="Arial"/>
              </w:rPr>
              <w:t>allergens</w:t>
            </w:r>
            <w:proofErr w:type="gramEnd"/>
            <w:r>
              <w:rPr>
                <w:rFonts w:ascii="Arial" w:hAnsi="Arial" w:cs="Arial"/>
              </w:rPr>
              <w:t xml:space="preserve"> but I did not know how dangerous they can be. Especially in the life-threatening situation of a food allergy – it is paramount for anyone working in a food preparation environment to be aware of the safety measures and the potential effects of the wrong usage of labels and kitchen tools.</w:t>
            </w:r>
          </w:p>
          <w:p w14:paraId="6F968984" w14:textId="77777777" w:rsidR="00CA3E39" w:rsidRDefault="00CA3E39" w:rsidP="00CA3E39">
            <w:pPr>
              <w:spacing w:line="360" w:lineRule="auto"/>
              <w:jc w:val="both"/>
              <w:rPr>
                <w:rFonts w:ascii="Arial" w:hAnsi="Arial" w:cs="Arial"/>
              </w:rPr>
            </w:pPr>
          </w:p>
          <w:p w14:paraId="7C099660" w14:textId="334BB0C5" w:rsidR="00CA3E39" w:rsidRDefault="00CA3E39" w:rsidP="00CA3E39">
            <w:pPr>
              <w:spacing w:line="360" w:lineRule="auto"/>
              <w:jc w:val="both"/>
              <w:rPr>
                <w:rFonts w:ascii="Arial" w:hAnsi="Arial" w:cs="Arial"/>
              </w:rPr>
            </w:pPr>
            <w:r>
              <w:rPr>
                <w:rFonts w:ascii="Arial" w:hAnsi="Arial" w:cs="Arial"/>
              </w:rPr>
              <w:t>In addition to this, I have learned about the cross-contamination danger and how to minimize it through the correct use of kitchen tools – for example, certain tools such as knives or chopping boards must be used only on allergen-free foods and areas. In this way, it minimizes the risk of cross-contamination. Moreover, I will particularly pay attention to the personal hygiene of everyone working within the kitchen environment – as this is another method of cross-contaminating allergen-free food.</w:t>
            </w:r>
          </w:p>
          <w:p w14:paraId="79C949B5" w14:textId="77777777" w:rsidR="00CA3E39" w:rsidRDefault="00CA3E39" w:rsidP="00CA3E39">
            <w:pPr>
              <w:spacing w:line="360" w:lineRule="auto"/>
              <w:jc w:val="both"/>
              <w:rPr>
                <w:rFonts w:ascii="Arial" w:hAnsi="Arial" w:cs="Arial"/>
              </w:rPr>
            </w:pPr>
          </w:p>
          <w:p w14:paraId="16DADF95" w14:textId="77777777" w:rsidR="00CA3E39" w:rsidRDefault="00CA3E39" w:rsidP="00CA3E39">
            <w:pPr>
              <w:spacing w:line="360" w:lineRule="auto"/>
              <w:jc w:val="both"/>
              <w:rPr>
                <w:rFonts w:ascii="Arial" w:hAnsi="Arial" w:cs="Arial"/>
              </w:rPr>
            </w:pPr>
            <w:r>
              <w:rPr>
                <w:rFonts w:ascii="Arial" w:hAnsi="Arial" w:cs="Arial"/>
              </w:rPr>
              <w:t xml:space="preserve">In the future, I will make sure I put in practice all the knowledge and skills learned. Also, I will </w:t>
            </w:r>
            <w:proofErr w:type="gramStart"/>
            <w:r>
              <w:rPr>
                <w:rFonts w:ascii="Arial" w:hAnsi="Arial" w:cs="Arial"/>
              </w:rPr>
              <w:t>definitely communicate</w:t>
            </w:r>
            <w:proofErr w:type="gramEnd"/>
            <w:r>
              <w:rPr>
                <w:rFonts w:ascii="Arial" w:hAnsi="Arial" w:cs="Arial"/>
              </w:rPr>
              <w:t xml:space="preserve"> the importance of those practices to every staff regardless of their involvement with the kitchen. My view is that regular training of the staff can minimize the risk of cross-contamination </w:t>
            </w:r>
            <w:proofErr w:type="gramStart"/>
            <w:r>
              <w:rPr>
                <w:rFonts w:ascii="Arial" w:hAnsi="Arial" w:cs="Arial"/>
              </w:rPr>
              <w:t>and also</w:t>
            </w:r>
            <w:proofErr w:type="gramEnd"/>
            <w:r>
              <w:rPr>
                <w:rFonts w:ascii="Arial" w:hAnsi="Arial" w:cs="Arial"/>
              </w:rPr>
              <w:t xml:space="preserve"> of food allergic reactions, however, we must also be trained in recognizing the symptoms and also knowing how to react in these circumstances. This is </w:t>
            </w:r>
            <w:proofErr w:type="gramStart"/>
            <w:r>
              <w:rPr>
                <w:rFonts w:ascii="Arial" w:hAnsi="Arial" w:cs="Arial"/>
              </w:rPr>
              <w:t>due to the fact that</w:t>
            </w:r>
            <w:proofErr w:type="gramEnd"/>
            <w:r>
              <w:rPr>
                <w:rFonts w:ascii="Arial" w:hAnsi="Arial" w:cs="Arial"/>
              </w:rPr>
              <w:t xml:space="preserve"> they can be life-threatening, therefore we must be able to save the lives through first aid. Correct labelling of food is also critical as a slight error can be the difference between life and death – in addition to huge legal proceedings if an unfortunate event like this would happen again.</w:t>
            </w:r>
          </w:p>
          <w:p w14:paraId="65C01099" w14:textId="77777777" w:rsidR="00CA3E39" w:rsidRDefault="00CA3E39" w:rsidP="00CA3E39">
            <w:pPr>
              <w:spacing w:line="360" w:lineRule="auto"/>
              <w:jc w:val="both"/>
              <w:rPr>
                <w:rFonts w:ascii="Arial" w:hAnsi="Arial" w:cs="Arial"/>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6B67B86" w14:textId="77777777" w:rsidR="00CA3E39" w:rsidRPr="00855813" w:rsidRDefault="00CA3E39" w:rsidP="00CA3E39">
            <w:pPr>
              <w:spacing w:line="360" w:lineRule="auto"/>
              <w:jc w:val="both"/>
              <w:rPr>
                <w:rFonts w:ascii="Arial" w:hAnsi="Arial" w:cs="Arial"/>
              </w:rPr>
            </w:pPr>
            <w:r>
              <w:rPr>
                <w:rFonts w:ascii="Arial" w:hAnsi="Arial" w:cs="Arial"/>
              </w:rPr>
              <w:t xml:space="preserve">Kale, S. (2019) </w:t>
            </w:r>
            <w:r w:rsidRPr="005C7A1F">
              <w:rPr>
                <w:rFonts w:ascii="Arial" w:hAnsi="Arial" w:cs="Arial"/>
                <w:i/>
                <w:iCs/>
              </w:rPr>
              <w:t>“Eating that meal could kill you': when cooks don't take food allergies seriously</w:t>
            </w:r>
            <w:r>
              <w:rPr>
                <w:rFonts w:ascii="Arial" w:hAnsi="Arial" w:cs="Arial"/>
              </w:rPr>
              <w:t xml:space="preserve"> “ Available at: </w:t>
            </w:r>
            <w:hyperlink r:id="rId7" w:history="1">
              <w:r w:rsidRPr="006175E5">
                <w:rPr>
                  <w:rStyle w:val="Hyperlink"/>
                  <w:rFonts w:ascii="Arial" w:hAnsi="Arial" w:cs="Arial"/>
                </w:rPr>
                <w:t>https://www.theguardian.com/society/2019/sep/11/take-food-allergies-seriously-people-can-die</w:t>
              </w:r>
            </w:hyperlink>
            <w:r>
              <w:rPr>
                <w:rFonts w:ascii="Arial" w:hAnsi="Arial" w:cs="Arial"/>
              </w:rPr>
              <w:t xml:space="preserve"> [Accessed 29.05.2022]</w:t>
            </w:r>
          </w:p>
          <w:p w14:paraId="61ADAB3B" w14:textId="77777777" w:rsidR="00CA3E39" w:rsidRDefault="00CA3E39" w:rsidP="00CA3E39">
            <w:pPr>
              <w:spacing w:line="360" w:lineRule="auto"/>
              <w:jc w:val="both"/>
              <w:rPr>
                <w:rFonts w:ascii="Arial" w:hAnsi="Arial" w:cs="Arial"/>
              </w:rPr>
            </w:pPr>
            <w:r>
              <w:rPr>
                <w:rFonts w:ascii="Arial" w:hAnsi="Arial" w:cs="Arial"/>
              </w:rPr>
              <w:t xml:space="preserve">Patel, A. (2019) </w:t>
            </w:r>
            <w:r w:rsidRPr="005C7A1F">
              <w:rPr>
                <w:rFonts w:ascii="Arial" w:hAnsi="Arial" w:cs="Arial"/>
                <w:i/>
                <w:iCs/>
              </w:rPr>
              <w:t>“Misleading allergy labelling puts lives at risk</w:t>
            </w:r>
            <w:r>
              <w:rPr>
                <w:rFonts w:ascii="Arial" w:hAnsi="Arial" w:cs="Arial"/>
              </w:rPr>
              <w:t xml:space="preserve"> </w:t>
            </w:r>
            <w:proofErr w:type="gramStart"/>
            <w:r>
              <w:rPr>
                <w:rFonts w:ascii="Arial" w:hAnsi="Arial" w:cs="Arial"/>
              </w:rPr>
              <w:t>“ Available</w:t>
            </w:r>
            <w:proofErr w:type="gramEnd"/>
            <w:r>
              <w:rPr>
                <w:rFonts w:ascii="Arial" w:hAnsi="Arial" w:cs="Arial"/>
              </w:rPr>
              <w:t xml:space="preserve"> at: </w:t>
            </w:r>
            <w:hyperlink r:id="rId8" w:history="1">
              <w:r w:rsidRPr="006175E5">
                <w:rPr>
                  <w:rStyle w:val="Hyperlink"/>
                  <w:rFonts w:ascii="Arial" w:hAnsi="Arial" w:cs="Arial"/>
                </w:rPr>
                <w:t>https://theconversation.com/misleading-allergy-labelling-puts-lives-at-risk-127379</w:t>
              </w:r>
            </w:hyperlink>
            <w:r>
              <w:rPr>
                <w:rFonts w:ascii="Arial" w:hAnsi="Arial" w:cs="Arial"/>
              </w:rPr>
              <w:t xml:space="preserve"> [Accessed 29.05.2022]</w:t>
            </w:r>
          </w:p>
          <w:p w14:paraId="5E8ED152" w14:textId="77777777" w:rsidR="00CA3E39" w:rsidRDefault="00CA3E39" w:rsidP="00CA3E39">
            <w:pPr>
              <w:spacing w:line="360" w:lineRule="auto"/>
              <w:jc w:val="both"/>
              <w:rPr>
                <w:rFonts w:ascii="Arial" w:hAnsi="Arial" w:cs="Arial"/>
              </w:rPr>
            </w:pPr>
            <w:r>
              <w:rPr>
                <w:rFonts w:ascii="Arial" w:hAnsi="Arial" w:cs="Arial"/>
              </w:rPr>
              <w:t>Robinson, A. (2016)”</w:t>
            </w:r>
            <w:r w:rsidRPr="00D176EB">
              <w:t xml:space="preserve"> </w:t>
            </w:r>
            <w:r w:rsidRPr="005C7A1F">
              <w:rPr>
                <w:rFonts w:ascii="Arial" w:hAnsi="Arial" w:cs="Arial"/>
                <w:i/>
                <w:iCs/>
              </w:rPr>
              <w:t>Everything you ever wanted to know about allergies (but were too busy avoiding peanuts to ask)“</w:t>
            </w:r>
            <w:r>
              <w:rPr>
                <w:rFonts w:ascii="Arial" w:hAnsi="Arial" w:cs="Arial"/>
              </w:rPr>
              <w:t xml:space="preserve"> Available at: </w:t>
            </w:r>
            <w:hyperlink r:id="rId9" w:history="1">
              <w:r w:rsidRPr="006175E5">
                <w:rPr>
                  <w:rStyle w:val="Hyperlink"/>
                  <w:rFonts w:ascii="Arial" w:hAnsi="Arial" w:cs="Arial"/>
                </w:rPr>
                <w:t>https://www.theguardian.com/lifeandstyle/2016/mar/14/allergies-food-intolerances</w:t>
              </w:r>
            </w:hyperlink>
            <w:r>
              <w:rPr>
                <w:rFonts w:ascii="Arial" w:hAnsi="Arial" w:cs="Arial"/>
              </w:rPr>
              <w:t xml:space="preserve"> [Accessed 29.05.2022]</w:t>
            </w:r>
          </w:p>
          <w:p w14:paraId="28011D4B" w14:textId="77777777" w:rsidR="00CA3E39" w:rsidRDefault="00CA3E39" w:rsidP="00CA3E39">
            <w:pPr>
              <w:spacing w:line="360" w:lineRule="auto"/>
              <w:jc w:val="both"/>
              <w:rPr>
                <w:rFonts w:ascii="Arial" w:hAnsi="Arial" w:cs="Arial"/>
              </w:rPr>
            </w:pPr>
            <w:r>
              <w:rPr>
                <w:rFonts w:ascii="Arial" w:hAnsi="Arial" w:cs="Arial"/>
              </w:rPr>
              <w:t xml:space="preserve">The Access Group (2021) </w:t>
            </w:r>
            <w:r w:rsidRPr="005C7A1F">
              <w:rPr>
                <w:rFonts w:ascii="Arial" w:hAnsi="Arial" w:cs="Arial"/>
                <w:i/>
                <w:iCs/>
              </w:rPr>
              <w:t>“How to manage allergens in the hospitality</w:t>
            </w:r>
            <w:r>
              <w:rPr>
                <w:rFonts w:ascii="Arial" w:hAnsi="Arial" w:cs="Arial"/>
              </w:rPr>
              <w:t xml:space="preserve"> </w:t>
            </w:r>
            <w:proofErr w:type="gramStart"/>
            <w:r>
              <w:rPr>
                <w:rFonts w:ascii="Arial" w:hAnsi="Arial" w:cs="Arial"/>
              </w:rPr>
              <w:t>“ Available</w:t>
            </w:r>
            <w:proofErr w:type="gramEnd"/>
            <w:r>
              <w:rPr>
                <w:rFonts w:ascii="Arial" w:hAnsi="Arial" w:cs="Arial"/>
              </w:rPr>
              <w:t xml:space="preserve"> at: </w:t>
            </w:r>
            <w:hyperlink r:id="rId10" w:history="1">
              <w:r w:rsidRPr="006175E5">
                <w:rPr>
                  <w:rStyle w:val="Hyperlink"/>
                  <w:rFonts w:ascii="Arial" w:hAnsi="Arial" w:cs="Arial"/>
                </w:rPr>
                <w:t>https://www.theaccessgroup.com/en-gb/blog/hsp-how-to-manage-allergens-in-hospitality/</w:t>
              </w:r>
            </w:hyperlink>
            <w:r>
              <w:rPr>
                <w:rFonts w:ascii="Arial" w:hAnsi="Arial" w:cs="Arial"/>
              </w:rPr>
              <w:t xml:space="preserve"> [Accessed 29.05.2022]</w:t>
            </w:r>
          </w:p>
          <w:p w14:paraId="4DCD8C4E" w14:textId="77777777" w:rsidR="00CA3E39" w:rsidRDefault="00CA3E39" w:rsidP="00CA3E39">
            <w:pPr>
              <w:spacing w:line="360" w:lineRule="auto"/>
              <w:jc w:val="both"/>
              <w:rPr>
                <w:rFonts w:ascii="Arial" w:hAnsi="Arial" w:cs="Arial"/>
              </w:rPr>
            </w:pPr>
            <w:r>
              <w:rPr>
                <w:rFonts w:ascii="Arial" w:hAnsi="Arial" w:cs="Arial"/>
              </w:rPr>
              <w:t>Wollenberg, A. (2012)“</w:t>
            </w:r>
            <w:r w:rsidRPr="005C7A1F">
              <w:rPr>
                <w:rFonts w:ascii="Arial" w:hAnsi="Arial" w:cs="Arial"/>
                <w:i/>
                <w:iCs/>
              </w:rPr>
              <w:t>Food allergies: worrying reactions</w:t>
            </w:r>
            <w:r>
              <w:rPr>
                <w:rFonts w:ascii="Arial" w:hAnsi="Arial" w:cs="Arial"/>
              </w:rPr>
              <w:t xml:space="preserve">” Available at: </w:t>
            </w:r>
            <w:hyperlink r:id="rId11" w:history="1">
              <w:r w:rsidRPr="006175E5">
                <w:rPr>
                  <w:rStyle w:val="Hyperlink"/>
                  <w:rFonts w:ascii="Arial" w:hAnsi="Arial" w:cs="Arial"/>
                </w:rPr>
                <w:t>https://www.theguardian.com/lifeandstyle/wordofmouth/2012/apr/30/food-allergies-worrying-reactions?newsfeed=true</w:t>
              </w:r>
            </w:hyperlink>
            <w:r>
              <w:rPr>
                <w:rFonts w:ascii="Arial" w:hAnsi="Arial" w:cs="Arial"/>
              </w:rPr>
              <w:t xml:space="preserve"> [Accessed 29.05.2022]</w:t>
            </w: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39675" w14:textId="77777777" w:rsidR="00767B84" w:rsidRDefault="00767B84">
      <w:r>
        <w:separator/>
      </w:r>
    </w:p>
  </w:endnote>
  <w:endnote w:type="continuationSeparator" w:id="0">
    <w:p w14:paraId="6CC87C8A" w14:textId="77777777" w:rsidR="00767B84" w:rsidRDefault="00767B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1F1145E" w:rsidR="00B44B68" w:rsidRDefault="00B44B68">
        <w:pPr>
          <w:pStyle w:val="Footer"/>
          <w:jc w:val="right"/>
        </w:pPr>
        <w:r>
          <w:fldChar w:fldCharType="begin"/>
        </w:r>
        <w:r>
          <w:instrText xml:space="preserve"> PAGE   \* MERGEFORMAT </w:instrText>
        </w:r>
        <w:r>
          <w:fldChar w:fldCharType="separate"/>
        </w:r>
        <w:r w:rsidR="00CA3E39">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B77FC" w14:textId="77777777" w:rsidR="00767B84" w:rsidRDefault="00767B84">
      <w:r>
        <w:separator/>
      </w:r>
    </w:p>
  </w:footnote>
  <w:footnote w:type="continuationSeparator" w:id="0">
    <w:p w14:paraId="3B7699F2" w14:textId="77777777" w:rsidR="00767B84" w:rsidRDefault="00767B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68243598">
    <w:abstractNumId w:val="12"/>
  </w:num>
  <w:num w:numId="2" w16cid:durableId="1983346088">
    <w:abstractNumId w:val="4"/>
  </w:num>
  <w:num w:numId="3" w16cid:durableId="1755197588">
    <w:abstractNumId w:val="27"/>
  </w:num>
  <w:num w:numId="4" w16cid:durableId="1765607849">
    <w:abstractNumId w:val="5"/>
  </w:num>
  <w:num w:numId="5" w16cid:durableId="1739014478">
    <w:abstractNumId w:val="23"/>
  </w:num>
  <w:num w:numId="6" w16cid:durableId="140657140">
    <w:abstractNumId w:val="6"/>
  </w:num>
  <w:num w:numId="7" w16cid:durableId="2107997225">
    <w:abstractNumId w:val="0"/>
  </w:num>
  <w:num w:numId="8" w16cid:durableId="1832981731">
    <w:abstractNumId w:val="26"/>
  </w:num>
  <w:num w:numId="9" w16cid:durableId="1254432812">
    <w:abstractNumId w:val="15"/>
  </w:num>
  <w:num w:numId="10" w16cid:durableId="771701337">
    <w:abstractNumId w:val="18"/>
  </w:num>
  <w:num w:numId="11" w16cid:durableId="1529173506">
    <w:abstractNumId w:val="3"/>
  </w:num>
  <w:num w:numId="12" w16cid:durableId="1885360734">
    <w:abstractNumId w:val="13"/>
  </w:num>
  <w:num w:numId="13" w16cid:durableId="952325805">
    <w:abstractNumId w:val="2"/>
  </w:num>
  <w:num w:numId="14" w16cid:durableId="267543837">
    <w:abstractNumId w:val="9"/>
  </w:num>
  <w:num w:numId="15" w16cid:durableId="418909805">
    <w:abstractNumId w:val="17"/>
  </w:num>
  <w:num w:numId="16" w16cid:durableId="1522552844">
    <w:abstractNumId w:val="19"/>
  </w:num>
  <w:num w:numId="17" w16cid:durableId="428433084">
    <w:abstractNumId w:val="1"/>
  </w:num>
  <w:num w:numId="18" w16cid:durableId="2056005379">
    <w:abstractNumId w:val="25"/>
  </w:num>
  <w:num w:numId="19" w16cid:durableId="2044867692">
    <w:abstractNumId w:val="8"/>
  </w:num>
  <w:num w:numId="20" w16cid:durableId="926962458">
    <w:abstractNumId w:val="20"/>
  </w:num>
  <w:num w:numId="21" w16cid:durableId="1321495183">
    <w:abstractNumId w:val="11"/>
  </w:num>
  <w:num w:numId="22" w16cid:durableId="1633634211">
    <w:abstractNumId w:val="16"/>
  </w:num>
  <w:num w:numId="23" w16cid:durableId="328561104">
    <w:abstractNumId w:val="24"/>
  </w:num>
  <w:num w:numId="24" w16cid:durableId="564610539">
    <w:abstractNumId w:val="10"/>
  </w:num>
  <w:num w:numId="25" w16cid:durableId="1811821454">
    <w:abstractNumId w:val="22"/>
  </w:num>
  <w:num w:numId="26" w16cid:durableId="1063874616">
    <w:abstractNumId w:val="7"/>
  </w:num>
  <w:num w:numId="27" w16cid:durableId="199323138">
    <w:abstractNumId w:val="21"/>
  </w:num>
  <w:num w:numId="28" w16cid:durableId="47175707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224BC"/>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C7A1F"/>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67B84"/>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83A80"/>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A3E39"/>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B83A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misleading-allergy-labelling-puts-lives-at-risk-127379"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heguardian.com/society/2019/sep/11/take-food-allergies-seriously-people-can-di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lifeandstyle/wordofmouth/2012/apr/30/food-allergies-worrying-reactions?newsfeed=tru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accessgroup.com/en-gb/blog/hsp-how-to-manage-allergens-in-hospitality/" TargetMode="External"/><Relationship Id="rId4" Type="http://schemas.openxmlformats.org/officeDocument/2006/relationships/webSettings" Target="webSettings.xml"/><Relationship Id="rId9" Type="http://schemas.openxmlformats.org/officeDocument/2006/relationships/hyperlink" Target="https://www.theguardian.com/lifeandstyle/2016/mar/14/allergies-food-intolerance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1001</Words>
  <Characters>5710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Alexandru Zalischi</cp:lastModifiedBy>
  <cp:revision>3</cp:revision>
  <cp:lastPrinted>2020-09-28T20:53:00Z</cp:lastPrinted>
  <dcterms:created xsi:type="dcterms:W3CDTF">2022-05-29T10:36:00Z</dcterms:created>
  <dcterms:modified xsi:type="dcterms:W3CDTF">2022-06-03T11:04:00Z</dcterms:modified>
</cp:coreProperties>
</file>