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0C415" w14:textId="027D992E" w:rsidR="00A33DC4" w:rsidRDefault="007F5986" w:rsidP="003E676D">
      <w:pPr>
        <w:spacing w:after="240" w:line="360" w:lineRule="auto"/>
        <w:jc w:val="center"/>
        <w:rPr>
          <w:rFonts w:ascii="Times New Roman" w:hAnsi="Times New Roman" w:cs="Times New Roman"/>
          <w:b/>
          <w:bCs/>
          <w:sz w:val="32"/>
          <w:szCs w:val="32"/>
        </w:rPr>
      </w:pPr>
      <w:r>
        <w:fldChar w:fldCharType="begin"/>
      </w:r>
      <w:r>
        <w:instrText xml:space="preserve"> INCLUDEPICTURE "/Users/kotesh/Library/Group Containers/UBF8T346G9.ms/WebArchiveCopyPasteTempFiles/com.microsoft.Word/Wales-TSD-1.jpg" \* MERGEFORMATINET </w:instrText>
      </w:r>
      <w:r>
        <w:fldChar w:fldCharType="separate"/>
      </w:r>
      <w:r>
        <w:rPr>
          <w:noProof/>
        </w:rPr>
        <w:drawing>
          <wp:inline distT="0" distB="0" distL="0" distR="0" wp14:anchorId="66BFBD48" wp14:editId="6A4106C4">
            <wp:extent cx="5733415" cy="2555240"/>
            <wp:effectExtent l="0" t="0" r="0" b="0"/>
            <wp:docPr id="1928144513"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40077" cy="2558209"/>
                    </a:xfrm>
                    <a:prstGeom prst="rect">
                      <a:avLst/>
                    </a:prstGeom>
                    <a:noFill/>
                    <a:ln>
                      <a:noFill/>
                    </a:ln>
                  </pic:spPr>
                </pic:pic>
              </a:graphicData>
            </a:graphic>
          </wp:inline>
        </w:drawing>
      </w:r>
      <w:r>
        <w:fldChar w:fldCharType="end"/>
      </w:r>
    </w:p>
    <w:p w14:paraId="3538A736" w14:textId="77777777" w:rsidR="007F5986" w:rsidRDefault="007F5986" w:rsidP="007F5986">
      <w:pPr>
        <w:spacing w:after="240" w:line="360" w:lineRule="auto"/>
        <w:rPr>
          <w:rFonts w:ascii="Times New Roman" w:hAnsi="Times New Roman" w:cs="Times New Roman"/>
          <w:b/>
          <w:bCs/>
          <w:sz w:val="32"/>
          <w:szCs w:val="32"/>
        </w:rPr>
      </w:pPr>
    </w:p>
    <w:p w14:paraId="7EE0271C" w14:textId="77777777" w:rsidR="007F5986" w:rsidRDefault="007F5986" w:rsidP="007F5986">
      <w:pPr>
        <w:spacing w:after="240" w:line="360" w:lineRule="auto"/>
        <w:rPr>
          <w:rFonts w:ascii="Times New Roman" w:hAnsi="Times New Roman" w:cs="Times New Roman"/>
          <w:b/>
          <w:bCs/>
          <w:sz w:val="32"/>
          <w:szCs w:val="32"/>
        </w:rPr>
      </w:pPr>
    </w:p>
    <w:p w14:paraId="4265D043" w14:textId="48C0C0C7" w:rsidR="007F5986" w:rsidRPr="007F5986" w:rsidRDefault="007F5986" w:rsidP="007F5986">
      <w:pPr>
        <w:spacing w:after="240" w:line="360" w:lineRule="auto"/>
        <w:jc w:val="center"/>
        <w:rPr>
          <w:rFonts w:ascii="Times New Roman" w:hAnsi="Times New Roman" w:cs="Times New Roman"/>
          <w:b/>
          <w:bCs/>
          <w:sz w:val="44"/>
          <w:szCs w:val="44"/>
        </w:rPr>
      </w:pPr>
      <w:r w:rsidRPr="007F5986">
        <w:rPr>
          <w:rFonts w:ascii="Times New Roman" w:hAnsi="Times New Roman" w:cs="Times New Roman"/>
          <w:b/>
          <w:bCs/>
          <w:sz w:val="44"/>
          <w:szCs w:val="44"/>
        </w:rPr>
        <w:t>MODULE</w:t>
      </w:r>
      <w:r>
        <w:rPr>
          <w:rFonts w:ascii="Times New Roman" w:hAnsi="Times New Roman" w:cs="Times New Roman"/>
          <w:b/>
          <w:bCs/>
          <w:sz w:val="44"/>
          <w:szCs w:val="44"/>
        </w:rPr>
        <w:t xml:space="preserve"> </w:t>
      </w:r>
    </w:p>
    <w:p w14:paraId="28B1ACE9" w14:textId="11CF5989" w:rsidR="003E676D" w:rsidRDefault="003E676D" w:rsidP="007F5986">
      <w:pPr>
        <w:spacing w:after="240" w:line="360" w:lineRule="auto"/>
        <w:jc w:val="center"/>
        <w:rPr>
          <w:rFonts w:ascii="Times New Roman" w:hAnsi="Times New Roman" w:cs="Times New Roman"/>
          <w:b/>
          <w:bCs/>
          <w:sz w:val="52"/>
          <w:szCs w:val="52"/>
        </w:rPr>
      </w:pPr>
      <w:r w:rsidRPr="007F5986">
        <w:rPr>
          <w:rFonts w:ascii="Times New Roman" w:hAnsi="Times New Roman" w:cs="Times New Roman"/>
          <w:b/>
          <w:bCs/>
          <w:sz w:val="52"/>
          <w:szCs w:val="52"/>
        </w:rPr>
        <w:t>STRATEGIC MANAGEMENT</w:t>
      </w:r>
    </w:p>
    <w:p w14:paraId="3145E4CD" w14:textId="77777777" w:rsidR="007F5986" w:rsidRPr="007F5986" w:rsidRDefault="007F5986" w:rsidP="007F5986">
      <w:pPr>
        <w:spacing w:after="240" w:line="360" w:lineRule="auto"/>
        <w:rPr>
          <w:rFonts w:ascii="Times New Roman" w:hAnsi="Times New Roman" w:cs="Times New Roman"/>
          <w:b/>
          <w:bCs/>
          <w:sz w:val="56"/>
          <w:szCs w:val="56"/>
        </w:rPr>
      </w:pPr>
    </w:p>
    <w:p w14:paraId="10EF58AB" w14:textId="77777777" w:rsidR="00A33DC4" w:rsidRPr="007F5986" w:rsidRDefault="00A33DC4" w:rsidP="007F5986">
      <w:pPr>
        <w:spacing w:after="240" w:line="360" w:lineRule="auto"/>
        <w:jc w:val="center"/>
        <w:rPr>
          <w:rFonts w:ascii="Times New Roman" w:hAnsi="Times New Roman" w:cs="Times New Roman"/>
          <w:b/>
          <w:bCs/>
          <w:sz w:val="36"/>
          <w:szCs w:val="36"/>
        </w:rPr>
      </w:pPr>
      <w:r w:rsidRPr="007F5986">
        <w:rPr>
          <w:rFonts w:ascii="Times New Roman" w:hAnsi="Times New Roman" w:cs="Times New Roman"/>
          <w:b/>
          <w:bCs/>
          <w:sz w:val="36"/>
          <w:szCs w:val="36"/>
        </w:rPr>
        <w:t>Name of student : KONDAPALLY NIRANJAN</w:t>
      </w:r>
    </w:p>
    <w:p w14:paraId="3CF10370" w14:textId="635A0FAC" w:rsidR="00A33DC4" w:rsidRPr="007F5986" w:rsidRDefault="00A33DC4" w:rsidP="007F5986">
      <w:pPr>
        <w:spacing w:after="240" w:line="360" w:lineRule="auto"/>
        <w:jc w:val="center"/>
        <w:rPr>
          <w:rFonts w:ascii="Times New Roman" w:hAnsi="Times New Roman" w:cs="Times New Roman"/>
          <w:b/>
          <w:bCs/>
          <w:sz w:val="36"/>
          <w:szCs w:val="36"/>
        </w:rPr>
      </w:pPr>
      <w:r w:rsidRPr="007F5986">
        <w:rPr>
          <w:rFonts w:ascii="Times New Roman" w:hAnsi="Times New Roman" w:cs="Times New Roman"/>
          <w:b/>
          <w:bCs/>
          <w:sz w:val="36"/>
          <w:szCs w:val="36"/>
        </w:rPr>
        <w:t xml:space="preserve">Student </w:t>
      </w:r>
      <w:r w:rsidR="007F5986">
        <w:rPr>
          <w:rFonts w:ascii="Times New Roman" w:hAnsi="Times New Roman" w:cs="Times New Roman"/>
          <w:b/>
          <w:bCs/>
          <w:sz w:val="36"/>
          <w:szCs w:val="36"/>
        </w:rPr>
        <w:t xml:space="preserve">Id </w:t>
      </w:r>
      <w:r w:rsidRPr="007F5986">
        <w:rPr>
          <w:rFonts w:ascii="Times New Roman" w:hAnsi="Times New Roman" w:cs="Times New Roman"/>
          <w:b/>
          <w:bCs/>
          <w:sz w:val="36"/>
          <w:szCs w:val="36"/>
        </w:rPr>
        <w:t>:</w:t>
      </w:r>
      <w:r w:rsidR="007F5986">
        <w:rPr>
          <w:rFonts w:ascii="Times New Roman" w:hAnsi="Times New Roman" w:cs="Times New Roman"/>
          <w:b/>
          <w:bCs/>
          <w:sz w:val="36"/>
          <w:szCs w:val="36"/>
        </w:rPr>
        <w:t xml:space="preserve"> </w:t>
      </w:r>
      <w:r w:rsidRPr="007F5986">
        <w:rPr>
          <w:rFonts w:ascii="Times New Roman" w:hAnsi="Times New Roman" w:cs="Times New Roman"/>
          <w:b/>
          <w:bCs/>
          <w:sz w:val="36"/>
          <w:szCs w:val="36"/>
        </w:rPr>
        <w:t>2226891</w:t>
      </w:r>
    </w:p>
    <w:p w14:paraId="63E0D007" w14:textId="7CFF96BF" w:rsidR="003E676D" w:rsidRPr="003E676D" w:rsidRDefault="003E676D" w:rsidP="003E676D">
      <w:pPr>
        <w:spacing w:after="240" w:line="360" w:lineRule="auto"/>
        <w:jc w:val="center"/>
        <w:rPr>
          <w:rFonts w:ascii="Times New Roman" w:hAnsi="Times New Roman" w:cs="Times New Roman"/>
          <w:b/>
          <w:bCs/>
          <w:sz w:val="32"/>
          <w:szCs w:val="32"/>
        </w:rPr>
      </w:pPr>
      <w:r w:rsidRPr="003E676D">
        <w:rPr>
          <w:rFonts w:ascii="Times New Roman" w:hAnsi="Times New Roman" w:cs="Times New Roman"/>
          <w:b/>
          <w:bCs/>
          <w:sz w:val="32"/>
          <w:szCs w:val="32"/>
        </w:rPr>
        <w:br w:type="page"/>
      </w:r>
    </w:p>
    <w:sdt>
      <w:sdtPr>
        <w:rPr>
          <w:rFonts w:ascii="Arial" w:eastAsia="Arial" w:hAnsi="Arial" w:cs="Arial"/>
          <w:color w:val="auto"/>
          <w:sz w:val="22"/>
          <w:szCs w:val="22"/>
          <w:lang w:val=""/>
        </w:rPr>
        <w:id w:val="-1041821000"/>
        <w:docPartObj>
          <w:docPartGallery w:val="Table of Contents"/>
          <w:docPartUnique/>
        </w:docPartObj>
      </w:sdtPr>
      <w:sdtEndPr>
        <w:rPr>
          <w:b/>
          <w:bCs/>
          <w:noProof/>
        </w:rPr>
      </w:sdtEndPr>
      <w:sdtContent>
        <w:p w14:paraId="53004536" w14:textId="1BC49E27" w:rsidR="003E676D" w:rsidRPr="003E676D" w:rsidRDefault="003E676D" w:rsidP="003E676D">
          <w:pPr>
            <w:pStyle w:val="TOCHeading"/>
            <w:spacing w:after="240" w:line="360" w:lineRule="auto"/>
            <w:jc w:val="center"/>
            <w:rPr>
              <w:rFonts w:ascii="Times New Roman" w:hAnsi="Times New Roman" w:cs="Times New Roman"/>
              <w:b/>
              <w:bCs/>
              <w:color w:val="auto"/>
              <w:sz w:val="28"/>
              <w:szCs w:val="28"/>
            </w:rPr>
          </w:pPr>
          <w:r w:rsidRPr="003E676D">
            <w:rPr>
              <w:rFonts w:ascii="Times New Roman" w:hAnsi="Times New Roman" w:cs="Times New Roman"/>
              <w:b/>
              <w:bCs/>
              <w:color w:val="auto"/>
              <w:sz w:val="28"/>
              <w:szCs w:val="28"/>
            </w:rPr>
            <w:t>Table of Contents</w:t>
          </w:r>
        </w:p>
        <w:p w14:paraId="2F33557F" w14:textId="1537D55E" w:rsidR="003E676D" w:rsidRPr="003E676D" w:rsidRDefault="003E676D" w:rsidP="003E676D">
          <w:pPr>
            <w:pStyle w:val="TOC1"/>
            <w:tabs>
              <w:tab w:val="right" w:leader="dot" w:pos="9019"/>
            </w:tabs>
            <w:spacing w:after="240" w:line="360" w:lineRule="auto"/>
            <w:jc w:val="both"/>
            <w:rPr>
              <w:rFonts w:ascii="Times New Roman" w:hAnsi="Times New Roman" w:cs="Times New Roman"/>
              <w:noProof/>
              <w:sz w:val="24"/>
              <w:szCs w:val="24"/>
            </w:rPr>
          </w:pPr>
          <w:r w:rsidRPr="003E676D">
            <w:rPr>
              <w:rFonts w:ascii="Times New Roman" w:hAnsi="Times New Roman" w:cs="Times New Roman"/>
              <w:sz w:val="24"/>
              <w:szCs w:val="24"/>
            </w:rPr>
            <w:fldChar w:fldCharType="begin"/>
          </w:r>
          <w:r w:rsidRPr="003E676D">
            <w:rPr>
              <w:rFonts w:ascii="Times New Roman" w:hAnsi="Times New Roman" w:cs="Times New Roman"/>
              <w:sz w:val="24"/>
              <w:szCs w:val="24"/>
            </w:rPr>
            <w:instrText xml:space="preserve"> TOC \o "1-3" \h \z \u </w:instrText>
          </w:r>
          <w:r w:rsidRPr="003E676D">
            <w:rPr>
              <w:rFonts w:ascii="Times New Roman" w:hAnsi="Times New Roman" w:cs="Times New Roman"/>
              <w:sz w:val="24"/>
              <w:szCs w:val="24"/>
            </w:rPr>
            <w:fldChar w:fldCharType="separate"/>
          </w:r>
          <w:hyperlink w:anchor="_Toc151909084" w:history="1">
            <w:r w:rsidRPr="003E676D">
              <w:rPr>
                <w:rStyle w:val="Hyperlink"/>
                <w:rFonts w:ascii="Times New Roman" w:hAnsi="Times New Roman" w:cs="Times New Roman"/>
                <w:noProof/>
                <w:color w:val="auto"/>
                <w:sz w:val="24"/>
                <w:szCs w:val="24"/>
              </w:rPr>
              <w:t>Introduction</w:t>
            </w:r>
            <w:r w:rsidRPr="003E676D">
              <w:rPr>
                <w:rFonts w:ascii="Times New Roman" w:hAnsi="Times New Roman" w:cs="Times New Roman"/>
                <w:noProof/>
                <w:webHidden/>
                <w:sz w:val="24"/>
                <w:szCs w:val="24"/>
              </w:rPr>
              <w:tab/>
            </w:r>
            <w:r w:rsidRPr="003E676D">
              <w:rPr>
                <w:rFonts w:ascii="Times New Roman" w:hAnsi="Times New Roman" w:cs="Times New Roman"/>
                <w:noProof/>
                <w:webHidden/>
                <w:sz w:val="24"/>
                <w:szCs w:val="24"/>
              </w:rPr>
              <w:fldChar w:fldCharType="begin"/>
            </w:r>
            <w:r w:rsidRPr="003E676D">
              <w:rPr>
                <w:rFonts w:ascii="Times New Roman" w:hAnsi="Times New Roman" w:cs="Times New Roman"/>
                <w:noProof/>
                <w:webHidden/>
                <w:sz w:val="24"/>
                <w:szCs w:val="24"/>
              </w:rPr>
              <w:instrText xml:space="preserve"> PAGEREF _Toc151909084 \h </w:instrText>
            </w:r>
            <w:r w:rsidRPr="003E676D">
              <w:rPr>
                <w:rFonts w:ascii="Times New Roman" w:hAnsi="Times New Roman" w:cs="Times New Roman"/>
                <w:noProof/>
                <w:webHidden/>
                <w:sz w:val="24"/>
                <w:szCs w:val="24"/>
              </w:rPr>
            </w:r>
            <w:r w:rsidRPr="003E676D">
              <w:rPr>
                <w:rFonts w:ascii="Times New Roman" w:hAnsi="Times New Roman" w:cs="Times New Roman"/>
                <w:noProof/>
                <w:webHidden/>
                <w:sz w:val="24"/>
                <w:szCs w:val="24"/>
              </w:rPr>
              <w:fldChar w:fldCharType="separate"/>
            </w:r>
            <w:r w:rsidRPr="003E676D">
              <w:rPr>
                <w:rFonts w:ascii="Times New Roman" w:hAnsi="Times New Roman" w:cs="Times New Roman"/>
                <w:noProof/>
                <w:webHidden/>
                <w:sz w:val="24"/>
                <w:szCs w:val="24"/>
              </w:rPr>
              <w:t>2</w:t>
            </w:r>
            <w:r w:rsidRPr="003E676D">
              <w:rPr>
                <w:rFonts w:ascii="Times New Roman" w:hAnsi="Times New Roman" w:cs="Times New Roman"/>
                <w:noProof/>
                <w:webHidden/>
                <w:sz w:val="24"/>
                <w:szCs w:val="24"/>
              </w:rPr>
              <w:fldChar w:fldCharType="end"/>
            </w:r>
          </w:hyperlink>
        </w:p>
        <w:p w14:paraId="5F63AAEC" w14:textId="629B8182" w:rsidR="003E676D" w:rsidRPr="003E676D" w:rsidRDefault="00000000" w:rsidP="003E676D">
          <w:pPr>
            <w:pStyle w:val="TOC1"/>
            <w:tabs>
              <w:tab w:val="right" w:leader="dot" w:pos="9019"/>
            </w:tabs>
            <w:spacing w:after="240" w:line="360" w:lineRule="auto"/>
            <w:jc w:val="both"/>
            <w:rPr>
              <w:rFonts w:ascii="Times New Roman" w:hAnsi="Times New Roman" w:cs="Times New Roman"/>
              <w:noProof/>
              <w:sz w:val="24"/>
              <w:szCs w:val="24"/>
            </w:rPr>
          </w:pPr>
          <w:hyperlink w:anchor="_Toc151909085" w:history="1">
            <w:r w:rsidR="003E676D" w:rsidRPr="003E676D">
              <w:rPr>
                <w:rStyle w:val="Hyperlink"/>
                <w:rFonts w:ascii="Times New Roman" w:hAnsi="Times New Roman" w:cs="Times New Roman"/>
                <w:noProof/>
                <w:color w:val="auto"/>
                <w:sz w:val="24"/>
                <w:szCs w:val="24"/>
              </w:rPr>
              <w:t>Vision, mission, and objectives for the company</w:t>
            </w:r>
            <w:r w:rsidR="003E676D" w:rsidRPr="003E676D">
              <w:rPr>
                <w:rFonts w:ascii="Times New Roman" w:hAnsi="Times New Roman" w:cs="Times New Roman"/>
                <w:noProof/>
                <w:webHidden/>
                <w:sz w:val="24"/>
                <w:szCs w:val="24"/>
              </w:rPr>
              <w:tab/>
            </w:r>
            <w:r w:rsidR="003E676D" w:rsidRPr="003E676D">
              <w:rPr>
                <w:rFonts w:ascii="Times New Roman" w:hAnsi="Times New Roman" w:cs="Times New Roman"/>
                <w:noProof/>
                <w:webHidden/>
                <w:sz w:val="24"/>
                <w:szCs w:val="24"/>
              </w:rPr>
              <w:fldChar w:fldCharType="begin"/>
            </w:r>
            <w:r w:rsidR="003E676D" w:rsidRPr="003E676D">
              <w:rPr>
                <w:rFonts w:ascii="Times New Roman" w:hAnsi="Times New Roman" w:cs="Times New Roman"/>
                <w:noProof/>
                <w:webHidden/>
                <w:sz w:val="24"/>
                <w:szCs w:val="24"/>
              </w:rPr>
              <w:instrText xml:space="preserve"> PAGEREF _Toc151909085 \h </w:instrText>
            </w:r>
            <w:r w:rsidR="003E676D" w:rsidRPr="003E676D">
              <w:rPr>
                <w:rFonts w:ascii="Times New Roman" w:hAnsi="Times New Roman" w:cs="Times New Roman"/>
                <w:noProof/>
                <w:webHidden/>
                <w:sz w:val="24"/>
                <w:szCs w:val="24"/>
              </w:rPr>
            </w:r>
            <w:r w:rsidR="003E676D" w:rsidRPr="003E676D">
              <w:rPr>
                <w:rFonts w:ascii="Times New Roman" w:hAnsi="Times New Roman" w:cs="Times New Roman"/>
                <w:noProof/>
                <w:webHidden/>
                <w:sz w:val="24"/>
                <w:szCs w:val="24"/>
              </w:rPr>
              <w:fldChar w:fldCharType="separate"/>
            </w:r>
            <w:r w:rsidR="003E676D" w:rsidRPr="003E676D">
              <w:rPr>
                <w:rFonts w:ascii="Times New Roman" w:hAnsi="Times New Roman" w:cs="Times New Roman"/>
                <w:noProof/>
                <w:webHidden/>
                <w:sz w:val="24"/>
                <w:szCs w:val="24"/>
              </w:rPr>
              <w:t>2</w:t>
            </w:r>
            <w:r w:rsidR="003E676D" w:rsidRPr="003E676D">
              <w:rPr>
                <w:rFonts w:ascii="Times New Roman" w:hAnsi="Times New Roman" w:cs="Times New Roman"/>
                <w:noProof/>
                <w:webHidden/>
                <w:sz w:val="24"/>
                <w:szCs w:val="24"/>
              </w:rPr>
              <w:fldChar w:fldCharType="end"/>
            </w:r>
          </w:hyperlink>
        </w:p>
        <w:p w14:paraId="0DA10C02" w14:textId="64518D31" w:rsidR="003E676D" w:rsidRPr="003E676D" w:rsidRDefault="00000000" w:rsidP="003E676D">
          <w:pPr>
            <w:pStyle w:val="TOC1"/>
            <w:tabs>
              <w:tab w:val="right" w:leader="dot" w:pos="9019"/>
            </w:tabs>
            <w:spacing w:after="240" w:line="360" w:lineRule="auto"/>
            <w:jc w:val="both"/>
            <w:rPr>
              <w:rFonts w:ascii="Times New Roman" w:hAnsi="Times New Roman" w:cs="Times New Roman"/>
              <w:noProof/>
              <w:sz w:val="24"/>
              <w:szCs w:val="24"/>
            </w:rPr>
          </w:pPr>
          <w:hyperlink w:anchor="_Toc151909086" w:history="1">
            <w:r w:rsidR="003E676D" w:rsidRPr="003E676D">
              <w:rPr>
                <w:rStyle w:val="Hyperlink"/>
                <w:rFonts w:ascii="Times New Roman" w:hAnsi="Times New Roman" w:cs="Times New Roman"/>
                <w:noProof/>
                <w:color w:val="auto"/>
                <w:sz w:val="24"/>
                <w:szCs w:val="24"/>
              </w:rPr>
              <w:t>Environmental audit (internal and external)</w:t>
            </w:r>
            <w:r w:rsidR="003E676D" w:rsidRPr="003E676D">
              <w:rPr>
                <w:rFonts w:ascii="Times New Roman" w:hAnsi="Times New Roman" w:cs="Times New Roman"/>
                <w:noProof/>
                <w:webHidden/>
                <w:sz w:val="24"/>
                <w:szCs w:val="24"/>
              </w:rPr>
              <w:tab/>
            </w:r>
            <w:r w:rsidR="003E676D" w:rsidRPr="003E676D">
              <w:rPr>
                <w:rFonts w:ascii="Times New Roman" w:hAnsi="Times New Roman" w:cs="Times New Roman"/>
                <w:noProof/>
                <w:webHidden/>
                <w:sz w:val="24"/>
                <w:szCs w:val="24"/>
              </w:rPr>
              <w:fldChar w:fldCharType="begin"/>
            </w:r>
            <w:r w:rsidR="003E676D" w:rsidRPr="003E676D">
              <w:rPr>
                <w:rFonts w:ascii="Times New Roman" w:hAnsi="Times New Roman" w:cs="Times New Roman"/>
                <w:noProof/>
                <w:webHidden/>
                <w:sz w:val="24"/>
                <w:szCs w:val="24"/>
              </w:rPr>
              <w:instrText xml:space="preserve"> PAGEREF _Toc151909086 \h </w:instrText>
            </w:r>
            <w:r w:rsidR="003E676D" w:rsidRPr="003E676D">
              <w:rPr>
                <w:rFonts w:ascii="Times New Roman" w:hAnsi="Times New Roman" w:cs="Times New Roman"/>
                <w:noProof/>
                <w:webHidden/>
                <w:sz w:val="24"/>
                <w:szCs w:val="24"/>
              </w:rPr>
            </w:r>
            <w:r w:rsidR="003E676D" w:rsidRPr="003E676D">
              <w:rPr>
                <w:rFonts w:ascii="Times New Roman" w:hAnsi="Times New Roman" w:cs="Times New Roman"/>
                <w:noProof/>
                <w:webHidden/>
                <w:sz w:val="24"/>
                <w:szCs w:val="24"/>
              </w:rPr>
              <w:fldChar w:fldCharType="separate"/>
            </w:r>
            <w:r w:rsidR="003E676D" w:rsidRPr="003E676D">
              <w:rPr>
                <w:rFonts w:ascii="Times New Roman" w:hAnsi="Times New Roman" w:cs="Times New Roman"/>
                <w:noProof/>
                <w:webHidden/>
                <w:sz w:val="24"/>
                <w:szCs w:val="24"/>
              </w:rPr>
              <w:t>4</w:t>
            </w:r>
            <w:r w:rsidR="003E676D" w:rsidRPr="003E676D">
              <w:rPr>
                <w:rFonts w:ascii="Times New Roman" w:hAnsi="Times New Roman" w:cs="Times New Roman"/>
                <w:noProof/>
                <w:webHidden/>
                <w:sz w:val="24"/>
                <w:szCs w:val="24"/>
              </w:rPr>
              <w:fldChar w:fldCharType="end"/>
            </w:r>
          </w:hyperlink>
        </w:p>
        <w:p w14:paraId="76566E42" w14:textId="28EDCECA" w:rsidR="003E676D" w:rsidRPr="003E676D" w:rsidRDefault="00000000" w:rsidP="003E676D">
          <w:pPr>
            <w:pStyle w:val="TOC1"/>
            <w:tabs>
              <w:tab w:val="right" w:leader="dot" w:pos="9019"/>
            </w:tabs>
            <w:spacing w:after="240" w:line="360" w:lineRule="auto"/>
            <w:jc w:val="both"/>
            <w:rPr>
              <w:rFonts w:ascii="Times New Roman" w:hAnsi="Times New Roman" w:cs="Times New Roman"/>
              <w:noProof/>
              <w:sz w:val="24"/>
              <w:szCs w:val="24"/>
            </w:rPr>
          </w:pPr>
          <w:hyperlink w:anchor="_Toc151909087" w:history="1">
            <w:r w:rsidR="003E676D" w:rsidRPr="003E676D">
              <w:rPr>
                <w:rStyle w:val="Hyperlink"/>
                <w:rFonts w:ascii="Times New Roman" w:hAnsi="Times New Roman" w:cs="Times New Roman"/>
                <w:noProof/>
                <w:color w:val="auto"/>
                <w:sz w:val="24"/>
                <w:szCs w:val="24"/>
              </w:rPr>
              <w:t>Strate</w:t>
            </w:r>
            <w:r w:rsidR="003E676D" w:rsidRPr="003E676D">
              <w:rPr>
                <w:rStyle w:val="Hyperlink"/>
                <w:rFonts w:ascii="Times New Roman" w:hAnsi="Times New Roman" w:cs="Times New Roman"/>
                <w:noProof/>
                <w:color w:val="auto"/>
                <w:sz w:val="24"/>
                <w:szCs w:val="24"/>
              </w:rPr>
              <w:t>g</w:t>
            </w:r>
            <w:r w:rsidR="003E676D" w:rsidRPr="003E676D">
              <w:rPr>
                <w:rStyle w:val="Hyperlink"/>
                <w:rFonts w:ascii="Times New Roman" w:hAnsi="Times New Roman" w:cs="Times New Roman"/>
                <w:noProof/>
                <w:color w:val="auto"/>
                <w:sz w:val="24"/>
                <w:szCs w:val="24"/>
              </w:rPr>
              <w:t>i</w:t>
            </w:r>
            <w:r w:rsidR="003E676D" w:rsidRPr="003E676D">
              <w:rPr>
                <w:rStyle w:val="Hyperlink"/>
                <w:rFonts w:ascii="Times New Roman" w:hAnsi="Times New Roman" w:cs="Times New Roman"/>
                <w:noProof/>
                <w:color w:val="auto"/>
                <w:sz w:val="24"/>
                <w:szCs w:val="24"/>
              </w:rPr>
              <w:t>c</w:t>
            </w:r>
            <w:r w:rsidR="003E676D" w:rsidRPr="003E676D">
              <w:rPr>
                <w:rStyle w:val="Hyperlink"/>
                <w:rFonts w:ascii="Times New Roman" w:hAnsi="Times New Roman" w:cs="Times New Roman"/>
                <w:noProof/>
                <w:color w:val="auto"/>
                <w:sz w:val="24"/>
                <w:szCs w:val="24"/>
              </w:rPr>
              <w:t xml:space="preserve"> O</w:t>
            </w:r>
            <w:r w:rsidR="003E676D" w:rsidRPr="003E676D">
              <w:rPr>
                <w:rStyle w:val="Hyperlink"/>
                <w:rFonts w:ascii="Times New Roman" w:hAnsi="Times New Roman" w:cs="Times New Roman"/>
                <w:noProof/>
                <w:color w:val="auto"/>
                <w:sz w:val="24"/>
                <w:szCs w:val="24"/>
              </w:rPr>
              <w:t>p</w:t>
            </w:r>
            <w:r w:rsidR="003E676D" w:rsidRPr="003E676D">
              <w:rPr>
                <w:rStyle w:val="Hyperlink"/>
                <w:rFonts w:ascii="Times New Roman" w:hAnsi="Times New Roman" w:cs="Times New Roman"/>
                <w:noProof/>
                <w:color w:val="auto"/>
                <w:sz w:val="24"/>
                <w:szCs w:val="24"/>
              </w:rPr>
              <w:t>tions</w:t>
            </w:r>
            <w:r w:rsidR="003E676D" w:rsidRPr="003E676D">
              <w:rPr>
                <w:rFonts w:ascii="Times New Roman" w:hAnsi="Times New Roman" w:cs="Times New Roman"/>
                <w:noProof/>
                <w:webHidden/>
                <w:sz w:val="24"/>
                <w:szCs w:val="24"/>
              </w:rPr>
              <w:tab/>
            </w:r>
            <w:r w:rsidR="003E676D" w:rsidRPr="003E676D">
              <w:rPr>
                <w:rFonts w:ascii="Times New Roman" w:hAnsi="Times New Roman" w:cs="Times New Roman"/>
                <w:noProof/>
                <w:webHidden/>
                <w:sz w:val="24"/>
                <w:szCs w:val="24"/>
              </w:rPr>
              <w:fldChar w:fldCharType="begin"/>
            </w:r>
            <w:r w:rsidR="003E676D" w:rsidRPr="003E676D">
              <w:rPr>
                <w:rFonts w:ascii="Times New Roman" w:hAnsi="Times New Roman" w:cs="Times New Roman"/>
                <w:noProof/>
                <w:webHidden/>
                <w:sz w:val="24"/>
                <w:szCs w:val="24"/>
              </w:rPr>
              <w:instrText xml:space="preserve"> PAGEREF _Toc151909087 \h </w:instrText>
            </w:r>
            <w:r w:rsidR="003E676D" w:rsidRPr="003E676D">
              <w:rPr>
                <w:rFonts w:ascii="Times New Roman" w:hAnsi="Times New Roman" w:cs="Times New Roman"/>
                <w:noProof/>
                <w:webHidden/>
                <w:sz w:val="24"/>
                <w:szCs w:val="24"/>
              </w:rPr>
            </w:r>
            <w:r w:rsidR="003E676D" w:rsidRPr="003E676D">
              <w:rPr>
                <w:rFonts w:ascii="Times New Roman" w:hAnsi="Times New Roman" w:cs="Times New Roman"/>
                <w:noProof/>
                <w:webHidden/>
                <w:sz w:val="24"/>
                <w:szCs w:val="24"/>
              </w:rPr>
              <w:fldChar w:fldCharType="separate"/>
            </w:r>
            <w:r w:rsidR="003E676D" w:rsidRPr="003E676D">
              <w:rPr>
                <w:rFonts w:ascii="Times New Roman" w:hAnsi="Times New Roman" w:cs="Times New Roman"/>
                <w:noProof/>
                <w:webHidden/>
                <w:sz w:val="24"/>
                <w:szCs w:val="24"/>
              </w:rPr>
              <w:t>9</w:t>
            </w:r>
            <w:r w:rsidR="003E676D" w:rsidRPr="003E676D">
              <w:rPr>
                <w:rFonts w:ascii="Times New Roman" w:hAnsi="Times New Roman" w:cs="Times New Roman"/>
                <w:noProof/>
                <w:webHidden/>
                <w:sz w:val="24"/>
                <w:szCs w:val="24"/>
              </w:rPr>
              <w:fldChar w:fldCharType="end"/>
            </w:r>
          </w:hyperlink>
        </w:p>
        <w:p w14:paraId="6CD0C964" w14:textId="0FFDBE48" w:rsidR="003E676D" w:rsidRPr="003E676D" w:rsidRDefault="00000000" w:rsidP="003E676D">
          <w:pPr>
            <w:pStyle w:val="TOC1"/>
            <w:tabs>
              <w:tab w:val="right" w:leader="dot" w:pos="9019"/>
            </w:tabs>
            <w:spacing w:after="240" w:line="360" w:lineRule="auto"/>
            <w:jc w:val="both"/>
            <w:rPr>
              <w:rFonts w:ascii="Times New Roman" w:hAnsi="Times New Roman" w:cs="Times New Roman"/>
              <w:noProof/>
              <w:sz w:val="24"/>
              <w:szCs w:val="24"/>
            </w:rPr>
          </w:pPr>
          <w:hyperlink w:anchor="_Toc151909088" w:history="1">
            <w:r w:rsidR="003E676D" w:rsidRPr="003E676D">
              <w:rPr>
                <w:rStyle w:val="Hyperlink"/>
                <w:rFonts w:ascii="Times New Roman" w:hAnsi="Times New Roman" w:cs="Times New Roman"/>
                <w:noProof/>
                <w:color w:val="auto"/>
                <w:sz w:val="24"/>
                <w:szCs w:val="24"/>
              </w:rPr>
              <w:t>Sustainability and Competitive Advantage:</w:t>
            </w:r>
            <w:r w:rsidR="003E676D" w:rsidRPr="003E676D">
              <w:rPr>
                <w:rFonts w:ascii="Times New Roman" w:hAnsi="Times New Roman" w:cs="Times New Roman"/>
                <w:noProof/>
                <w:webHidden/>
                <w:sz w:val="24"/>
                <w:szCs w:val="24"/>
              </w:rPr>
              <w:tab/>
            </w:r>
            <w:r w:rsidR="003E676D" w:rsidRPr="003E676D">
              <w:rPr>
                <w:rFonts w:ascii="Times New Roman" w:hAnsi="Times New Roman" w:cs="Times New Roman"/>
                <w:noProof/>
                <w:webHidden/>
                <w:sz w:val="24"/>
                <w:szCs w:val="24"/>
              </w:rPr>
              <w:fldChar w:fldCharType="begin"/>
            </w:r>
            <w:r w:rsidR="003E676D" w:rsidRPr="003E676D">
              <w:rPr>
                <w:rFonts w:ascii="Times New Roman" w:hAnsi="Times New Roman" w:cs="Times New Roman"/>
                <w:noProof/>
                <w:webHidden/>
                <w:sz w:val="24"/>
                <w:szCs w:val="24"/>
              </w:rPr>
              <w:instrText xml:space="preserve"> PAGEREF _Toc151909088 \h </w:instrText>
            </w:r>
            <w:r w:rsidR="003E676D" w:rsidRPr="003E676D">
              <w:rPr>
                <w:rFonts w:ascii="Times New Roman" w:hAnsi="Times New Roman" w:cs="Times New Roman"/>
                <w:noProof/>
                <w:webHidden/>
                <w:sz w:val="24"/>
                <w:szCs w:val="24"/>
              </w:rPr>
            </w:r>
            <w:r w:rsidR="003E676D" w:rsidRPr="003E676D">
              <w:rPr>
                <w:rFonts w:ascii="Times New Roman" w:hAnsi="Times New Roman" w:cs="Times New Roman"/>
                <w:noProof/>
                <w:webHidden/>
                <w:sz w:val="24"/>
                <w:szCs w:val="24"/>
              </w:rPr>
              <w:fldChar w:fldCharType="separate"/>
            </w:r>
            <w:r w:rsidR="003E676D" w:rsidRPr="003E676D">
              <w:rPr>
                <w:rFonts w:ascii="Times New Roman" w:hAnsi="Times New Roman" w:cs="Times New Roman"/>
                <w:noProof/>
                <w:webHidden/>
                <w:sz w:val="24"/>
                <w:szCs w:val="24"/>
              </w:rPr>
              <w:t>13</w:t>
            </w:r>
            <w:r w:rsidR="003E676D" w:rsidRPr="003E676D">
              <w:rPr>
                <w:rFonts w:ascii="Times New Roman" w:hAnsi="Times New Roman" w:cs="Times New Roman"/>
                <w:noProof/>
                <w:webHidden/>
                <w:sz w:val="24"/>
                <w:szCs w:val="24"/>
              </w:rPr>
              <w:fldChar w:fldCharType="end"/>
            </w:r>
          </w:hyperlink>
        </w:p>
        <w:p w14:paraId="20CB056E" w14:textId="3805D150" w:rsidR="003E676D" w:rsidRPr="003E676D" w:rsidRDefault="00000000" w:rsidP="003E676D">
          <w:pPr>
            <w:pStyle w:val="TOC1"/>
            <w:tabs>
              <w:tab w:val="right" w:leader="dot" w:pos="9019"/>
            </w:tabs>
            <w:spacing w:after="240" w:line="360" w:lineRule="auto"/>
            <w:jc w:val="both"/>
            <w:rPr>
              <w:rFonts w:ascii="Times New Roman" w:hAnsi="Times New Roman" w:cs="Times New Roman"/>
              <w:noProof/>
              <w:sz w:val="24"/>
              <w:szCs w:val="24"/>
            </w:rPr>
          </w:pPr>
          <w:hyperlink w:anchor="_Toc151909089" w:history="1">
            <w:r w:rsidR="003E676D" w:rsidRPr="003E676D">
              <w:rPr>
                <w:rStyle w:val="Hyperlink"/>
                <w:rFonts w:ascii="Times New Roman" w:hAnsi="Times New Roman" w:cs="Times New Roman"/>
                <w:noProof/>
                <w:color w:val="auto"/>
                <w:sz w:val="24"/>
                <w:szCs w:val="24"/>
              </w:rPr>
              <w:t>Implement and execute the Strateg</w:t>
            </w:r>
            <w:r w:rsidR="003E676D" w:rsidRPr="003E676D">
              <w:rPr>
                <w:rStyle w:val="Hyperlink"/>
                <w:rFonts w:ascii="Times New Roman" w:hAnsi="Times New Roman" w:cs="Times New Roman"/>
                <w:noProof/>
                <w:color w:val="auto"/>
                <w:sz w:val="24"/>
                <w:szCs w:val="24"/>
              </w:rPr>
              <w:t>y</w:t>
            </w:r>
            <w:r w:rsidR="003E676D" w:rsidRPr="003E676D">
              <w:rPr>
                <w:rFonts w:ascii="Times New Roman" w:hAnsi="Times New Roman" w:cs="Times New Roman"/>
                <w:noProof/>
                <w:webHidden/>
                <w:sz w:val="24"/>
                <w:szCs w:val="24"/>
              </w:rPr>
              <w:tab/>
            </w:r>
            <w:r w:rsidR="003E676D" w:rsidRPr="003E676D">
              <w:rPr>
                <w:rFonts w:ascii="Times New Roman" w:hAnsi="Times New Roman" w:cs="Times New Roman"/>
                <w:noProof/>
                <w:webHidden/>
                <w:sz w:val="24"/>
                <w:szCs w:val="24"/>
              </w:rPr>
              <w:fldChar w:fldCharType="begin"/>
            </w:r>
            <w:r w:rsidR="003E676D" w:rsidRPr="003E676D">
              <w:rPr>
                <w:rFonts w:ascii="Times New Roman" w:hAnsi="Times New Roman" w:cs="Times New Roman"/>
                <w:noProof/>
                <w:webHidden/>
                <w:sz w:val="24"/>
                <w:szCs w:val="24"/>
              </w:rPr>
              <w:instrText xml:space="preserve"> PAGEREF _Toc151909089 \h </w:instrText>
            </w:r>
            <w:r w:rsidR="003E676D" w:rsidRPr="003E676D">
              <w:rPr>
                <w:rFonts w:ascii="Times New Roman" w:hAnsi="Times New Roman" w:cs="Times New Roman"/>
                <w:noProof/>
                <w:webHidden/>
                <w:sz w:val="24"/>
                <w:szCs w:val="24"/>
              </w:rPr>
            </w:r>
            <w:r w:rsidR="003E676D" w:rsidRPr="003E676D">
              <w:rPr>
                <w:rFonts w:ascii="Times New Roman" w:hAnsi="Times New Roman" w:cs="Times New Roman"/>
                <w:noProof/>
                <w:webHidden/>
                <w:sz w:val="24"/>
                <w:szCs w:val="24"/>
              </w:rPr>
              <w:fldChar w:fldCharType="separate"/>
            </w:r>
            <w:r w:rsidR="003E676D" w:rsidRPr="003E676D">
              <w:rPr>
                <w:rFonts w:ascii="Times New Roman" w:hAnsi="Times New Roman" w:cs="Times New Roman"/>
                <w:noProof/>
                <w:webHidden/>
                <w:sz w:val="24"/>
                <w:szCs w:val="24"/>
              </w:rPr>
              <w:t>14</w:t>
            </w:r>
            <w:r w:rsidR="003E676D" w:rsidRPr="003E676D">
              <w:rPr>
                <w:rFonts w:ascii="Times New Roman" w:hAnsi="Times New Roman" w:cs="Times New Roman"/>
                <w:noProof/>
                <w:webHidden/>
                <w:sz w:val="24"/>
                <w:szCs w:val="24"/>
              </w:rPr>
              <w:fldChar w:fldCharType="end"/>
            </w:r>
          </w:hyperlink>
        </w:p>
        <w:p w14:paraId="279C096E" w14:textId="701FCC5C" w:rsidR="003E676D" w:rsidRPr="003E676D" w:rsidRDefault="00000000" w:rsidP="003E676D">
          <w:pPr>
            <w:pStyle w:val="TOC1"/>
            <w:tabs>
              <w:tab w:val="right" w:leader="dot" w:pos="9019"/>
            </w:tabs>
            <w:spacing w:after="240" w:line="360" w:lineRule="auto"/>
            <w:jc w:val="both"/>
            <w:rPr>
              <w:rFonts w:ascii="Times New Roman" w:hAnsi="Times New Roman" w:cs="Times New Roman"/>
              <w:noProof/>
              <w:sz w:val="24"/>
              <w:szCs w:val="24"/>
            </w:rPr>
          </w:pPr>
          <w:hyperlink w:anchor="_Toc151909090" w:history="1">
            <w:r w:rsidR="003E676D" w:rsidRPr="003E676D">
              <w:rPr>
                <w:rStyle w:val="Hyperlink"/>
                <w:rFonts w:ascii="Times New Roman" w:hAnsi="Times New Roman" w:cs="Times New Roman"/>
                <w:noProof/>
                <w:color w:val="auto"/>
                <w:sz w:val="24"/>
                <w:szCs w:val="24"/>
              </w:rPr>
              <w:t>Executing the Strategic Plan for 'Delicious' - A Roadmap for Success</w:t>
            </w:r>
            <w:r w:rsidR="003E676D" w:rsidRPr="003E676D">
              <w:rPr>
                <w:rFonts w:ascii="Times New Roman" w:hAnsi="Times New Roman" w:cs="Times New Roman"/>
                <w:noProof/>
                <w:webHidden/>
                <w:sz w:val="24"/>
                <w:szCs w:val="24"/>
              </w:rPr>
              <w:tab/>
            </w:r>
            <w:r w:rsidR="003E676D" w:rsidRPr="003E676D">
              <w:rPr>
                <w:rFonts w:ascii="Times New Roman" w:hAnsi="Times New Roman" w:cs="Times New Roman"/>
                <w:noProof/>
                <w:webHidden/>
                <w:sz w:val="24"/>
                <w:szCs w:val="24"/>
              </w:rPr>
              <w:fldChar w:fldCharType="begin"/>
            </w:r>
            <w:r w:rsidR="003E676D" w:rsidRPr="003E676D">
              <w:rPr>
                <w:rFonts w:ascii="Times New Roman" w:hAnsi="Times New Roman" w:cs="Times New Roman"/>
                <w:noProof/>
                <w:webHidden/>
                <w:sz w:val="24"/>
                <w:szCs w:val="24"/>
              </w:rPr>
              <w:instrText xml:space="preserve"> PAGEREF _Toc151909090 \h </w:instrText>
            </w:r>
            <w:r w:rsidR="003E676D" w:rsidRPr="003E676D">
              <w:rPr>
                <w:rFonts w:ascii="Times New Roman" w:hAnsi="Times New Roman" w:cs="Times New Roman"/>
                <w:noProof/>
                <w:webHidden/>
                <w:sz w:val="24"/>
                <w:szCs w:val="24"/>
              </w:rPr>
            </w:r>
            <w:r w:rsidR="003E676D" w:rsidRPr="003E676D">
              <w:rPr>
                <w:rFonts w:ascii="Times New Roman" w:hAnsi="Times New Roman" w:cs="Times New Roman"/>
                <w:noProof/>
                <w:webHidden/>
                <w:sz w:val="24"/>
                <w:szCs w:val="24"/>
              </w:rPr>
              <w:fldChar w:fldCharType="separate"/>
            </w:r>
            <w:r w:rsidR="003E676D" w:rsidRPr="003E676D">
              <w:rPr>
                <w:rFonts w:ascii="Times New Roman" w:hAnsi="Times New Roman" w:cs="Times New Roman"/>
                <w:noProof/>
                <w:webHidden/>
                <w:sz w:val="24"/>
                <w:szCs w:val="24"/>
              </w:rPr>
              <w:t>17</w:t>
            </w:r>
            <w:r w:rsidR="003E676D" w:rsidRPr="003E676D">
              <w:rPr>
                <w:rFonts w:ascii="Times New Roman" w:hAnsi="Times New Roman" w:cs="Times New Roman"/>
                <w:noProof/>
                <w:webHidden/>
                <w:sz w:val="24"/>
                <w:szCs w:val="24"/>
              </w:rPr>
              <w:fldChar w:fldCharType="end"/>
            </w:r>
          </w:hyperlink>
        </w:p>
        <w:p w14:paraId="28228AD8" w14:textId="270FDF14" w:rsidR="003E676D" w:rsidRPr="003E676D" w:rsidRDefault="00000000" w:rsidP="003E676D">
          <w:pPr>
            <w:pStyle w:val="TOC1"/>
            <w:tabs>
              <w:tab w:val="right" w:leader="dot" w:pos="9019"/>
            </w:tabs>
            <w:spacing w:after="240" w:line="360" w:lineRule="auto"/>
            <w:jc w:val="both"/>
            <w:rPr>
              <w:rFonts w:ascii="Times New Roman" w:hAnsi="Times New Roman" w:cs="Times New Roman"/>
              <w:noProof/>
              <w:sz w:val="24"/>
              <w:szCs w:val="24"/>
            </w:rPr>
          </w:pPr>
          <w:hyperlink w:anchor="_Toc151909091" w:history="1">
            <w:r w:rsidR="003E676D" w:rsidRPr="003E676D">
              <w:rPr>
                <w:rStyle w:val="Hyperlink"/>
                <w:rFonts w:ascii="Times New Roman" w:hAnsi="Times New Roman" w:cs="Times New Roman"/>
                <w:noProof/>
                <w:color w:val="auto"/>
                <w:sz w:val="24"/>
                <w:szCs w:val="24"/>
              </w:rPr>
              <w:t>Different Monitoring Tools</w:t>
            </w:r>
            <w:r w:rsidR="003E676D" w:rsidRPr="003E676D">
              <w:rPr>
                <w:rFonts w:ascii="Times New Roman" w:hAnsi="Times New Roman" w:cs="Times New Roman"/>
                <w:noProof/>
                <w:webHidden/>
                <w:sz w:val="24"/>
                <w:szCs w:val="24"/>
              </w:rPr>
              <w:tab/>
            </w:r>
            <w:r w:rsidR="003E676D" w:rsidRPr="003E676D">
              <w:rPr>
                <w:rFonts w:ascii="Times New Roman" w:hAnsi="Times New Roman" w:cs="Times New Roman"/>
                <w:noProof/>
                <w:webHidden/>
                <w:sz w:val="24"/>
                <w:szCs w:val="24"/>
              </w:rPr>
              <w:fldChar w:fldCharType="begin"/>
            </w:r>
            <w:r w:rsidR="003E676D" w:rsidRPr="003E676D">
              <w:rPr>
                <w:rFonts w:ascii="Times New Roman" w:hAnsi="Times New Roman" w:cs="Times New Roman"/>
                <w:noProof/>
                <w:webHidden/>
                <w:sz w:val="24"/>
                <w:szCs w:val="24"/>
              </w:rPr>
              <w:instrText xml:space="preserve"> PAGEREF _Toc151909091 \h </w:instrText>
            </w:r>
            <w:r w:rsidR="003E676D" w:rsidRPr="003E676D">
              <w:rPr>
                <w:rFonts w:ascii="Times New Roman" w:hAnsi="Times New Roman" w:cs="Times New Roman"/>
                <w:noProof/>
                <w:webHidden/>
                <w:sz w:val="24"/>
                <w:szCs w:val="24"/>
              </w:rPr>
            </w:r>
            <w:r w:rsidR="003E676D" w:rsidRPr="003E676D">
              <w:rPr>
                <w:rFonts w:ascii="Times New Roman" w:hAnsi="Times New Roman" w:cs="Times New Roman"/>
                <w:noProof/>
                <w:webHidden/>
                <w:sz w:val="24"/>
                <w:szCs w:val="24"/>
              </w:rPr>
              <w:fldChar w:fldCharType="separate"/>
            </w:r>
            <w:r w:rsidR="003E676D" w:rsidRPr="003E676D">
              <w:rPr>
                <w:rFonts w:ascii="Times New Roman" w:hAnsi="Times New Roman" w:cs="Times New Roman"/>
                <w:noProof/>
                <w:webHidden/>
                <w:sz w:val="24"/>
                <w:szCs w:val="24"/>
              </w:rPr>
              <w:t>20</w:t>
            </w:r>
            <w:r w:rsidR="003E676D" w:rsidRPr="003E676D">
              <w:rPr>
                <w:rFonts w:ascii="Times New Roman" w:hAnsi="Times New Roman" w:cs="Times New Roman"/>
                <w:noProof/>
                <w:webHidden/>
                <w:sz w:val="24"/>
                <w:szCs w:val="24"/>
              </w:rPr>
              <w:fldChar w:fldCharType="end"/>
            </w:r>
          </w:hyperlink>
        </w:p>
        <w:p w14:paraId="503537B1" w14:textId="2475B5E7" w:rsidR="003E676D" w:rsidRPr="003E676D" w:rsidRDefault="00000000" w:rsidP="003E676D">
          <w:pPr>
            <w:pStyle w:val="TOC1"/>
            <w:tabs>
              <w:tab w:val="right" w:leader="dot" w:pos="9019"/>
            </w:tabs>
            <w:spacing w:after="240" w:line="360" w:lineRule="auto"/>
            <w:jc w:val="both"/>
            <w:rPr>
              <w:rFonts w:ascii="Times New Roman" w:hAnsi="Times New Roman" w:cs="Times New Roman"/>
              <w:noProof/>
              <w:sz w:val="24"/>
              <w:szCs w:val="24"/>
            </w:rPr>
          </w:pPr>
          <w:hyperlink w:anchor="_Toc151909092" w:history="1">
            <w:r w:rsidR="003E676D" w:rsidRPr="003E676D">
              <w:rPr>
                <w:rStyle w:val="Hyperlink"/>
                <w:rFonts w:ascii="Times New Roman" w:hAnsi="Times New Roman" w:cs="Times New Roman"/>
                <w:noProof/>
                <w:color w:val="auto"/>
                <w:sz w:val="24"/>
                <w:szCs w:val="24"/>
              </w:rPr>
              <w:t>Conclusion</w:t>
            </w:r>
            <w:r w:rsidR="003E676D" w:rsidRPr="003E676D">
              <w:rPr>
                <w:rFonts w:ascii="Times New Roman" w:hAnsi="Times New Roman" w:cs="Times New Roman"/>
                <w:noProof/>
                <w:webHidden/>
                <w:sz w:val="24"/>
                <w:szCs w:val="24"/>
              </w:rPr>
              <w:tab/>
            </w:r>
            <w:r w:rsidR="003E676D" w:rsidRPr="003E676D">
              <w:rPr>
                <w:rFonts w:ascii="Times New Roman" w:hAnsi="Times New Roman" w:cs="Times New Roman"/>
                <w:noProof/>
                <w:webHidden/>
                <w:sz w:val="24"/>
                <w:szCs w:val="24"/>
              </w:rPr>
              <w:fldChar w:fldCharType="begin"/>
            </w:r>
            <w:r w:rsidR="003E676D" w:rsidRPr="003E676D">
              <w:rPr>
                <w:rFonts w:ascii="Times New Roman" w:hAnsi="Times New Roman" w:cs="Times New Roman"/>
                <w:noProof/>
                <w:webHidden/>
                <w:sz w:val="24"/>
                <w:szCs w:val="24"/>
              </w:rPr>
              <w:instrText xml:space="preserve"> PAGEREF _Toc151909092 \h </w:instrText>
            </w:r>
            <w:r w:rsidR="003E676D" w:rsidRPr="003E676D">
              <w:rPr>
                <w:rFonts w:ascii="Times New Roman" w:hAnsi="Times New Roman" w:cs="Times New Roman"/>
                <w:noProof/>
                <w:webHidden/>
                <w:sz w:val="24"/>
                <w:szCs w:val="24"/>
              </w:rPr>
            </w:r>
            <w:r w:rsidR="003E676D" w:rsidRPr="003E676D">
              <w:rPr>
                <w:rFonts w:ascii="Times New Roman" w:hAnsi="Times New Roman" w:cs="Times New Roman"/>
                <w:noProof/>
                <w:webHidden/>
                <w:sz w:val="24"/>
                <w:szCs w:val="24"/>
              </w:rPr>
              <w:fldChar w:fldCharType="separate"/>
            </w:r>
            <w:r w:rsidR="003E676D" w:rsidRPr="003E676D">
              <w:rPr>
                <w:rFonts w:ascii="Times New Roman" w:hAnsi="Times New Roman" w:cs="Times New Roman"/>
                <w:noProof/>
                <w:webHidden/>
                <w:sz w:val="24"/>
                <w:szCs w:val="24"/>
              </w:rPr>
              <w:t>23</w:t>
            </w:r>
            <w:r w:rsidR="003E676D" w:rsidRPr="003E676D">
              <w:rPr>
                <w:rFonts w:ascii="Times New Roman" w:hAnsi="Times New Roman" w:cs="Times New Roman"/>
                <w:noProof/>
                <w:webHidden/>
                <w:sz w:val="24"/>
                <w:szCs w:val="24"/>
              </w:rPr>
              <w:fldChar w:fldCharType="end"/>
            </w:r>
          </w:hyperlink>
        </w:p>
        <w:p w14:paraId="24A6561F" w14:textId="16C7665D" w:rsidR="003E676D" w:rsidRPr="003E676D" w:rsidRDefault="00000000" w:rsidP="003E676D">
          <w:pPr>
            <w:pStyle w:val="TOC1"/>
            <w:tabs>
              <w:tab w:val="right" w:leader="dot" w:pos="9019"/>
            </w:tabs>
            <w:spacing w:after="240" w:line="360" w:lineRule="auto"/>
            <w:jc w:val="both"/>
            <w:rPr>
              <w:rFonts w:ascii="Times New Roman" w:hAnsi="Times New Roman" w:cs="Times New Roman"/>
              <w:noProof/>
              <w:sz w:val="24"/>
              <w:szCs w:val="24"/>
            </w:rPr>
          </w:pPr>
          <w:hyperlink w:anchor="_Toc151909093" w:history="1">
            <w:r w:rsidR="003E676D" w:rsidRPr="003E676D">
              <w:rPr>
                <w:rStyle w:val="Hyperlink"/>
                <w:rFonts w:ascii="Times New Roman" w:hAnsi="Times New Roman" w:cs="Times New Roman"/>
                <w:noProof/>
                <w:color w:val="auto"/>
                <w:sz w:val="24"/>
                <w:szCs w:val="24"/>
              </w:rPr>
              <w:t>References</w:t>
            </w:r>
            <w:r w:rsidR="003E676D" w:rsidRPr="003E676D">
              <w:rPr>
                <w:rFonts w:ascii="Times New Roman" w:hAnsi="Times New Roman" w:cs="Times New Roman"/>
                <w:noProof/>
                <w:webHidden/>
                <w:sz w:val="24"/>
                <w:szCs w:val="24"/>
              </w:rPr>
              <w:tab/>
            </w:r>
            <w:r w:rsidR="003E676D" w:rsidRPr="003E676D">
              <w:rPr>
                <w:rFonts w:ascii="Times New Roman" w:hAnsi="Times New Roman" w:cs="Times New Roman"/>
                <w:noProof/>
                <w:webHidden/>
                <w:sz w:val="24"/>
                <w:szCs w:val="24"/>
              </w:rPr>
              <w:fldChar w:fldCharType="begin"/>
            </w:r>
            <w:r w:rsidR="003E676D" w:rsidRPr="003E676D">
              <w:rPr>
                <w:rFonts w:ascii="Times New Roman" w:hAnsi="Times New Roman" w:cs="Times New Roman"/>
                <w:noProof/>
                <w:webHidden/>
                <w:sz w:val="24"/>
                <w:szCs w:val="24"/>
              </w:rPr>
              <w:instrText xml:space="preserve"> PAGEREF _Toc151909093 \h </w:instrText>
            </w:r>
            <w:r w:rsidR="003E676D" w:rsidRPr="003E676D">
              <w:rPr>
                <w:rFonts w:ascii="Times New Roman" w:hAnsi="Times New Roman" w:cs="Times New Roman"/>
                <w:noProof/>
                <w:webHidden/>
                <w:sz w:val="24"/>
                <w:szCs w:val="24"/>
              </w:rPr>
            </w:r>
            <w:r w:rsidR="003E676D" w:rsidRPr="003E676D">
              <w:rPr>
                <w:rFonts w:ascii="Times New Roman" w:hAnsi="Times New Roman" w:cs="Times New Roman"/>
                <w:noProof/>
                <w:webHidden/>
                <w:sz w:val="24"/>
                <w:szCs w:val="24"/>
              </w:rPr>
              <w:fldChar w:fldCharType="separate"/>
            </w:r>
            <w:r w:rsidR="003E676D" w:rsidRPr="003E676D">
              <w:rPr>
                <w:rFonts w:ascii="Times New Roman" w:hAnsi="Times New Roman" w:cs="Times New Roman"/>
                <w:noProof/>
                <w:webHidden/>
                <w:sz w:val="24"/>
                <w:szCs w:val="24"/>
              </w:rPr>
              <w:t>24</w:t>
            </w:r>
            <w:r w:rsidR="003E676D" w:rsidRPr="003E676D">
              <w:rPr>
                <w:rFonts w:ascii="Times New Roman" w:hAnsi="Times New Roman" w:cs="Times New Roman"/>
                <w:noProof/>
                <w:webHidden/>
                <w:sz w:val="24"/>
                <w:szCs w:val="24"/>
              </w:rPr>
              <w:fldChar w:fldCharType="end"/>
            </w:r>
          </w:hyperlink>
        </w:p>
        <w:p w14:paraId="4C6C14F7" w14:textId="7AAEB78D" w:rsidR="003E676D" w:rsidRDefault="003E676D" w:rsidP="003E676D">
          <w:pPr>
            <w:spacing w:after="240" w:line="360" w:lineRule="auto"/>
            <w:jc w:val="both"/>
          </w:pPr>
          <w:r w:rsidRPr="003E676D">
            <w:rPr>
              <w:rFonts w:ascii="Times New Roman" w:hAnsi="Times New Roman" w:cs="Times New Roman"/>
              <w:b/>
              <w:bCs/>
              <w:noProof/>
              <w:sz w:val="24"/>
              <w:szCs w:val="24"/>
            </w:rPr>
            <w:fldChar w:fldCharType="end"/>
          </w:r>
        </w:p>
      </w:sdtContent>
    </w:sdt>
    <w:p w14:paraId="0A61DDBF" w14:textId="77777777" w:rsidR="003E676D" w:rsidRDefault="003E676D">
      <w:pPr>
        <w:rPr>
          <w:rFonts w:ascii="Times New Roman" w:hAnsi="Times New Roman"/>
          <w:b/>
          <w:sz w:val="28"/>
          <w:szCs w:val="40"/>
        </w:rPr>
      </w:pPr>
    </w:p>
    <w:p w14:paraId="6169A842" w14:textId="77777777" w:rsidR="003E676D" w:rsidRDefault="003E676D">
      <w:pPr>
        <w:rPr>
          <w:rFonts w:ascii="Times New Roman" w:hAnsi="Times New Roman"/>
          <w:b/>
          <w:sz w:val="28"/>
          <w:szCs w:val="40"/>
        </w:rPr>
      </w:pPr>
      <w:bookmarkStart w:id="0" w:name="_Toc151909084"/>
      <w:r>
        <w:br w:type="page"/>
      </w:r>
    </w:p>
    <w:p w14:paraId="40FBC251" w14:textId="02C88381" w:rsidR="008027A7" w:rsidRDefault="006C79CE" w:rsidP="003E676D">
      <w:pPr>
        <w:pStyle w:val="Heading1"/>
      </w:pPr>
      <w:r>
        <w:lastRenderedPageBreak/>
        <w:t>Introduction</w:t>
      </w:r>
      <w:bookmarkEnd w:id="0"/>
    </w:p>
    <w:p w14:paraId="155A668F"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impossible to overestimate the importance of strategic management in the dynamic business environment. Developing winning tactics is harder than ever in the face of fierce competition and unstable markets. 'Delicious,' a London-based fast food restaurant, is looking to expand successfully throughout the United Kingdom, and as a business consultant, I am entrusted with creating a strategic strategy for this venture.</w:t>
      </w:r>
    </w:p>
    <w:p w14:paraId="481D3A37" w14:textId="77777777" w:rsidR="008027A7" w:rsidRDefault="006C79CE" w:rsidP="003E676D">
      <w:pPr>
        <w:pStyle w:val="Heading1"/>
      </w:pPr>
      <w:bookmarkStart w:id="1" w:name="_Toc151909085"/>
      <w:r>
        <w:t>Vision, mission, and objectives for the company</w:t>
      </w:r>
      <w:bookmarkEnd w:id="1"/>
    </w:p>
    <w:p w14:paraId="244F27A6"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Vision: Transforming Global Culinary Experiences</w:t>
      </w:r>
    </w:p>
    <w:p w14:paraId="0BB0D2B7"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Delicious, our mission is to become the most adored supplier of gourmet experiences globally. Our goals are to please every palette with mouthwatering cuisine, provide flawless service, and maintain a steadfast dedication to sustainability. Our goal is to transcend regional boundaries and establish a global reputation for outstanding dining experiences.</w:t>
      </w:r>
    </w:p>
    <w:p w14:paraId="19906DEE"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Mission: Using Sustainable Culinary Innovation to Create Memories of Joy and Connection</w:t>
      </w:r>
    </w:p>
    <w:p w14:paraId="54D606D2"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Delicious, our goal is to use food to bring people together and foster joyful moments. In addition to being incredibly tasty, the foods we create should represent sustainability, creativity, and the diverse range of ethnicities that make up London's thriving culinary scene. We hope to create a lasting impact on the culinary scene while also bringing people together via our culinary creations (</w:t>
      </w:r>
      <w:r>
        <w:rPr>
          <w:rFonts w:ascii="Times New Roman" w:eastAsia="Times New Roman" w:hAnsi="Times New Roman" w:cs="Times New Roman"/>
          <w:color w:val="222222"/>
          <w:sz w:val="24"/>
          <w:szCs w:val="24"/>
          <w:highlight w:val="white"/>
        </w:rPr>
        <w:t>Yogantari et al. 2019)</w:t>
      </w:r>
      <w:r>
        <w:rPr>
          <w:rFonts w:ascii="Times New Roman" w:eastAsia="Times New Roman" w:hAnsi="Times New Roman" w:cs="Times New Roman"/>
          <w:sz w:val="24"/>
          <w:szCs w:val="24"/>
        </w:rPr>
        <w:t>.</w:t>
      </w:r>
    </w:p>
    <w:p w14:paraId="31D08B72"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14:paraId="28825022"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Culinary Prowess: Enhancing Fine Dining Experience in London</w:t>
      </w:r>
    </w:p>
    <w:p w14:paraId="2A48F947" w14:textId="3BE05144"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continuously provide outstanding culinary experiences that go above and beyond for guests, establishing Delicious as London's premier fine dining destination. By raising the bar for flavor, presentation, and overall dining experience, we hope to become well-known for our dedication to culinary excellence (</w:t>
      </w:r>
      <w:r>
        <w:rPr>
          <w:rFonts w:ascii="Times New Roman" w:eastAsia="Times New Roman" w:hAnsi="Times New Roman" w:cs="Times New Roman"/>
          <w:color w:val="222222"/>
          <w:sz w:val="24"/>
          <w:szCs w:val="24"/>
          <w:highlight w:val="white"/>
        </w:rPr>
        <w:t>Chen et al. 20</w:t>
      </w:r>
      <w:r w:rsidR="00A33DC4">
        <w:rPr>
          <w:rFonts w:ascii="Times New Roman" w:eastAsia="Times New Roman" w:hAnsi="Times New Roman" w:cs="Times New Roman"/>
          <w:color w:val="222222"/>
          <w:sz w:val="24"/>
          <w:szCs w:val="24"/>
          <w:highlight w:val="white"/>
        </w:rPr>
        <w:t>2</w:t>
      </w:r>
      <w:r>
        <w:rPr>
          <w:rFonts w:ascii="Times New Roman" w:eastAsia="Times New Roman" w:hAnsi="Times New Roman" w:cs="Times New Roman"/>
          <w:color w:val="222222"/>
          <w:sz w:val="24"/>
          <w:szCs w:val="24"/>
          <w:highlight w:val="white"/>
        </w:rPr>
        <w:t>2)</w:t>
      </w:r>
      <w:r>
        <w:rPr>
          <w:rFonts w:ascii="Times New Roman" w:eastAsia="Times New Roman" w:hAnsi="Times New Roman" w:cs="Times New Roman"/>
          <w:sz w:val="24"/>
          <w:szCs w:val="24"/>
        </w:rPr>
        <w:t>.</w:t>
      </w:r>
    </w:p>
    <w:p w14:paraId="4C8FD2DD"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Sustainable Practices: Including Accountability in All Activities</w:t>
      </w:r>
    </w:p>
    <w:p w14:paraId="4499395C"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incorporate sustainable practices into every aspect of our business, from decreasing waste and lowering our environmental impact to procuring ingredients locally and ethically. Our goal </w:t>
      </w:r>
      <w:r>
        <w:rPr>
          <w:rFonts w:ascii="Times New Roman" w:eastAsia="Times New Roman" w:hAnsi="Times New Roman" w:cs="Times New Roman"/>
          <w:sz w:val="24"/>
          <w:szCs w:val="24"/>
        </w:rPr>
        <w:lastRenderedPageBreak/>
        <w:t>is to become a model for sustainability in the food industry by establishing new benchmarks for environmentally and socially conscious business operations.</w:t>
      </w:r>
    </w:p>
    <w:p w14:paraId="453A466E"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Participation in the Community: Promoting Good Effects Locally</w:t>
      </w:r>
    </w:p>
    <w:p w14:paraId="67ACB2CA"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encourage a beneficial influence on the neighborhood through employment possibilities, charity endeavors, and support for regional producers. As a result of our dedication to social responsibility, we feel that our success should have a beneficial knock-on effect on the communities we serve (</w:t>
      </w:r>
      <w:r>
        <w:rPr>
          <w:rFonts w:ascii="Times New Roman" w:eastAsia="Times New Roman" w:hAnsi="Times New Roman" w:cs="Times New Roman"/>
          <w:color w:val="222222"/>
          <w:sz w:val="24"/>
          <w:szCs w:val="24"/>
          <w:highlight w:val="white"/>
        </w:rPr>
        <w:t>Mrusek et al. 2021)</w:t>
      </w:r>
      <w:r>
        <w:rPr>
          <w:rFonts w:ascii="Times New Roman" w:eastAsia="Times New Roman" w:hAnsi="Times New Roman" w:cs="Times New Roman"/>
          <w:sz w:val="24"/>
          <w:szCs w:val="24"/>
        </w:rPr>
        <w:t>.</w:t>
      </w:r>
    </w:p>
    <w:p w14:paraId="6753DE80"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Employee Empowerment: Fostering a Growth and Recognition Culture</w:t>
      </w:r>
    </w:p>
    <w:p w14:paraId="178BBCA7"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foster an environment at work where people feel encouraged to realize their potential. Our dedication lies in offering growth, ongoing development, and recognition opportunities to our team members, so they can be both skilled and driven contributors to Delicious' success.</w:t>
      </w:r>
    </w:p>
    <w:p w14:paraId="66D11893"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Brand Extension: Growing Beyond London in a Strategic Way</w:t>
      </w:r>
    </w:p>
    <w:p w14:paraId="7EA8AB4C"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 is to systematically broaden the brand's reach outside of London by creating a chain of eateries that share the same exacting standards of sustainability, creativity, and excellence. Our goal is to expand the Delicious experience to other markets while preserving what has made us London's premier culinary destination.</w:t>
      </w:r>
    </w:p>
    <w:p w14:paraId="27C07208"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Investing in Skills and Expertise through Employee Training and Development</w:t>
      </w:r>
    </w:p>
    <w:p w14:paraId="1CE35448"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Supply our staff with continual training and development opportunities to improve their culinary abilities, knowledge of hospitality, and comprehension of sustainable practices. Investing in our workforce is essential, in our opinion, to upholding the high standards that characterize the Delicious brand.</w:t>
      </w:r>
    </w:p>
    <w:p w14:paraId="58250A8C"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Community Collaborations: Constructing Bridges Outside Our Walls</w:t>
      </w:r>
    </w:p>
    <w:p w14:paraId="20128623"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Collaborating with neighborhood groups, nonprofits, and educational institutions to encourage social responsibility, support neighborhood projects, and promote healthy eating. Through these collaborations, we hope to improve the general well-being of the communities we serve by expanding our beneficial influence outside the boundaries of our eateries.</w:t>
      </w:r>
    </w:p>
    <w:p w14:paraId="01B0A810"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Global Expansion Strategy: Careful and Culturally Appropriate Development</w:t>
      </w:r>
    </w:p>
    <w:p w14:paraId="712C1BE4"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Creating a well-thought-out growth plan that pinpoints prospective customers, business alliances, and cultural factors in order to open Delicious restaurants in important foreign markets. Our goal in expanding globally is to respect and integrate local idiosyncrasies while bringing the essence of Delicious to a variety of cultures.</w:t>
      </w:r>
    </w:p>
    <w:p w14:paraId="4436EEDE" w14:textId="77777777" w:rsidR="008027A7" w:rsidRDefault="006C79CE" w:rsidP="003E676D">
      <w:pPr>
        <w:pStyle w:val="Heading1"/>
      </w:pPr>
      <w:bookmarkStart w:id="2" w:name="_Toc151909086"/>
      <w:r>
        <w:t>Environmental audit (internal and external)</w:t>
      </w:r>
      <w:bookmarkEnd w:id="2"/>
    </w:p>
    <w:p w14:paraId="0A76A0EE"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Internal Audit</w:t>
      </w:r>
    </w:p>
    <w:p w14:paraId="04087B9E"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Delicious, a London-based fast-food restaurant with modest operations, conducts an important internal environmental audit in preparation for its impending UK growth. The foundation for coordinating the restaurant's expansion plan with sound ecological practices is this audit. As the food scene changes, Delicious aims to maintain its dedication to sustainability while also creating tasty dishes (</w:t>
      </w:r>
      <w:r>
        <w:rPr>
          <w:rFonts w:ascii="Times New Roman" w:eastAsia="Times New Roman" w:hAnsi="Times New Roman" w:cs="Times New Roman"/>
          <w:color w:val="222222"/>
          <w:sz w:val="24"/>
          <w:szCs w:val="24"/>
          <w:highlight w:val="white"/>
        </w:rPr>
        <w:t>Kumer et al. 2019)</w:t>
      </w:r>
      <w:r>
        <w:rPr>
          <w:rFonts w:ascii="Times New Roman" w:eastAsia="Times New Roman" w:hAnsi="Times New Roman" w:cs="Times New Roman"/>
          <w:sz w:val="24"/>
          <w:szCs w:val="24"/>
        </w:rPr>
        <w:t>. This thorough audit examines every aspect of the restaurant's operations, including employee training, community involvement, energy consumption, trash management, sustainable sourcing, water use, and regulatory compliance.</w:t>
      </w:r>
    </w:p>
    <w:tbl>
      <w:tblPr>
        <w:tblStyle w:val="Table1"/>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04"/>
        <w:gridCol w:w="3170"/>
        <w:gridCol w:w="3652"/>
      </w:tblGrid>
      <w:tr w:rsidR="008027A7" w14:paraId="3E749B32" w14:textId="77777777">
        <w:trPr>
          <w:trHeight w:val="375"/>
        </w:trPr>
        <w:tc>
          <w:tcPr>
            <w:tcW w:w="2204" w:type="dxa"/>
            <w:tcBorders>
              <w:top w:val="single" w:sz="5" w:space="0" w:color="70AD47"/>
              <w:left w:val="single" w:sz="5" w:space="0" w:color="70AD47"/>
              <w:bottom w:val="single" w:sz="5" w:space="0" w:color="70AD47"/>
              <w:right w:val="nil"/>
            </w:tcBorders>
            <w:shd w:val="clear" w:color="auto" w:fill="70AD47"/>
            <w:tcMar>
              <w:top w:w="0" w:type="dxa"/>
              <w:left w:w="100" w:type="dxa"/>
              <w:bottom w:w="0" w:type="dxa"/>
              <w:right w:w="100" w:type="dxa"/>
            </w:tcMar>
          </w:tcPr>
          <w:p w14:paraId="547B15DE"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Audit Category</w:t>
            </w:r>
          </w:p>
        </w:tc>
        <w:tc>
          <w:tcPr>
            <w:tcW w:w="3169" w:type="dxa"/>
            <w:tcBorders>
              <w:top w:val="single" w:sz="5" w:space="0" w:color="70AD47"/>
              <w:left w:val="nil"/>
              <w:bottom w:val="single" w:sz="5" w:space="0" w:color="70AD47"/>
              <w:right w:val="nil"/>
            </w:tcBorders>
            <w:shd w:val="clear" w:color="auto" w:fill="70AD47"/>
            <w:tcMar>
              <w:top w:w="0" w:type="dxa"/>
              <w:left w:w="100" w:type="dxa"/>
              <w:bottom w:w="0" w:type="dxa"/>
              <w:right w:w="100" w:type="dxa"/>
            </w:tcMar>
          </w:tcPr>
          <w:p w14:paraId="1102CBB4" w14:textId="77777777" w:rsidR="008027A7" w:rsidRDefault="006C79CE">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Focus Area</w:t>
            </w:r>
          </w:p>
        </w:tc>
        <w:tc>
          <w:tcPr>
            <w:tcW w:w="3651" w:type="dxa"/>
            <w:tcBorders>
              <w:top w:val="single" w:sz="5" w:space="0" w:color="70AD47"/>
              <w:left w:val="nil"/>
              <w:bottom w:val="single" w:sz="5" w:space="0" w:color="70AD47"/>
              <w:right w:val="single" w:sz="5" w:space="0" w:color="70AD47"/>
            </w:tcBorders>
            <w:shd w:val="clear" w:color="auto" w:fill="70AD47"/>
            <w:tcMar>
              <w:top w:w="0" w:type="dxa"/>
              <w:left w:w="100" w:type="dxa"/>
              <w:bottom w:w="0" w:type="dxa"/>
              <w:right w:w="100" w:type="dxa"/>
            </w:tcMar>
          </w:tcPr>
          <w:p w14:paraId="334D7B01" w14:textId="77777777" w:rsidR="008027A7" w:rsidRDefault="006C79CE">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Methodology</w:t>
            </w:r>
          </w:p>
        </w:tc>
      </w:tr>
      <w:tr w:rsidR="008027A7" w14:paraId="06D4A4A2" w14:textId="77777777">
        <w:trPr>
          <w:trHeight w:val="735"/>
        </w:trPr>
        <w:tc>
          <w:tcPr>
            <w:tcW w:w="2204" w:type="dxa"/>
            <w:tcBorders>
              <w:top w:val="nil"/>
              <w:left w:val="single" w:sz="5" w:space="0" w:color="A8D08D"/>
              <w:bottom w:val="single" w:sz="5" w:space="0" w:color="A8D08D"/>
              <w:right w:val="single" w:sz="5" w:space="0" w:color="A8D08D"/>
            </w:tcBorders>
            <w:shd w:val="clear" w:color="auto" w:fill="E2EFD9"/>
            <w:tcMar>
              <w:top w:w="0" w:type="dxa"/>
              <w:left w:w="100" w:type="dxa"/>
              <w:bottom w:w="0" w:type="dxa"/>
              <w:right w:w="100" w:type="dxa"/>
            </w:tcMar>
          </w:tcPr>
          <w:p w14:paraId="1A72B218" w14:textId="77777777" w:rsidR="008027A7" w:rsidRDefault="006C79CE">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Energy Consumption</w:t>
            </w:r>
          </w:p>
        </w:tc>
        <w:tc>
          <w:tcPr>
            <w:tcW w:w="3169" w:type="dxa"/>
            <w:tcBorders>
              <w:top w:val="nil"/>
              <w:left w:val="nil"/>
              <w:bottom w:val="single" w:sz="5" w:space="0" w:color="A8D08D"/>
              <w:right w:val="single" w:sz="5" w:space="0" w:color="A8D08D"/>
            </w:tcBorders>
            <w:shd w:val="clear" w:color="auto" w:fill="E2EFD9"/>
            <w:tcMar>
              <w:top w:w="0" w:type="dxa"/>
              <w:left w:w="100" w:type="dxa"/>
              <w:bottom w:w="0" w:type="dxa"/>
              <w:right w:w="100" w:type="dxa"/>
            </w:tcMar>
          </w:tcPr>
          <w:p w14:paraId="3D270FE5"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Kitchen operations, lighting, HVAC</w:t>
            </w:r>
          </w:p>
        </w:tc>
        <w:tc>
          <w:tcPr>
            <w:tcW w:w="3651" w:type="dxa"/>
            <w:tcBorders>
              <w:top w:val="nil"/>
              <w:left w:val="nil"/>
              <w:bottom w:val="single" w:sz="5" w:space="0" w:color="A8D08D"/>
              <w:right w:val="single" w:sz="5" w:space="0" w:color="A8D08D"/>
            </w:tcBorders>
            <w:shd w:val="clear" w:color="auto" w:fill="E2EFD9"/>
            <w:tcMar>
              <w:top w:w="0" w:type="dxa"/>
              <w:left w:w="100" w:type="dxa"/>
              <w:bottom w:w="0" w:type="dxa"/>
              <w:right w:w="100" w:type="dxa"/>
            </w:tcMar>
          </w:tcPr>
          <w:p w14:paraId="1E99A17B"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Analyze monthly utility bills, identify peak usage</w:t>
            </w:r>
          </w:p>
        </w:tc>
      </w:tr>
      <w:tr w:rsidR="008027A7" w14:paraId="7571281B" w14:textId="77777777">
        <w:trPr>
          <w:trHeight w:val="735"/>
        </w:trPr>
        <w:tc>
          <w:tcPr>
            <w:tcW w:w="2204" w:type="dxa"/>
            <w:tcBorders>
              <w:top w:val="nil"/>
              <w:left w:val="single" w:sz="5" w:space="0" w:color="A8D08D"/>
              <w:bottom w:val="single" w:sz="5" w:space="0" w:color="A8D08D"/>
              <w:right w:val="single" w:sz="5" w:space="0" w:color="A8D08D"/>
            </w:tcBorders>
            <w:tcMar>
              <w:top w:w="0" w:type="dxa"/>
              <w:left w:w="100" w:type="dxa"/>
              <w:bottom w:w="0" w:type="dxa"/>
              <w:right w:w="100" w:type="dxa"/>
            </w:tcMar>
          </w:tcPr>
          <w:p w14:paraId="26BC9021"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Waste Management</w:t>
            </w:r>
          </w:p>
        </w:tc>
        <w:tc>
          <w:tcPr>
            <w:tcW w:w="3169" w:type="dxa"/>
            <w:tcBorders>
              <w:top w:val="nil"/>
              <w:left w:val="nil"/>
              <w:bottom w:val="single" w:sz="5" w:space="0" w:color="A8D08D"/>
              <w:right w:val="single" w:sz="5" w:space="0" w:color="A8D08D"/>
            </w:tcBorders>
            <w:tcMar>
              <w:top w:w="0" w:type="dxa"/>
              <w:left w:w="100" w:type="dxa"/>
              <w:bottom w:w="0" w:type="dxa"/>
              <w:right w:w="100" w:type="dxa"/>
            </w:tcMar>
          </w:tcPr>
          <w:p w14:paraId="2AF1FB16"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Food waste, packaging, general refuse</w:t>
            </w:r>
          </w:p>
        </w:tc>
        <w:tc>
          <w:tcPr>
            <w:tcW w:w="3651" w:type="dxa"/>
            <w:tcBorders>
              <w:top w:val="nil"/>
              <w:left w:val="nil"/>
              <w:bottom w:val="single" w:sz="5" w:space="0" w:color="A8D08D"/>
              <w:right w:val="single" w:sz="5" w:space="0" w:color="A8D08D"/>
            </w:tcBorders>
            <w:tcMar>
              <w:top w:w="0" w:type="dxa"/>
              <w:left w:w="100" w:type="dxa"/>
              <w:bottom w:w="0" w:type="dxa"/>
              <w:right w:w="100" w:type="dxa"/>
            </w:tcMar>
          </w:tcPr>
          <w:p w14:paraId="203A3E35"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Categorize and quantify waste, conduct a waste audit</w:t>
            </w:r>
          </w:p>
        </w:tc>
      </w:tr>
      <w:tr w:rsidR="008027A7" w14:paraId="4D126657" w14:textId="77777777">
        <w:trPr>
          <w:trHeight w:val="735"/>
        </w:trPr>
        <w:tc>
          <w:tcPr>
            <w:tcW w:w="2204" w:type="dxa"/>
            <w:tcBorders>
              <w:top w:val="nil"/>
              <w:left w:val="single" w:sz="5" w:space="0" w:color="A8D08D"/>
              <w:bottom w:val="single" w:sz="5" w:space="0" w:color="A8D08D"/>
              <w:right w:val="single" w:sz="5" w:space="0" w:color="A8D08D"/>
            </w:tcBorders>
            <w:shd w:val="clear" w:color="auto" w:fill="E2EFD9"/>
            <w:tcMar>
              <w:top w:w="0" w:type="dxa"/>
              <w:left w:w="100" w:type="dxa"/>
              <w:bottom w:w="0" w:type="dxa"/>
              <w:right w:w="100" w:type="dxa"/>
            </w:tcMar>
          </w:tcPr>
          <w:p w14:paraId="111C7E23"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Sourcing</w:t>
            </w:r>
          </w:p>
        </w:tc>
        <w:tc>
          <w:tcPr>
            <w:tcW w:w="3169" w:type="dxa"/>
            <w:tcBorders>
              <w:top w:val="nil"/>
              <w:left w:val="nil"/>
              <w:bottom w:val="single" w:sz="5" w:space="0" w:color="A8D08D"/>
              <w:right w:val="single" w:sz="5" w:space="0" w:color="A8D08D"/>
            </w:tcBorders>
            <w:shd w:val="clear" w:color="auto" w:fill="E2EFD9"/>
            <w:tcMar>
              <w:top w:w="0" w:type="dxa"/>
              <w:left w:w="100" w:type="dxa"/>
              <w:bottom w:w="0" w:type="dxa"/>
              <w:right w:w="100" w:type="dxa"/>
            </w:tcMar>
          </w:tcPr>
          <w:p w14:paraId="0D1FAE9A"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Locally and sustainably sourced ingredients</w:t>
            </w:r>
          </w:p>
        </w:tc>
        <w:tc>
          <w:tcPr>
            <w:tcW w:w="3651" w:type="dxa"/>
            <w:tcBorders>
              <w:top w:val="nil"/>
              <w:left w:val="nil"/>
              <w:bottom w:val="single" w:sz="5" w:space="0" w:color="A8D08D"/>
              <w:right w:val="single" w:sz="5" w:space="0" w:color="A8D08D"/>
            </w:tcBorders>
            <w:shd w:val="clear" w:color="auto" w:fill="E2EFD9"/>
            <w:tcMar>
              <w:top w:w="0" w:type="dxa"/>
              <w:left w:w="100" w:type="dxa"/>
              <w:bottom w:w="0" w:type="dxa"/>
              <w:right w:w="100" w:type="dxa"/>
            </w:tcMar>
          </w:tcPr>
          <w:p w14:paraId="137A120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Scrutinize supplier practices, traceability</w:t>
            </w:r>
          </w:p>
        </w:tc>
      </w:tr>
      <w:tr w:rsidR="008027A7" w14:paraId="6CA8C142" w14:textId="77777777">
        <w:trPr>
          <w:trHeight w:val="735"/>
        </w:trPr>
        <w:tc>
          <w:tcPr>
            <w:tcW w:w="2204" w:type="dxa"/>
            <w:tcBorders>
              <w:top w:val="nil"/>
              <w:left w:val="single" w:sz="5" w:space="0" w:color="A8D08D"/>
              <w:bottom w:val="single" w:sz="5" w:space="0" w:color="A8D08D"/>
              <w:right w:val="single" w:sz="5" w:space="0" w:color="A8D08D"/>
            </w:tcBorders>
            <w:tcMar>
              <w:top w:w="0" w:type="dxa"/>
              <w:left w:w="100" w:type="dxa"/>
              <w:bottom w:w="0" w:type="dxa"/>
              <w:right w:w="100" w:type="dxa"/>
            </w:tcMar>
          </w:tcPr>
          <w:p w14:paraId="55ED029A"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Water Usage</w:t>
            </w:r>
          </w:p>
        </w:tc>
        <w:tc>
          <w:tcPr>
            <w:tcW w:w="3169" w:type="dxa"/>
            <w:tcBorders>
              <w:top w:val="nil"/>
              <w:left w:val="nil"/>
              <w:bottom w:val="single" w:sz="5" w:space="0" w:color="A8D08D"/>
              <w:right w:val="single" w:sz="5" w:space="0" w:color="A8D08D"/>
            </w:tcBorders>
            <w:tcMar>
              <w:top w:w="0" w:type="dxa"/>
              <w:left w:w="100" w:type="dxa"/>
              <w:bottom w:w="0" w:type="dxa"/>
              <w:right w:w="100" w:type="dxa"/>
            </w:tcMar>
          </w:tcPr>
          <w:p w14:paraId="0089B679"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Kitchen and customer facilities</w:t>
            </w:r>
          </w:p>
        </w:tc>
        <w:tc>
          <w:tcPr>
            <w:tcW w:w="3651" w:type="dxa"/>
            <w:tcBorders>
              <w:top w:val="nil"/>
              <w:left w:val="nil"/>
              <w:bottom w:val="single" w:sz="5" w:space="0" w:color="A8D08D"/>
              <w:right w:val="single" w:sz="5" w:space="0" w:color="A8D08D"/>
            </w:tcBorders>
            <w:tcMar>
              <w:top w:w="0" w:type="dxa"/>
              <w:left w:w="100" w:type="dxa"/>
              <w:bottom w:w="0" w:type="dxa"/>
              <w:right w:w="100" w:type="dxa"/>
            </w:tcMar>
          </w:tcPr>
          <w:p w14:paraId="3E2A025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Examine water bills, analyze usage patterns</w:t>
            </w:r>
          </w:p>
        </w:tc>
      </w:tr>
      <w:tr w:rsidR="008027A7" w14:paraId="0BCA3211" w14:textId="77777777">
        <w:trPr>
          <w:trHeight w:val="735"/>
        </w:trPr>
        <w:tc>
          <w:tcPr>
            <w:tcW w:w="2204" w:type="dxa"/>
            <w:tcBorders>
              <w:top w:val="nil"/>
              <w:left w:val="single" w:sz="5" w:space="0" w:color="A8D08D"/>
              <w:bottom w:val="single" w:sz="5" w:space="0" w:color="A8D08D"/>
              <w:right w:val="single" w:sz="5" w:space="0" w:color="A8D08D"/>
            </w:tcBorders>
            <w:shd w:val="clear" w:color="auto" w:fill="E2EFD9"/>
            <w:tcMar>
              <w:top w:w="0" w:type="dxa"/>
              <w:left w:w="100" w:type="dxa"/>
              <w:bottom w:w="0" w:type="dxa"/>
              <w:right w:w="100" w:type="dxa"/>
            </w:tcMar>
          </w:tcPr>
          <w:p w14:paraId="210AFDBC"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Carbon Footprint</w:t>
            </w:r>
          </w:p>
        </w:tc>
        <w:tc>
          <w:tcPr>
            <w:tcW w:w="3169" w:type="dxa"/>
            <w:tcBorders>
              <w:top w:val="nil"/>
              <w:left w:val="nil"/>
              <w:bottom w:val="single" w:sz="5" w:space="0" w:color="A8D08D"/>
              <w:right w:val="single" w:sz="5" w:space="0" w:color="A8D08D"/>
            </w:tcBorders>
            <w:shd w:val="clear" w:color="auto" w:fill="E2EFD9"/>
            <w:tcMar>
              <w:top w:w="0" w:type="dxa"/>
              <w:left w:w="100" w:type="dxa"/>
              <w:bottom w:w="0" w:type="dxa"/>
              <w:right w:w="100" w:type="dxa"/>
            </w:tcMar>
          </w:tcPr>
          <w:p w14:paraId="3DB4D96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Transportation, energy, supply chain</w:t>
            </w:r>
          </w:p>
        </w:tc>
        <w:tc>
          <w:tcPr>
            <w:tcW w:w="3651" w:type="dxa"/>
            <w:tcBorders>
              <w:top w:val="nil"/>
              <w:left w:val="nil"/>
              <w:bottom w:val="single" w:sz="5" w:space="0" w:color="A8D08D"/>
              <w:right w:val="single" w:sz="5" w:space="0" w:color="A8D08D"/>
            </w:tcBorders>
            <w:shd w:val="clear" w:color="auto" w:fill="E2EFD9"/>
            <w:tcMar>
              <w:top w:w="0" w:type="dxa"/>
              <w:left w:w="100" w:type="dxa"/>
              <w:bottom w:w="0" w:type="dxa"/>
              <w:right w:w="100" w:type="dxa"/>
            </w:tcMar>
          </w:tcPr>
          <w:p w14:paraId="5E0548E4"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Calculate emissions, identify reduction strategies</w:t>
            </w:r>
          </w:p>
        </w:tc>
      </w:tr>
      <w:tr w:rsidR="008027A7" w14:paraId="687825DE" w14:textId="77777777">
        <w:trPr>
          <w:trHeight w:val="735"/>
        </w:trPr>
        <w:tc>
          <w:tcPr>
            <w:tcW w:w="2204" w:type="dxa"/>
            <w:tcBorders>
              <w:top w:val="nil"/>
              <w:left w:val="single" w:sz="5" w:space="0" w:color="A8D08D"/>
              <w:bottom w:val="single" w:sz="5" w:space="0" w:color="A8D08D"/>
              <w:right w:val="single" w:sz="5" w:space="0" w:color="A8D08D"/>
            </w:tcBorders>
            <w:tcMar>
              <w:top w:w="0" w:type="dxa"/>
              <w:left w:w="100" w:type="dxa"/>
              <w:bottom w:w="0" w:type="dxa"/>
              <w:right w:w="100" w:type="dxa"/>
            </w:tcMar>
          </w:tcPr>
          <w:p w14:paraId="66EF647B"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Employee Training</w:t>
            </w:r>
          </w:p>
        </w:tc>
        <w:tc>
          <w:tcPr>
            <w:tcW w:w="3169" w:type="dxa"/>
            <w:tcBorders>
              <w:top w:val="nil"/>
              <w:left w:val="nil"/>
              <w:bottom w:val="single" w:sz="5" w:space="0" w:color="A8D08D"/>
              <w:right w:val="single" w:sz="5" w:space="0" w:color="A8D08D"/>
            </w:tcBorders>
            <w:tcMar>
              <w:top w:w="0" w:type="dxa"/>
              <w:left w:w="100" w:type="dxa"/>
              <w:bottom w:w="0" w:type="dxa"/>
              <w:right w:w="100" w:type="dxa"/>
            </w:tcMar>
          </w:tcPr>
          <w:p w14:paraId="08EEA644"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awareness and knowledge</w:t>
            </w:r>
          </w:p>
        </w:tc>
        <w:tc>
          <w:tcPr>
            <w:tcW w:w="3651" w:type="dxa"/>
            <w:tcBorders>
              <w:top w:val="nil"/>
              <w:left w:val="nil"/>
              <w:bottom w:val="single" w:sz="5" w:space="0" w:color="A8D08D"/>
              <w:right w:val="single" w:sz="5" w:space="0" w:color="A8D08D"/>
            </w:tcBorders>
            <w:tcMar>
              <w:top w:w="0" w:type="dxa"/>
              <w:left w:w="100" w:type="dxa"/>
              <w:bottom w:w="0" w:type="dxa"/>
              <w:right w:w="100" w:type="dxa"/>
            </w:tcMar>
          </w:tcPr>
          <w:p w14:paraId="466D418A"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Surveys, interviews, and gap analysis</w:t>
            </w:r>
          </w:p>
        </w:tc>
      </w:tr>
      <w:tr w:rsidR="008027A7" w14:paraId="0474C56A" w14:textId="77777777">
        <w:trPr>
          <w:trHeight w:val="735"/>
        </w:trPr>
        <w:tc>
          <w:tcPr>
            <w:tcW w:w="2204" w:type="dxa"/>
            <w:tcBorders>
              <w:top w:val="nil"/>
              <w:left w:val="single" w:sz="5" w:space="0" w:color="A8D08D"/>
              <w:bottom w:val="single" w:sz="5" w:space="0" w:color="A8D08D"/>
              <w:right w:val="single" w:sz="5" w:space="0" w:color="A8D08D"/>
            </w:tcBorders>
            <w:shd w:val="clear" w:color="auto" w:fill="E2EFD9"/>
            <w:tcMar>
              <w:top w:w="0" w:type="dxa"/>
              <w:left w:w="100" w:type="dxa"/>
              <w:bottom w:w="0" w:type="dxa"/>
              <w:right w:w="100" w:type="dxa"/>
            </w:tcMar>
          </w:tcPr>
          <w:p w14:paraId="6451B493"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Engagement</w:t>
            </w:r>
          </w:p>
        </w:tc>
        <w:tc>
          <w:tcPr>
            <w:tcW w:w="3169" w:type="dxa"/>
            <w:tcBorders>
              <w:top w:val="nil"/>
              <w:left w:val="nil"/>
              <w:bottom w:val="single" w:sz="5" w:space="0" w:color="A8D08D"/>
              <w:right w:val="single" w:sz="5" w:space="0" w:color="A8D08D"/>
            </w:tcBorders>
            <w:shd w:val="clear" w:color="auto" w:fill="E2EFD9"/>
            <w:tcMar>
              <w:top w:w="0" w:type="dxa"/>
              <w:left w:w="100" w:type="dxa"/>
              <w:bottom w:w="0" w:type="dxa"/>
              <w:right w:w="100" w:type="dxa"/>
            </w:tcMar>
          </w:tcPr>
          <w:p w14:paraId="2D896011"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impact and philanthropy</w:t>
            </w:r>
          </w:p>
        </w:tc>
        <w:tc>
          <w:tcPr>
            <w:tcW w:w="3651" w:type="dxa"/>
            <w:tcBorders>
              <w:top w:val="nil"/>
              <w:left w:val="nil"/>
              <w:bottom w:val="single" w:sz="5" w:space="0" w:color="A8D08D"/>
              <w:right w:val="single" w:sz="5" w:space="0" w:color="A8D08D"/>
            </w:tcBorders>
            <w:shd w:val="clear" w:color="auto" w:fill="E2EFD9"/>
            <w:tcMar>
              <w:top w:w="0" w:type="dxa"/>
              <w:left w:w="100" w:type="dxa"/>
              <w:bottom w:w="0" w:type="dxa"/>
              <w:right w:w="100" w:type="dxa"/>
            </w:tcMar>
          </w:tcPr>
          <w:p w14:paraId="0A373EE6"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Metrics and feedback mechanisms for quantification</w:t>
            </w:r>
          </w:p>
        </w:tc>
      </w:tr>
      <w:tr w:rsidR="008027A7" w14:paraId="26B7E299" w14:textId="77777777">
        <w:trPr>
          <w:trHeight w:val="735"/>
        </w:trPr>
        <w:tc>
          <w:tcPr>
            <w:tcW w:w="2204" w:type="dxa"/>
            <w:tcBorders>
              <w:top w:val="nil"/>
              <w:left w:val="single" w:sz="5" w:space="0" w:color="A8D08D"/>
              <w:bottom w:val="single" w:sz="5" w:space="0" w:color="A8D08D"/>
              <w:right w:val="single" w:sz="5" w:space="0" w:color="A8D08D"/>
            </w:tcBorders>
            <w:tcMar>
              <w:top w:w="0" w:type="dxa"/>
              <w:left w:w="100" w:type="dxa"/>
              <w:bottom w:w="0" w:type="dxa"/>
              <w:right w:w="100" w:type="dxa"/>
            </w:tcMar>
          </w:tcPr>
          <w:p w14:paraId="0EC62E6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Compliance and Regulation</w:t>
            </w:r>
          </w:p>
        </w:tc>
        <w:tc>
          <w:tcPr>
            <w:tcW w:w="3169" w:type="dxa"/>
            <w:tcBorders>
              <w:top w:val="nil"/>
              <w:left w:val="nil"/>
              <w:bottom w:val="single" w:sz="5" w:space="0" w:color="A8D08D"/>
              <w:right w:val="single" w:sz="5" w:space="0" w:color="A8D08D"/>
            </w:tcBorders>
            <w:tcMar>
              <w:top w:w="0" w:type="dxa"/>
              <w:left w:w="100" w:type="dxa"/>
              <w:bottom w:w="0" w:type="dxa"/>
              <w:right w:w="100" w:type="dxa"/>
            </w:tcMar>
          </w:tcPr>
          <w:p w14:paraId="63EEF66A"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regulations and standards</w:t>
            </w:r>
          </w:p>
        </w:tc>
        <w:tc>
          <w:tcPr>
            <w:tcW w:w="3651" w:type="dxa"/>
            <w:tcBorders>
              <w:top w:val="nil"/>
              <w:left w:val="nil"/>
              <w:bottom w:val="single" w:sz="5" w:space="0" w:color="A8D08D"/>
              <w:right w:val="single" w:sz="5" w:space="0" w:color="A8D08D"/>
            </w:tcBorders>
            <w:tcMar>
              <w:top w:w="0" w:type="dxa"/>
              <w:left w:w="100" w:type="dxa"/>
              <w:bottom w:w="0" w:type="dxa"/>
              <w:right w:w="100" w:type="dxa"/>
            </w:tcMar>
          </w:tcPr>
          <w:p w14:paraId="617027E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Review records, update policies, and staff training</w:t>
            </w:r>
          </w:p>
        </w:tc>
      </w:tr>
    </w:tbl>
    <w:p w14:paraId="777CCFF6" w14:textId="77777777" w:rsidR="008027A7" w:rsidRDefault="006C79CE">
      <w:pPr>
        <w:pStyle w:val="Normal1"/>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Internal Audit</w:t>
      </w:r>
    </w:p>
    <w:p w14:paraId="0A42FC0B"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categories, regions of attention, and methods for Delicious's internal audit are outlined in this concise table, guaranteeing a methodical and exhaustive analysis of the eatery's environmental procedures.</w:t>
      </w:r>
    </w:p>
    <w:p w14:paraId="46CBE639"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Energy Consumption:</w:t>
      </w:r>
      <w:r>
        <w:rPr>
          <w:rFonts w:ascii="Times New Roman" w:eastAsia="Times New Roman" w:hAnsi="Times New Roman" w:cs="Times New Roman"/>
          <w:sz w:val="24"/>
          <w:szCs w:val="24"/>
        </w:rPr>
        <w:t xml:space="preserve"> The audit examines the complex network of climate control systems, lighting systems, and kitchen activities in order to analyze energy consumption. An extensive analysis is conducted based on monthly utility bills and usage patterns to identify periods of peak consumption and areas that could be optimized (</w:t>
      </w:r>
      <w:r>
        <w:rPr>
          <w:rFonts w:ascii="Times New Roman" w:eastAsia="Times New Roman" w:hAnsi="Times New Roman" w:cs="Times New Roman"/>
          <w:color w:val="222222"/>
          <w:sz w:val="24"/>
          <w:szCs w:val="24"/>
          <w:highlight w:val="white"/>
        </w:rPr>
        <w:t>Kaura et al. 2022)</w:t>
      </w:r>
      <w:r>
        <w:rPr>
          <w:rFonts w:ascii="Times New Roman" w:eastAsia="Times New Roman" w:hAnsi="Times New Roman" w:cs="Times New Roman"/>
          <w:sz w:val="24"/>
          <w:szCs w:val="24"/>
        </w:rPr>
        <w:t>. To get Delicious closer to having a more sustainable energy footprint, suggestions range from utilizing LED lighting and energy-efficient equipment to taking into account renewable energy sources.</w:t>
      </w:r>
    </w:p>
    <w:p w14:paraId="174BE357"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Waste Management:</w:t>
      </w:r>
      <w:r>
        <w:rPr>
          <w:rFonts w:ascii="Times New Roman" w:eastAsia="Times New Roman" w:hAnsi="Times New Roman" w:cs="Times New Roman"/>
          <w:sz w:val="24"/>
          <w:szCs w:val="24"/>
        </w:rPr>
        <w:t xml:space="preserve"> The waste management assessment examines Delicious's entire waste lifecycle, including food waste, packaging trash, and general rubbish. After a thorough investigation that includes classifying and measuring waste streams, a waste audit is conducted to pinpoint important sources and regions that are ready for reduction. The guidelines that follow promote an all-encompassing approach to waste reduction, with special emphasis on composting, adopting eco-friendly packaging, and improving inventory procedures to reduce excess (</w:t>
      </w:r>
      <w:r>
        <w:rPr>
          <w:rFonts w:ascii="Times New Roman" w:eastAsia="Times New Roman" w:hAnsi="Times New Roman" w:cs="Times New Roman"/>
          <w:color w:val="222222"/>
          <w:sz w:val="24"/>
          <w:szCs w:val="24"/>
          <w:highlight w:val="white"/>
        </w:rPr>
        <w:t>Sulaiman et al. 2022)</w:t>
      </w:r>
      <w:r>
        <w:rPr>
          <w:rFonts w:ascii="Times New Roman" w:eastAsia="Times New Roman" w:hAnsi="Times New Roman" w:cs="Times New Roman"/>
          <w:sz w:val="24"/>
          <w:szCs w:val="24"/>
        </w:rPr>
        <w:t>.</w:t>
      </w:r>
    </w:p>
    <w:p w14:paraId="555D30C9"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Sustainable Sourcing: </w:t>
      </w:r>
      <w:r>
        <w:rPr>
          <w:rFonts w:ascii="Times New Roman" w:eastAsia="Times New Roman" w:hAnsi="Times New Roman" w:cs="Times New Roman"/>
          <w:sz w:val="24"/>
          <w:szCs w:val="24"/>
        </w:rPr>
        <w:t xml:space="preserve">Determining the amount of locally and sustainably produced components in Delicious's supply chain is the goal of this investigation into sustainable sourcing. Examining certifications, traceability, and supplier policies, this investigation exposes the environmental effect of sourcing ingredients. Suggestions include fostering closer </w:t>
      </w:r>
      <w:r>
        <w:rPr>
          <w:rFonts w:ascii="Times New Roman" w:eastAsia="Times New Roman" w:hAnsi="Times New Roman" w:cs="Times New Roman"/>
          <w:sz w:val="24"/>
          <w:szCs w:val="24"/>
        </w:rPr>
        <w:lastRenderedPageBreak/>
        <w:t>relationships with regional farmers, giving priority to suppliers who use sustainable techniques, and being open and honest with clients regarding the source of ingredients (</w:t>
      </w:r>
      <w:r>
        <w:rPr>
          <w:rFonts w:ascii="Times New Roman" w:eastAsia="Times New Roman" w:hAnsi="Times New Roman" w:cs="Times New Roman"/>
          <w:color w:val="222222"/>
          <w:sz w:val="24"/>
          <w:szCs w:val="24"/>
          <w:highlight w:val="white"/>
        </w:rPr>
        <w:t>Pereira et al. 2019)</w:t>
      </w:r>
      <w:r>
        <w:rPr>
          <w:rFonts w:ascii="Times New Roman" w:eastAsia="Times New Roman" w:hAnsi="Times New Roman" w:cs="Times New Roman"/>
          <w:sz w:val="24"/>
          <w:szCs w:val="24"/>
        </w:rPr>
        <w:t>.</w:t>
      </w:r>
    </w:p>
    <w:p w14:paraId="732560FD"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Water Usage: </w:t>
      </w:r>
      <w:r>
        <w:rPr>
          <w:rFonts w:ascii="Times New Roman" w:eastAsia="Times New Roman" w:hAnsi="Times New Roman" w:cs="Times New Roman"/>
          <w:sz w:val="24"/>
          <w:szCs w:val="24"/>
        </w:rPr>
        <w:t>The audit closely looks at water use in the restaurant's operating domains, which include the kitchen and the dining areas. Opportunities for efficiency and conservation are revealed through an analysis of water bills and usage trends. Suggestions range from staff training programs to the installation of water-efficient equipment, all of which are meant to foster a culture of water-saving within Delicious.</w:t>
      </w:r>
    </w:p>
    <w:p w14:paraId="7C06BF2B"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Carbon Footprint:</w:t>
      </w:r>
      <w:r>
        <w:rPr>
          <w:rFonts w:ascii="Times New Roman" w:eastAsia="Times New Roman" w:hAnsi="Times New Roman" w:cs="Times New Roman"/>
          <w:sz w:val="24"/>
          <w:szCs w:val="24"/>
        </w:rPr>
        <w:t xml:space="preserve"> A thorough analysis of Delicious's carbon footprint takes into account the complexities of the supply chain, energy use, and transportation. In order to make targeted reductions possible, this detailed analysis breaks down the sources of emissions. To match the restaurant's trajectory with a lower total carbon footprint, recommendations are made to investigate carbon offset programs, optimize delivery routes, and invest in energy-efficient technologies (</w:t>
      </w:r>
      <w:r>
        <w:rPr>
          <w:rFonts w:ascii="Times New Roman" w:eastAsia="Times New Roman" w:hAnsi="Times New Roman" w:cs="Times New Roman"/>
          <w:color w:val="222222"/>
          <w:sz w:val="24"/>
          <w:szCs w:val="24"/>
          <w:highlight w:val="white"/>
        </w:rPr>
        <w:t>Grillitsch et al. 2019)</w:t>
      </w:r>
      <w:r>
        <w:rPr>
          <w:rFonts w:ascii="Times New Roman" w:eastAsia="Times New Roman" w:hAnsi="Times New Roman" w:cs="Times New Roman"/>
          <w:sz w:val="24"/>
          <w:szCs w:val="24"/>
        </w:rPr>
        <w:t>.</w:t>
      </w:r>
    </w:p>
    <w:p w14:paraId="29E0DF2A"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Employee Education:</w:t>
      </w:r>
      <w:r>
        <w:rPr>
          <w:rFonts w:ascii="Times New Roman" w:eastAsia="Times New Roman" w:hAnsi="Times New Roman" w:cs="Times New Roman"/>
          <w:sz w:val="24"/>
          <w:szCs w:val="24"/>
        </w:rPr>
        <w:t xml:space="preserve"> Examining employee education, the audit assesses employees' awareness and understanding of the environment. Interviews and surveys shed light on the situation as it is, pointing out any shortcomings and potential areas for development. The main focus of the recommendations is on creating extensive training programs that address energy conservation, waste reduction, and sustainable practices in order to instill a sense of environmental responsibility in the employees.</w:t>
      </w:r>
    </w:p>
    <w:p w14:paraId="32DE228E"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Community involvement: </w:t>
      </w:r>
      <w:r>
        <w:rPr>
          <w:rFonts w:ascii="Times New Roman" w:eastAsia="Times New Roman" w:hAnsi="Times New Roman" w:cs="Times New Roman"/>
          <w:sz w:val="24"/>
          <w:szCs w:val="24"/>
        </w:rPr>
        <w:t>The degree of Delicious's beneficial influence on nearby communities is measured by the assessment of its community involvement initiatives. The restaurant's contributions can be quantitatively understood through metrics and feedback systems. In order to highlight Delicious's beneficial impact on the neighborhood, it is advised that community collaborations be strengthened, new charity initiatives be investigated, and smart marketing be implemented (</w:t>
      </w:r>
      <w:r>
        <w:rPr>
          <w:rFonts w:ascii="Times New Roman" w:eastAsia="Times New Roman" w:hAnsi="Times New Roman" w:cs="Times New Roman"/>
          <w:color w:val="222222"/>
          <w:sz w:val="24"/>
          <w:szCs w:val="24"/>
          <w:highlight w:val="white"/>
        </w:rPr>
        <w:t>Lee et al. 2021)</w:t>
      </w:r>
      <w:r>
        <w:rPr>
          <w:rFonts w:ascii="Times New Roman" w:eastAsia="Times New Roman" w:hAnsi="Times New Roman" w:cs="Times New Roman"/>
          <w:sz w:val="24"/>
          <w:szCs w:val="24"/>
        </w:rPr>
        <w:t>.</w:t>
      </w:r>
    </w:p>
    <w:p w14:paraId="0EE06254"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Conformity and Regulatory Review:</w:t>
      </w:r>
      <w:r>
        <w:rPr>
          <w:rFonts w:ascii="Times New Roman" w:eastAsia="Times New Roman" w:hAnsi="Times New Roman" w:cs="Times New Roman"/>
          <w:sz w:val="24"/>
          <w:szCs w:val="24"/>
        </w:rPr>
        <w:t xml:space="preserve"> The audit examines waste disposal, emissions requirements, and other relevant rules to make sure they conform with environmental regulations. Careful documentation serves as the foundation for a thorough analysis, which results in recommendations that support frequent policy revisions, recurring internal audits, and extensive employee training to guarantee compliance with environmental regulations (</w:t>
      </w:r>
      <w:r>
        <w:rPr>
          <w:rFonts w:ascii="Times New Roman" w:eastAsia="Times New Roman" w:hAnsi="Times New Roman" w:cs="Times New Roman"/>
          <w:color w:val="222222"/>
          <w:sz w:val="24"/>
          <w:szCs w:val="24"/>
          <w:highlight w:val="white"/>
        </w:rPr>
        <w:t>Petricevic et al. 2019)</w:t>
      </w:r>
      <w:r>
        <w:rPr>
          <w:rFonts w:ascii="Times New Roman" w:eastAsia="Times New Roman" w:hAnsi="Times New Roman" w:cs="Times New Roman"/>
          <w:sz w:val="24"/>
          <w:szCs w:val="24"/>
        </w:rPr>
        <w:t>.</w:t>
      </w:r>
    </w:p>
    <w:p w14:paraId="5128E198"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External Audit</w:t>
      </w:r>
    </w:p>
    <w:p w14:paraId="28635D16"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Delicious, a tiny fast-food refuge in London, is planning to expand throughout the UK, therefore it's critical to conduct an outside environmental assessment to determine how it would affect the larger ecological system. This in-depth analysis explores Delicious's interactions with the outside world, evaluating aspects like the sustainability of its supply chain, its influence on the community, its adherence to regulations, and the wider social duty it carries as it prepares to expand across the country (</w:t>
      </w:r>
      <w:r>
        <w:rPr>
          <w:rFonts w:ascii="Times New Roman" w:eastAsia="Times New Roman" w:hAnsi="Times New Roman" w:cs="Times New Roman"/>
          <w:color w:val="222222"/>
          <w:sz w:val="24"/>
          <w:szCs w:val="24"/>
          <w:highlight w:val="white"/>
        </w:rPr>
        <w:t>Bogers et al. 2019)</w:t>
      </w:r>
      <w:r>
        <w:rPr>
          <w:rFonts w:ascii="Times New Roman" w:eastAsia="Times New Roman" w:hAnsi="Times New Roman" w:cs="Times New Roman"/>
          <w:sz w:val="24"/>
          <w:szCs w:val="24"/>
        </w:rPr>
        <w:t>.</w:t>
      </w:r>
    </w:p>
    <w:tbl>
      <w:tblPr>
        <w:tblStyle w:val="Table2"/>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77"/>
        <w:gridCol w:w="2704"/>
        <w:gridCol w:w="4245"/>
      </w:tblGrid>
      <w:tr w:rsidR="008027A7" w14:paraId="6F813225" w14:textId="77777777">
        <w:trPr>
          <w:trHeight w:val="375"/>
        </w:trPr>
        <w:tc>
          <w:tcPr>
            <w:tcW w:w="2076" w:type="dxa"/>
            <w:tcBorders>
              <w:top w:val="single" w:sz="5" w:space="0" w:color="FFC000"/>
              <w:left w:val="single" w:sz="5" w:space="0" w:color="FFC000"/>
              <w:bottom w:val="single" w:sz="5" w:space="0" w:color="FFC000"/>
              <w:right w:val="nil"/>
            </w:tcBorders>
            <w:shd w:val="clear" w:color="auto" w:fill="FFC000"/>
            <w:tcMar>
              <w:top w:w="0" w:type="dxa"/>
              <w:left w:w="100" w:type="dxa"/>
              <w:bottom w:w="0" w:type="dxa"/>
              <w:right w:w="100" w:type="dxa"/>
            </w:tcMar>
          </w:tcPr>
          <w:p w14:paraId="06F6D8CE"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Audit Category</w:t>
            </w:r>
          </w:p>
        </w:tc>
        <w:tc>
          <w:tcPr>
            <w:tcW w:w="2703" w:type="dxa"/>
            <w:tcBorders>
              <w:top w:val="single" w:sz="5" w:space="0" w:color="FFC000"/>
              <w:left w:val="nil"/>
              <w:bottom w:val="single" w:sz="5" w:space="0" w:color="FFC000"/>
              <w:right w:val="nil"/>
            </w:tcBorders>
            <w:shd w:val="clear" w:color="auto" w:fill="FFC000"/>
            <w:tcMar>
              <w:top w:w="0" w:type="dxa"/>
              <w:left w:w="100" w:type="dxa"/>
              <w:bottom w:w="0" w:type="dxa"/>
              <w:right w:w="100" w:type="dxa"/>
            </w:tcMar>
          </w:tcPr>
          <w:p w14:paraId="46E81913" w14:textId="77777777" w:rsidR="008027A7" w:rsidRDefault="006C79CE">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Focus Area</w:t>
            </w:r>
          </w:p>
        </w:tc>
        <w:tc>
          <w:tcPr>
            <w:tcW w:w="4244" w:type="dxa"/>
            <w:tcBorders>
              <w:top w:val="single" w:sz="5" w:space="0" w:color="FFC000"/>
              <w:left w:val="nil"/>
              <w:bottom w:val="single" w:sz="5" w:space="0" w:color="FFC000"/>
              <w:right w:val="single" w:sz="5" w:space="0" w:color="FFC000"/>
            </w:tcBorders>
            <w:shd w:val="clear" w:color="auto" w:fill="FFC000"/>
            <w:tcMar>
              <w:top w:w="0" w:type="dxa"/>
              <w:left w:w="100" w:type="dxa"/>
              <w:bottom w:w="0" w:type="dxa"/>
              <w:right w:w="100" w:type="dxa"/>
            </w:tcMar>
          </w:tcPr>
          <w:p w14:paraId="5116B742" w14:textId="77777777" w:rsidR="008027A7" w:rsidRDefault="006C79CE">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Methodology</w:t>
            </w:r>
          </w:p>
        </w:tc>
      </w:tr>
      <w:tr w:rsidR="008027A7" w14:paraId="61AB5260" w14:textId="77777777">
        <w:trPr>
          <w:trHeight w:val="735"/>
        </w:trPr>
        <w:tc>
          <w:tcPr>
            <w:tcW w:w="2076" w:type="dxa"/>
            <w:tcBorders>
              <w:top w:val="nil"/>
              <w:left w:val="single" w:sz="5" w:space="0" w:color="FFD966"/>
              <w:bottom w:val="single" w:sz="5" w:space="0" w:color="FFD966"/>
              <w:right w:val="single" w:sz="5" w:space="0" w:color="FFD966"/>
            </w:tcBorders>
            <w:shd w:val="clear" w:color="auto" w:fill="FFF2CC"/>
            <w:tcMar>
              <w:top w:w="0" w:type="dxa"/>
              <w:left w:w="100" w:type="dxa"/>
              <w:bottom w:w="0" w:type="dxa"/>
              <w:right w:w="100" w:type="dxa"/>
            </w:tcMar>
          </w:tcPr>
          <w:p w14:paraId="4A6DA71B" w14:textId="77777777" w:rsidR="008027A7" w:rsidRDefault="006C79CE">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Supply Chain Sustainability</w:t>
            </w:r>
          </w:p>
        </w:tc>
        <w:tc>
          <w:tcPr>
            <w:tcW w:w="2703" w:type="dxa"/>
            <w:tcBorders>
              <w:top w:val="nil"/>
              <w:left w:val="nil"/>
              <w:bottom w:val="single" w:sz="5" w:space="0" w:color="FFD966"/>
              <w:right w:val="single" w:sz="5" w:space="0" w:color="FFD966"/>
            </w:tcBorders>
            <w:shd w:val="clear" w:color="auto" w:fill="FFF2CC"/>
            <w:tcMar>
              <w:top w:w="0" w:type="dxa"/>
              <w:left w:w="100" w:type="dxa"/>
              <w:bottom w:w="0" w:type="dxa"/>
              <w:right w:w="100" w:type="dxa"/>
            </w:tcMar>
          </w:tcPr>
          <w:p w14:paraId="6BB0A5C6"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Ingredient sourcing and supply chain</w:t>
            </w:r>
          </w:p>
        </w:tc>
        <w:tc>
          <w:tcPr>
            <w:tcW w:w="4244" w:type="dxa"/>
            <w:tcBorders>
              <w:top w:val="nil"/>
              <w:left w:val="nil"/>
              <w:bottom w:val="single" w:sz="5" w:space="0" w:color="FFD966"/>
              <w:right w:val="single" w:sz="5" w:space="0" w:color="FFD966"/>
            </w:tcBorders>
            <w:shd w:val="clear" w:color="auto" w:fill="FFF2CC"/>
            <w:tcMar>
              <w:top w:w="0" w:type="dxa"/>
              <w:left w:w="100" w:type="dxa"/>
              <w:bottom w:w="0" w:type="dxa"/>
              <w:right w:w="100" w:type="dxa"/>
            </w:tcMar>
          </w:tcPr>
          <w:p w14:paraId="72D49D81"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Scrutinize supplier practices, assess ecological footprint</w:t>
            </w:r>
          </w:p>
        </w:tc>
      </w:tr>
      <w:tr w:rsidR="008027A7" w14:paraId="2BFE0438" w14:textId="77777777">
        <w:trPr>
          <w:trHeight w:val="735"/>
        </w:trPr>
        <w:tc>
          <w:tcPr>
            <w:tcW w:w="2076" w:type="dxa"/>
            <w:tcBorders>
              <w:top w:val="nil"/>
              <w:left w:val="single" w:sz="5" w:space="0" w:color="FFD966"/>
              <w:bottom w:val="single" w:sz="5" w:space="0" w:color="FFD966"/>
              <w:right w:val="single" w:sz="5" w:space="0" w:color="FFD966"/>
            </w:tcBorders>
            <w:tcMar>
              <w:top w:w="0" w:type="dxa"/>
              <w:left w:w="100" w:type="dxa"/>
              <w:bottom w:w="0" w:type="dxa"/>
              <w:right w:w="100" w:type="dxa"/>
            </w:tcMar>
          </w:tcPr>
          <w:p w14:paraId="0484181A"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Impact</w:t>
            </w:r>
          </w:p>
        </w:tc>
        <w:tc>
          <w:tcPr>
            <w:tcW w:w="2703" w:type="dxa"/>
            <w:tcBorders>
              <w:top w:val="nil"/>
              <w:left w:val="nil"/>
              <w:bottom w:val="single" w:sz="5" w:space="0" w:color="FFD966"/>
              <w:right w:val="single" w:sz="5" w:space="0" w:color="FFD966"/>
            </w:tcBorders>
            <w:tcMar>
              <w:top w:w="0" w:type="dxa"/>
              <w:left w:w="100" w:type="dxa"/>
              <w:bottom w:w="0" w:type="dxa"/>
              <w:right w:w="100" w:type="dxa"/>
            </w:tcMar>
          </w:tcPr>
          <w:p w14:paraId="5A9D4E26"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Philanthropy and local contribution</w:t>
            </w:r>
          </w:p>
        </w:tc>
        <w:tc>
          <w:tcPr>
            <w:tcW w:w="4244" w:type="dxa"/>
            <w:tcBorders>
              <w:top w:val="nil"/>
              <w:left w:val="nil"/>
              <w:bottom w:val="single" w:sz="5" w:space="0" w:color="FFD966"/>
              <w:right w:val="single" w:sz="5" w:space="0" w:color="FFD966"/>
            </w:tcBorders>
            <w:tcMar>
              <w:top w:w="0" w:type="dxa"/>
              <w:left w:w="100" w:type="dxa"/>
              <w:bottom w:w="0" w:type="dxa"/>
              <w:right w:w="100" w:type="dxa"/>
            </w:tcMar>
          </w:tcPr>
          <w:p w14:paraId="5FCBE431"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Evaluate community engagement initiatives, and assess local economic impact</w:t>
            </w:r>
          </w:p>
        </w:tc>
      </w:tr>
      <w:tr w:rsidR="008027A7" w14:paraId="278BE994" w14:textId="77777777">
        <w:trPr>
          <w:trHeight w:val="735"/>
        </w:trPr>
        <w:tc>
          <w:tcPr>
            <w:tcW w:w="2076" w:type="dxa"/>
            <w:tcBorders>
              <w:top w:val="nil"/>
              <w:left w:val="single" w:sz="5" w:space="0" w:color="FFD966"/>
              <w:bottom w:val="single" w:sz="5" w:space="0" w:color="FFD966"/>
              <w:right w:val="single" w:sz="5" w:space="0" w:color="FFD966"/>
            </w:tcBorders>
            <w:shd w:val="clear" w:color="auto" w:fill="FFF2CC"/>
            <w:tcMar>
              <w:top w:w="0" w:type="dxa"/>
              <w:left w:w="100" w:type="dxa"/>
              <w:bottom w:w="0" w:type="dxa"/>
              <w:right w:w="100" w:type="dxa"/>
            </w:tcMar>
          </w:tcPr>
          <w:p w14:paraId="4AF498B5"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Regulatory Compliance</w:t>
            </w:r>
          </w:p>
        </w:tc>
        <w:tc>
          <w:tcPr>
            <w:tcW w:w="2703" w:type="dxa"/>
            <w:tcBorders>
              <w:top w:val="nil"/>
              <w:left w:val="nil"/>
              <w:bottom w:val="single" w:sz="5" w:space="0" w:color="FFD966"/>
              <w:right w:val="single" w:sz="5" w:space="0" w:color="FFD966"/>
            </w:tcBorders>
            <w:shd w:val="clear" w:color="auto" w:fill="FFF2CC"/>
            <w:tcMar>
              <w:top w:w="0" w:type="dxa"/>
              <w:left w:w="100" w:type="dxa"/>
              <w:bottom w:w="0" w:type="dxa"/>
              <w:right w:w="100" w:type="dxa"/>
            </w:tcMar>
          </w:tcPr>
          <w:p w14:paraId="249332B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standards and regulations</w:t>
            </w:r>
          </w:p>
        </w:tc>
        <w:tc>
          <w:tcPr>
            <w:tcW w:w="4244" w:type="dxa"/>
            <w:tcBorders>
              <w:top w:val="nil"/>
              <w:left w:val="nil"/>
              <w:bottom w:val="single" w:sz="5" w:space="0" w:color="FFD966"/>
              <w:right w:val="single" w:sz="5" w:space="0" w:color="FFD966"/>
            </w:tcBorders>
            <w:shd w:val="clear" w:color="auto" w:fill="FFF2CC"/>
            <w:tcMar>
              <w:top w:w="0" w:type="dxa"/>
              <w:left w:w="100" w:type="dxa"/>
              <w:bottom w:w="0" w:type="dxa"/>
              <w:right w:w="100" w:type="dxa"/>
            </w:tcMar>
          </w:tcPr>
          <w:p w14:paraId="3E0D83F3"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Review adherence to waste disposal, emissions standards</w:t>
            </w:r>
          </w:p>
        </w:tc>
      </w:tr>
      <w:tr w:rsidR="008027A7" w14:paraId="70ADA267" w14:textId="77777777">
        <w:trPr>
          <w:trHeight w:val="735"/>
        </w:trPr>
        <w:tc>
          <w:tcPr>
            <w:tcW w:w="2076" w:type="dxa"/>
            <w:tcBorders>
              <w:top w:val="nil"/>
              <w:left w:val="single" w:sz="5" w:space="0" w:color="FFD966"/>
              <w:bottom w:val="single" w:sz="5" w:space="0" w:color="FFD966"/>
              <w:right w:val="single" w:sz="5" w:space="0" w:color="FFD966"/>
            </w:tcBorders>
            <w:tcMar>
              <w:top w:w="0" w:type="dxa"/>
              <w:left w:w="100" w:type="dxa"/>
              <w:bottom w:w="0" w:type="dxa"/>
              <w:right w:w="100" w:type="dxa"/>
            </w:tcMar>
          </w:tcPr>
          <w:p w14:paraId="3D8CA69C"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Responsibility</w:t>
            </w:r>
          </w:p>
        </w:tc>
        <w:tc>
          <w:tcPr>
            <w:tcW w:w="2703" w:type="dxa"/>
            <w:tcBorders>
              <w:top w:val="nil"/>
              <w:left w:val="nil"/>
              <w:bottom w:val="single" w:sz="5" w:space="0" w:color="FFD966"/>
              <w:right w:val="single" w:sz="5" w:space="0" w:color="FFD966"/>
            </w:tcBorders>
            <w:tcMar>
              <w:top w:w="0" w:type="dxa"/>
              <w:left w:w="100" w:type="dxa"/>
              <w:bottom w:w="0" w:type="dxa"/>
              <w:right w:w="100" w:type="dxa"/>
            </w:tcMar>
          </w:tcPr>
          <w:p w14:paraId="57E09253"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Labor practices and fair trade</w:t>
            </w:r>
          </w:p>
        </w:tc>
        <w:tc>
          <w:tcPr>
            <w:tcW w:w="4244" w:type="dxa"/>
            <w:tcBorders>
              <w:top w:val="nil"/>
              <w:left w:val="nil"/>
              <w:bottom w:val="single" w:sz="5" w:space="0" w:color="FFD966"/>
              <w:right w:val="single" w:sz="5" w:space="0" w:color="FFD966"/>
            </w:tcBorders>
            <w:tcMar>
              <w:top w:w="0" w:type="dxa"/>
              <w:left w:w="100" w:type="dxa"/>
              <w:bottom w:w="0" w:type="dxa"/>
              <w:right w:w="100" w:type="dxa"/>
            </w:tcMar>
          </w:tcPr>
          <w:p w14:paraId="5D5A6A52"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Assess fair wages, employee well-being, and social contributions</w:t>
            </w:r>
          </w:p>
        </w:tc>
      </w:tr>
      <w:tr w:rsidR="008027A7" w14:paraId="699E8B29" w14:textId="77777777">
        <w:trPr>
          <w:trHeight w:val="735"/>
        </w:trPr>
        <w:tc>
          <w:tcPr>
            <w:tcW w:w="2076" w:type="dxa"/>
            <w:tcBorders>
              <w:top w:val="nil"/>
              <w:left w:val="single" w:sz="5" w:space="0" w:color="FFD966"/>
              <w:bottom w:val="single" w:sz="5" w:space="0" w:color="FFD966"/>
              <w:right w:val="single" w:sz="5" w:space="0" w:color="FFD966"/>
            </w:tcBorders>
            <w:shd w:val="clear" w:color="auto" w:fill="FFF2CC"/>
            <w:tcMar>
              <w:top w:w="0" w:type="dxa"/>
              <w:left w:w="100" w:type="dxa"/>
              <w:bottom w:w="0" w:type="dxa"/>
              <w:right w:w="100" w:type="dxa"/>
            </w:tcMar>
          </w:tcPr>
          <w:p w14:paraId="503C48B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 Engagement</w:t>
            </w:r>
          </w:p>
        </w:tc>
        <w:tc>
          <w:tcPr>
            <w:tcW w:w="2703" w:type="dxa"/>
            <w:tcBorders>
              <w:top w:val="nil"/>
              <w:left w:val="nil"/>
              <w:bottom w:val="single" w:sz="5" w:space="0" w:color="FFD966"/>
              <w:right w:val="single" w:sz="5" w:space="0" w:color="FFD966"/>
            </w:tcBorders>
            <w:shd w:val="clear" w:color="auto" w:fill="FFF2CC"/>
            <w:tcMar>
              <w:top w:w="0" w:type="dxa"/>
              <w:left w:w="100" w:type="dxa"/>
              <w:bottom w:w="0" w:type="dxa"/>
              <w:right w:w="100" w:type="dxa"/>
            </w:tcMar>
          </w:tcPr>
          <w:p w14:paraId="33BEAC10"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and feedback mechanisms</w:t>
            </w:r>
          </w:p>
        </w:tc>
        <w:tc>
          <w:tcPr>
            <w:tcW w:w="4244" w:type="dxa"/>
            <w:tcBorders>
              <w:top w:val="nil"/>
              <w:left w:val="nil"/>
              <w:bottom w:val="single" w:sz="5" w:space="0" w:color="FFD966"/>
              <w:right w:val="single" w:sz="5" w:space="0" w:color="FFD966"/>
            </w:tcBorders>
            <w:shd w:val="clear" w:color="auto" w:fill="FFF2CC"/>
            <w:tcMar>
              <w:top w:w="0" w:type="dxa"/>
              <w:left w:w="100" w:type="dxa"/>
              <w:bottom w:w="0" w:type="dxa"/>
              <w:right w:w="100" w:type="dxa"/>
            </w:tcMar>
          </w:tcPr>
          <w:p w14:paraId="34DBA6E6"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Evaluate stakeholder communication strategies and feedback mechanisms</w:t>
            </w:r>
          </w:p>
        </w:tc>
      </w:tr>
      <w:tr w:rsidR="008027A7" w14:paraId="4673049B" w14:textId="77777777">
        <w:trPr>
          <w:trHeight w:val="735"/>
        </w:trPr>
        <w:tc>
          <w:tcPr>
            <w:tcW w:w="2076" w:type="dxa"/>
            <w:tcBorders>
              <w:top w:val="nil"/>
              <w:left w:val="single" w:sz="5" w:space="0" w:color="FFD966"/>
              <w:bottom w:val="single" w:sz="5" w:space="0" w:color="FFD966"/>
              <w:right w:val="single" w:sz="5" w:space="0" w:color="FFD966"/>
            </w:tcBorders>
            <w:tcMar>
              <w:top w:w="0" w:type="dxa"/>
              <w:left w:w="100" w:type="dxa"/>
              <w:bottom w:w="0" w:type="dxa"/>
              <w:right w:w="100" w:type="dxa"/>
            </w:tcMar>
          </w:tcPr>
          <w:p w14:paraId="024D9A49"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Climate Resilience</w:t>
            </w:r>
          </w:p>
        </w:tc>
        <w:tc>
          <w:tcPr>
            <w:tcW w:w="2703" w:type="dxa"/>
            <w:tcBorders>
              <w:top w:val="nil"/>
              <w:left w:val="nil"/>
              <w:bottom w:val="single" w:sz="5" w:space="0" w:color="FFD966"/>
              <w:right w:val="single" w:sz="5" w:space="0" w:color="FFD966"/>
            </w:tcBorders>
            <w:tcMar>
              <w:top w:w="0" w:type="dxa"/>
              <w:left w:w="100" w:type="dxa"/>
              <w:bottom w:w="0" w:type="dxa"/>
              <w:right w:w="100" w:type="dxa"/>
            </w:tcMar>
          </w:tcPr>
          <w:p w14:paraId="762495B1"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Preparedness for climate-related challenges</w:t>
            </w:r>
          </w:p>
        </w:tc>
        <w:tc>
          <w:tcPr>
            <w:tcW w:w="4244" w:type="dxa"/>
            <w:tcBorders>
              <w:top w:val="nil"/>
              <w:left w:val="nil"/>
              <w:bottom w:val="single" w:sz="5" w:space="0" w:color="FFD966"/>
              <w:right w:val="single" w:sz="5" w:space="0" w:color="FFD966"/>
            </w:tcBorders>
            <w:tcMar>
              <w:top w:w="0" w:type="dxa"/>
              <w:left w:w="100" w:type="dxa"/>
              <w:bottom w:w="0" w:type="dxa"/>
              <w:right w:w="100" w:type="dxa"/>
            </w:tcMar>
          </w:tcPr>
          <w:p w14:paraId="748FA9D3"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Assess vulnerabilities, risk mitigation strategies, and climate resilience planning</w:t>
            </w:r>
          </w:p>
        </w:tc>
      </w:tr>
    </w:tbl>
    <w:p w14:paraId="45847903" w14:textId="77777777" w:rsidR="008027A7" w:rsidRDefault="006C79CE">
      <w:pPr>
        <w:pStyle w:val="Normal1"/>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External Audit</w:t>
      </w:r>
    </w:p>
    <w:p w14:paraId="0623459B"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succinct external audit table lists the main categories, areas of concentration, and techniques for evaluating Delicious's influence on the external environment as it prepares to expand its operations in the United Kingdom.</w:t>
      </w:r>
    </w:p>
    <w:p w14:paraId="1231F2CD"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Sustainability of the supply chain:</w:t>
      </w:r>
    </w:p>
    <w:p w14:paraId="213C4B63"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investigation into Delicious's supply chain sustainability is a crucial part of its external environmental audit. The audit examines the restaurant's sourcing procedures in detail and assesses how obtaining ingredients may affect the environment. This comprises an evaluation of the supply chain's overall environmental impact, transportation emissions, and supplier practices. Recommendations could include implementing eco-friendly packaging, promoting supply chain transparency, and fortifying relationships with regional and sustainable producers (</w:t>
      </w:r>
      <w:r>
        <w:rPr>
          <w:rFonts w:ascii="Times New Roman" w:eastAsia="Times New Roman" w:hAnsi="Times New Roman" w:cs="Times New Roman"/>
          <w:color w:val="222222"/>
          <w:sz w:val="24"/>
          <w:szCs w:val="24"/>
          <w:highlight w:val="white"/>
        </w:rPr>
        <w:t>Luo et al. 2019)</w:t>
      </w:r>
      <w:r>
        <w:rPr>
          <w:rFonts w:ascii="Times New Roman" w:eastAsia="Times New Roman" w:hAnsi="Times New Roman" w:cs="Times New Roman"/>
          <w:sz w:val="24"/>
          <w:szCs w:val="24"/>
        </w:rPr>
        <w:t>.</w:t>
      </w:r>
    </w:p>
    <w:p w14:paraId="2124CF30"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 Community Impact:</w:t>
      </w:r>
      <w:r>
        <w:rPr>
          <w:rFonts w:ascii="Times New Roman" w:eastAsia="Times New Roman" w:hAnsi="Times New Roman" w:cs="Times New Roman"/>
          <w:sz w:val="24"/>
          <w:szCs w:val="24"/>
        </w:rPr>
        <w:t xml:space="preserve"> Delicious's influence is felt in the areas it serves even beyond its physical location. This influence is examined in detail by the external environmental audit, which looks at the restaurant's contribution to local economies, charitable undertakings, and community engagement programs. It is suggested that community collaborations be strengthened, philanthropic endeavors be expanded, and initiatives to encourage social responsibility and good eating habits be established.</w:t>
      </w:r>
    </w:p>
    <w:p w14:paraId="1C2D1D16"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Regulatory Compliance: Following environmental rules is crucial in the quick-paced food business. The external audit evaluates Delicious's adherence to regional, governmental, and global environmental regulations (</w:t>
      </w:r>
      <w:r>
        <w:rPr>
          <w:rFonts w:ascii="Times New Roman" w:eastAsia="Times New Roman" w:hAnsi="Times New Roman" w:cs="Times New Roman"/>
          <w:color w:val="222222"/>
          <w:sz w:val="24"/>
          <w:szCs w:val="24"/>
          <w:highlight w:val="white"/>
        </w:rPr>
        <w:t>Lestari et al. 2020)</w:t>
      </w:r>
      <w:r>
        <w:rPr>
          <w:rFonts w:ascii="Times New Roman" w:eastAsia="Times New Roman" w:hAnsi="Times New Roman" w:cs="Times New Roman"/>
          <w:sz w:val="24"/>
          <w:szCs w:val="24"/>
        </w:rPr>
        <w:t>. This covers laws governing the disposal of trash, requirements for emissions, and other relevant rules. Proactive steps to stay on top of changing environmental compliance standards, tight cooperation with regulatory agencies, and frequent policy updates are a few examples of recommendations.</w:t>
      </w:r>
    </w:p>
    <w:p w14:paraId="09C194C3"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 Social responsibilities: </w:t>
      </w:r>
      <w:r>
        <w:rPr>
          <w:rFonts w:ascii="Times New Roman" w:eastAsia="Times New Roman" w:hAnsi="Times New Roman" w:cs="Times New Roman"/>
          <w:sz w:val="24"/>
          <w:szCs w:val="24"/>
        </w:rPr>
        <w:t>The external environmental audit looks at Delicious's wider social responsibilities in addition to legal compliance. This entails assessing fair salaries, labor practices, and total social welfare contributions. Initiatives to improve worker well-being, guarantee fair trade standards, and actively engage in social causes that are consistent with Delicious's values are a few examples of recommendations (</w:t>
      </w:r>
      <w:r>
        <w:rPr>
          <w:rFonts w:ascii="Times New Roman" w:eastAsia="Times New Roman" w:hAnsi="Times New Roman" w:cs="Times New Roman"/>
          <w:color w:val="222222"/>
          <w:sz w:val="24"/>
          <w:szCs w:val="24"/>
          <w:highlight w:val="white"/>
        </w:rPr>
        <w:t>Peng, 2020)</w:t>
      </w:r>
      <w:r>
        <w:rPr>
          <w:rFonts w:ascii="Times New Roman" w:eastAsia="Times New Roman" w:hAnsi="Times New Roman" w:cs="Times New Roman"/>
          <w:sz w:val="24"/>
          <w:szCs w:val="24"/>
        </w:rPr>
        <w:t>.</w:t>
      </w:r>
    </w:p>
    <w:p w14:paraId="6274A00E"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 Stakeholder Engagement: </w:t>
      </w:r>
      <w:r>
        <w:rPr>
          <w:rFonts w:ascii="Times New Roman" w:eastAsia="Times New Roman" w:hAnsi="Times New Roman" w:cs="Times New Roman"/>
          <w:sz w:val="24"/>
          <w:szCs w:val="24"/>
        </w:rPr>
        <w:t xml:space="preserve">Delicious's interactions with consumers, suppliers, and the neighborhood community are important facets of its external environmental impact. The efficacy of stakeholder feedback mechanisms, communication channels, and the incorporation </w:t>
      </w:r>
      <w:r>
        <w:rPr>
          <w:rFonts w:ascii="Times New Roman" w:eastAsia="Times New Roman" w:hAnsi="Times New Roman" w:cs="Times New Roman"/>
          <w:sz w:val="24"/>
          <w:szCs w:val="24"/>
        </w:rPr>
        <w:lastRenderedPageBreak/>
        <w:t>of stakeholder perspectives into decision-making processes are evaluated by the audit. Expanding communication tactics, holding frequent stakeholder discussions, and incorporating many viewpoints into strategy planning are a few possible recommendations.</w:t>
      </w:r>
    </w:p>
    <w:p w14:paraId="2F2D212A"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 Climate Resilience: </w:t>
      </w:r>
      <w:r>
        <w:rPr>
          <w:rFonts w:ascii="Times New Roman" w:eastAsia="Times New Roman" w:hAnsi="Times New Roman" w:cs="Times New Roman"/>
          <w:sz w:val="24"/>
          <w:szCs w:val="24"/>
        </w:rPr>
        <w:t>The external audit takes into account Delicious's ability to withstand problems related to climate change as environmental issues like climate change become more pressing. This includes evaluating vulnerabilities, putting plans in place to mitigate risks, and being ready for supply chain interruptions (</w:t>
      </w:r>
      <w:r>
        <w:rPr>
          <w:rFonts w:ascii="Times New Roman" w:eastAsia="Times New Roman" w:hAnsi="Times New Roman" w:cs="Times New Roman"/>
          <w:color w:val="222222"/>
          <w:sz w:val="24"/>
          <w:szCs w:val="24"/>
          <w:highlight w:val="white"/>
        </w:rPr>
        <w:t>Arundel et al. 2019)</w:t>
      </w:r>
      <w:r>
        <w:rPr>
          <w:rFonts w:ascii="Times New Roman" w:eastAsia="Times New Roman" w:hAnsi="Times New Roman" w:cs="Times New Roman"/>
          <w:sz w:val="24"/>
          <w:szCs w:val="24"/>
        </w:rPr>
        <w:t>. Some suggestions would be to invest in technology that improves resilience, diversify sourcing alternatives, and integrate climate resilience into strategic planning.</w:t>
      </w:r>
    </w:p>
    <w:p w14:paraId="715E0732" w14:textId="77777777" w:rsidR="008027A7" w:rsidRDefault="006C79CE" w:rsidP="003E676D">
      <w:pPr>
        <w:pStyle w:val="Heading1"/>
      </w:pPr>
      <w:bookmarkStart w:id="3" w:name="_Toc151909087"/>
      <w:r>
        <w:t>Strategic Options</w:t>
      </w:r>
      <w:bookmarkEnd w:id="3"/>
    </w:p>
    <w:p w14:paraId="3F46F92F"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 Analysis of Strategic Options for the Expansion of Delectable Fast Food Restaurants</w:t>
      </w:r>
    </w:p>
    <w:p w14:paraId="20D248D5"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UK-wide expansion of Delicious, a small-scale fast-food restaurant founded in London, is about to happen. Three main avenues for expansion are outlined in the strategy plan: market penetration, diversification, and organic growth. Using the theories, concepts, and models of strategic management that were covered in this session, let's assess these choices and develop a solid expansion plan for Delicious (</w:t>
      </w:r>
      <w:r>
        <w:rPr>
          <w:rFonts w:ascii="Times New Roman" w:eastAsia="Times New Roman" w:hAnsi="Times New Roman" w:cs="Times New Roman"/>
          <w:color w:val="222222"/>
          <w:sz w:val="24"/>
          <w:szCs w:val="24"/>
          <w:highlight w:val="white"/>
        </w:rPr>
        <w:t>George et al. 2019)</w:t>
      </w:r>
      <w:r>
        <w:rPr>
          <w:rFonts w:ascii="Times New Roman" w:eastAsia="Times New Roman" w:hAnsi="Times New Roman" w:cs="Times New Roman"/>
          <w:sz w:val="24"/>
          <w:szCs w:val="24"/>
        </w:rPr>
        <w:t>.</w:t>
      </w:r>
    </w:p>
    <w:p w14:paraId="3E40D52B"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Organic Growth:</w:t>
      </w:r>
    </w:p>
    <w:p w14:paraId="583E9887" w14:textId="77777777" w:rsidR="008027A7" w:rsidRDefault="006C79C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Ansoff's Matrix (Product-Market Expansion Grid) is the theory.</w:t>
      </w:r>
    </w:p>
    <w:p w14:paraId="746E5EF0"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By concentrating on current items in new markets, organic growth is consistent with Ansoff's idea of market development. The London restaurant is being renovated, and new menu items are being added to accommodate changing customer tastes (</w:t>
      </w:r>
      <w:r>
        <w:rPr>
          <w:rFonts w:ascii="Times New Roman" w:eastAsia="Times New Roman" w:hAnsi="Times New Roman" w:cs="Times New Roman"/>
          <w:color w:val="222222"/>
          <w:sz w:val="24"/>
          <w:szCs w:val="24"/>
          <w:highlight w:val="white"/>
        </w:rPr>
        <w:t>Chersulich Tomino et al. 2020)</w:t>
      </w:r>
      <w:r>
        <w:rPr>
          <w:rFonts w:ascii="Times New Roman" w:eastAsia="Times New Roman" w:hAnsi="Times New Roman" w:cs="Times New Roman"/>
          <w:sz w:val="24"/>
          <w:szCs w:val="24"/>
        </w:rPr>
        <w:t>.</w:t>
      </w:r>
    </w:p>
    <w:p w14:paraId="493D0C9B"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Suggestion: By implementing this plan, Delicious can take advantage of its well-established brand and adjust to the shifting needs of the market.</w:t>
      </w:r>
    </w:p>
    <w:p w14:paraId="64A09A1F"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06132176"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7C36C5D1"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0190D634"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4619740B" w14:textId="5C4FEF01"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 Infiltration of the Market:</w:t>
      </w:r>
    </w:p>
    <w:p w14:paraId="5985ACC0" w14:textId="77777777" w:rsidR="008027A7" w:rsidRDefault="006C79C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Porter's Generic Strategies Theory</w:t>
      </w:r>
    </w:p>
    <w:p w14:paraId="78412B05"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Evaluation: Porter's approach to growing inside current markets is consistent with market penetration. This strategy includes looking into franchising options, conducting market research, and forming partnerships with nearby companies (</w:t>
      </w:r>
      <w:r>
        <w:rPr>
          <w:rFonts w:ascii="Times New Roman" w:eastAsia="Times New Roman" w:hAnsi="Times New Roman" w:cs="Times New Roman"/>
          <w:color w:val="222222"/>
          <w:sz w:val="24"/>
          <w:szCs w:val="24"/>
          <w:highlight w:val="white"/>
        </w:rPr>
        <w:t>Johnsen, 2023)</w:t>
      </w:r>
      <w:r>
        <w:rPr>
          <w:rFonts w:ascii="Times New Roman" w:eastAsia="Times New Roman" w:hAnsi="Times New Roman" w:cs="Times New Roman"/>
          <w:sz w:val="24"/>
          <w:szCs w:val="24"/>
        </w:rPr>
        <w:t>.</w:t>
      </w:r>
    </w:p>
    <w:p w14:paraId="771C66E2"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Suggestion: By strategically expanding Delicious's presence in other geographic locations, this approach builds on the company's strengths in London.</w:t>
      </w:r>
    </w:p>
    <w:p w14:paraId="17A3E6E9"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The act of diversification</w:t>
      </w:r>
    </w:p>
    <w:p w14:paraId="05DE4766"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Theory: </w:t>
      </w:r>
      <w:r>
        <w:rPr>
          <w:rFonts w:ascii="Times New Roman" w:eastAsia="Times New Roman" w:hAnsi="Times New Roman" w:cs="Times New Roman"/>
          <w:sz w:val="24"/>
          <w:szCs w:val="24"/>
        </w:rPr>
        <w:t>Product-Market Expansion Grid, or Ansoff's Matrix Analysis: Increasing product offers in current or potential markets is a key component of diversification. Ansoff's strategy of product development and diversification is in line with the introduction of healthier menu items, delivery alternatives, and catering services (</w:t>
      </w:r>
      <w:r>
        <w:rPr>
          <w:rFonts w:ascii="Times New Roman" w:eastAsia="Times New Roman" w:hAnsi="Times New Roman" w:cs="Times New Roman"/>
          <w:color w:val="222222"/>
          <w:sz w:val="24"/>
          <w:szCs w:val="24"/>
          <w:highlight w:val="white"/>
        </w:rPr>
        <w:t>Ahmad et al. 2019)</w:t>
      </w:r>
      <w:r>
        <w:rPr>
          <w:rFonts w:ascii="Times New Roman" w:eastAsia="Times New Roman" w:hAnsi="Times New Roman" w:cs="Times New Roman"/>
          <w:sz w:val="24"/>
          <w:szCs w:val="24"/>
        </w:rPr>
        <w:t>.</w:t>
      </w:r>
    </w:p>
    <w:p w14:paraId="3B65C3DC"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Suggestion: This tactic gives Delicious a well-rounded approach by catering to a range of consumer tastes and needs.</w:t>
      </w:r>
    </w:p>
    <w:p w14:paraId="4A17A46A"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Strategic Recommendations:</w:t>
      </w:r>
    </w:p>
    <w:p w14:paraId="080B5A04" w14:textId="77777777" w:rsidR="008027A7" w:rsidRDefault="006C79C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 hybrid approach to expansion</w:t>
      </w:r>
    </w:p>
    <w:p w14:paraId="36890752"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Delicious can strategically penetrate new areas while capitalizing on its strengths in London thanks to a hybrid strategy that combines organic growth with market penetration (</w:t>
      </w:r>
      <w:r>
        <w:rPr>
          <w:rFonts w:ascii="Times New Roman" w:eastAsia="Times New Roman" w:hAnsi="Times New Roman" w:cs="Times New Roman"/>
          <w:color w:val="222222"/>
          <w:sz w:val="24"/>
          <w:szCs w:val="24"/>
          <w:highlight w:val="white"/>
        </w:rPr>
        <w:t>Bryson et al. 2020)</w:t>
      </w:r>
      <w:r>
        <w:rPr>
          <w:rFonts w:ascii="Times New Roman" w:eastAsia="Times New Roman" w:hAnsi="Times New Roman" w:cs="Times New Roman"/>
          <w:sz w:val="24"/>
          <w:szCs w:val="24"/>
        </w:rPr>
        <w:t>.</w:t>
      </w:r>
    </w:p>
    <w:p w14:paraId="41EAB3A6"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 While market penetration guarantees a wider market reach, renovating the London restaurant and adding cutting-edge menu items serve the needs of current patrons.</w:t>
      </w:r>
    </w:p>
    <w:p w14:paraId="63FABF7E" w14:textId="77777777" w:rsidR="008027A7" w:rsidRDefault="006C79C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Initiatives for Diversification:</w:t>
      </w:r>
    </w:p>
    <w:p w14:paraId="25913CF6"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By offering delivery choices, healthier menu options, and catering services, businesses can diversify and become less dependent on a single business model.</w:t>
      </w:r>
    </w:p>
    <w:p w14:paraId="4FDC6A54"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Suggestion: These programs provide chances for revenue diversification and are in line with current consumer trends (</w:t>
      </w:r>
      <w:r>
        <w:rPr>
          <w:rFonts w:ascii="Times New Roman" w:eastAsia="Times New Roman" w:hAnsi="Times New Roman" w:cs="Times New Roman"/>
          <w:color w:val="222222"/>
          <w:sz w:val="24"/>
          <w:szCs w:val="24"/>
          <w:highlight w:val="white"/>
        </w:rPr>
        <w:t>Lennon et al. 2020)</w:t>
      </w:r>
      <w:r>
        <w:rPr>
          <w:rFonts w:ascii="Times New Roman" w:eastAsia="Times New Roman" w:hAnsi="Times New Roman" w:cs="Times New Roman"/>
          <w:sz w:val="24"/>
          <w:szCs w:val="24"/>
        </w:rPr>
        <w:t>.</w:t>
      </w:r>
    </w:p>
    <w:p w14:paraId="4F445054" w14:textId="77777777" w:rsidR="00A33DC4" w:rsidRDefault="00A33DC4">
      <w:pPr>
        <w:pStyle w:val="Normal1"/>
        <w:spacing w:after="200" w:line="360" w:lineRule="auto"/>
        <w:jc w:val="both"/>
        <w:rPr>
          <w:rFonts w:ascii="Times New Roman" w:eastAsia="Times New Roman" w:hAnsi="Times New Roman" w:cs="Times New Roman"/>
          <w:b/>
          <w:i/>
          <w:sz w:val="24"/>
          <w:szCs w:val="24"/>
        </w:rPr>
      </w:pPr>
    </w:p>
    <w:p w14:paraId="55E804DC" w14:textId="2C763E64" w:rsidR="008027A7" w:rsidRDefault="006C79CE">
      <w:pPr>
        <w:pStyle w:val="Normal1"/>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Implementation Considerations:</w:t>
      </w:r>
    </w:p>
    <w:p w14:paraId="410F5ECA"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Devoted teams, resource allocation, and thorough marketing strategies are needed to carry out the plan.</w:t>
      </w:r>
    </w:p>
    <w:p w14:paraId="05B43052"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Suggestion: The creation of a specialized team to manage growth initiatives, create thorough plans for execution, and assign resources are essential for success.</w:t>
      </w:r>
    </w:p>
    <w:p w14:paraId="6CAE7175"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Optimal Strategy for Sustainable Competitive Advantage: Hybrid Expansion Strategy</w:t>
      </w:r>
    </w:p>
    <w:p w14:paraId="7B439421"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Delicious is a tiny fast-food restaurant that is looking to expand into the UK. After careful consideration, the Hybrid Expansion Strategy is the best option for gaining a sustained competitive edge. This strategy, which is based on Ansoff's Matrix and Porter's Generic Strategies, blends market penetration with organic growth, carefully utilizing the restaurant's advantages as it expands into new areas.</w:t>
      </w:r>
    </w:p>
    <w:p w14:paraId="6A96B54A"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Organic Growth with Ansoff's Matrix:</w:t>
      </w:r>
    </w:p>
    <w:p w14:paraId="32B5C91A"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By focusing on current products in new areas, organic growth complements Ansoff's market expansion strategy. The London restaurant is being renovated, and new menu items have been added to accommodate changing customer tastes (</w:t>
      </w:r>
      <w:r>
        <w:rPr>
          <w:rFonts w:ascii="Times New Roman" w:eastAsia="Times New Roman" w:hAnsi="Times New Roman" w:cs="Times New Roman"/>
          <w:color w:val="222222"/>
          <w:sz w:val="24"/>
          <w:szCs w:val="24"/>
          <w:highlight w:val="white"/>
        </w:rPr>
        <w:t>Fuertes et al. 2020)</w:t>
      </w:r>
      <w:r>
        <w:rPr>
          <w:rFonts w:ascii="Times New Roman" w:eastAsia="Times New Roman" w:hAnsi="Times New Roman" w:cs="Times New Roman"/>
          <w:sz w:val="24"/>
          <w:szCs w:val="24"/>
        </w:rPr>
        <w:t>.</w:t>
      </w:r>
    </w:p>
    <w:p w14:paraId="02F0AF89"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Benefits: By building on its well-known brand and adjusting to the shifting needs of the market, Delicious encourages adherence from current clients.</w:t>
      </w:r>
    </w:p>
    <w:p w14:paraId="668ABA03"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Challenges: Extensive preparation and significant expenditures are needed for renovations and menu changes.</w:t>
      </w:r>
    </w:p>
    <w:p w14:paraId="730EFB7A"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Porter's Generic Strategies and Market Penetration:</w:t>
      </w:r>
    </w:p>
    <w:p w14:paraId="20D267DD"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Porter's method for market penetration places a strong emphasis on growing within already-existing markets. This strategy is in line with collaborating with nearby companies, researching the market, and looking into franchising options.</w:t>
      </w:r>
    </w:p>
    <w:p w14:paraId="42E75C88"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Benefits Leveraging Delicious's capabilities in London guarantees market saturation and tactical expansion into new regions (</w:t>
      </w:r>
      <w:r>
        <w:rPr>
          <w:rFonts w:ascii="Times New Roman" w:eastAsia="Times New Roman" w:hAnsi="Times New Roman" w:cs="Times New Roman"/>
          <w:color w:val="222222"/>
          <w:sz w:val="24"/>
          <w:szCs w:val="24"/>
          <w:highlight w:val="white"/>
        </w:rPr>
        <w:t>Clarissia, 2020)</w:t>
      </w:r>
      <w:r>
        <w:rPr>
          <w:rFonts w:ascii="Times New Roman" w:eastAsia="Times New Roman" w:hAnsi="Times New Roman" w:cs="Times New Roman"/>
          <w:sz w:val="24"/>
          <w:szCs w:val="24"/>
        </w:rPr>
        <w:t>.</w:t>
      </w:r>
    </w:p>
    <w:p w14:paraId="40D59FAE"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Obstacles: Breaking into new markets calls for careful preparation, knowledge of regional quirks, and possible financial outlays.</w:t>
      </w:r>
    </w:p>
    <w:p w14:paraId="5E5B9A9E"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However,</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hybrid strategy's implementation calls for careful resource management. Financial and human resources are required for renovations, menu developments, and market research (</w:t>
      </w:r>
      <w:r>
        <w:rPr>
          <w:rFonts w:ascii="Times New Roman" w:eastAsia="Times New Roman" w:hAnsi="Times New Roman" w:cs="Times New Roman"/>
          <w:color w:val="222222"/>
          <w:sz w:val="24"/>
          <w:szCs w:val="24"/>
          <w:highlight w:val="white"/>
        </w:rPr>
        <w:t>Khajezadeh et al. 2019)</w:t>
      </w:r>
      <w:r>
        <w:rPr>
          <w:rFonts w:ascii="Times New Roman" w:eastAsia="Times New Roman" w:hAnsi="Times New Roman" w:cs="Times New Roman"/>
          <w:sz w:val="24"/>
          <w:szCs w:val="24"/>
        </w:rPr>
        <w:t>. It is advised to strategically allocate resources, giving priority to the urgent need for menu innovations and renovations in London, while progressively branching out into new areas. One way to reduce the initial expenditure is to strategically investigate franchising.</w:t>
      </w:r>
    </w:p>
    <w:tbl>
      <w:tblPr>
        <w:tblStyle w:val="Table3"/>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25"/>
        <w:gridCol w:w="6401"/>
      </w:tblGrid>
      <w:tr w:rsidR="008027A7" w14:paraId="56F739F0" w14:textId="77777777">
        <w:trPr>
          <w:trHeight w:val="375"/>
        </w:trPr>
        <w:tc>
          <w:tcPr>
            <w:tcW w:w="2625" w:type="dxa"/>
            <w:tcBorders>
              <w:top w:val="single" w:sz="5" w:space="0" w:color="5B9BD5"/>
              <w:left w:val="single" w:sz="5" w:space="0" w:color="5B9BD5"/>
              <w:bottom w:val="single" w:sz="5" w:space="0" w:color="5B9BD5"/>
              <w:right w:val="nil"/>
            </w:tcBorders>
            <w:shd w:val="clear" w:color="auto" w:fill="5B9BD5"/>
            <w:tcMar>
              <w:top w:w="0" w:type="dxa"/>
              <w:left w:w="100" w:type="dxa"/>
              <w:bottom w:w="0" w:type="dxa"/>
              <w:right w:w="100" w:type="dxa"/>
            </w:tcMar>
          </w:tcPr>
          <w:p w14:paraId="7B479961"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Strategy Components</w:t>
            </w:r>
          </w:p>
        </w:tc>
        <w:tc>
          <w:tcPr>
            <w:tcW w:w="6400" w:type="dxa"/>
            <w:tcBorders>
              <w:top w:val="single" w:sz="5" w:space="0" w:color="5B9BD5"/>
              <w:left w:val="nil"/>
              <w:bottom w:val="single" w:sz="5" w:space="0" w:color="5B9BD5"/>
              <w:right w:val="single" w:sz="5" w:space="0" w:color="5B9BD5"/>
            </w:tcBorders>
            <w:shd w:val="clear" w:color="auto" w:fill="5B9BD5"/>
            <w:tcMar>
              <w:top w:w="0" w:type="dxa"/>
              <w:left w:w="100" w:type="dxa"/>
              <w:bottom w:w="0" w:type="dxa"/>
              <w:right w:w="100" w:type="dxa"/>
            </w:tcMar>
          </w:tcPr>
          <w:p w14:paraId="04D4135B" w14:textId="77777777" w:rsidR="008027A7" w:rsidRDefault="006C79CE">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Recommendation</w:t>
            </w:r>
          </w:p>
        </w:tc>
      </w:tr>
      <w:tr w:rsidR="008027A7" w14:paraId="36B06D8B" w14:textId="77777777">
        <w:trPr>
          <w:trHeight w:val="735"/>
        </w:trPr>
        <w:tc>
          <w:tcPr>
            <w:tcW w:w="2625" w:type="dxa"/>
            <w:tcBorders>
              <w:top w:val="nil"/>
              <w:left w:val="single" w:sz="5" w:space="0" w:color="9CC2E5"/>
              <w:bottom w:val="single" w:sz="5" w:space="0" w:color="9CC2E5"/>
              <w:right w:val="single" w:sz="5" w:space="0" w:color="9CC2E5"/>
            </w:tcBorders>
            <w:shd w:val="clear" w:color="auto" w:fill="DEEAF6"/>
            <w:tcMar>
              <w:top w:w="0" w:type="dxa"/>
              <w:left w:w="100" w:type="dxa"/>
              <w:bottom w:w="0" w:type="dxa"/>
              <w:right w:w="100" w:type="dxa"/>
            </w:tcMar>
          </w:tcPr>
          <w:p w14:paraId="657688A6" w14:textId="77777777" w:rsidR="008027A7" w:rsidRDefault="006C79CE">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Organic Growth (Ansoff's Matrix)</w:t>
            </w:r>
          </w:p>
        </w:tc>
        <w:tc>
          <w:tcPr>
            <w:tcW w:w="6400" w:type="dxa"/>
            <w:tcBorders>
              <w:top w:val="nil"/>
              <w:left w:val="nil"/>
              <w:bottom w:val="single" w:sz="5" w:space="0" w:color="9CC2E5"/>
              <w:right w:val="single" w:sz="5" w:space="0" w:color="9CC2E5"/>
            </w:tcBorders>
            <w:shd w:val="clear" w:color="auto" w:fill="DEEAF6"/>
            <w:tcMar>
              <w:top w:w="0" w:type="dxa"/>
              <w:left w:w="100" w:type="dxa"/>
              <w:bottom w:w="0" w:type="dxa"/>
              <w:right w:w="100" w:type="dxa"/>
            </w:tcMar>
          </w:tcPr>
          <w:p w14:paraId="0F6527B1"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Renovate the London restaurant and introduce innovative menu items to leverage the established brand.</w:t>
            </w:r>
          </w:p>
        </w:tc>
      </w:tr>
      <w:tr w:rsidR="008027A7" w14:paraId="1C405337" w14:textId="77777777">
        <w:trPr>
          <w:trHeight w:val="375"/>
        </w:trPr>
        <w:tc>
          <w:tcPr>
            <w:tcW w:w="2625" w:type="dxa"/>
            <w:tcBorders>
              <w:top w:val="nil"/>
              <w:left w:val="single" w:sz="5" w:space="0" w:color="9CC2E5"/>
              <w:bottom w:val="single" w:sz="5" w:space="0" w:color="9CC2E5"/>
              <w:right w:val="single" w:sz="5" w:space="0" w:color="9CC2E5"/>
            </w:tcBorders>
            <w:tcMar>
              <w:top w:w="0" w:type="dxa"/>
              <w:left w:w="100" w:type="dxa"/>
              <w:bottom w:w="0" w:type="dxa"/>
              <w:right w:w="100" w:type="dxa"/>
            </w:tcMar>
          </w:tcPr>
          <w:p w14:paraId="296748D6"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6400" w:type="dxa"/>
            <w:tcBorders>
              <w:top w:val="nil"/>
              <w:left w:val="nil"/>
              <w:bottom w:val="single" w:sz="5" w:space="0" w:color="9CC2E5"/>
              <w:right w:val="single" w:sz="5" w:space="0" w:color="9CC2E5"/>
            </w:tcBorders>
            <w:tcMar>
              <w:top w:w="0" w:type="dxa"/>
              <w:left w:w="100" w:type="dxa"/>
              <w:bottom w:w="0" w:type="dxa"/>
              <w:right w:w="100" w:type="dxa"/>
            </w:tcMar>
          </w:tcPr>
          <w:p w14:paraId="7A61FD53"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Advantages: Adapt to changing market dynamics and foster loyalty.</w:t>
            </w:r>
          </w:p>
        </w:tc>
      </w:tr>
      <w:tr w:rsidR="008027A7" w14:paraId="7313CBA3" w14:textId="77777777">
        <w:trPr>
          <w:trHeight w:val="375"/>
        </w:trPr>
        <w:tc>
          <w:tcPr>
            <w:tcW w:w="2625" w:type="dxa"/>
            <w:tcBorders>
              <w:top w:val="nil"/>
              <w:left w:val="single" w:sz="5" w:space="0" w:color="9CC2E5"/>
              <w:bottom w:val="single" w:sz="5" w:space="0" w:color="9CC2E5"/>
              <w:right w:val="single" w:sz="5" w:space="0" w:color="9CC2E5"/>
            </w:tcBorders>
            <w:shd w:val="clear" w:color="auto" w:fill="DEEAF6"/>
            <w:tcMar>
              <w:top w:w="0" w:type="dxa"/>
              <w:left w:w="100" w:type="dxa"/>
              <w:bottom w:w="0" w:type="dxa"/>
              <w:right w:w="100" w:type="dxa"/>
            </w:tcMar>
          </w:tcPr>
          <w:p w14:paraId="6AC51468"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6400" w:type="dxa"/>
            <w:tcBorders>
              <w:top w:val="nil"/>
              <w:left w:val="nil"/>
              <w:bottom w:val="single" w:sz="5" w:space="0" w:color="9CC2E5"/>
              <w:right w:val="single" w:sz="5" w:space="0" w:color="9CC2E5"/>
            </w:tcBorders>
            <w:shd w:val="clear" w:color="auto" w:fill="DEEAF6"/>
            <w:tcMar>
              <w:top w:w="0" w:type="dxa"/>
              <w:left w:w="100" w:type="dxa"/>
              <w:bottom w:w="0" w:type="dxa"/>
              <w:right w:w="100" w:type="dxa"/>
            </w:tcMar>
          </w:tcPr>
          <w:p w14:paraId="25ACD929"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Challenges: Requires substantial resources and meticulous planning.</w:t>
            </w:r>
          </w:p>
        </w:tc>
      </w:tr>
      <w:tr w:rsidR="008027A7" w14:paraId="02C3281E" w14:textId="77777777">
        <w:trPr>
          <w:trHeight w:val="735"/>
        </w:trPr>
        <w:tc>
          <w:tcPr>
            <w:tcW w:w="2625" w:type="dxa"/>
            <w:tcBorders>
              <w:top w:val="nil"/>
              <w:left w:val="single" w:sz="5" w:space="0" w:color="9CC2E5"/>
              <w:bottom w:val="single" w:sz="5" w:space="0" w:color="9CC2E5"/>
              <w:right w:val="single" w:sz="5" w:space="0" w:color="9CC2E5"/>
            </w:tcBorders>
            <w:tcMar>
              <w:top w:w="0" w:type="dxa"/>
              <w:left w:w="100" w:type="dxa"/>
              <w:bottom w:w="0" w:type="dxa"/>
              <w:right w:w="100" w:type="dxa"/>
            </w:tcMar>
          </w:tcPr>
          <w:p w14:paraId="597832EF"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Penetration (Porter's Strategy)</w:t>
            </w:r>
          </w:p>
        </w:tc>
        <w:tc>
          <w:tcPr>
            <w:tcW w:w="6400" w:type="dxa"/>
            <w:tcBorders>
              <w:top w:val="nil"/>
              <w:left w:val="nil"/>
              <w:bottom w:val="single" w:sz="5" w:space="0" w:color="9CC2E5"/>
              <w:right w:val="single" w:sz="5" w:space="0" w:color="9CC2E5"/>
            </w:tcBorders>
            <w:tcMar>
              <w:top w:w="0" w:type="dxa"/>
              <w:left w:w="100" w:type="dxa"/>
              <w:bottom w:w="0" w:type="dxa"/>
              <w:right w:w="100" w:type="dxa"/>
            </w:tcMar>
          </w:tcPr>
          <w:p w14:paraId="7346EB70"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Partner with local businesses, conduct market research and explore franchising opportunities.</w:t>
            </w:r>
          </w:p>
        </w:tc>
      </w:tr>
      <w:tr w:rsidR="008027A7" w14:paraId="5284FE72" w14:textId="77777777">
        <w:trPr>
          <w:trHeight w:val="735"/>
        </w:trPr>
        <w:tc>
          <w:tcPr>
            <w:tcW w:w="2625" w:type="dxa"/>
            <w:tcBorders>
              <w:top w:val="nil"/>
              <w:left w:val="single" w:sz="5" w:space="0" w:color="9CC2E5"/>
              <w:bottom w:val="single" w:sz="5" w:space="0" w:color="9CC2E5"/>
              <w:right w:val="single" w:sz="5" w:space="0" w:color="9CC2E5"/>
            </w:tcBorders>
            <w:shd w:val="clear" w:color="auto" w:fill="DEEAF6"/>
            <w:tcMar>
              <w:top w:w="0" w:type="dxa"/>
              <w:left w:w="100" w:type="dxa"/>
              <w:bottom w:w="0" w:type="dxa"/>
              <w:right w:w="100" w:type="dxa"/>
            </w:tcMar>
          </w:tcPr>
          <w:p w14:paraId="13E6C744"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6400" w:type="dxa"/>
            <w:tcBorders>
              <w:top w:val="nil"/>
              <w:left w:val="nil"/>
              <w:bottom w:val="single" w:sz="5" w:space="0" w:color="9CC2E5"/>
              <w:right w:val="single" w:sz="5" w:space="0" w:color="9CC2E5"/>
            </w:tcBorders>
            <w:shd w:val="clear" w:color="auto" w:fill="DEEAF6"/>
            <w:tcMar>
              <w:top w:w="0" w:type="dxa"/>
              <w:left w:w="100" w:type="dxa"/>
              <w:bottom w:w="0" w:type="dxa"/>
              <w:right w:w="100" w:type="dxa"/>
            </w:tcMar>
          </w:tcPr>
          <w:p w14:paraId="1777304F"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Advantages: Capitalize on strengths in London, saturating existing markets.</w:t>
            </w:r>
          </w:p>
        </w:tc>
      </w:tr>
      <w:tr w:rsidR="008027A7" w14:paraId="614E2209" w14:textId="77777777">
        <w:trPr>
          <w:trHeight w:val="735"/>
        </w:trPr>
        <w:tc>
          <w:tcPr>
            <w:tcW w:w="2625" w:type="dxa"/>
            <w:tcBorders>
              <w:top w:val="nil"/>
              <w:left w:val="single" w:sz="5" w:space="0" w:color="9CC2E5"/>
              <w:bottom w:val="single" w:sz="5" w:space="0" w:color="9CC2E5"/>
              <w:right w:val="single" w:sz="5" w:space="0" w:color="9CC2E5"/>
            </w:tcBorders>
            <w:tcMar>
              <w:top w:w="0" w:type="dxa"/>
              <w:left w:w="100" w:type="dxa"/>
              <w:bottom w:w="0" w:type="dxa"/>
              <w:right w:w="100" w:type="dxa"/>
            </w:tcMar>
          </w:tcPr>
          <w:p w14:paraId="53223AA6"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6400" w:type="dxa"/>
            <w:tcBorders>
              <w:top w:val="nil"/>
              <w:left w:val="nil"/>
              <w:bottom w:val="single" w:sz="5" w:space="0" w:color="9CC2E5"/>
              <w:right w:val="single" w:sz="5" w:space="0" w:color="9CC2E5"/>
            </w:tcBorders>
            <w:tcMar>
              <w:top w:w="0" w:type="dxa"/>
              <w:left w:w="100" w:type="dxa"/>
              <w:bottom w:w="0" w:type="dxa"/>
              <w:right w:w="100" w:type="dxa"/>
            </w:tcMar>
          </w:tcPr>
          <w:p w14:paraId="6330C6F9"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Challenges: Entry into new markets demands careful planning and potential financial investments.</w:t>
            </w:r>
          </w:p>
        </w:tc>
      </w:tr>
      <w:tr w:rsidR="008027A7" w14:paraId="0313CF73" w14:textId="77777777">
        <w:trPr>
          <w:trHeight w:val="735"/>
        </w:trPr>
        <w:tc>
          <w:tcPr>
            <w:tcW w:w="2625" w:type="dxa"/>
            <w:tcBorders>
              <w:top w:val="nil"/>
              <w:left w:val="single" w:sz="5" w:space="0" w:color="9CC2E5"/>
              <w:bottom w:val="single" w:sz="5" w:space="0" w:color="9CC2E5"/>
              <w:right w:val="single" w:sz="5" w:space="0" w:color="9CC2E5"/>
            </w:tcBorders>
            <w:shd w:val="clear" w:color="auto" w:fill="DEEAF6"/>
            <w:tcMar>
              <w:top w:w="0" w:type="dxa"/>
              <w:left w:w="100" w:type="dxa"/>
              <w:bottom w:w="0" w:type="dxa"/>
              <w:right w:w="100" w:type="dxa"/>
            </w:tcMar>
          </w:tcPr>
          <w:p w14:paraId="0D7C9C79"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Resource Allocation</w:t>
            </w:r>
          </w:p>
        </w:tc>
        <w:tc>
          <w:tcPr>
            <w:tcW w:w="6400" w:type="dxa"/>
            <w:tcBorders>
              <w:top w:val="nil"/>
              <w:left w:val="nil"/>
              <w:bottom w:val="single" w:sz="5" w:space="0" w:color="9CC2E5"/>
              <w:right w:val="single" w:sz="5" w:space="0" w:color="9CC2E5"/>
            </w:tcBorders>
            <w:shd w:val="clear" w:color="auto" w:fill="DEEAF6"/>
            <w:tcMar>
              <w:top w:w="0" w:type="dxa"/>
              <w:left w:w="100" w:type="dxa"/>
              <w:bottom w:w="0" w:type="dxa"/>
              <w:right w:w="100" w:type="dxa"/>
            </w:tcMar>
          </w:tcPr>
          <w:p w14:paraId="008B8256"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Allocate resources strategically, prioritizing London renovations and gradual market expansion.</w:t>
            </w:r>
          </w:p>
        </w:tc>
      </w:tr>
      <w:tr w:rsidR="008027A7" w14:paraId="51EFE0E4" w14:textId="77777777">
        <w:trPr>
          <w:trHeight w:val="735"/>
        </w:trPr>
        <w:tc>
          <w:tcPr>
            <w:tcW w:w="2625" w:type="dxa"/>
            <w:tcBorders>
              <w:top w:val="nil"/>
              <w:left w:val="single" w:sz="5" w:space="0" w:color="9CC2E5"/>
              <w:bottom w:val="single" w:sz="5" w:space="0" w:color="9CC2E5"/>
              <w:right w:val="single" w:sz="5" w:space="0" w:color="9CC2E5"/>
            </w:tcBorders>
            <w:tcMar>
              <w:top w:w="0" w:type="dxa"/>
              <w:left w:w="100" w:type="dxa"/>
              <w:bottom w:w="0" w:type="dxa"/>
              <w:right w:w="100" w:type="dxa"/>
            </w:tcMar>
          </w:tcPr>
          <w:p w14:paraId="2A0A16B8"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6400" w:type="dxa"/>
            <w:tcBorders>
              <w:top w:val="nil"/>
              <w:left w:val="nil"/>
              <w:bottom w:val="single" w:sz="5" w:space="0" w:color="9CC2E5"/>
              <w:right w:val="single" w:sz="5" w:space="0" w:color="9CC2E5"/>
            </w:tcBorders>
            <w:tcMar>
              <w:top w:w="0" w:type="dxa"/>
              <w:left w:w="100" w:type="dxa"/>
              <w:bottom w:w="0" w:type="dxa"/>
              <w:right w:w="100" w:type="dxa"/>
            </w:tcMar>
          </w:tcPr>
          <w:p w14:paraId="601648B3"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 Explore franchising strategically to minimize initial investment.</w:t>
            </w:r>
          </w:p>
        </w:tc>
      </w:tr>
      <w:tr w:rsidR="008027A7" w14:paraId="4358E79C" w14:textId="77777777">
        <w:trPr>
          <w:trHeight w:val="735"/>
        </w:trPr>
        <w:tc>
          <w:tcPr>
            <w:tcW w:w="2625" w:type="dxa"/>
            <w:tcBorders>
              <w:top w:val="nil"/>
              <w:left w:val="single" w:sz="5" w:space="0" w:color="9CC2E5"/>
              <w:bottom w:val="single" w:sz="5" w:space="0" w:color="9CC2E5"/>
              <w:right w:val="single" w:sz="5" w:space="0" w:color="9CC2E5"/>
            </w:tcBorders>
            <w:shd w:val="clear" w:color="auto" w:fill="DEEAF6"/>
            <w:tcMar>
              <w:top w:w="0" w:type="dxa"/>
              <w:left w:w="100" w:type="dxa"/>
              <w:bottom w:w="0" w:type="dxa"/>
              <w:right w:w="100" w:type="dxa"/>
            </w:tcMar>
          </w:tcPr>
          <w:p w14:paraId="7A937586"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Strategies</w:t>
            </w:r>
          </w:p>
        </w:tc>
        <w:tc>
          <w:tcPr>
            <w:tcW w:w="6400" w:type="dxa"/>
            <w:tcBorders>
              <w:top w:val="nil"/>
              <w:left w:val="nil"/>
              <w:bottom w:val="single" w:sz="5" w:space="0" w:color="9CC2E5"/>
              <w:right w:val="single" w:sz="5" w:space="0" w:color="9CC2E5"/>
            </w:tcBorders>
            <w:shd w:val="clear" w:color="auto" w:fill="DEEAF6"/>
            <w:tcMar>
              <w:top w:w="0" w:type="dxa"/>
              <w:left w:w="100" w:type="dxa"/>
              <w:bottom w:w="0" w:type="dxa"/>
              <w:right w:w="100" w:type="dxa"/>
            </w:tcMar>
          </w:tcPr>
          <w:p w14:paraId="061088B3"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tailored campaigns for London renovations and menu innovations, alongside targeted marketing for new markets.</w:t>
            </w:r>
          </w:p>
        </w:tc>
      </w:tr>
      <w:tr w:rsidR="008027A7" w14:paraId="1224D978" w14:textId="77777777">
        <w:trPr>
          <w:trHeight w:val="735"/>
        </w:trPr>
        <w:tc>
          <w:tcPr>
            <w:tcW w:w="2625" w:type="dxa"/>
            <w:tcBorders>
              <w:top w:val="nil"/>
              <w:left w:val="single" w:sz="5" w:space="0" w:color="9CC2E5"/>
              <w:bottom w:val="single" w:sz="5" w:space="0" w:color="9CC2E5"/>
              <w:right w:val="single" w:sz="5" w:space="0" w:color="9CC2E5"/>
            </w:tcBorders>
            <w:tcMar>
              <w:top w:w="0" w:type="dxa"/>
              <w:left w:w="100" w:type="dxa"/>
              <w:bottom w:w="0" w:type="dxa"/>
              <w:right w:w="100" w:type="dxa"/>
            </w:tcMar>
          </w:tcPr>
          <w:p w14:paraId="44BA286F"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6400" w:type="dxa"/>
            <w:tcBorders>
              <w:top w:val="nil"/>
              <w:left w:val="nil"/>
              <w:bottom w:val="single" w:sz="5" w:space="0" w:color="9CC2E5"/>
              <w:right w:val="single" w:sz="5" w:space="0" w:color="9CC2E5"/>
            </w:tcBorders>
            <w:tcMar>
              <w:top w:w="0" w:type="dxa"/>
              <w:left w:w="100" w:type="dxa"/>
              <w:bottom w:w="0" w:type="dxa"/>
              <w:right w:w="100" w:type="dxa"/>
            </w:tcMar>
          </w:tcPr>
          <w:p w14:paraId="34ADFF3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 Emphasize Delicious's unique offerings in new markets to establish brand recognition.</w:t>
            </w:r>
          </w:p>
        </w:tc>
      </w:tr>
      <w:tr w:rsidR="008027A7" w14:paraId="7ADB14A1" w14:textId="77777777">
        <w:trPr>
          <w:trHeight w:val="735"/>
        </w:trPr>
        <w:tc>
          <w:tcPr>
            <w:tcW w:w="2625" w:type="dxa"/>
            <w:tcBorders>
              <w:top w:val="nil"/>
              <w:left w:val="single" w:sz="5" w:space="0" w:color="9CC2E5"/>
              <w:bottom w:val="single" w:sz="5" w:space="0" w:color="9CC2E5"/>
              <w:right w:val="single" w:sz="5" w:space="0" w:color="9CC2E5"/>
            </w:tcBorders>
            <w:shd w:val="clear" w:color="auto" w:fill="DEEAF6"/>
            <w:tcMar>
              <w:top w:w="0" w:type="dxa"/>
              <w:left w:w="100" w:type="dxa"/>
              <w:bottom w:w="0" w:type="dxa"/>
              <w:right w:w="100" w:type="dxa"/>
            </w:tcMar>
          </w:tcPr>
          <w:p w14:paraId="2AB78711"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Advantage and Sustainability</w:t>
            </w:r>
          </w:p>
        </w:tc>
        <w:tc>
          <w:tcPr>
            <w:tcW w:w="6400" w:type="dxa"/>
            <w:tcBorders>
              <w:top w:val="nil"/>
              <w:left w:val="nil"/>
              <w:bottom w:val="single" w:sz="5" w:space="0" w:color="9CC2E5"/>
              <w:right w:val="single" w:sz="5" w:space="0" w:color="9CC2E5"/>
            </w:tcBorders>
            <w:shd w:val="clear" w:color="auto" w:fill="DEEAF6"/>
            <w:tcMar>
              <w:top w:w="0" w:type="dxa"/>
              <w:left w:w="100" w:type="dxa"/>
              <w:bottom w:w="0" w:type="dxa"/>
              <w:right w:w="100" w:type="dxa"/>
            </w:tcMar>
          </w:tcPr>
          <w:p w14:paraId="5DC57309"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Prioritize customer engagement for sustained loyalty and adapt menu offerings to changing preferences.</w:t>
            </w:r>
          </w:p>
        </w:tc>
      </w:tr>
      <w:tr w:rsidR="008027A7" w14:paraId="5474E5ED" w14:textId="77777777">
        <w:trPr>
          <w:trHeight w:val="735"/>
        </w:trPr>
        <w:tc>
          <w:tcPr>
            <w:tcW w:w="2625" w:type="dxa"/>
            <w:tcBorders>
              <w:top w:val="nil"/>
              <w:left w:val="single" w:sz="5" w:space="0" w:color="9CC2E5"/>
              <w:bottom w:val="single" w:sz="5" w:space="0" w:color="9CC2E5"/>
              <w:right w:val="single" w:sz="5" w:space="0" w:color="9CC2E5"/>
            </w:tcBorders>
            <w:tcMar>
              <w:top w:w="0" w:type="dxa"/>
              <w:left w:w="100" w:type="dxa"/>
              <w:bottom w:w="0" w:type="dxa"/>
              <w:right w:w="100" w:type="dxa"/>
            </w:tcMar>
          </w:tcPr>
          <w:p w14:paraId="41B36810"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6400" w:type="dxa"/>
            <w:tcBorders>
              <w:top w:val="nil"/>
              <w:left w:val="nil"/>
              <w:bottom w:val="single" w:sz="5" w:space="0" w:color="9CC2E5"/>
              <w:right w:val="single" w:sz="5" w:space="0" w:color="9CC2E5"/>
            </w:tcBorders>
            <w:tcMar>
              <w:top w:w="0" w:type="dxa"/>
              <w:left w:w="100" w:type="dxa"/>
              <w:bottom w:w="0" w:type="dxa"/>
              <w:right w:w="100" w:type="dxa"/>
            </w:tcMar>
          </w:tcPr>
          <w:p w14:paraId="1AAC062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 Continuously assess and adapt to align with market dynamics and changing consumer preferences.</w:t>
            </w:r>
          </w:p>
        </w:tc>
      </w:tr>
    </w:tbl>
    <w:p w14:paraId="23A5942F" w14:textId="77777777" w:rsidR="008027A7" w:rsidRDefault="006C79CE">
      <w:pPr>
        <w:pStyle w:val="Normal1"/>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 Hybrid Expansion Strategy</w:t>
      </w:r>
    </w:p>
    <w:p w14:paraId="223295CF"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a sustained competitive advantage in mind, Delicious has integrated market penetration and organic expansion through its Hybrid Expansion Strategy. The London restaurant is being renovated, and new menu items are being introduced to attract and retain current patrons. Concurrently, collaborations, market analysis, and possible franchising leverage London's advantages to deliberately penetrate new areas. </w:t>
      </w:r>
    </w:p>
    <w:p w14:paraId="09A9EBA9" w14:textId="77777777" w:rsidR="008027A7" w:rsidRDefault="006C79CE" w:rsidP="003E676D">
      <w:pPr>
        <w:pStyle w:val="Heading1"/>
      </w:pPr>
      <w:bookmarkStart w:id="4" w:name="_Toc151909088"/>
      <w:r>
        <w:t>Sustainability and Competitive Advantage:</w:t>
      </w:r>
      <w:bookmarkEnd w:id="4"/>
    </w:p>
    <w:p w14:paraId="56C2747B"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Customer Loyalty:</w:t>
      </w:r>
    </w:p>
    <w:p w14:paraId="7CFB7476"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New menu items and renovations meet changing consumer tastes and encourage repeat business from current patrons (</w:t>
      </w:r>
      <w:r>
        <w:rPr>
          <w:rFonts w:ascii="Times New Roman" w:eastAsia="Times New Roman" w:hAnsi="Times New Roman" w:cs="Times New Roman"/>
          <w:color w:val="222222"/>
          <w:sz w:val="24"/>
          <w:szCs w:val="24"/>
          <w:highlight w:val="white"/>
        </w:rPr>
        <w:t>Sukma et al. 2019)</w:t>
      </w:r>
      <w:r>
        <w:rPr>
          <w:rFonts w:ascii="Times New Roman" w:eastAsia="Times New Roman" w:hAnsi="Times New Roman" w:cs="Times New Roman"/>
          <w:sz w:val="24"/>
          <w:szCs w:val="24"/>
        </w:rPr>
        <w:t>.</w:t>
      </w:r>
    </w:p>
    <w:p w14:paraId="55AFD4A4"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recommended that customer engagement and feedback systems be given top priority in order to continuously improve offers and ensure long-term loyalty.</w:t>
      </w:r>
    </w:p>
    <w:p w14:paraId="17E58B19"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55393A92"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557D887E" w14:textId="0F88DCD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Brand Awareness:</w:t>
      </w:r>
    </w:p>
    <w:p w14:paraId="4BEA3FB6"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By leveraging Delicious's advantages in London, it can achieve market saturation and make a calculated move into new regions.</w:t>
      </w:r>
    </w:p>
    <w:p w14:paraId="749AFF35"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advised that in order to build brand recognition in new markets, customized marketing tactics be developed, highlighting Delicious's reputation and distinctive services.</w:t>
      </w:r>
    </w:p>
    <w:p w14:paraId="793D8924"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Increasing variety:</w:t>
      </w:r>
    </w:p>
    <w:p w14:paraId="48C311B4"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Through menu changes and possible franchising prospects, the hybrid model incorporates a degree of diversification.</w:t>
      </w:r>
    </w:p>
    <w:p w14:paraId="7E8B0852"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advised to regularly evaluate and modify the menu selections in order to accommodate shifting consumer tastes and market conditions (</w:t>
      </w:r>
      <w:r>
        <w:rPr>
          <w:rFonts w:ascii="Times New Roman" w:eastAsia="Times New Roman" w:hAnsi="Times New Roman" w:cs="Times New Roman"/>
          <w:color w:val="222222"/>
          <w:sz w:val="24"/>
          <w:szCs w:val="24"/>
          <w:highlight w:val="white"/>
        </w:rPr>
        <w:t>Kurniawan et al. 2020)</w:t>
      </w:r>
      <w:r>
        <w:rPr>
          <w:rFonts w:ascii="Times New Roman" w:eastAsia="Times New Roman" w:hAnsi="Times New Roman" w:cs="Times New Roman"/>
          <w:sz w:val="24"/>
          <w:szCs w:val="24"/>
        </w:rPr>
        <w:t>.</w:t>
      </w:r>
    </w:p>
    <w:p w14:paraId="36CB1B24" w14:textId="77777777" w:rsidR="008027A7" w:rsidRDefault="006C79CE" w:rsidP="003E676D">
      <w:pPr>
        <w:pStyle w:val="Heading1"/>
      </w:pPr>
      <w:bookmarkStart w:id="5" w:name="_Toc151909089"/>
      <w:r>
        <w:t>Implement and execute the Strategy</w:t>
      </w:r>
      <w:bookmarkEnd w:id="5"/>
    </w:p>
    <w:p w14:paraId="28DCF68B"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Implementing the Hybrid Expansion Strategy for 'Delicious' - A Comprehensive Approach</w:t>
      </w:r>
    </w:p>
    <w:p w14:paraId="3FEAEA65"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London-based Delicious is a small-scale fast-food restaurant that is well-positioned for growth throughout the United Kingdom. The Hybrid Expansion Strategy, which blends market penetration and organic growth, must be implemented methodically in line with important theories and concepts.</w:t>
      </w:r>
    </w:p>
    <w:tbl>
      <w:tblPr>
        <w:tblStyle w:val="Table4"/>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99"/>
        <w:gridCol w:w="6727"/>
      </w:tblGrid>
      <w:tr w:rsidR="008027A7" w14:paraId="143FBD6E" w14:textId="77777777">
        <w:trPr>
          <w:trHeight w:val="735"/>
        </w:trPr>
        <w:tc>
          <w:tcPr>
            <w:tcW w:w="2298" w:type="dxa"/>
            <w:tcBorders>
              <w:top w:val="single" w:sz="5" w:space="0" w:color="FFFFFF"/>
              <w:left w:val="single" w:sz="5" w:space="0" w:color="FFFFFF"/>
              <w:bottom w:val="single" w:sz="5" w:space="0" w:color="FFFFFF"/>
              <w:right w:val="nil"/>
            </w:tcBorders>
            <w:shd w:val="clear" w:color="auto" w:fill="ED7D31"/>
            <w:tcMar>
              <w:top w:w="0" w:type="dxa"/>
              <w:left w:w="100" w:type="dxa"/>
              <w:bottom w:w="0" w:type="dxa"/>
              <w:right w:w="100" w:type="dxa"/>
            </w:tcMar>
          </w:tcPr>
          <w:p w14:paraId="322EEB80"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Components</w:t>
            </w:r>
          </w:p>
        </w:tc>
        <w:tc>
          <w:tcPr>
            <w:tcW w:w="6726" w:type="dxa"/>
            <w:tcBorders>
              <w:top w:val="single" w:sz="5" w:space="0" w:color="FFFFFF"/>
              <w:left w:val="nil"/>
              <w:bottom w:val="single" w:sz="5" w:space="0" w:color="FFFFFF"/>
              <w:right w:val="single" w:sz="5" w:space="0" w:color="FFFFFF"/>
            </w:tcBorders>
            <w:shd w:val="clear" w:color="auto" w:fill="ED7D31"/>
            <w:tcMar>
              <w:top w:w="0" w:type="dxa"/>
              <w:left w:w="100" w:type="dxa"/>
              <w:bottom w:w="0" w:type="dxa"/>
              <w:right w:w="100" w:type="dxa"/>
            </w:tcMar>
          </w:tcPr>
          <w:p w14:paraId="4D0D59ED" w14:textId="77777777" w:rsidR="008027A7" w:rsidRDefault="006C79CE">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Implementation Strategies</w:t>
            </w:r>
          </w:p>
        </w:tc>
      </w:tr>
      <w:tr w:rsidR="008027A7" w14:paraId="08C316C1" w14:textId="77777777">
        <w:trPr>
          <w:trHeight w:val="735"/>
        </w:trPr>
        <w:tc>
          <w:tcPr>
            <w:tcW w:w="2298" w:type="dxa"/>
            <w:tcBorders>
              <w:top w:val="nil"/>
              <w:left w:val="single" w:sz="5" w:space="0" w:color="FFFFFF"/>
              <w:bottom w:val="single" w:sz="5" w:space="0" w:color="FFFFFF"/>
              <w:right w:val="single" w:sz="5" w:space="0" w:color="FFFFFF"/>
            </w:tcBorders>
            <w:shd w:val="clear" w:color="auto" w:fill="ED7D31"/>
            <w:tcMar>
              <w:top w:w="0" w:type="dxa"/>
              <w:left w:w="100" w:type="dxa"/>
              <w:bottom w:w="0" w:type="dxa"/>
              <w:right w:w="100" w:type="dxa"/>
            </w:tcMar>
          </w:tcPr>
          <w:p w14:paraId="6C52E0C0" w14:textId="77777777" w:rsidR="008027A7" w:rsidRDefault="006C79CE">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Organic Growth</w:t>
            </w:r>
          </w:p>
        </w:tc>
        <w:tc>
          <w:tcPr>
            <w:tcW w:w="6726" w:type="dxa"/>
            <w:tcBorders>
              <w:top w:val="nil"/>
              <w:left w:val="nil"/>
              <w:bottom w:val="single" w:sz="5" w:space="0" w:color="FFFFFF"/>
              <w:right w:val="single" w:sz="5" w:space="0" w:color="FFFFFF"/>
            </w:tcBorders>
            <w:shd w:val="clear" w:color="auto" w:fill="F7CAAC"/>
            <w:tcMar>
              <w:top w:w="0" w:type="dxa"/>
              <w:left w:w="100" w:type="dxa"/>
              <w:bottom w:w="0" w:type="dxa"/>
              <w:right w:w="100" w:type="dxa"/>
            </w:tcMar>
          </w:tcPr>
          <w:p w14:paraId="42852401"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Renovate the London restaurant for a refreshed ambiance and introduce innovative menu items.</w:t>
            </w:r>
          </w:p>
        </w:tc>
      </w:tr>
      <w:tr w:rsidR="008027A7" w14:paraId="70C3E782" w14:textId="77777777">
        <w:trPr>
          <w:trHeight w:val="735"/>
        </w:trPr>
        <w:tc>
          <w:tcPr>
            <w:tcW w:w="2298" w:type="dxa"/>
            <w:tcBorders>
              <w:top w:val="nil"/>
              <w:left w:val="single" w:sz="5" w:space="0" w:color="FFFFFF"/>
              <w:bottom w:val="single" w:sz="5" w:space="0" w:color="FFFFFF"/>
              <w:right w:val="single" w:sz="5" w:space="0" w:color="FFFFFF"/>
            </w:tcBorders>
            <w:shd w:val="clear" w:color="auto" w:fill="ED7D31"/>
            <w:tcMar>
              <w:top w:w="0" w:type="dxa"/>
              <w:left w:w="100" w:type="dxa"/>
              <w:bottom w:w="0" w:type="dxa"/>
              <w:right w:w="100" w:type="dxa"/>
            </w:tcMar>
          </w:tcPr>
          <w:p w14:paraId="3F4C9C2A"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Penetration</w:t>
            </w:r>
          </w:p>
        </w:tc>
        <w:tc>
          <w:tcPr>
            <w:tcW w:w="6726" w:type="dxa"/>
            <w:tcBorders>
              <w:top w:val="nil"/>
              <w:left w:val="nil"/>
              <w:bottom w:val="single" w:sz="5" w:space="0" w:color="FFFFFF"/>
              <w:right w:val="single" w:sz="5" w:space="0" w:color="FFFFFF"/>
            </w:tcBorders>
            <w:shd w:val="clear" w:color="auto" w:fill="FBE4D5"/>
            <w:tcMar>
              <w:top w:w="0" w:type="dxa"/>
              <w:left w:w="100" w:type="dxa"/>
              <w:bottom w:w="0" w:type="dxa"/>
              <w:right w:w="100" w:type="dxa"/>
            </w:tcMar>
          </w:tcPr>
          <w:p w14:paraId="790FDDFB"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Form partnerships with local businesses, conduct market research, and explore strategic franchising.</w:t>
            </w:r>
          </w:p>
        </w:tc>
      </w:tr>
      <w:tr w:rsidR="008027A7" w14:paraId="2B9F7A3B" w14:textId="77777777">
        <w:trPr>
          <w:trHeight w:val="735"/>
        </w:trPr>
        <w:tc>
          <w:tcPr>
            <w:tcW w:w="2298" w:type="dxa"/>
            <w:tcBorders>
              <w:top w:val="nil"/>
              <w:left w:val="single" w:sz="5" w:space="0" w:color="FFFFFF"/>
              <w:bottom w:val="single" w:sz="5" w:space="0" w:color="FFFFFF"/>
              <w:right w:val="single" w:sz="5" w:space="0" w:color="FFFFFF"/>
            </w:tcBorders>
            <w:shd w:val="clear" w:color="auto" w:fill="ED7D31"/>
            <w:tcMar>
              <w:top w:w="0" w:type="dxa"/>
              <w:left w:w="100" w:type="dxa"/>
              <w:bottom w:w="0" w:type="dxa"/>
              <w:right w:w="100" w:type="dxa"/>
            </w:tcMar>
          </w:tcPr>
          <w:p w14:paraId="269553D9"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Resource Allocation</w:t>
            </w:r>
          </w:p>
        </w:tc>
        <w:tc>
          <w:tcPr>
            <w:tcW w:w="6726" w:type="dxa"/>
            <w:tcBorders>
              <w:top w:val="nil"/>
              <w:left w:val="nil"/>
              <w:bottom w:val="single" w:sz="5" w:space="0" w:color="FFFFFF"/>
              <w:right w:val="single" w:sz="5" w:space="0" w:color="FFFFFF"/>
            </w:tcBorders>
            <w:shd w:val="clear" w:color="auto" w:fill="F7CAAC"/>
            <w:tcMar>
              <w:top w:w="0" w:type="dxa"/>
              <w:left w:w="100" w:type="dxa"/>
              <w:bottom w:w="0" w:type="dxa"/>
              <w:right w:w="100" w:type="dxa"/>
            </w:tcMar>
          </w:tcPr>
          <w:p w14:paraId="49BE7BC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Strategically allocate resources, prioritizing London renovations, and gradually expanding into new markets.</w:t>
            </w:r>
          </w:p>
        </w:tc>
      </w:tr>
      <w:tr w:rsidR="008027A7" w14:paraId="3D38976A" w14:textId="77777777">
        <w:trPr>
          <w:trHeight w:val="735"/>
        </w:trPr>
        <w:tc>
          <w:tcPr>
            <w:tcW w:w="2298" w:type="dxa"/>
            <w:tcBorders>
              <w:top w:val="nil"/>
              <w:left w:val="single" w:sz="5" w:space="0" w:color="FFFFFF"/>
              <w:bottom w:val="single" w:sz="5" w:space="0" w:color="FFFFFF"/>
              <w:right w:val="single" w:sz="5" w:space="0" w:color="FFFFFF"/>
            </w:tcBorders>
            <w:shd w:val="clear" w:color="auto" w:fill="ED7D31"/>
            <w:tcMar>
              <w:top w:w="0" w:type="dxa"/>
              <w:left w:w="100" w:type="dxa"/>
              <w:bottom w:w="0" w:type="dxa"/>
              <w:right w:w="100" w:type="dxa"/>
            </w:tcMar>
          </w:tcPr>
          <w:p w14:paraId="2020E35B"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Strategies</w:t>
            </w:r>
          </w:p>
        </w:tc>
        <w:tc>
          <w:tcPr>
            <w:tcW w:w="6726" w:type="dxa"/>
            <w:tcBorders>
              <w:top w:val="nil"/>
              <w:left w:val="nil"/>
              <w:bottom w:val="single" w:sz="5" w:space="0" w:color="FFFFFF"/>
              <w:right w:val="single" w:sz="5" w:space="0" w:color="FFFFFF"/>
            </w:tcBorders>
            <w:shd w:val="clear" w:color="auto" w:fill="FBE4D5"/>
            <w:tcMar>
              <w:top w:w="0" w:type="dxa"/>
              <w:left w:w="100" w:type="dxa"/>
              <w:bottom w:w="0" w:type="dxa"/>
              <w:right w:w="100" w:type="dxa"/>
            </w:tcMar>
          </w:tcPr>
          <w:p w14:paraId="28BEDD32"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tailored marketing campaigns emphasizing the renovated restaurant and new offerings in London, and localized advertising in new markets.</w:t>
            </w:r>
          </w:p>
        </w:tc>
      </w:tr>
      <w:tr w:rsidR="008027A7" w14:paraId="5FBC0EAA" w14:textId="77777777">
        <w:trPr>
          <w:trHeight w:val="735"/>
        </w:trPr>
        <w:tc>
          <w:tcPr>
            <w:tcW w:w="2298" w:type="dxa"/>
            <w:tcBorders>
              <w:top w:val="nil"/>
              <w:left w:val="single" w:sz="5" w:space="0" w:color="FFFFFF"/>
              <w:bottom w:val="single" w:sz="5" w:space="0" w:color="FFFFFF"/>
              <w:right w:val="single" w:sz="5" w:space="0" w:color="FFFFFF"/>
            </w:tcBorders>
            <w:shd w:val="clear" w:color="auto" w:fill="ED7D31"/>
            <w:tcMar>
              <w:top w:w="0" w:type="dxa"/>
              <w:left w:w="100" w:type="dxa"/>
              <w:bottom w:w="0" w:type="dxa"/>
              <w:right w:w="100" w:type="dxa"/>
            </w:tcMar>
          </w:tcPr>
          <w:p w14:paraId="3F158597"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Engagement and Adaptation</w:t>
            </w:r>
          </w:p>
        </w:tc>
        <w:tc>
          <w:tcPr>
            <w:tcW w:w="6726" w:type="dxa"/>
            <w:tcBorders>
              <w:top w:val="nil"/>
              <w:left w:val="nil"/>
              <w:bottom w:val="single" w:sz="5" w:space="0" w:color="FFFFFF"/>
              <w:right w:val="single" w:sz="5" w:space="0" w:color="FFFFFF"/>
            </w:tcBorders>
            <w:shd w:val="clear" w:color="auto" w:fill="F7CAAC"/>
            <w:tcMar>
              <w:top w:w="0" w:type="dxa"/>
              <w:left w:w="100" w:type="dxa"/>
              <w:bottom w:w="0" w:type="dxa"/>
              <w:right w:w="100" w:type="dxa"/>
            </w:tcMar>
          </w:tcPr>
          <w:p w14:paraId="37B2C1A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feedback mechanisms, conduct surveys, engage customers actively, and adapt menu offerings based on changing preferences.</w:t>
            </w:r>
          </w:p>
        </w:tc>
      </w:tr>
      <w:tr w:rsidR="008027A7" w14:paraId="10507D93" w14:textId="77777777">
        <w:trPr>
          <w:trHeight w:val="1095"/>
        </w:trPr>
        <w:tc>
          <w:tcPr>
            <w:tcW w:w="2298" w:type="dxa"/>
            <w:tcBorders>
              <w:top w:val="nil"/>
              <w:left w:val="single" w:sz="5" w:space="0" w:color="FFFFFF"/>
              <w:bottom w:val="single" w:sz="5" w:space="0" w:color="FFFFFF"/>
              <w:right w:val="single" w:sz="5" w:space="0" w:color="FFFFFF"/>
            </w:tcBorders>
            <w:shd w:val="clear" w:color="auto" w:fill="ED7D31"/>
            <w:tcMar>
              <w:top w:w="0" w:type="dxa"/>
              <w:left w:w="100" w:type="dxa"/>
              <w:bottom w:w="0" w:type="dxa"/>
              <w:right w:w="100" w:type="dxa"/>
            </w:tcMar>
          </w:tcPr>
          <w:p w14:paraId="4C8B784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Monitoring and Evaluation</w:t>
            </w:r>
          </w:p>
        </w:tc>
        <w:tc>
          <w:tcPr>
            <w:tcW w:w="6726" w:type="dxa"/>
            <w:tcBorders>
              <w:top w:val="nil"/>
              <w:left w:val="nil"/>
              <w:bottom w:val="single" w:sz="5" w:space="0" w:color="FFFFFF"/>
              <w:right w:val="single" w:sz="5" w:space="0" w:color="FFFFFF"/>
            </w:tcBorders>
            <w:shd w:val="clear" w:color="auto" w:fill="FBE4D5"/>
            <w:tcMar>
              <w:top w:w="0" w:type="dxa"/>
              <w:left w:w="100" w:type="dxa"/>
              <w:bottom w:w="0" w:type="dxa"/>
              <w:right w:w="100" w:type="dxa"/>
            </w:tcMar>
          </w:tcPr>
          <w:p w14:paraId="1D924AE9"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KPIs, including sales growth, customer satisfaction, market share, and financial performance. Regularly monitor and evaluate to gauge strategy effectiveness.</w:t>
            </w:r>
          </w:p>
        </w:tc>
      </w:tr>
    </w:tbl>
    <w:p w14:paraId="7AEE3B54" w14:textId="77777777" w:rsidR="008027A7" w:rsidRDefault="006C79CE">
      <w:pPr>
        <w:pStyle w:val="Normal1"/>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4: Implementing the strategy</w:t>
      </w:r>
    </w:p>
    <w:p w14:paraId="2066F7EF"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essential elements for putting Delicious' hybrid expansion strategy into practice are listed in this table. It includes market penetration, resource allocation, customer interaction, organic growth, marketing tactics, and ongoing assessment and monitoring. Every element is deliberately matched to the overarching objective of attaining dominance and steady expansion in the UK fast-food sector (</w:t>
      </w:r>
      <w:r>
        <w:rPr>
          <w:rFonts w:ascii="Times New Roman" w:eastAsia="Times New Roman" w:hAnsi="Times New Roman" w:cs="Times New Roman"/>
          <w:color w:val="222222"/>
          <w:sz w:val="24"/>
          <w:szCs w:val="24"/>
          <w:highlight w:val="white"/>
        </w:rPr>
        <w:t>Kukartsev et al. 2020)</w:t>
      </w:r>
      <w:r>
        <w:rPr>
          <w:rFonts w:ascii="Times New Roman" w:eastAsia="Times New Roman" w:hAnsi="Times New Roman" w:cs="Times New Roman"/>
          <w:sz w:val="24"/>
          <w:szCs w:val="24"/>
        </w:rPr>
        <w:t>.</w:t>
      </w:r>
    </w:p>
    <w:p w14:paraId="29424D63"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Organic Growth (Matrix of Ansoff):</w:t>
      </w:r>
    </w:p>
    <w:p w14:paraId="6F9FA654"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Remodeling and New Menu Items:</w:t>
      </w:r>
    </w:p>
    <w:p w14:paraId="5ABCDCC6"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The organic growth component is guided by Ansoff's Matrix, which emphasizes market expansion through current product offerings. This is in line with the London restaurant's renovation, which will improve both the atmosphere and the patron experience.</w:t>
      </w:r>
    </w:p>
    <w:p w14:paraId="1A6E864D"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Work with well-known interior designers to transform a restaurant into a contemporary, welcoming space. Introduce menu options that are creative and take cues from consumer and market trends (</w:t>
      </w:r>
      <w:r>
        <w:rPr>
          <w:rFonts w:ascii="Times New Roman" w:eastAsia="Times New Roman" w:hAnsi="Times New Roman" w:cs="Times New Roman"/>
          <w:color w:val="222222"/>
          <w:sz w:val="24"/>
          <w:szCs w:val="24"/>
          <w:highlight w:val="white"/>
        </w:rPr>
        <w:t>Chintalapati, 2020)</w:t>
      </w:r>
      <w:r>
        <w:rPr>
          <w:rFonts w:ascii="Times New Roman" w:eastAsia="Times New Roman" w:hAnsi="Times New Roman" w:cs="Times New Roman"/>
          <w:sz w:val="24"/>
          <w:szCs w:val="24"/>
        </w:rPr>
        <w:t>.</w:t>
      </w:r>
    </w:p>
    <w:p w14:paraId="2BDABF2F"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1D2300CE" w14:textId="08F4A140"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 Porter's Strategy (Market Penetration):</w:t>
      </w:r>
    </w:p>
    <w:p w14:paraId="62E2A797"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of Partnerships and Franchising: Using Porter's method calls for investigating franchising potential and forming partnerships. This makes it easier for markets to penetrate by deliberately expanding into new regions.</w:t>
      </w:r>
    </w:p>
    <w:p w14:paraId="2C443402"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Implementation: Establish alliances with nearby companies, vendors, and even event coordinators. Make sure you find underdeveloped locations with strong development potential by conducting comprehensive market research. </w:t>
      </w:r>
    </w:p>
    <w:p w14:paraId="4F8BF6A2"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 Resource Allocation:</w:t>
      </w:r>
      <w:r>
        <w:rPr>
          <w:rFonts w:ascii="Times New Roman" w:eastAsia="Times New Roman" w:hAnsi="Times New Roman" w:cs="Times New Roman"/>
          <w:sz w:val="24"/>
          <w:szCs w:val="24"/>
        </w:rPr>
        <w:t xml:space="preserve"> </w:t>
      </w:r>
    </w:p>
    <w:p w14:paraId="478190C0"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Strategically investigate franchising, taking into account seasoned local business owners as possible partners.</w:t>
      </w:r>
    </w:p>
    <w:p w14:paraId="509ADECE"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Balanced Investment: Analysis: Theories of effective market entrance must inform resource allocation, which must strike a balance between short-term requirements and steady growth. This calls for careful resource allocation and financial planning (</w:t>
      </w:r>
      <w:r>
        <w:rPr>
          <w:rFonts w:ascii="Times New Roman" w:eastAsia="Times New Roman" w:hAnsi="Times New Roman" w:cs="Times New Roman"/>
          <w:color w:val="222222"/>
          <w:sz w:val="24"/>
          <w:szCs w:val="24"/>
          <w:highlight w:val="white"/>
        </w:rPr>
        <w:t>Jintana et al. 2021)</w:t>
      </w:r>
      <w:r>
        <w:rPr>
          <w:rFonts w:ascii="Times New Roman" w:eastAsia="Times New Roman" w:hAnsi="Times New Roman" w:cs="Times New Roman"/>
          <w:sz w:val="24"/>
          <w:szCs w:val="24"/>
        </w:rPr>
        <w:t>.</w:t>
      </w:r>
    </w:p>
    <w:p w14:paraId="6062627F"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Use funds wisely, giving first investments in London renovations and menu innovations priority. Expand progressively into new markets while taking regionally specific tactics into account.</w:t>
      </w:r>
    </w:p>
    <w:p w14:paraId="39697DED"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Advertising Techniques:</w:t>
      </w:r>
    </w:p>
    <w:p w14:paraId="1F10B422"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Customized Ads:</w:t>
      </w:r>
    </w:p>
    <w:p w14:paraId="5EDB3752"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Market penetration and organic growth depend on well-tailored marketing initiatives. When launching the remodeled restaurant and cutting-edge menu items to new markets, effective communication is essential.</w:t>
      </w:r>
    </w:p>
    <w:p w14:paraId="1AE61CC2"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Create eye-catching marketing collateral that highlights the London restaurant's renovation and novel menu items. Use targeted advertising efforts to highlight Delicious's well-established reputation and the launch of its products in new markets.</w:t>
      </w:r>
    </w:p>
    <w:p w14:paraId="547A8860"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44ED627D"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214D143D"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08E9FB66" w14:textId="61E82129"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 Adaptation and Customer Engagement (Sustainable Competitive Advantage):</w:t>
      </w:r>
    </w:p>
    <w:p w14:paraId="135E1F05"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Constant Enhancement:</w:t>
      </w:r>
    </w:p>
    <w:p w14:paraId="1CD8C7AE"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Maintaining a competitive edge over time requires ongoing customer interaction and adjustment to reflect modern consumer preferences.</w:t>
      </w:r>
    </w:p>
    <w:p w14:paraId="43710EEA"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Create channels for client input, run polls, and interact with them directly. Utilize this input to modify menu options so they reflect shifting customer tastes. Establish loyalty initiatives to promote recurring business ( Tawse et al. 2021).</w:t>
      </w:r>
    </w:p>
    <w:p w14:paraId="63560364"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Observation and Assessment:</w:t>
      </w:r>
    </w:p>
    <w:p w14:paraId="75CD121B"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KPIs, or key performance indicators, are:</w:t>
      </w:r>
    </w:p>
    <w:p w14:paraId="573C7C89"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To gauge progress and make required modifications, the strategic plan must be routinely reviewed.</w:t>
      </w:r>
    </w:p>
    <w:p w14:paraId="46826ECF"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Set key performance indicators (KPIs) based on market share, sales growth, customer happiness, and financial success. Make data-driven judgments by keeping a close eye on these indicators to determine how well the techniques being used are working.</w:t>
      </w:r>
    </w:p>
    <w:p w14:paraId="14E1C947"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careful application of the Hybrid Expansion Strategy, Delicious may make the shift from a profitable London business to a major player in the UK fast-food market. In a market that is always changing, using theories of market entry, customer engagement, and continual development guarantees not only quick growth but long-term success (</w:t>
      </w:r>
      <w:r>
        <w:rPr>
          <w:rFonts w:ascii="Times New Roman" w:eastAsia="Times New Roman" w:hAnsi="Times New Roman" w:cs="Times New Roman"/>
          <w:color w:val="222222"/>
          <w:sz w:val="24"/>
          <w:szCs w:val="24"/>
          <w:highlight w:val="white"/>
        </w:rPr>
        <w:t>Kabeyi et al. 2019)</w:t>
      </w:r>
      <w:r>
        <w:rPr>
          <w:rFonts w:ascii="Times New Roman" w:eastAsia="Times New Roman" w:hAnsi="Times New Roman" w:cs="Times New Roman"/>
          <w:sz w:val="24"/>
          <w:szCs w:val="24"/>
        </w:rPr>
        <w:t>. The combination of theoretical underpinnings and real-world application will be crucial for Delicious to achieve its expansion objectives and position itself as a dominant force in the UK fast-food industry as it carries out this extensive plan.</w:t>
      </w:r>
    </w:p>
    <w:p w14:paraId="34F3669C" w14:textId="77777777" w:rsidR="008027A7" w:rsidRDefault="006C79CE" w:rsidP="003E676D">
      <w:pPr>
        <w:pStyle w:val="Heading1"/>
      </w:pPr>
      <w:bookmarkStart w:id="6" w:name="_Toc151909090"/>
      <w:r>
        <w:t>Executing the Strategic Plan for 'Delicious' - A Roadmap for Success</w:t>
      </w:r>
      <w:bookmarkEnd w:id="6"/>
    </w:p>
    <w:p w14:paraId="78B442E3"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Delicious is a London-based fast-food restaurant that operates on a small scale. The strategy plan for Delicious must be executed with a delicate balancing act between theoretical frameworks, practical insights, and dynamic adaptability to market dynamics. To guarantee a thorough and efficient implementation, the selected hybrid expansion strategy—which combines organic development and market penetration—is supported by important theories and models.</w:t>
      </w:r>
    </w:p>
    <w:p w14:paraId="367704F6" w14:textId="77777777" w:rsidR="008027A7" w:rsidRDefault="008027A7">
      <w:pPr>
        <w:pStyle w:val="Normal1"/>
        <w:spacing w:after="200" w:line="360" w:lineRule="auto"/>
        <w:jc w:val="both"/>
        <w:rPr>
          <w:rFonts w:ascii="Times New Roman" w:eastAsia="Times New Roman" w:hAnsi="Times New Roman" w:cs="Times New Roman"/>
          <w:sz w:val="24"/>
          <w:szCs w:val="24"/>
        </w:rPr>
      </w:pPr>
    </w:p>
    <w:tbl>
      <w:tblPr>
        <w:tblStyle w:val="Table5"/>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762"/>
        <w:gridCol w:w="5264"/>
      </w:tblGrid>
      <w:tr w:rsidR="008027A7" w14:paraId="4BB787DD" w14:textId="77777777">
        <w:trPr>
          <w:trHeight w:val="375"/>
        </w:trPr>
        <w:tc>
          <w:tcPr>
            <w:tcW w:w="3761" w:type="dxa"/>
            <w:tcBorders>
              <w:top w:val="single" w:sz="5" w:space="0" w:color="FFFFFF"/>
              <w:left w:val="single" w:sz="5" w:space="0" w:color="FFFFFF"/>
              <w:bottom w:val="single" w:sz="5" w:space="0" w:color="FFFFFF"/>
              <w:right w:val="nil"/>
            </w:tcBorders>
            <w:shd w:val="clear" w:color="auto" w:fill="A5A5A5"/>
            <w:tcMar>
              <w:top w:w="0" w:type="dxa"/>
              <w:left w:w="100" w:type="dxa"/>
              <w:bottom w:w="0" w:type="dxa"/>
              <w:right w:w="100" w:type="dxa"/>
            </w:tcMar>
          </w:tcPr>
          <w:p w14:paraId="0F062D02"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Execution Components</w:t>
            </w:r>
          </w:p>
        </w:tc>
        <w:tc>
          <w:tcPr>
            <w:tcW w:w="5263" w:type="dxa"/>
            <w:tcBorders>
              <w:top w:val="single" w:sz="5" w:space="0" w:color="FFFFFF"/>
              <w:left w:val="nil"/>
              <w:bottom w:val="single" w:sz="5" w:space="0" w:color="FFFFFF"/>
              <w:right w:val="single" w:sz="5" w:space="0" w:color="FFFFFF"/>
            </w:tcBorders>
            <w:shd w:val="clear" w:color="auto" w:fill="A5A5A5"/>
            <w:tcMar>
              <w:top w:w="0" w:type="dxa"/>
              <w:left w:w="100" w:type="dxa"/>
              <w:bottom w:w="0" w:type="dxa"/>
              <w:right w:w="100" w:type="dxa"/>
            </w:tcMar>
          </w:tcPr>
          <w:p w14:paraId="7AF95ED2" w14:textId="77777777" w:rsidR="008027A7" w:rsidRDefault="006C79CE">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Timeline</w:t>
            </w:r>
          </w:p>
        </w:tc>
      </w:tr>
      <w:tr w:rsidR="008027A7" w14:paraId="58AF90B7" w14:textId="77777777">
        <w:trPr>
          <w:trHeight w:val="375"/>
        </w:trPr>
        <w:tc>
          <w:tcPr>
            <w:tcW w:w="3761" w:type="dxa"/>
            <w:tcBorders>
              <w:top w:val="nil"/>
              <w:left w:val="single" w:sz="5" w:space="0" w:color="FFFFFF"/>
              <w:bottom w:val="single" w:sz="5" w:space="0" w:color="FFFFFF"/>
              <w:right w:val="single" w:sz="5" w:space="0" w:color="FFFFFF"/>
            </w:tcBorders>
            <w:shd w:val="clear" w:color="auto" w:fill="A5A5A5"/>
            <w:tcMar>
              <w:top w:w="0" w:type="dxa"/>
              <w:left w:w="100" w:type="dxa"/>
              <w:bottom w:w="0" w:type="dxa"/>
              <w:right w:w="100" w:type="dxa"/>
            </w:tcMar>
          </w:tcPr>
          <w:p w14:paraId="5AE40093" w14:textId="77777777" w:rsidR="008027A7" w:rsidRDefault="006C79CE">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Organic Growth</w:t>
            </w:r>
          </w:p>
        </w:tc>
        <w:tc>
          <w:tcPr>
            <w:tcW w:w="5263" w:type="dxa"/>
            <w:tcBorders>
              <w:top w:val="nil"/>
              <w:left w:val="nil"/>
              <w:bottom w:val="single" w:sz="5" w:space="0" w:color="FFFFFF"/>
              <w:right w:val="single" w:sz="5" w:space="0" w:color="FFFFFF"/>
            </w:tcBorders>
            <w:shd w:val="clear" w:color="auto" w:fill="DBDBDB"/>
            <w:tcMar>
              <w:top w:w="0" w:type="dxa"/>
              <w:left w:w="100" w:type="dxa"/>
              <w:bottom w:w="0" w:type="dxa"/>
              <w:right w:w="100" w:type="dxa"/>
            </w:tcMar>
          </w:tcPr>
          <w:p w14:paraId="77F6F8B1"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Begin London restaurant renovations - Month 1</w:t>
            </w:r>
          </w:p>
        </w:tc>
      </w:tr>
      <w:tr w:rsidR="008027A7" w14:paraId="052FE0B5" w14:textId="77777777">
        <w:trPr>
          <w:trHeight w:val="375"/>
        </w:trPr>
        <w:tc>
          <w:tcPr>
            <w:tcW w:w="3761" w:type="dxa"/>
            <w:tcBorders>
              <w:top w:val="nil"/>
              <w:left w:val="single" w:sz="5" w:space="0" w:color="FFFFFF"/>
              <w:bottom w:val="single" w:sz="5" w:space="0" w:color="FFFFFF"/>
              <w:right w:val="single" w:sz="5" w:space="0" w:color="FFFFFF"/>
            </w:tcBorders>
            <w:shd w:val="clear" w:color="auto" w:fill="A5A5A5"/>
            <w:tcMar>
              <w:top w:w="0" w:type="dxa"/>
              <w:left w:w="100" w:type="dxa"/>
              <w:bottom w:w="0" w:type="dxa"/>
              <w:right w:w="100" w:type="dxa"/>
            </w:tcMar>
          </w:tcPr>
          <w:p w14:paraId="624FA467"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5263" w:type="dxa"/>
            <w:tcBorders>
              <w:top w:val="nil"/>
              <w:left w:val="nil"/>
              <w:bottom w:val="single" w:sz="5" w:space="0" w:color="FFFFFF"/>
              <w:right w:val="single" w:sz="5" w:space="0" w:color="FFFFFF"/>
            </w:tcBorders>
            <w:shd w:val="clear" w:color="auto" w:fill="EDEDED"/>
            <w:tcMar>
              <w:top w:w="0" w:type="dxa"/>
              <w:left w:w="100" w:type="dxa"/>
              <w:bottom w:w="0" w:type="dxa"/>
              <w:right w:w="100" w:type="dxa"/>
            </w:tcMar>
          </w:tcPr>
          <w:p w14:paraId="24630126"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Introduce innovative menu items - Month 2</w:t>
            </w:r>
          </w:p>
        </w:tc>
      </w:tr>
      <w:tr w:rsidR="008027A7" w14:paraId="7C437954" w14:textId="77777777">
        <w:trPr>
          <w:trHeight w:val="375"/>
        </w:trPr>
        <w:tc>
          <w:tcPr>
            <w:tcW w:w="3761" w:type="dxa"/>
            <w:tcBorders>
              <w:top w:val="nil"/>
              <w:left w:val="single" w:sz="5" w:space="0" w:color="FFFFFF"/>
              <w:bottom w:val="single" w:sz="5" w:space="0" w:color="FFFFFF"/>
              <w:right w:val="single" w:sz="5" w:space="0" w:color="FFFFFF"/>
            </w:tcBorders>
            <w:shd w:val="clear" w:color="auto" w:fill="A5A5A5"/>
            <w:tcMar>
              <w:top w:w="0" w:type="dxa"/>
              <w:left w:w="100" w:type="dxa"/>
              <w:bottom w:w="0" w:type="dxa"/>
              <w:right w:w="100" w:type="dxa"/>
            </w:tcMar>
          </w:tcPr>
          <w:p w14:paraId="18CC2153"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Penetration</w:t>
            </w:r>
          </w:p>
        </w:tc>
        <w:tc>
          <w:tcPr>
            <w:tcW w:w="5263" w:type="dxa"/>
            <w:tcBorders>
              <w:top w:val="nil"/>
              <w:left w:val="nil"/>
              <w:bottom w:val="single" w:sz="5" w:space="0" w:color="FFFFFF"/>
              <w:right w:val="single" w:sz="5" w:space="0" w:color="FFFFFF"/>
            </w:tcBorders>
            <w:shd w:val="clear" w:color="auto" w:fill="DBDBDB"/>
            <w:tcMar>
              <w:top w:w="0" w:type="dxa"/>
              <w:left w:w="100" w:type="dxa"/>
              <w:bottom w:w="0" w:type="dxa"/>
              <w:right w:w="100" w:type="dxa"/>
            </w:tcMar>
          </w:tcPr>
          <w:p w14:paraId="6A272F03"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Form partnerships locally - Month 3</w:t>
            </w:r>
          </w:p>
        </w:tc>
      </w:tr>
      <w:tr w:rsidR="008027A7" w14:paraId="7DAB1FDB" w14:textId="77777777">
        <w:trPr>
          <w:trHeight w:val="375"/>
        </w:trPr>
        <w:tc>
          <w:tcPr>
            <w:tcW w:w="3761" w:type="dxa"/>
            <w:tcBorders>
              <w:top w:val="nil"/>
              <w:left w:val="single" w:sz="5" w:space="0" w:color="FFFFFF"/>
              <w:bottom w:val="single" w:sz="5" w:space="0" w:color="FFFFFF"/>
              <w:right w:val="single" w:sz="5" w:space="0" w:color="FFFFFF"/>
            </w:tcBorders>
            <w:shd w:val="clear" w:color="auto" w:fill="A5A5A5"/>
            <w:tcMar>
              <w:top w:w="0" w:type="dxa"/>
              <w:left w:w="100" w:type="dxa"/>
              <w:bottom w:w="0" w:type="dxa"/>
              <w:right w:w="100" w:type="dxa"/>
            </w:tcMar>
          </w:tcPr>
          <w:p w14:paraId="4392734B"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5263" w:type="dxa"/>
            <w:tcBorders>
              <w:top w:val="nil"/>
              <w:left w:val="nil"/>
              <w:bottom w:val="single" w:sz="5" w:space="0" w:color="FFFFFF"/>
              <w:right w:val="single" w:sz="5" w:space="0" w:color="FFFFFF"/>
            </w:tcBorders>
            <w:shd w:val="clear" w:color="auto" w:fill="EDEDED"/>
            <w:tcMar>
              <w:top w:w="0" w:type="dxa"/>
              <w:left w:w="100" w:type="dxa"/>
              <w:bottom w:w="0" w:type="dxa"/>
              <w:right w:w="100" w:type="dxa"/>
            </w:tcMar>
          </w:tcPr>
          <w:p w14:paraId="645DCDC0"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Explore franchising opportunities - Month 4</w:t>
            </w:r>
          </w:p>
        </w:tc>
      </w:tr>
      <w:tr w:rsidR="008027A7" w14:paraId="0E1CF217" w14:textId="77777777">
        <w:trPr>
          <w:trHeight w:val="375"/>
        </w:trPr>
        <w:tc>
          <w:tcPr>
            <w:tcW w:w="3761" w:type="dxa"/>
            <w:tcBorders>
              <w:top w:val="nil"/>
              <w:left w:val="single" w:sz="5" w:space="0" w:color="FFFFFF"/>
              <w:bottom w:val="single" w:sz="5" w:space="0" w:color="FFFFFF"/>
              <w:right w:val="single" w:sz="5" w:space="0" w:color="FFFFFF"/>
            </w:tcBorders>
            <w:shd w:val="clear" w:color="auto" w:fill="A5A5A5"/>
            <w:tcMar>
              <w:top w:w="0" w:type="dxa"/>
              <w:left w:w="100" w:type="dxa"/>
              <w:bottom w:w="0" w:type="dxa"/>
              <w:right w:w="100" w:type="dxa"/>
            </w:tcMar>
          </w:tcPr>
          <w:p w14:paraId="28F1FDFC"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Resource Allocation</w:t>
            </w:r>
          </w:p>
        </w:tc>
        <w:tc>
          <w:tcPr>
            <w:tcW w:w="5263" w:type="dxa"/>
            <w:tcBorders>
              <w:top w:val="nil"/>
              <w:left w:val="nil"/>
              <w:bottom w:val="single" w:sz="5" w:space="0" w:color="FFFFFF"/>
              <w:right w:val="single" w:sz="5" w:space="0" w:color="FFFFFF"/>
            </w:tcBorders>
            <w:shd w:val="clear" w:color="auto" w:fill="DBDBDB"/>
            <w:tcMar>
              <w:top w:w="0" w:type="dxa"/>
              <w:left w:w="100" w:type="dxa"/>
              <w:bottom w:w="0" w:type="dxa"/>
              <w:right w:w="100" w:type="dxa"/>
            </w:tcMar>
          </w:tcPr>
          <w:p w14:paraId="66A975E6"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Allocate resources for London - Month 1</w:t>
            </w:r>
          </w:p>
        </w:tc>
      </w:tr>
      <w:tr w:rsidR="008027A7" w14:paraId="3973C558" w14:textId="77777777">
        <w:trPr>
          <w:trHeight w:val="375"/>
        </w:trPr>
        <w:tc>
          <w:tcPr>
            <w:tcW w:w="3761" w:type="dxa"/>
            <w:tcBorders>
              <w:top w:val="nil"/>
              <w:left w:val="single" w:sz="5" w:space="0" w:color="FFFFFF"/>
              <w:bottom w:val="single" w:sz="5" w:space="0" w:color="FFFFFF"/>
              <w:right w:val="single" w:sz="5" w:space="0" w:color="FFFFFF"/>
            </w:tcBorders>
            <w:shd w:val="clear" w:color="auto" w:fill="A5A5A5"/>
            <w:tcMar>
              <w:top w:w="0" w:type="dxa"/>
              <w:left w:w="100" w:type="dxa"/>
              <w:bottom w:w="0" w:type="dxa"/>
              <w:right w:w="100" w:type="dxa"/>
            </w:tcMar>
          </w:tcPr>
          <w:p w14:paraId="078027AA"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5263" w:type="dxa"/>
            <w:tcBorders>
              <w:top w:val="nil"/>
              <w:left w:val="nil"/>
              <w:bottom w:val="single" w:sz="5" w:space="0" w:color="FFFFFF"/>
              <w:right w:val="single" w:sz="5" w:space="0" w:color="FFFFFF"/>
            </w:tcBorders>
            <w:shd w:val="clear" w:color="auto" w:fill="EDEDED"/>
            <w:tcMar>
              <w:top w:w="0" w:type="dxa"/>
              <w:left w:w="100" w:type="dxa"/>
              <w:bottom w:w="0" w:type="dxa"/>
              <w:right w:w="100" w:type="dxa"/>
            </w:tcMar>
          </w:tcPr>
          <w:p w14:paraId="5A7E46ED"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Gradual expansion into new markets - Months 2-6</w:t>
            </w:r>
          </w:p>
        </w:tc>
      </w:tr>
      <w:tr w:rsidR="008027A7" w14:paraId="21582572" w14:textId="77777777">
        <w:trPr>
          <w:trHeight w:val="375"/>
        </w:trPr>
        <w:tc>
          <w:tcPr>
            <w:tcW w:w="3761" w:type="dxa"/>
            <w:tcBorders>
              <w:top w:val="nil"/>
              <w:left w:val="single" w:sz="5" w:space="0" w:color="FFFFFF"/>
              <w:bottom w:val="single" w:sz="5" w:space="0" w:color="FFFFFF"/>
              <w:right w:val="single" w:sz="5" w:space="0" w:color="FFFFFF"/>
            </w:tcBorders>
            <w:shd w:val="clear" w:color="auto" w:fill="A5A5A5"/>
            <w:tcMar>
              <w:top w:w="0" w:type="dxa"/>
              <w:left w:w="100" w:type="dxa"/>
              <w:bottom w:w="0" w:type="dxa"/>
              <w:right w:w="100" w:type="dxa"/>
            </w:tcMar>
          </w:tcPr>
          <w:p w14:paraId="2966933E"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Strategies</w:t>
            </w:r>
          </w:p>
        </w:tc>
        <w:tc>
          <w:tcPr>
            <w:tcW w:w="5263" w:type="dxa"/>
            <w:tcBorders>
              <w:top w:val="nil"/>
              <w:left w:val="nil"/>
              <w:bottom w:val="single" w:sz="5" w:space="0" w:color="FFFFFF"/>
              <w:right w:val="single" w:sz="5" w:space="0" w:color="FFFFFF"/>
            </w:tcBorders>
            <w:shd w:val="clear" w:color="auto" w:fill="DBDBDB"/>
            <w:tcMar>
              <w:top w:w="0" w:type="dxa"/>
              <w:left w:w="100" w:type="dxa"/>
              <w:bottom w:w="0" w:type="dxa"/>
              <w:right w:w="100" w:type="dxa"/>
            </w:tcMar>
          </w:tcPr>
          <w:p w14:paraId="5F2B75EE"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Launch London marketing campaign - Month 2</w:t>
            </w:r>
          </w:p>
        </w:tc>
      </w:tr>
      <w:tr w:rsidR="008027A7" w14:paraId="4262E517" w14:textId="77777777">
        <w:trPr>
          <w:trHeight w:val="375"/>
        </w:trPr>
        <w:tc>
          <w:tcPr>
            <w:tcW w:w="3761" w:type="dxa"/>
            <w:tcBorders>
              <w:top w:val="nil"/>
              <w:left w:val="single" w:sz="5" w:space="0" w:color="FFFFFF"/>
              <w:bottom w:val="single" w:sz="5" w:space="0" w:color="FFFFFF"/>
              <w:right w:val="single" w:sz="5" w:space="0" w:color="FFFFFF"/>
            </w:tcBorders>
            <w:shd w:val="clear" w:color="auto" w:fill="A5A5A5"/>
            <w:tcMar>
              <w:top w:w="0" w:type="dxa"/>
              <w:left w:w="100" w:type="dxa"/>
              <w:bottom w:w="0" w:type="dxa"/>
              <w:right w:w="100" w:type="dxa"/>
            </w:tcMar>
          </w:tcPr>
          <w:p w14:paraId="4DA1552A"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5263" w:type="dxa"/>
            <w:tcBorders>
              <w:top w:val="nil"/>
              <w:left w:val="nil"/>
              <w:bottom w:val="single" w:sz="5" w:space="0" w:color="FFFFFF"/>
              <w:right w:val="single" w:sz="5" w:space="0" w:color="FFFFFF"/>
            </w:tcBorders>
            <w:shd w:val="clear" w:color="auto" w:fill="EDEDED"/>
            <w:tcMar>
              <w:top w:w="0" w:type="dxa"/>
              <w:left w:w="100" w:type="dxa"/>
              <w:bottom w:w="0" w:type="dxa"/>
              <w:right w:w="100" w:type="dxa"/>
            </w:tcMar>
          </w:tcPr>
          <w:p w14:paraId="414D026D"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Initiate localized advertising in new markets - Month 4</w:t>
            </w:r>
          </w:p>
        </w:tc>
      </w:tr>
      <w:tr w:rsidR="008027A7" w14:paraId="50811F07" w14:textId="77777777">
        <w:trPr>
          <w:trHeight w:val="375"/>
        </w:trPr>
        <w:tc>
          <w:tcPr>
            <w:tcW w:w="3761" w:type="dxa"/>
            <w:tcBorders>
              <w:top w:val="nil"/>
              <w:left w:val="single" w:sz="5" w:space="0" w:color="FFFFFF"/>
              <w:bottom w:val="single" w:sz="5" w:space="0" w:color="FFFFFF"/>
              <w:right w:val="single" w:sz="5" w:space="0" w:color="FFFFFF"/>
            </w:tcBorders>
            <w:shd w:val="clear" w:color="auto" w:fill="A5A5A5"/>
            <w:tcMar>
              <w:top w:w="0" w:type="dxa"/>
              <w:left w:w="100" w:type="dxa"/>
              <w:bottom w:w="0" w:type="dxa"/>
              <w:right w:w="100" w:type="dxa"/>
            </w:tcMar>
          </w:tcPr>
          <w:p w14:paraId="66FB86DC"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Engagement and Adaptation</w:t>
            </w:r>
          </w:p>
        </w:tc>
        <w:tc>
          <w:tcPr>
            <w:tcW w:w="5263" w:type="dxa"/>
            <w:tcBorders>
              <w:top w:val="nil"/>
              <w:left w:val="nil"/>
              <w:bottom w:val="single" w:sz="5" w:space="0" w:color="FFFFFF"/>
              <w:right w:val="single" w:sz="5" w:space="0" w:color="FFFFFF"/>
            </w:tcBorders>
            <w:shd w:val="clear" w:color="auto" w:fill="DBDBDB"/>
            <w:tcMar>
              <w:top w:w="0" w:type="dxa"/>
              <w:left w:w="100" w:type="dxa"/>
              <w:bottom w:w="0" w:type="dxa"/>
              <w:right w:w="100" w:type="dxa"/>
            </w:tcMar>
          </w:tcPr>
          <w:p w14:paraId="5A718827"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feedback mechanisms - Month 1</w:t>
            </w:r>
          </w:p>
        </w:tc>
      </w:tr>
      <w:tr w:rsidR="008027A7" w14:paraId="29A34B3A" w14:textId="77777777">
        <w:trPr>
          <w:trHeight w:val="375"/>
        </w:trPr>
        <w:tc>
          <w:tcPr>
            <w:tcW w:w="3761" w:type="dxa"/>
            <w:tcBorders>
              <w:top w:val="nil"/>
              <w:left w:val="single" w:sz="5" w:space="0" w:color="FFFFFF"/>
              <w:bottom w:val="single" w:sz="5" w:space="0" w:color="FFFFFF"/>
              <w:right w:val="single" w:sz="5" w:space="0" w:color="FFFFFF"/>
            </w:tcBorders>
            <w:shd w:val="clear" w:color="auto" w:fill="A5A5A5"/>
            <w:tcMar>
              <w:top w:w="0" w:type="dxa"/>
              <w:left w:w="100" w:type="dxa"/>
              <w:bottom w:w="0" w:type="dxa"/>
              <w:right w:w="100" w:type="dxa"/>
            </w:tcMar>
          </w:tcPr>
          <w:p w14:paraId="049027BD"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5263" w:type="dxa"/>
            <w:tcBorders>
              <w:top w:val="nil"/>
              <w:left w:val="nil"/>
              <w:bottom w:val="single" w:sz="5" w:space="0" w:color="FFFFFF"/>
              <w:right w:val="single" w:sz="5" w:space="0" w:color="FFFFFF"/>
            </w:tcBorders>
            <w:shd w:val="clear" w:color="auto" w:fill="EDEDED"/>
            <w:tcMar>
              <w:top w:w="0" w:type="dxa"/>
              <w:left w:w="100" w:type="dxa"/>
              <w:bottom w:w="0" w:type="dxa"/>
              <w:right w:w="100" w:type="dxa"/>
            </w:tcMar>
          </w:tcPr>
          <w:p w14:paraId="2951291F"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menu adaptations - Ongoing</w:t>
            </w:r>
          </w:p>
        </w:tc>
      </w:tr>
      <w:tr w:rsidR="008027A7" w14:paraId="3F087CDD" w14:textId="77777777">
        <w:trPr>
          <w:trHeight w:val="375"/>
        </w:trPr>
        <w:tc>
          <w:tcPr>
            <w:tcW w:w="3761" w:type="dxa"/>
            <w:tcBorders>
              <w:top w:val="nil"/>
              <w:left w:val="single" w:sz="5" w:space="0" w:color="FFFFFF"/>
              <w:bottom w:val="single" w:sz="5" w:space="0" w:color="FFFFFF"/>
              <w:right w:val="single" w:sz="5" w:space="0" w:color="FFFFFF"/>
            </w:tcBorders>
            <w:shd w:val="clear" w:color="auto" w:fill="A5A5A5"/>
            <w:tcMar>
              <w:top w:w="0" w:type="dxa"/>
              <w:left w:w="100" w:type="dxa"/>
              <w:bottom w:w="0" w:type="dxa"/>
              <w:right w:w="100" w:type="dxa"/>
            </w:tcMar>
          </w:tcPr>
          <w:p w14:paraId="7889B60D"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Monitoring and Evaluation</w:t>
            </w:r>
          </w:p>
        </w:tc>
        <w:tc>
          <w:tcPr>
            <w:tcW w:w="5263" w:type="dxa"/>
            <w:tcBorders>
              <w:top w:val="nil"/>
              <w:left w:val="nil"/>
              <w:bottom w:val="single" w:sz="5" w:space="0" w:color="FFFFFF"/>
              <w:right w:val="single" w:sz="5" w:space="0" w:color="FFFFFF"/>
            </w:tcBorders>
            <w:shd w:val="clear" w:color="auto" w:fill="DBDBDB"/>
            <w:tcMar>
              <w:top w:w="0" w:type="dxa"/>
              <w:left w:w="100" w:type="dxa"/>
              <w:bottom w:w="0" w:type="dxa"/>
              <w:right w:w="100" w:type="dxa"/>
            </w:tcMar>
          </w:tcPr>
          <w:p w14:paraId="561A0396"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KPIs - Month 1</w:t>
            </w:r>
          </w:p>
        </w:tc>
      </w:tr>
      <w:tr w:rsidR="008027A7" w14:paraId="1C020BB6" w14:textId="77777777">
        <w:trPr>
          <w:trHeight w:val="375"/>
        </w:trPr>
        <w:tc>
          <w:tcPr>
            <w:tcW w:w="3761" w:type="dxa"/>
            <w:tcBorders>
              <w:top w:val="nil"/>
              <w:left w:val="single" w:sz="5" w:space="0" w:color="FFFFFF"/>
              <w:bottom w:val="single" w:sz="5" w:space="0" w:color="FFFFFF"/>
              <w:right w:val="single" w:sz="5" w:space="0" w:color="FFFFFF"/>
            </w:tcBorders>
            <w:shd w:val="clear" w:color="auto" w:fill="A5A5A5"/>
            <w:tcMar>
              <w:top w:w="0" w:type="dxa"/>
              <w:left w:w="100" w:type="dxa"/>
              <w:bottom w:w="0" w:type="dxa"/>
              <w:right w:w="100" w:type="dxa"/>
            </w:tcMar>
          </w:tcPr>
          <w:p w14:paraId="43AB0F4A" w14:textId="77777777" w:rsidR="008027A7" w:rsidRDefault="008027A7">
            <w:pPr>
              <w:pStyle w:val="Normal1"/>
              <w:spacing w:after="200" w:line="360" w:lineRule="auto"/>
              <w:jc w:val="both"/>
              <w:rPr>
                <w:rFonts w:ascii="Times New Roman" w:eastAsia="Times New Roman" w:hAnsi="Times New Roman" w:cs="Times New Roman"/>
                <w:sz w:val="24"/>
                <w:szCs w:val="24"/>
              </w:rPr>
            </w:pPr>
          </w:p>
        </w:tc>
        <w:tc>
          <w:tcPr>
            <w:tcW w:w="5263" w:type="dxa"/>
            <w:tcBorders>
              <w:top w:val="nil"/>
              <w:left w:val="nil"/>
              <w:bottom w:val="single" w:sz="5" w:space="0" w:color="FFFFFF"/>
              <w:right w:val="single" w:sz="5" w:space="0" w:color="FFFFFF"/>
            </w:tcBorders>
            <w:shd w:val="clear" w:color="auto" w:fill="EDEDED"/>
            <w:tcMar>
              <w:top w:w="0" w:type="dxa"/>
              <w:left w:w="100" w:type="dxa"/>
              <w:bottom w:w="0" w:type="dxa"/>
              <w:right w:w="100" w:type="dxa"/>
            </w:tcMar>
          </w:tcPr>
          <w:p w14:paraId="14765E08" w14:textId="77777777" w:rsidR="008027A7" w:rsidRDefault="006C79C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Regularly monitor and evaluate - Ongoing</w:t>
            </w:r>
          </w:p>
        </w:tc>
      </w:tr>
    </w:tbl>
    <w:p w14:paraId="1587FE71" w14:textId="77777777" w:rsidR="008027A7" w:rsidRDefault="006C79CE">
      <w:pPr>
        <w:pStyle w:val="Normal1"/>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5: Executing the strategy</w:t>
      </w:r>
    </w:p>
    <w:p w14:paraId="1D38E6CE"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Key elements of Delicious's strategic plan are outlined in this execution timetable along with the corresponding deadlines. Projects like partnerships, marketing initiatives, menu innovations, and renovations in London are phased carefully to guarantee a methodical and efficient implementation procedure within the allotted time frame. Throughout the execution period, there is constant monitoring and alteration to reflect the dynamic character of the sector (</w:t>
      </w:r>
      <w:r>
        <w:rPr>
          <w:rFonts w:ascii="Times New Roman" w:eastAsia="Times New Roman" w:hAnsi="Times New Roman" w:cs="Times New Roman"/>
          <w:color w:val="222222"/>
          <w:sz w:val="24"/>
          <w:szCs w:val="24"/>
          <w:highlight w:val="white"/>
        </w:rPr>
        <w:t>Baldassarre et al. 2020)</w:t>
      </w:r>
      <w:r>
        <w:rPr>
          <w:rFonts w:ascii="Times New Roman" w:eastAsia="Times New Roman" w:hAnsi="Times New Roman" w:cs="Times New Roman"/>
          <w:sz w:val="24"/>
          <w:szCs w:val="24"/>
        </w:rPr>
        <w:t>.</w:t>
      </w:r>
    </w:p>
    <w:p w14:paraId="2AFB37B1"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Organic Growth (Matrix of Ansoff):</w:t>
      </w:r>
    </w:p>
    <w:p w14:paraId="02944664"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Remodeling and New Menu Items:</w:t>
      </w:r>
    </w:p>
    <w:p w14:paraId="0D5D0994"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Execution: Work with well-known interior designers to begin the restaurant's transformation, making sure it has a contemporary, welcoming atmosphere. In order to stay up to date with consumer trends, creative menu items are introduced after thorough market research.</w:t>
      </w:r>
    </w:p>
    <w:p w14:paraId="45451C6E"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of Theory: This organic growth component is guided by Ansoff's Matrix, which emphasizes market development through current products.</w:t>
      </w:r>
    </w:p>
    <w:p w14:paraId="07607225"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Market Infiltration (Generic Porter's Approaches):</w:t>
      </w:r>
    </w:p>
    <w:p w14:paraId="1A07A22D"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Partnerships and Franchising: Implementation: To improve the restaurant's local integration, form alliances with nearby companies, vendors, and event coordinators. Concurrently, work with regional business owners to strategically investigate franchising options.</w:t>
      </w:r>
    </w:p>
    <w:p w14:paraId="31E55CAF"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of Theory: These actions are guided by Porter's strategy of market penetration, which emphasizes the growth inside current markets (</w:t>
      </w:r>
      <w:r>
        <w:rPr>
          <w:rFonts w:ascii="Times New Roman" w:eastAsia="Times New Roman" w:hAnsi="Times New Roman" w:cs="Times New Roman"/>
          <w:color w:val="222222"/>
          <w:sz w:val="24"/>
          <w:szCs w:val="24"/>
          <w:highlight w:val="white"/>
        </w:rPr>
        <w:t>Smith et al. 2020)</w:t>
      </w:r>
      <w:r>
        <w:rPr>
          <w:rFonts w:ascii="Times New Roman" w:eastAsia="Times New Roman" w:hAnsi="Times New Roman" w:cs="Times New Roman"/>
          <w:sz w:val="24"/>
          <w:szCs w:val="24"/>
        </w:rPr>
        <w:t>.</w:t>
      </w:r>
    </w:p>
    <w:p w14:paraId="4721723A"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Allocating Resources (Effective Market Entry):</w:t>
      </w:r>
    </w:p>
    <w:p w14:paraId="6927EDF0"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Balanced Investment: Execution: Use resources wisely, giving priority to urgent requirements such as menu innovations and upgrades in London. Expand progressively into new markets while taking regionally specific tactics into account.</w:t>
      </w:r>
    </w:p>
    <w:p w14:paraId="3BE00C58"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of Theory: This strategy is based on efficient market entrance theories and strikes a balance between short-term needs and gradual growth.</w:t>
      </w:r>
    </w:p>
    <w:p w14:paraId="1D4664FC"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Positioning and branding as marketing strategies:</w:t>
      </w:r>
    </w:p>
    <w:p w14:paraId="309CE94B"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Customized Ads:</w:t>
      </w:r>
    </w:p>
    <w:p w14:paraId="0EAEC29B"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Execution: Create eye-catching marketing collateral that highlights the London restaurant's renovation and novel menu items. Promote Delicious's well-established reputation and new products in new markets by using targeted advertising (</w:t>
      </w:r>
      <w:r>
        <w:rPr>
          <w:rFonts w:ascii="Times New Roman" w:eastAsia="Times New Roman" w:hAnsi="Times New Roman" w:cs="Times New Roman"/>
          <w:color w:val="222222"/>
          <w:sz w:val="24"/>
          <w:szCs w:val="24"/>
          <w:highlight w:val="white"/>
        </w:rPr>
        <w:t>Correani et al. 2020)</w:t>
      </w:r>
      <w:r>
        <w:rPr>
          <w:rFonts w:ascii="Times New Roman" w:eastAsia="Times New Roman" w:hAnsi="Times New Roman" w:cs="Times New Roman"/>
          <w:sz w:val="24"/>
          <w:szCs w:val="24"/>
        </w:rPr>
        <w:t>.</w:t>
      </w:r>
    </w:p>
    <w:p w14:paraId="616C7E69"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of Theory: By aligning campaigns with positioning and branding initiatives, consistent messaging is ensured, and a strong brand presence is created.</w:t>
      </w:r>
    </w:p>
    <w:p w14:paraId="1A3A74A3"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Adaptation and Customer Engagement (Continuous Improvement):</w:t>
      </w:r>
    </w:p>
    <w:p w14:paraId="4F9959AB"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Initiatives for Continuous Improvement:</w:t>
      </w:r>
    </w:p>
    <w:p w14:paraId="4911E7C3"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Create channels for consumer feedback, administer surveys, and interact with clients directly. Utilize this input to modify menu options so they reflect shifting customer tastes. Establish loyalty initiatives to promote recurring business.</w:t>
      </w:r>
    </w:p>
    <w:p w14:paraId="4EF4FA3B"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of Theory: Theories of long-term success that take into account changing client needs are consistent with the focus on continual improvement (</w:t>
      </w:r>
      <w:r>
        <w:rPr>
          <w:rFonts w:ascii="Times New Roman" w:eastAsia="Times New Roman" w:hAnsi="Times New Roman" w:cs="Times New Roman"/>
          <w:color w:val="222222"/>
          <w:sz w:val="24"/>
          <w:szCs w:val="24"/>
          <w:highlight w:val="white"/>
        </w:rPr>
        <w:t>Grainger-Brown et al. 2019)</w:t>
      </w:r>
      <w:r>
        <w:rPr>
          <w:rFonts w:ascii="Times New Roman" w:eastAsia="Times New Roman" w:hAnsi="Times New Roman" w:cs="Times New Roman"/>
          <w:sz w:val="24"/>
          <w:szCs w:val="24"/>
        </w:rPr>
        <w:t>.</w:t>
      </w:r>
    </w:p>
    <w:p w14:paraId="273093D5"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Key Performance Indicators (KPIs) for Monitoring and Evaluation:</w:t>
      </w:r>
    </w:p>
    <w:p w14:paraId="0DA42986"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Set up KPIs:</w:t>
      </w:r>
    </w:p>
    <w:p w14:paraId="6DD9B6AB"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Define key performance indicators (KPIs) including revenue growth, client satisfaction, market share, and profitability. Make data-driven judgments by keeping a close eye on these indicators to determine how well the techniques being used are working.</w:t>
      </w:r>
    </w:p>
    <w:p w14:paraId="5441B8C7"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of Theory: Using KPIs to evaluate performance is consistent with the idea of routinely assessing results against predetermined standards.</w:t>
      </w:r>
    </w:p>
    <w:p w14:paraId="785A9177" w14:textId="77777777" w:rsidR="008027A7" w:rsidRDefault="006C79CE" w:rsidP="003E676D">
      <w:pPr>
        <w:pStyle w:val="Heading1"/>
      </w:pPr>
      <w:bookmarkStart w:id="7" w:name="_Toc151909091"/>
      <w:r>
        <w:t>Different Monitoring Tools</w:t>
      </w:r>
      <w:bookmarkEnd w:id="7"/>
    </w:p>
    <w:p w14:paraId="458B8701"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Monitoring Tools for Strategic Plan Implementation at Delicious</w:t>
      </w:r>
    </w:p>
    <w:p w14:paraId="14C7061C"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strong monitoring system must be put in place for Delicious, a tiny fast-food restaurant, to succeed as it plans to grow throughout the United Kingdom. The strategic plan is developed using a range of ideas, concepts, and models, with a particular emphasis on monitoring techniques that are in line with the overall goals.</w:t>
      </w:r>
    </w:p>
    <w:p w14:paraId="3242245C"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Customer satisfaction surveys (Perpetual Improvement Theory):</w:t>
      </w:r>
    </w:p>
    <w:p w14:paraId="2E799C23"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Justification: Using the Continuous Improvement philosophy, assess how well menu innovations and renovations are received.</w:t>
      </w:r>
    </w:p>
    <w:p w14:paraId="0A67C5D5"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Using Likert scales, Net Promoter Scores (NPS), and open-ended questions, conduct regular customer satisfaction surveys (</w:t>
      </w:r>
      <w:r>
        <w:rPr>
          <w:rFonts w:ascii="Times New Roman" w:eastAsia="Times New Roman" w:hAnsi="Times New Roman" w:cs="Times New Roman"/>
          <w:color w:val="222222"/>
          <w:sz w:val="24"/>
          <w:szCs w:val="24"/>
          <w:highlight w:val="white"/>
        </w:rPr>
        <w:t>Ritala et al. 2021)</w:t>
      </w:r>
      <w:r>
        <w:rPr>
          <w:rFonts w:ascii="Times New Roman" w:eastAsia="Times New Roman" w:hAnsi="Times New Roman" w:cs="Times New Roman"/>
          <w:sz w:val="24"/>
          <w:szCs w:val="24"/>
        </w:rPr>
        <w:t>.</w:t>
      </w:r>
    </w:p>
    <w:p w14:paraId="4A1D2B0F"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Examine survey results to pinpoint areas in need of development, gauge general satisfaction, and monitor trends over time.</w:t>
      </w:r>
    </w:p>
    <w:p w14:paraId="5C09BE82"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Metrics of Financial Performance (Efficient Market Entry Theory):</w:t>
      </w:r>
    </w:p>
    <w:p w14:paraId="7CDE55D1"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Justification: To make sure that resource distribution complies with notions of market entry efficiency.</w:t>
      </w:r>
    </w:p>
    <w:p w14:paraId="788F35E6"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Keep a close eye on financial indicators such as ROI, profit margins, and revenue growth regularly.</w:t>
      </w:r>
    </w:p>
    <w:p w14:paraId="2913A5E0"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Analyze financial performance about benchmarks to make sure that the resources allotted support long-term growth.</w:t>
      </w:r>
    </w:p>
    <w:p w14:paraId="71CF5CD0"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Porter's Generic Strategies Theory: Market Share Analysis</w:t>
      </w:r>
    </w:p>
    <w:p w14:paraId="3B287A9E"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Justification: To evaluate the effectiveness of market penetration tactics in line with Porter's theory.</w:t>
      </w:r>
    </w:p>
    <w:p w14:paraId="1AF4DE56"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Examine market share information regularly for both current and prospective markets.</w:t>
      </w:r>
    </w:p>
    <w:p w14:paraId="3F02420A"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Recognize patterns, changes, and rival positions to modify tactics appropriately.</w:t>
      </w:r>
    </w:p>
    <w:p w14:paraId="54AC4755"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Measures of Brand Recognition (Theory: Branding and Positioning):</w:t>
      </w:r>
    </w:p>
    <w:p w14:paraId="70396F94"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Justification: To assess the effectiveness of specialized advertising campaigns and positioning tactics (</w:t>
      </w:r>
      <w:r>
        <w:rPr>
          <w:rFonts w:ascii="Times New Roman" w:eastAsia="Times New Roman" w:hAnsi="Times New Roman" w:cs="Times New Roman"/>
          <w:color w:val="222222"/>
          <w:sz w:val="24"/>
          <w:szCs w:val="24"/>
          <w:highlight w:val="white"/>
        </w:rPr>
        <w:t>ul Musawir et al. 2020)</w:t>
      </w:r>
      <w:r>
        <w:rPr>
          <w:rFonts w:ascii="Times New Roman" w:eastAsia="Times New Roman" w:hAnsi="Times New Roman" w:cs="Times New Roman"/>
          <w:sz w:val="24"/>
          <w:szCs w:val="24"/>
        </w:rPr>
        <w:t>.</w:t>
      </w:r>
    </w:p>
    <w:p w14:paraId="667A6997"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social media analytics, internet mentions, and brand recognition surveys in your implementation.</w:t>
      </w:r>
    </w:p>
    <w:p w14:paraId="0131A432"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Analyze: Assess alterations in consumer involvement, perception, and brand awareness.</w:t>
      </w:r>
    </w:p>
    <w:p w14:paraId="2A5541BB"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6874B993" w14:textId="250E22AE"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 Employee Feedback Systems (Employee Empowerment Theory):</w:t>
      </w:r>
    </w:p>
    <w:p w14:paraId="61002B12"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Justification: To make sure the culture of the company is in line with the philosophy of employee empowerment.</w:t>
      </w:r>
    </w:p>
    <w:p w14:paraId="5E8141B5"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Hold focus groups, individual feedback meetings, and staff surveys.</w:t>
      </w:r>
    </w:p>
    <w:p w14:paraId="1FC29360"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Evaluate worker happiness, pinpoint areas in need of development, and monitor the results of employee empowerment programs.</w:t>
      </w:r>
    </w:p>
    <w:p w14:paraId="069C7C75"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Metrics of Operational Efficiency (Sustainable Practice Theory):</w:t>
      </w:r>
    </w:p>
    <w:p w14:paraId="3C5F38EB"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Justification: To keep an eye on how operations are incorporating sustainable practices.</w:t>
      </w:r>
    </w:p>
    <w:p w14:paraId="2C1773DA"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Monitor supply chain sustainability, waste minimization, and energy use.</w:t>
      </w:r>
    </w:p>
    <w:p w14:paraId="1AC43BED"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Assess the effects on the environment, pinpoint areas in need of development, and highlight the dedication to sustainability.</w:t>
      </w:r>
    </w:p>
    <w:p w14:paraId="753BC2BE"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Metrics for Franchise Success (Market Penetration Theory):</w:t>
      </w:r>
    </w:p>
    <w:p w14:paraId="10AAF673"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Justification: To assess franchising tactics' effectiveness in terms of market penetration.</w:t>
      </w:r>
    </w:p>
    <w:p w14:paraId="09BD6456"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Track franchise locations' performance while taking local market integration, revenue, and customer happiness into account.</w:t>
      </w:r>
    </w:p>
    <w:p w14:paraId="41BEE074"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Determine if franchising helps achieve more general market penetration objectives and modify plans as necessary.</w:t>
      </w:r>
    </w:p>
    <w:p w14:paraId="52B5983B" w14:textId="77777777"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 Customer engagement theory applied to social media analytics:</w:t>
      </w:r>
    </w:p>
    <w:p w14:paraId="1B9E0453"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Justification: To assess the success of customer engagement programs.</w:t>
      </w:r>
    </w:p>
    <w:p w14:paraId="1818A56B"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Keep an eye on consumer interactions, sentiment analysis, and engagement data on social media platforms.</w:t>
      </w:r>
    </w:p>
    <w:p w14:paraId="048EB55E"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Assess the effects of menu innovations, marketing campaigns, and online customer interaction initiatives.</w:t>
      </w:r>
    </w:p>
    <w:p w14:paraId="366990D8"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490DD01D" w14:textId="77777777" w:rsidR="00A33DC4" w:rsidRDefault="00A33DC4">
      <w:pPr>
        <w:pStyle w:val="Normal1"/>
        <w:spacing w:after="200" w:line="360" w:lineRule="auto"/>
        <w:jc w:val="both"/>
        <w:rPr>
          <w:rFonts w:ascii="Times New Roman" w:eastAsia="Times New Roman" w:hAnsi="Times New Roman" w:cs="Times New Roman"/>
          <w:b/>
          <w:sz w:val="24"/>
          <w:szCs w:val="24"/>
        </w:rPr>
      </w:pPr>
    </w:p>
    <w:p w14:paraId="71D0932A" w14:textId="0AE68876" w:rsidR="008027A7" w:rsidRDefault="006C79CE">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9. Analytics for Delivery Services (Diversification Theory):</w:t>
      </w:r>
    </w:p>
    <w:p w14:paraId="69AA9F0D"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Justification: To assess the effectiveness of diversity in service delivery.</w:t>
      </w:r>
    </w:p>
    <w:p w14:paraId="51A4AC09"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Keep an eye on the effectiveness of the delivery service by recording order volumes, delivery schedules, and client comments (</w:t>
      </w:r>
      <w:r>
        <w:rPr>
          <w:rFonts w:ascii="Times New Roman" w:eastAsia="Times New Roman" w:hAnsi="Times New Roman" w:cs="Times New Roman"/>
          <w:color w:val="222222"/>
          <w:sz w:val="24"/>
          <w:szCs w:val="24"/>
          <w:highlight w:val="white"/>
        </w:rPr>
        <w:t>Kabeyi, 2019)</w:t>
      </w:r>
      <w:r>
        <w:rPr>
          <w:rFonts w:ascii="Times New Roman" w:eastAsia="Times New Roman" w:hAnsi="Times New Roman" w:cs="Times New Roman"/>
          <w:sz w:val="24"/>
          <w:szCs w:val="24"/>
        </w:rPr>
        <w:t>.</w:t>
      </w:r>
    </w:p>
    <w:p w14:paraId="3568A7D7"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Evaluate how the distribution plan is working, how it affects overall sales, and how satisfied customers are.</w:t>
      </w:r>
    </w:p>
    <w:p w14:paraId="0AFBC364" w14:textId="77777777" w:rsidR="008027A7"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including these monitoring techniques in Delicious's strategic plan, the implementation process becomes more flexible, dynamic, and in line with important ideas. Regular assessments of customer happiness, financial success, market share, employee empowerment, sustainable practices, and community impact guarantee that the strategy plan adjusts to changing conditions. </w:t>
      </w:r>
    </w:p>
    <w:p w14:paraId="77839676" w14:textId="77777777" w:rsidR="008027A7" w:rsidRDefault="006C79CE" w:rsidP="003E676D">
      <w:pPr>
        <w:pStyle w:val="Heading1"/>
      </w:pPr>
      <w:bookmarkStart w:id="8" w:name="_Toc151909092"/>
      <w:r>
        <w:t>Conclusion</w:t>
      </w:r>
      <w:bookmarkEnd w:id="8"/>
    </w:p>
    <w:p w14:paraId="0E30237B" w14:textId="28489E81" w:rsidR="003E676D" w:rsidRDefault="006C79CE">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Thus, it can be concluded that this all-encompassing strategy not only helps Delicious expand successfully into the UK but also establishes the company as a financially stable, customer-focused, and socially conscious leader in the fast-food sector.</w:t>
      </w:r>
    </w:p>
    <w:p w14:paraId="04F5851F" w14:textId="77777777" w:rsidR="003E676D" w:rsidRDefault="003E676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E01DB57" w14:textId="1EABD38A" w:rsidR="008027A7" w:rsidRDefault="003E676D" w:rsidP="003E676D">
      <w:pPr>
        <w:pStyle w:val="Heading1"/>
      </w:pPr>
      <w:bookmarkStart w:id="9" w:name="_Toc151909093"/>
      <w:r>
        <w:lastRenderedPageBreak/>
        <w:t>References</w:t>
      </w:r>
      <w:bookmarkEnd w:id="9"/>
    </w:p>
    <w:p w14:paraId="5C18D282"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Ahmad, I., &amp; Ahmad, S. B. (2019). The mediation effect of strategic planning on the relationship between business skills and firm’s performance: Evidence from medium enterprises in Punjab, Pakistan. </w:t>
      </w:r>
      <w:r w:rsidRPr="00C3761A">
        <w:rPr>
          <w:rFonts w:ascii="Times New Roman" w:hAnsi="Times New Roman" w:cs="Times New Roman"/>
          <w:i/>
          <w:iCs/>
          <w:color w:val="222222"/>
          <w:sz w:val="24"/>
          <w:szCs w:val="24"/>
          <w:shd w:val="clear" w:color="auto" w:fill="FFFFFF"/>
        </w:rPr>
        <w:t>Opción: Revista de Ciencias Humanas y Sociales</w:t>
      </w:r>
      <w:r w:rsidRPr="00C3761A">
        <w:rPr>
          <w:rFonts w:ascii="Times New Roman" w:hAnsi="Times New Roman" w:cs="Times New Roman"/>
          <w:color w:val="222222"/>
          <w:sz w:val="24"/>
          <w:szCs w:val="24"/>
          <w:shd w:val="clear" w:color="auto" w:fill="FFFFFF"/>
        </w:rPr>
        <w:t>, (24), 746-778.</w:t>
      </w:r>
      <w:r w:rsidRPr="00C3761A">
        <w:rPr>
          <w:rFonts w:ascii="Times New Roman" w:hAnsi="Times New Roman" w:cs="Times New Roman"/>
          <w:sz w:val="24"/>
          <w:szCs w:val="24"/>
        </w:rPr>
        <w:t xml:space="preserve"> </w:t>
      </w:r>
      <w:hyperlink r:id="rId8" w:history="1">
        <w:r w:rsidRPr="00C3761A">
          <w:rPr>
            <w:rStyle w:val="Hyperlink"/>
            <w:rFonts w:ascii="Times New Roman" w:hAnsi="Times New Roman" w:cs="Times New Roman"/>
            <w:sz w:val="24"/>
            <w:szCs w:val="24"/>
            <w:shd w:val="clear" w:color="auto" w:fill="FFFFFF"/>
          </w:rPr>
          <w:t>https://dialnet.unirioja.es/servlet/articulo?codigo=8155778</w:t>
        </w:r>
      </w:hyperlink>
    </w:p>
    <w:p w14:paraId="3F50ADFA"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Arundel, A., Bloch, C., &amp; Ferguson, B. (2019). Advancing innovation in the public sector: Aligning innovation measurement with policy goals. </w:t>
      </w:r>
      <w:r w:rsidRPr="00C3761A">
        <w:rPr>
          <w:rFonts w:ascii="Times New Roman" w:hAnsi="Times New Roman" w:cs="Times New Roman"/>
          <w:i/>
          <w:iCs/>
          <w:color w:val="222222"/>
          <w:sz w:val="24"/>
          <w:szCs w:val="24"/>
          <w:shd w:val="clear" w:color="auto" w:fill="FFFFFF"/>
        </w:rPr>
        <w:t>Research policy</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48</w:t>
      </w:r>
      <w:r w:rsidRPr="00C3761A">
        <w:rPr>
          <w:rFonts w:ascii="Times New Roman" w:hAnsi="Times New Roman" w:cs="Times New Roman"/>
          <w:color w:val="222222"/>
          <w:sz w:val="24"/>
          <w:szCs w:val="24"/>
          <w:shd w:val="clear" w:color="auto" w:fill="FFFFFF"/>
        </w:rPr>
        <w:t>(3), 789-798.</w:t>
      </w:r>
      <w:r w:rsidRPr="00C3761A">
        <w:rPr>
          <w:rFonts w:ascii="Times New Roman" w:hAnsi="Times New Roman" w:cs="Times New Roman"/>
          <w:sz w:val="24"/>
          <w:szCs w:val="24"/>
        </w:rPr>
        <w:t xml:space="preserve"> </w:t>
      </w:r>
      <w:hyperlink r:id="rId9" w:history="1">
        <w:r w:rsidRPr="00C3761A">
          <w:rPr>
            <w:rStyle w:val="Hyperlink"/>
            <w:rFonts w:ascii="Times New Roman" w:hAnsi="Times New Roman" w:cs="Times New Roman"/>
            <w:sz w:val="24"/>
            <w:szCs w:val="24"/>
            <w:shd w:val="clear" w:color="auto" w:fill="FFFFFF"/>
          </w:rPr>
          <w:t>https://www.sciencedirect.com/science/article/pii/S0048733318302956</w:t>
        </w:r>
      </w:hyperlink>
    </w:p>
    <w:p w14:paraId="152F271D"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Baldassarre, B., Konietzko, J., Brown, P., Calabretta, G., Bocken, N., Karpen, I. O., &amp; Hultink, E. J. (2020). Addressing the design-implementation gap of sustainable business models by prototyping: A tool for planning and executing small-scale pilots. </w:t>
      </w:r>
      <w:r w:rsidRPr="00C3761A">
        <w:rPr>
          <w:rFonts w:ascii="Times New Roman" w:hAnsi="Times New Roman" w:cs="Times New Roman"/>
          <w:i/>
          <w:iCs/>
          <w:color w:val="222222"/>
          <w:sz w:val="24"/>
          <w:szCs w:val="24"/>
          <w:shd w:val="clear" w:color="auto" w:fill="FFFFFF"/>
        </w:rPr>
        <w:t>Journal of Cleaner Production</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255</w:t>
      </w:r>
      <w:r w:rsidRPr="00C3761A">
        <w:rPr>
          <w:rFonts w:ascii="Times New Roman" w:hAnsi="Times New Roman" w:cs="Times New Roman"/>
          <w:color w:val="222222"/>
          <w:sz w:val="24"/>
          <w:szCs w:val="24"/>
          <w:shd w:val="clear" w:color="auto" w:fill="FFFFFF"/>
        </w:rPr>
        <w:t>, 120295.</w:t>
      </w:r>
      <w:r w:rsidRPr="00C3761A">
        <w:rPr>
          <w:rFonts w:ascii="Times New Roman" w:hAnsi="Times New Roman" w:cs="Times New Roman"/>
          <w:sz w:val="24"/>
          <w:szCs w:val="24"/>
        </w:rPr>
        <w:t xml:space="preserve"> </w:t>
      </w:r>
      <w:hyperlink r:id="rId10" w:history="1">
        <w:r w:rsidRPr="00C3761A">
          <w:rPr>
            <w:rStyle w:val="Hyperlink"/>
            <w:rFonts w:ascii="Times New Roman" w:hAnsi="Times New Roman" w:cs="Times New Roman"/>
            <w:sz w:val="24"/>
            <w:szCs w:val="24"/>
            <w:shd w:val="clear" w:color="auto" w:fill="FFFFFF"/>
          </w:rPr>
          <w:t>https://www.sciencedirect.com/science/article/pii/S0959652620303425</w:t>
        </w:r>
      </w:hyperlink>
    </w:p>
    <w:p w14:paraId="4CFC4E77"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Bogers, M., Chesbrough, H., Heaton, S., &amp; Teece, D. J. (2019). Strategic management of open innovation: A dynamic capabilities perspective. </w:t>
      </w:r>
      <w:r w:rsidRPr="00C3761A">
        <w:rPr>
          <w:rFonts w:ascii="Times New Roman" w:hAnsi="Times New Roman" w:cs="Times New Roman"/>
          <w:i/>
          <w:iCs/>
          <w:color w:val="222222"/>
          <w:sz w:val="24"/>
          <w:szCs w:val="24"/>
          <w:shd w:val="clear" w:color="auto" w:fill="FFFFFF"/>
        </w:rPr>
        <w:t>California Management Review</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62</w:t>
      </w:r>
      <w:r w:rsidRPr="00C3761A">
        <w:rPr>
          <w:rFonts w:ascii="Times New Roman" w:hAnsi="Times New Roman" w:cs="Times New Roman"/>
          <w:color w:val="222222"/>
          <w:sz w:val="24"/>
          <w:szCs w:val="24"/>
          <w:shd w:val="clear" w:color="auto" w:fill="FFFFFF"/>
        </w:rPr>
        <w:t>(1), 77-94.</w:t>
      </w:r>
      <w:r w:rsidRPr="00C3761A">
        <w:rPr>
          <w:rFonts w:ascii="Times New Roman" w:hAnsi="Times New Roman" w:cs="Times New Roman"/>
          <w:sz w:val="24"/>
          <w:szCs w:val="24"/>
        </w:rPr>
        <w:t xml:space="preserve"> </w:t>
      </w:r>
      <w:hyperlink r:id="rId11" w:history="1">
        <w:r w:rsidRPr="00C3761A">
          <w:rPr>
            <w:rStyle w:val="Hyperlink"/>
            <w:rFonts w:ascii="Times New Roman" w:hAnsi="Times New Roman" w:cs="Times New Roman"/>
            <w:sz w:val="24"/>
            <w:szCs w:val="24"/>
            <w:shd w:val="clear" w:color="auto" w:fill="FFFFFF"/>
          </w:rPr>
          <w:t>https://journals.sagepub.com/doi/abs/10.1177/0008125619885150</w:t>
        </w:r>
      </w:hyperlink>
    </w:p>
    <w:p w14:paraId="065AF749"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Bryson, J., &amp; George, B. (2020). Strategic management in public administration. In </w:t>
      </w:r>
      <w:r w:rsidRPr="00C3761A">
        <w:rPr>
          <w:rFonts w:ascii="Times New Roman" w:hAnsi="Times New Roman" w:cs="Times New Roman"/>
          <w:i/>
          <w:iCs/>
          <w:color w:val="222222"/>
          <w:sz w:val="24"/>
          <w:szCs w:val="24"/>
          <w:shd w:val="clear" w:color="auto" w:fill="FFFFFF"/>
        </w:rPr>
        <w:t>Oxford Research Encyclopedia of Politics</w:t>
      </w:r>
      <w:r w:rsidRPr="00C3761A">
        <w:rPr>
          <w:rFonts w:ascii="Times New Roman" w:hAnsi="Times New Roman" w:cs="Times New Roman"/>
          <w:color w:val="222222"/>
          <w:sz w:val="24"/>
          <w:szCs w:val="24"/>
          <w:shd w:val="clear" w:color="auto" w:fill="FFFFFF"/>
        </w:rPr>
        <w:t>.</w:t>
      </w:r>
      <w:r w:rsidRPr="00C3761A">
        <w:rPr>
          <w:rFonts w:ascii="Times New Roman" w:hAnsi="Times New Roman" w:cs="Times New Roman"/>
          <w:sz w:val="24"/>
          <w:szCs w:val="24"/>
        </w:rPr>
        <w:t xml:space="preserve"> </w:t>
      </w:r>
      <w:hyperlink r:id="rId12" w:history="1">
        <w:r w:rsidRPr="00C3761A">
          <w:rPr>
            <w:rStyle w:val="Hyperlink"/>
            <w:rFonts w:ascii="Times New Roman" w:hAnsi="Times New Roman" w:cs="Times New Roman"/>
            <w:sz w:val="24"/>
            <w:szCs w:val="24"/>
            <w:shd w:val="clear" w:color="auto" w:fill="FFFFFF"/>
          </w:rPr>
          <w:t>https://oxfordre.com/politics/display/10.1093/acrefore/9780190228637.001.0001/acrefore-9780190228637-e-1396</w:t>
        </w:r>
      </w:hyperlink>
    </w:p>
    <w:p w14:paraId="6ACD6D01"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Chen, Y. C., Lee, C. S., Tsui, P. L., &amp; Chiang, M. C. (2022). The application of the analytic hierarchy process approach to the inheritance of local delicious food culture and development of sustainable innovations. </w:t>
      </w:r>
      <w:r w:rsidRPr="00C3761A">
        <w:rPr>
          <w:rFonts w:ascii="Times New Roman" w:hAnsi="Times New Roman" w:cs="Times New Roman"/>
          <w:i/>
          <w:iCs/>
          <w:color w:val="222222"/>
          <w:sz w:val="24"/>
          <w:szCs w:val="24"/>
          <w:shd w:val="clear" w:color="auto" w:fill="FFFFFF"/>
        </w:rPr>
        <w:t>Agronomy</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12</w:t>
      </w:r>
      <w:r w:rsidRPr="00C3761A">
        <w:rPr>
          <w:rFonts w:ascii="Times New Roman" w:hAnsi="Times New Roman" w:cs="Times New Roman"/>
          <w:color w:val="222222"/>
          <w:sz w:val="24"/>
          <w:szCs w:val="24"/>
          <w:shd w:val="clear" w:color="auto" w:fill="FFFFFF"/>
        </w:rPr>
        <w:t>(3), 660.</w:t>
      </w:r>
      <w:r w:rsidRPr="00C3761A">
        <w:rPr>
          <w:rFonts w:ascii="Times New Roman" w:hAnsi="Times New Roman" w:cs="Times New Roman"/>
          <w:sz w:val="24"/>
          <w:szCs w:val="24"/>
        </w:rPr>
        <w:t xml:space="preserve"> </w:t>
      </w:r>
      <w:hyperlink r:id="rId13" w:history="1">
        <w:r w:rsidRPr="00C3761A">
          <w:rPr>
            <w:rStyle w:val="Hyperlink"/>
            <w:rFonts w:ascii="Times New Roman" w:hAnsi="Times New Roman" w:cs="Times New Roman"/>
            <w:sz w:val="24"/>
            <w:szCs w:val="24"/>
            <w:shd w:val="clear" w:color="auto" w:fill="FFFFFF"/>
          </w:rPr>
          <w:t>https://www.mdpi.com/2073-4395/12/3/660</w:t>
        </w:r>
      </w:hyperlink>
    </w:p>
    <w:p w14:paraId="65DBB61F"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Chersulich Tomino, A., Perić, M., &amp; Wise, N. (2020). Assessing and considering the wider impacts of sport-tourism events: A research agenda review of sustainability and strategic planning elements. </w:t>
      </w:r>
      <w:r w:rsidRPr="00C3761A">
        <w:rPr>
          <w:rFonts w:ascii="Times New Roman" w:hAnsi="Times New Roman" w:cs="Times New Roman"/>
          <w:i/>
          <w:iCs/>
          <w:color w:val="222222"/>
          <w:sz w:val="24"/>
          <w:szCs w:val="24"/>
          <w:shd w:val="clear" w:color="auto" w:fill="FFFFFF"/>
        </w:rPr>
        <w:t>Sustainability</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12</w:t>
      </w:r>
      <w:r w:rsidRPr="00C3761A">
        <w:rPr>
          <w:rFonts w:ascii="Times New Roman" w:hAnsi="Times New Roman" w:cs="Times New Roman"/>
          <w:color w:val="222222"/>
          <w:sz w:val="24"/>
          <w:szCs w:val="24"/>
          <w:shd w:val="clear" w:color="auto" w:fill="FFFFFF"/>
        </w:rPr>
        <w:t>(11), 4473.</w:t>
      </w:r>
      <w:r w:rsidRPr="00C3761A">
        <w:rPr>
          <w:rFonts w:ascii="Times New Roman" w:hAnsi="Times New Roman" w:cs="Times New Roman"/>
          <w:sz w:val="24"/>
          <w:szCs w:val="24"/>
        </w:rPr>
        <w:t xml:space="preserve"> </w:t>
      </w:r>
      <w:hyperlink r:id="rId14" w:history="1">
        <w:r w:rsidRPr="00C3761A">
          <w:rPr>
            <w:rStyle w:val="Hyperlink"/>
            <w:rFonts w:ascii="Times New Roman" w:hAnsi="Times New Roman" w:cs="Times New Roman"/>
            <w:sz w:val="24"/>
            <w:szCs w:val="24"/>
            <w:shd w:val="clear" w:color="auto" w:fill="FFFFFF"/>
          </w:rPr>
          <w:t>https://www.mdpi.com/2071-1050/12/11/4473</w:t>
        </w:r>
      </w:hyperlink>
    </w:p>
    <w:p w14:paraId="38E6BFB8"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lastRenderedPageBreak/>
        <w:t>Chintalapati, S. (2020). BankBuddy. ai—Business Expansion and Marketing Dilemma: A Case Study to Discuss the Ansoff Growth Matrix Concepts Combined with Business Expansion Strategies for Expanding into Emerging Markets. </w:t>
      </w:r>
      <w:r w:rsidRPr="00C3761A">
        <w:rPr>
          <w:rFonts w:ascii="Times New Roman" w:hAnsi="Times New Roman" w:cs="Times New Roman"/>
          <w:i/>
          <w:iCs/>
          <w:color w:val="222222"/>
          <w:sz w:val="24"/>
          <w:szCs w:val="24"/>
          <w:shd w:val="clear" w:color="auto" w:fill="FFFFFF"/>
        </w:rPr>
        <w:t>Emerging Economies Cases Journal</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2</w:t>
      </w:r>
      <w:r w:rsidRPr="00C3761A">
        <w:rPr>
          <w:rFonts w:ascii="Times New Roman" w:hAnsi="Times New Roman" w:cs="Times New Roman"/>
          <w:color w:val="222222"/>
          <w:sz w:val="24"/>
          <w:szCs w:val="24"/>
          <w:shd w:val="clear" w:color="auto" w:fill="FFFFFF"/>
        </w:rPr>
        <w:t>(1), 44-53.</w:t>
      </w:r>
      <w:r w:rsidRPr="00C3761A">
        <w:rPr>
          <w:rFonts w:ascii="Times New Roman" w:hAnsi="Times New Roman" w:cs="Times New Roman"/>
          <w:sz w:val="24"/>
          <w:szCs w:val="24"/>
        </w:rPr>
        <w:t xml:space="preserve"> </w:t>
      </w:r>
      <w:hyperlink r:id="rId15" w:history="1">
        <w:r w:rsidRPr="00C3761A">
          <w:rPr>
            <w:rStyle w:val="Hyperlink"/>
            <w:rFonts w:ascii="Times New Roman" w:hAnsi="Times New Roman" w:cs="Times New Roman"/>
            <w:sz w:val="24"/>
            <w:szCs w:val="24"/>
            <w:shd w:val="clear" w:color="auto" w:fill="FFFFFF"/>
          </w:rPr>
          <w:t>https://journals.sagepub.com/doi/abs/10.1177/2516604220929994</w:t>
        </w:r>
      </w:hyperlink>
    </w:p>
    <w:p w14:paraId="0755C45F"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Clarissia, S. M. S. (2020). A study on Ansoff Matrix Technique: As a growth strategy and an adaptive learning technique adopted in the leading brand of products. </w:t>
      </w:r>
      <w:r w:rsidRPr="00C3761A">
        <w:rPr>
          <w:rFonts w:ascii="Times New Roman" w:hAnsi="Times New Roman" w:cs="Times New Roman"/>
          <w:i/>
          <w:iCs/>
          <w:color w:val="222222"/>
          <w:sz w:val="24"/>
          <w:szCs w:val="24"/>
          <w:shd w:val="clear" w:color="auto" w:fill="FFFFFF"/>
        </w:rPr>
        <w:t>BIMS Journal of Management</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18</w:t>
      </w:r>
      <w:r w:rsidRPr="00C3761A">
        <w:rPr>
          <w:rFonts w:ascii="Times New Roman" w:hAnsi="Times New Roman" w:cs="Times New Roman"/>
          <w:color w:val="222222"/>
          <w:sz w:val="24"/>
          <w:szCs w:val="24"/>
          <w:shd w:val="clear" w:color="auto" w:fill="FFFFFF"/>
        </w:rPr>
        <w:t>.</w:t>
      </w:r>
      <w:r w:rsidRPr="00C3761A">
        <w:rPr>
          <w:rFonts w:ascii="Times New Roman" w:hAnsi="Times New Roman" w:cs="Times New Roman"/>
          <w:sz w:val="24"/>
          <w:szCs w:val="24"/>
        </w:rPr>
        <w:t xml:space="preserve"> </w:t>
      </w:r>
      <w:hyperlink r:id="rId16" w:anchor="page=26" w:history="1">
        <w:r w:rsidRPr="00C3761A">
          <w:rPr>
            <w:rStyle w:val="Hyperlink"/>
            <w:rFonts w:ascii="Times New Roman" w:hAnsi="Times New Roman" w:cs="Times New Roman"/>
            <w:sz w:val="24"/>
            <w:szCs w:val="24"/>
            <w:shd w:val="clear" w:color="auto" w:fill="FFFFFF"/>
          </w:rPr>
          <w:t>https://bimskol.org/pdf/E-copy-BIMS-Journal-Management-Kolkata-Vol5-Issue-1-July-2020.pdf#page=26</w:t>
        </w:r>
      </w:hyperlink>
    </w:p>
    <w:p w14:paraId="005B31C7"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Correani, A., De Massis, A., Frattini, F., Petruzzelli, A. M., &amp; Natalicchio, A. (2020). Implementing a digital strategy: Learning from the experience of three digital transformation projects. </w:t>
      </w:r>
      <w:r w:rsidRPr="00C3761A">
        <w:rPr>
          <w:rFonts w:ascii="Times New Roman" w:hAnsi="Times New Roman" w:cs="Times New Roman"/>
          <w:i/>
          <w:iCs/>
          <w:color w:val="222222"/>
          <w:sz w:val="24"/>
          <w:szCs w:val="24"/>
          <w:shd w:val="clear" w:color="auto" w:fill="FFFFFF"/>
        </w:rPr>
        <w:t>California Management Review</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62</w:t>
      </w:r>
      <w:r w:rsidRPr="00C3761A">
        <w:rPr>
          <w:rFonts w:ascii="Times New Roman" w:hAnsi="Times New Roman" w:cs="Times New Roman"/>
          <w:color w:val="222222"/>
          <w:sz w:val="24"/>
          <w:szCs w:val="24"/>
          <w:shd w:val="clear" w:color="auto" w:fill="FFFFFF"/>
        </w:rPr>
        <w:t>(4), 37-56.</w:t>
      </w:r>
      <w:r w:rsidRPr="00C3761A">
        <w:rPr>
          <w:rFonts w:ascii="Times New Roman" w:hAnsi="Times New Roman" w:cs="Times New Roman"/>
          <w:sz w:val="24"/>
          <w:szCs w:val="24"/>
        </w:rPr>
        <w:t xml:space="preserve"> </w:t>
      </w:r>
      <w:hyperlink r:id="rId17" w:history="1">
        <w:r w:rsidRPr="00C3761A">
          <w:rPr>
            <w:rStyle w:val="Hyperlink"/>
            <w:rFonts w:ascii="Times New Roman" w:hAnsi="Times New Roman" w:cs="Times New Roman"/>
            <w:sz w:val="24"/>
            <w:szCs w:val="24"/>
            <w:shd w:val="clear" w:color="auto" w:fill="FFFFFF"/>
          </w:rPr>
          <w:t>https://journals.sagepub.com/doi/abs/10.1177/0008125620934864</w:t>
        </w:r>
      </w:hyperlink>
    </w:p>
    <w:p w14:paraId="45915AC9"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Fuertes, G., Alfaro, M., Vargas, M., Gutierrez, S., Ternero, R., &amp; Sabattin, J. (2020). Conceptual framework for the strategic management: a literature review—descriptive. </w:t>
      </w:r>
      <w:r w:rsidRPr="00C3761A">
        <w:rPr>
          <w:rFonts w:ascii="Times New Roman" w:hAnsi="Times New Roman" w:cs="Times New Roman"/>
          <w:i/>
          <w:iCs/>
          <w:color w:val="222222"/>
          <w:sz w:val="24"/>
          <w:szCs w:val="24"/>
          <w:shd w:val="clear" w:color="auto" w:fill="FFFFFF"/>
        </w:rPr>
        <w:t>Journal of Engineering</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2020</w:t>
      </w:r>
      <w:r w:rsidRPr="00C3761A">
        <w:rPr>
          <w:rFonts w:ascii="Times New Roman" w:hAnsi="Times New Roman" w:cs="Times New Roman"/>
          <w:color w:val="222222"/>
          <w:sz w:val="24"/>
          <w:szCs w:val="24"/>
          <w:shd w:val="clear" w:color="auto" w:fill="FFFFFF"/>
        </w:rPr>
        <w:t>, 1-21.</w:t>
      </w:r>
      <w:r w:rsidRPr="00C3761A">
        <w:rPr>
          <w:rFonts w:ascii="Times New Roman" w:hAnsi="Times New Roman" w:cs="Times New Roman"/>
          <w:sz w:val="24"/>
          <w:szCs w:val="24"/>
        </w:rPr>
        <w:t xml:space="preserve"> </w:t>
      </w:r>
      <w:hyperlink r:id="rId18" w:history="1">
        <w:r w:rsidRPr="00C3761A">
          <w:rPr>
            <w:rStyle w:val="Hyperlink"/>
            <w:rFonts w:ascii="Times New Roman" w:hAnsi="Times New Roman" w:cs="Times New Roman"/>
            <w:sz w:val="24"/>
            <w:szCs w:val="24"/>
            <w:shd w:val="clear" w:color="auto" w:fill="FFFFFF"/>
          </w:rPr>
          <w:t>https://www.hindawi.com/journals/JE/2020/6253013/</w:t>
        </w:r>
      </w:hyperlink>
    </w:p>
    <w:p w14:paraId="7454B366"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George, B., Walker, R. M., &amp; Monster, J. (2019). Does strategic planning improve organizational performance? A meta‐analysis. </w:t>
      </w:r>
      <w:r w:rsidRPr="00C3761A">
        <w:rPr>
          <w:rFonts w:ascii="Times New Roman" w:hAnsi="Times New Roman" w:cs="Times New Roman"/>
          <w:i/>
          <w:iCs/>
          <w:color w:val="222222"/>
          <w:sz w:val="24"/>
          <w:szCs w:val="24"/>
          <w:shd w:val="clear" w:color="auto" w:fill="FFFFFF"/>
        </w:rPr>
        <w:t>Public Administration Review</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79</w:t>
      </w:r>
      <w:r w:rsidRPr="00C3761A">
        <w:rPr>
          <w:rFonts w:ascii="Times New Roman" w:hAnsi="Times New Roman" w:cs="Times New Roman"/>
          <w:color w:val="222222"/>
          <w:sz w:val="24"/>
          <w:szCs w:val="24"/>
          <w:shd w:val="clear" w:color="auto" w:fill="FFFFFF"/>
        </w:rPr>
        <w:t>(6), 810-819.</w:t>
      </w:r>
      <w:r w:rsidRPr="00C3761A">
        <w:rPr>
          <w:rFonts w:ascii="Times New Roman" w:hAnsi="Times New Roman" w:cs="Times New Roman"/>
          <w:sz w:val="24"/>
          <w:szCs w:val="24"/>
        </w:rPr>
        <w:t xml:space="preserve"> </w:t>
      </w:r>
      <w:hyperlink r:id="rId19" w:history="1">
        <w:r w:rsidRPr="00C3761A">
          <w:rPr>
            <w:rStyle w:val="Hyperlink"/>
            <w:rFonts w:ascii="Times New Roman" w:hAnsi="Times New Roman" w:cs="Times New Roman"/>
            <w:sz w:val="24"/>
            <w:szCs w:val="24"/>
            <w:shd w:val="clear" w:color="auto" w:fill="FFFFFF"/>
          </w:rPr>
          <w:t>https://onlinelibrary.wiley.com/doi/abs/10.1111/puar.13104</w:t>
        </w:r>
      </w:hyperlink>
    </w:p>
    <w:p w14:paraId="70734B3C"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Grainger-Brown, J., &amp; Malekpour, S. (2019). Implementing the sustainable development goals: A review of strategic tools and frameworks available to organisations. </w:t>
      </w:r>
      <w:r w:rsidRPr="00C3761A">
        <w:rPr>
          <w:rFonts w:ascii="Times New Roman" w:hAnsi="Times New Roman" w:cs="Times New Roman"/>
          <w:i/>
          <w:iCs/>
          <w:color w:val="222222"/>
          <w:sz w:val="24"/>
          <w:szCs w:val="24"/>
          <w:shd w:val="clear" w:color="auto" w:fill="FFFFFF"/>
        </w:rPr>
        <w:t>Sustainability</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11</w:t>
      </w:r>
      <w:r w:rsidRPr="00C3761A">
        <w:rPr>
          <w:rFonts w:ascii="Times New Roman" w:hAnsi="Times New Roman" w:cs="Times New Roman"/>
          <w:color w:val="222222"/>
          <w:sz w:val="24"/>
          <w:szCs w:val="24"/>
          <w:shd w:val="clear" w:color="auto" w:fill="FFFFFF"/>
        </w:rPr>
        <w:t>(5), 1381.</w:t>
      </w:r>
      <w:r w:rsidRPr="00C3761A">
        <w:rPr>
          <w:rFonts w:ascii="Times New Roman" w:hAnsi="Times New Roman" w:cs="Times New Roman"/>
          <w:sz w:val="24"/>
          <w:szCs w:val="24"/>
        </w:rPr>
        <w:t xml:space="preserve"> </w:t>
      </w:r>
      <w:hyperlink r:id="rId20" w:history="1">
        <w:r w:rsidRPr="00C3761A">
          <w:rPr>
            <w:rStyle w:val="Hyperlink"/>
            <w:rFonts w:ascii="Times New Roman" w:hAnsi="Times New Roman" w:cs="Times New Roman"/>
            <w:sz w:val="24"/>
            <w:szCs w:val="24"/>
            <w:shd w:val="clear" w:color="auto" w:fill="FFFFFF"/>
          </w:rPr>
          <w:t>https://www.sciencedirect.com/science/article/pii/S0378720618303197</w:t>
        </w:r>
      </w:hyperlink>
    </w:p>
    <w:p w14:paraId="121A2E51"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Grillitsch, M., Hansen, T., Coenen, L., Miörner, J., &amp; Moodysson, J. (2019). Innovation policy for system-wide transformation: The case of strategic innovation programmes (SIPs) in Sweden. </w:t>
      </w:r>
      <w:r w:rsidRPr="00C3761A">
        <w:rPr>
          <w:rFonts w:ascii="Times New Roman" w:hAnsi="Times New Roman" w:cs="Times New Roman"/>
          <w:i/>
          <w:iCs/>
          <w:color w:val="222222"/>
          <w:sz w:val="24"/>
          <w:szCs w:val="24"/>
          <w:shd w:val="clear" w:color="auto" w:fill="FFFFFF"/>
        </w:rPr>
        <w:t>Research Policy</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48</w:t>
      </w:r>
      <w:r w:rsidRPr="00C3761A">
        <w:rPr>
          <w:rFonts w:ascii="Times New Roman" w:hAnsi="Times New Roman" w:cs="Times New Roman"/>
          <w:color w:val="222222"/>
          <w:sz w:val="24"/>
          <w:szCs w:val="24"/>
          <w:shd w:val="clear" w:color="auto" w:fill="FFFFFF"/>
        </w:rPr>
        <w:t>(4), 1048-1061.</w:t>
      </w:r>
      <w:r w:rsidRPr="00C3761A">
        <w:rPr>
          <w:rFonts w:ascii="Times New Roman" w:hAnsi="Times New Roman" w:cs="Times New Roman"/>
          <w:sz w:val="24"/>
          <w:szCs w:val="24"/>
        </w:rPr>
        <w:t xml:space="preserve"> </w:t>
      </w:r>
      <w:hyperlink r:id="rId21" w:history="1">
        <w:r w:rsidRPr="00C3761A">
          <w:rPr>
            <w:rStyle w:val="Hyperlink"/>
            <w:rFonts w:ascii="Times New Roman" w:hAnsi="Times New Roman" w:cs="Times New Roman"/>
            <w:sz w:val="24"/>
            <w:szCs w:val="24"/>
            <w:shd w:val="clear" w:color="auto" w:fill="FFFFFF"/>
          </w:rPr>
          <w:t>https://www.sciencedirect.com/science/article/pii/S0048733318302361</w:t>
        </w:r>
      </w:hyperlink>
    </w:p>
    <w:p w14:paraId="116F9419"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Jintana, J., Sopadang, A., &amp; Ramingwong, S. (2021). Idea selection of new service for courier business: The opportunity of data analytics. </w:t>
      </w:r>
      <w:r w:rsidRPr="00C3761A">
        <w:rPr>
          <w:rFonts w:ascii="Times New Roman" w:hAnsi="Times New Roman" w:cs="Times New Roman"/>
          <w:i/>
          <w:iCs/>
          <w:color w:val="222222"/>
          <w:sz w:val="24"/>
          <w:szCs w:val="24"/>
          <w:shd w:val="clear" w:color="auto" w:fill="FFFFFF"/>
        </w:rPr>
        <w:t>International Journal of Engineering Business Management</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13</w:t>
      </w:r>
      <w:r w:rsidRPr="00C3761A">
        <w:rPr>
          <w:rFonts w:ascii="Times New Roman" w:hAnsi="Times New Roman" w:cs="Times New Roman"/>
          <w:color w:val="222222"/>
          <w:sz w:val="24"/>
          <w:szCs w:val="24"/>
          <w:shd w:val="clear" w:color="auto" w:fill="FFFFFF"/>
        </w:rPr>
        <w:t>, 18479790211042191.</w:t>
      </w:r>
      <w:r w:rsidRPr="00C3761A">
        <w:rPr>
          <w:rFonts w:ascii="Times New Roman" w:hAnsi="Times New Roman" w:cs="Times New Roman"/>
          <w:sz w:val="24"/>
          <w:szCs w:val="24"/>
        </w:rPr>
        <w:t xml:space="preserve"> </w:t>
      </w:r>
      <w:hyperlink r:id="rId22" w:history="1">
        <w:r w:rsidRPr="00C3761A">
          <w:rPr>
            <w:rStyle w:val="Hyperlink"/>
            <w:rFonts w:ascii="Times New Roman" w:hAnsi="Times New Roman" w:cs="Times New Roman"/>
            <w:sz w:val="24"/>
            <w:szCs w:val="24"/>
            <w:shd w:val="clear" w:color="auto" w:fill="FFFFFF"/>
          </w:rPr>
          <w:t>https://journals.sagepub.com/doi/abs/10.1177/18479790211042191</w:t>
        </w:r>
      </w:hyperlink>
    </w:p>
    <w:p w14:paraId="00913F2E"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lastRenderedPageBreak/>
        <w:t>Johnsen, Å. (2023). Strategic planning in turbulent times: Still useful?. </w:t>
      </w:r>
      <w:r w:rsidRPr="00C3761A">
        <w:rPr>
          <w:rFonts w:ascii="Times New Roman" w:hAnsi="Times New Roman" w:cs="Times New Roman"/>
          <w:i/>
          <w:iCs/>
          <w:color w:val="222222"/>
          <w:sz w:val="24"/>
          <w:szCs w:val="24"/>
          <w:shd w:val="clear" w:color="auto" w:fill="FFFFFF"/>
        </w:rPr>
        <w:t>Public Policy and Administration</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38</w:t>
      </w:r>
      <w:r w:rsidRPr="00C3761A">
        <w:rPr>
          <w:rFonts w:ascii="Times New Roman" w:hAnsi="Times New Roman" w:cs="Times New Roman"/>
          <w:color w:val="222222"/>
          <w:sz w:val="24"/>
          <w:szCs w:val="24"/>
          <w:shd w:val="clear" w:color="auto" w:fill="FFFFFF"/>
        </w:rPr>
        <w:t>(4), 445-465.</w:t>
      </w:r>
      <w:r w:rsidRPr="00C3761A">
        <w:rPr>
          <w:rFonts w:ascii="Times New Roman" w:hAnsi="Times New Roman" w:cs="Times New Roman"/>
          <w:sz w:val="24"/>
          <w:szCs w:val="24"/>
        </w:rPr>
        <w:t xml:space="preserve"> </w:t>
      </w:r>
      <w:hyperlink r:id="rId23" w:history="1">
        <w:r w:rsidRPr="00C3761A">
          <w:rPr>
            <w:rStyle w:val="Hyperlink"/>
            <w:rFonts w:ascii="Times New Roman" w:hAnsi="Times New Roman" w:cs="Times New Roman"/>
            <w:sz w:val="24"/>
            <w:szCs w:val="24"/>
            <w:shd w:val="clear" w:color="auto" w:fill="FFFFFF"/>
          </w:rPr>
          <w:t>https://journals.sagepub.com/doi/abs/10.1177/09520767221080668</w:t>
        </w:r>
      </w:hyperlink>
    </w:p>
    <w:p w14:paraId="5F316EBF"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Kabeyi, M. (2019). Organizational strategic planning, implementation and evaluation with analysis of challenges and benefits. </w:t>
      </w:r>
      <w:r w:rsidRPr="00C3761A">
        <w:rPr>
          <w:rFonts w:ascii="Times New Roman" w:hAnsi="Times New Roman" w:cs="Times New Roman"/>
          <w:i/>
          <w:iCs/>
          <w:color w:val="222222"/>
          <w:sz w:val="24"/>
          <w:szCs w:val="24"/>
          <w:shd w:val="clear" w:color="auto" w:fill="FFFFFF"/>
        </w:rPr>
        <w:t>International Journal of Applied Research and Studies</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5</w:t>
      </w:r>
      <w:r w:rsidRPr="00C3761A">
        <w:rPr>
          <w:rFonts w:ascii="Times New Roman" w:hAnsi="Times New Roman" w:cs="Times New Roman"/>
          <w:color w:val="222222"/>
          <w:sz w:val="24"/>
          <w:szCs w:val="24"/>
          <w:shd w:val="clear" w:color="auto" w:fill="FFFFFF"/>
        </w:rPr>
        <w:t>(6), 27-32.</w:t>
      </w:r>
      <w:r w:rsidRPr="00C3761A">
        <w:rPr>
          <w:rFonts w:ascii="Times New Roman" w:hAnsi="Times New Roman" w:cs="Times New Roman"/>
          <w:sz w:val="24"/>
          <w:szCs w:val="24"/>
        </w:rPr>
        <w:t xml:space="preserve"> </w:t>
      </w:r>
      <w:hyperlink r:id="rId24" w:history="1">
        <w:r w:rsidRPr="00C3761A">
          <w:rPr>
            <w:rStyle w:val="Hyperlink"/>
            <w:rFonts w:ascii="Times New Roman" w:hAnsi="Times New Roman" w:cs="Times New Roman"/>
            <w:sz w:val="24"/>
            <w:szCs w:val="24"/>
            <w:shd w:val="clear" w:color="auto" w:fill="FFFFFF"/>
          </w:rPr>
          <w:t>https://www.researchgate.net/profile/Moses-Kabeyi/publication/333641646_Organizational_strategic_planning_implementation_and_evaluation_with_analysis_of_challenges_and_benefits_for_profit_and_nonprofit_organizations/links/5cf8cd864585153c3db745b8/Organizational-strategic-planning-implementation-and-evaluation-with-analysis-of-challenges-and-benefits-for-profit-and-nonprofit-organizations.pdf</w:t>
        </w:r>
      </w:hyperlink>
    </w:p>
    <w:p w14:paraId="06728795"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Kaura, A., Hussain, S., Gavinolla, M. R., &amp; Mohanty, P. (2022, April). Reorienting teaching dynamics of culinary education with sustainability. In </w:t>
      </w:r>
      <w:r w:rsidRPr="00C3761A">
        <w:rPr>
          <w:rFonts w:ascii="Times New Roman" w:hAnsi="Times New Roman" w:cs="Times New Roman"/>
          <w:i/>
          <w:iCs/>
          <w:color w:val="222222"/>
          <w:sz w:val="24"/>
          <w:szCs w:val="24"/>
          <w:shd w:val="clear" w:color="auto" w:fill="FFFFFF"/>
        </w:rPr>
        <w:t>Proceedings of the Society. Techonology. Solutions: The International Scientific Conference, Valmiera, Latvia</w:t>
      </w:r>
      <w:r w:rsidRPr="00C3761A">
        <w:rPr>
          <w:rFonts w:ascii="Times New Roman" w:hAnsi="Times New Roman" w:cs="Times New Roman"/>
          <w:color w:val="222222"/>
          <w:sz w:val="24"/>
          <w:szCs w:val="24"/>
          <w:shd w:val="clear" w:color="auto" w:fill="FFFFFF"/>
        </w:rPr>
        <w:t> (Vol. 8).</w:t>
      </w:r>
      <w:r w:rsidRPr="00C3761A">
        <w:rPr>
          <w:rFonts w:ascii="Times New Roman" w:hAnsi="Times New Roman" w:cs="Times New Roman"/>
          <w:sz w:val="24"/>
          <w:szCs w:val="24"/>
        </w:rPr>
        <w:t xml:space="preserve"> </w:t>
      </w:r>
      <w:hyperlink r:id="rId25" w:history="1">
        <w:r w:rsidRPr="00C3761A">
          <w:rPr>
            <w:rStyle w:val="Hyperlink"/>
            <w:rFonts w:ascii="Times New Roman" w:hAnsi="Times New Roman" w:cs="Times New Roman"/>
            <w:sz w:val="24"/>
            <w:szCs w:val="24"/>
            <w:shd w:val="clear" w:color="auto" w:fill="FFFFFF"/>
          </w:rPr>
          <w:t>https://www.mdpi.com/2071-1050/11/5/1222</w:t>
        </w:r>
      </w:hyperlink>
    </w:p>
    <w:p w14:paraId="72C8172C"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Khajezadeh, M., Niasar, M. S. F., Asli, S. A., Davari, D. D., Godarzi, M., &amp; Asgari, Y. (2019). Application of neural network in portfolio product companies: Integration of Boston Consulting Group Matrix and Ansoff Matrix. </w:t>
      </w:r>
      <w:r w:rsidRPr="00C3761A">
        <w:rPr>
          <w:rFonts w:ascii="Times New Roman" w:hAnsi="Times New Roman" w:cs="Times New Roman"/>
          <w:i/>
          <w:iCs/>
          <w:color w:val="222222"/>
          <w:sz w:val="24"/>
          <w:szCs w:val="24"/>
          <w:shd w:val="clear" w:color="auto" w:fill="FFFFFF"/>
        </w:rPr>
        <w:t>International Journal of Economics and Management Engineering</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13</w:t>
      </w:r>
      <w:r w:rsidRPr="00C3761A">
        <w:rPr>
          <w:rFonts w:ascii="Times New Roman" w:hAnsi="Times New Roman" w:cs="Times New Roman"/>
          <w:color w:val="222222"/>
          <w:sz w:val="24"/>
          <w:szCs w:val="24"/>
          <w:shd w:val="clear" w:color="auto" w:fill="FFFFFF"/>
        </w:rPr>
        <w:t>(6), 821-825.</w:t>
      </w:r>
      <w:r w:rsidRPr="00C3761A">
        <w:rPr>
          <w:rFonts w:ascii="Times New Roman" w:hAnsi="Times New Roman" w:cs="Times New Roman"/>
          <w:sz w:val="24"/>
          <w:szCs w:val="24"/>
        </w:rPr>
        <w:t xml:space="preserve"> </w:t>
      </w:r>
      <w:hyperlink r:id="rId26" w:history="1">
        <w:r w:rsidRPr="00C3761A">
          <w:rPr>
            <w:rStyle w:val="Hyperlink"/>
            <w:rFonts w:ascii="Times New Roman" w:hAnsi="Times New Roman" w:cs="Times New Roman"/>
            <w:sz w:val="24"/>
            <w:szCs w:val="24"/>
            <w:shd w:val="clear" w:color="auto" w:fill="FFFFFF"/>
          </w:rPr>
          <w:t>https://www.researchgate.net/profile/Sali-Asli/publication/360928851_Application_of_neural_network_in_portfolio_product_companies_Integration_of_Boston_Consulting_Group_matrix_and_Ansoff_matrix/links/629340546886635d5cad0cbf/Application-of-neural-network-in-portfolio-product-companies-Integration-of-Boston-Consulting-Group-matrix-and-Ansoff-matrix.pdf</w:t>
        </w:r>
      </w:hyperlink>
    </w:p>
    <w:p w14:paraId="012DEE19"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Kukartsev, V. V., Fedorova, N. V., Tynchenko, V. S., Danilchenko, Y. V., Eremeev, D. V., &amp; Boyko, A. A. (2019, August). The analysis of methods for developing the marketing strategies in agribusiness. In </w:t>
      </w:r>
      <w:r w:rsidRPr="00C3761A">
        <w:rPr>
          <w:rFonts w:ascii="Times New Roman" w:hAnsi="Times New Roman" w:cs="Times New Roman"/>
          <w:i/>
          <w:iCs/>
          <w:color w:val="222222"/>
          <w:sz w:val="24"/>
          <w:szCs w:val="24"/>
          <w:shd w:val="clear" w:color="auto" w:fill="FFFFFF"/>
        </w:rPr>
        <w:t>IOP Conference Series: Earth and Environmental Science</w:t>
      </w:r>
      <w:r w:rsidRPr="00C3761A">
        <w:rPr>
          <w:rFonts w:ascii="Times New Roman" w:hAnsi="Times New Roman" w:cs="Times New Roman"/>
          <w:color w:val="222222"/>
          <w:sz w:val="24"/>
          <w:szCs w:val="24"/>
          <w:shd w:val="clear" w:color="auto" w:fill="FFFFFF"/>
        </w:rPr>
        <w:t> (Vol. 315, No. 2, p. 022107). IOP Publishing.</w:t>
      </w:r>
      <w:r w:rsidRPr="00C3761A">
        <w:rPr>
          <w:rFonts w:ascii="Times New Roman" w:hAnsi="Times New Roman" w:cs="Times New Roman"/>
          <w:sz w:val="24"/>
          <w:szCs w:val="24"/>
        </w:rPr>
        <w:t xml:space="preserve"> </w:t>
      </w:r>
      <w:hyperlink r:id="rId27" w:history="1">
        <w:r w:rsidRPr="00C3761A">
          <w:rPr>
            <w:rStyle w:val="Hyperlink"/>
            <w:rFonts w:ascii="Times New Roman" w:hAnsi="Times New Roman" w:cs="Times New Roman"/>
            <w:sz w:val="24"/>
            <w:szCs w:val="24"/>
            <w:shd w:val="clear" w:color="auto" w:fill="FFFFFF"/>
          </w:rPr>
          <w:t>https://iopscience.iop.org/article/10.1088/1755-1315/315/2/022107/meta</w:t>
        </w:r>
      </w:hyperlink>
    </w:p>
    <w:p w14:paraId="5A13D2FA"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Kumer, P., Pipan, P., Hribar, M. Š., &amp; Visković, N. R. (2019). The role of actors’ cooperation, local anchoring and innovation in creating culinary tourism experiences in the rural Slovenian Mediterranean. </w:t>
      </w:r>
      <w:r w:rsidRPr="00C3761A">
        <w:rPr>
          <w:rFonts w:ascii="Times New Roman" w:hAnsi="Times New Roman" w:cs="Times New Roman"/>
          <w:i/>
          <w:iCs/>
          <w:color w:val="222222"/>
          <w:sz w:val="24"/>
          <w:szCs w:val="24"/>
          <w:shd w:val="clear" w:color="auto" w:fill="FFFFFF"/>
        </w:rPr>
        <w:t>Geografski vestnik</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91</w:t>
      </w:r>
      <w:r w:rsidRPr="00C3761A">
        <w:rPr>
          <w:rFonts w:ascii="Times New Roman" w:hAnsi="Times New Roman" w:cs="Times New Roman"/>
          <w:color w:val="222222"/>
          <w:sz w:val="24"/>
          <w:szCs w:val="24"/>
          <w:shd w:val="clear" w:color="auto" w:fill="FFFFFF"/>
        </w:rPr>
        <w:t>(2).</w:t>
      </w:r>
      <w:r w:rsidRPr="00C3761A">
        <w:rPr>
          <w:rFonts w:ascii="Times New Roman" w:hAnsi="Times New Roman" w:cs="Times New Roman"/>
          <w:sz w:val="24"/>
          <w:szCs w:val="24"/>
        </w:rPr>
        <w:t xml:space="preserve"> </w:t>
      </w:r>
      <w:hyperlink r:id="rId28" w:history="1">
        <w:r w:rsidRPr="00C3761A">
          <w:rPr>
            <w:rStyle w:val="Hyperlink"/>
            <w:rFonts w:ascii="Times New Roman" w:hAnsi="Times New Roman" w:cs="Times New Roman"/>
            <w:sz w:val="24"/>
            <w:szCs w:val="24"/>
            <w:shd w:val="clear" w:color="auto" w:fill="FFFFFF"/>
          </w:rPr>
          <w:t>https://ojs-gr.zrc-sazu.si/gv/article/view/7965</w:t>
        </w:r>
      </w:hyperlink>
    </w:p>
    <w:p w14:paraId="4591ACDE"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lastRenderedPageBreak/>
        <w:t>Kurniawan, D., Iswahyudin, M. D., &amp; Suciati, T. R. (2020). SWOT Analysis and Ansoff Matrix in Creative Food Industry Business Development: A Study on Creative Food Business “Komala”. </w:t>
      </w:r>
      <w:r w:rsidRPr="00C3761A">
        <w:rPr>
          <w:rFonts w:ascii="Times New Roman" w:hAnsi="Times New Roman" w:cs="Times New Roman"/>
          <w:i/>
          <w:iCs/>
          <w:color w:val="222222"/>
          <w:sz w:val="24"/>
          <w:szCs w:val="24"/>
          <w:shd w:val="clear" w:color="auto" w:fill="FFFFFF"/>
        </w:rPr>
        <w:t>Open Access Indonesia Journal of Social Sciences</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3</w:t>
      </w:r>
      <w:r w:rsidRPr="00C3761A">
        <w:rPr>
          <w:rFonts w:ascii="Times New Roman" w:hAnsi="Times New Roman" w:cs="Times New Roman"/>
          <w:color w:val="222222"/>
          <w:sz w:val="24"/>
          <w:szCs w:val="24"/>
          <w:shd w:val="clear" w:color="auto" w:fill="FFFFFF"/>
        </w:rPr>
        <w:t>(2), 128-136.</w:t>
      </w:r>
      <w:r w:rsidRPr="00C3761A">
        <w:rPr>
          <w:rFonts w:ascii="Times New Roman" w:hAnsi="Times New Roman" w:cs="Times New Roman"/>
          <w:sz w:val="24"/>
          <w:szCs w:val="24"/>
        </w:rPr>
        <w:t xml:space="preserve"> </w:t>
      </w:r>
      <w:hyperlink r:id="rId29" w:history="1">
        <w:r w:rsidRPr="00C3761A">
          <w:rPr>
            <w:rStyle w:val="Hyperlink"/>
            <w:rFonts w:ascii="Times New Roman" w:hAnsi="Times New Roman" w:cs="Times New Roman"/>
            <w:sz w:val="24"/>
            <w:szCs w:val="24"/>
            <w:shd w:val="clear" w:color="auto" w:fill="FFFFFF"/>
          </w:rPr>
          <w:t>http://www.journalsocialsciences.com/index.php/oaijss/article/view/30</w:t>
        </w:r>
      </w:hyperlink>
    </w:p>
    <w:p w14:paraId="00A1A31C"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Lee, S. M., &amp; Trimi, S. (2021). Convergence innovation in the digital age and in the COVID-19 pandemic crisis. </w:t>
      </w:r>
      <w:r w:rsidRPr="00C3761A">
        <w:rPr>
          <w:rFonts w:ascii="Times New Roman" w:hAnsi="Times New Roman" w:cs="Times New Roman"/>
          <w:i/>
          <w:iCs/>
          <w:color w:val="222222"/>
          <w:sz w:val="24"/>
          <w:szCs w:val="24"/>
          <w:shd w:val="clear" w:color="auto" w:fill="FFFFFF"/>
        </w:rPr>
        <w:t>Journal of Business Research</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123</w:t>
      </w:r>
      <w:r w:rsidRPr="00C3761A">
        <w:rPr>
          <w:rFonts w:ascii="Times New Roman" w:hAnsi="Times New Roman" w:cs="Times New Roman"/>
          <w:color w:val="222222"/>
          <w:sz w:val="24"/>
          <w:szCs w:val="24"/>
          <w:shd w:val="clear" w:color="auto" w:fill="FFFFFF"/>
        </w:rPr>
        <w:t>, 14-22.</w:t>
      </w:r>
      <w:r w:rsidRPr="00C3761A">
        <w:rPr>
          <w:rFonts w:ascii="Times New Roman" w:hAnsi="Times New Roman" w:cs="Times New Roman"/>
          <w:sz w:val="24"/>
          <w:szCs w:val="24"/>
        </w:rPr>
        <w:t xml:space="preserve"> </w:t>
      </w:r>
      <w:hyperlink r:id="rId30" w:history="1">
        <w:r w:rsidRPr="00C3761A">
          <w:rPr>
            <w:rStyle w:val="Hyperlink"/>
            <w:rFonts w:ascii="Times New Roman" w:hAnsi="Times New Roman" w:cs="Times New Roman"/>
            <w:sz w:val="24"/>
            <w:szCs w:val="24"/>
            <w:shd w:val="clear" w:color="auto" w:fill="FFFFFF"/>
          </w:rPr>
          <w:t>https://www.sciencedirect.com/science/article/pii/S0148296320306226</w:t>
        </w:r>
      </w:hyperlink>
    </w:p>
    <w:p w14:paraId="53FB1035"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Lennon, M. (2020). The revival of metropolitan planning. In </w:t>
      </w:r>
      <w:r w:rsidRPr="00C3761A">
        <w:rPr>
          <w:rFonts w:ascii="Times New Roman" w:hAnsi="Times New Roman" w:cs="Times New Roman"/>
          <w:i/>
          <w:iCs/>
          <w:color w:val="222222"/>
          <w:sz w:val="24"/>
          <w:szCs w:val="24"/>
          <w:shd w:val="clear" w:color="auto" w:fill="FFFFFF"/>
        </w:rPr>
        <w:t>Australian Metropolis</w:t>
      </w:r>
      <w:r w:rsidRPr="00C3761A">
        <w:rPr>
          <w:rFonts w:ascii="Times New Roman" w:hAnsi="Times New Roman" w:cs="Times New Roman"/>
          <w:color w:val="222222"/>
          <w:sz w:val="24"/>
          <w:szCs w:val="24"/>
          <w:shd w:val="clear" w:color="auto" w:fill="FFFFFF"/>
        </w:rPr>
        <w:t> (pp. 149-167). Routledge.</w:t>
      </w:r>
      <w:r w:rsidRPr="00C3761A">
        <w:rPr>
          <w:rFonts w:ascii="Times New Roman" w:hAnsi="Times New Roman" w:cs="Times New Roman"/>
          <w:sz w:val="24"/>
          <w:szCs w:val="24"/>
        </w:rPr>
        <w:t xml:space="preserve"> </w:t>
      </w:r>
      <w:hyperlink r:id="rId31" w:history="1">
        <w:r w:rsidRPr="00C3761A">
          <w:rPr>
            <w:rStyle w:val="Hyperlink"/>
            <w:rFonts w:ascii="Times New Roman" w:hAnsi="Times New Roman" w:cs="Times New Roman"/>
            <w:sz w:val="24"/>
            <w:szCs w:val="24"/>
            <w:shd w:val="clear" w:color="auto" w:fill="FFFFFF"/>
          </w:rPr>
          <w:t>https://www.taylorfrancis.com/chapters/edit/10.4324/9780203362518-10/revival-metropolitan-planning-michael-lennon</w:t>
        </w:r>
      </w:hyperlink>
    </w:p>
    <w:p w14:paraId="61A9B372"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Lestari, S. D., Leon, F. M., Widyastuti, S., Brabo, N. A., &amp; Putra, A. H. P. K. (2020). Antecedents and consequences of innovation and business strategy on performance and competitive advantage of SMEs. </w:t>
      </w:r>
      <w:r w:rsidRPr="00C3761A">
        <w:rPr>
          <w:rFonts w:ascii="Times New Roman" w:hAnsi="Times New Roman" w:cs="Times New Roman"/>
          <w:i/>
          <w:iCs/>
          <w:color w:val="222222"/>
          <w:sz w:val="24"/>
          <w:szCs w:val="24"/>
          <w:shd w:val="clear" w:color="auto" w:fill="FFFFFF"/>
        </w:rPr>
        <w:t>The Journal of Asian Finance, Economics and Business</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7</w:t>
      </w:r>
      <w:r w:rsidRPr="00C3761A">
        <w:rPr>
          <w:rFonts w:ascii="Times New Roman" w:hAnsi="Times New Roman" w:cs="Times New Roman"/>
          <w:color w:val="222222"/>
          <w:sz w:val="24"/>
          <w:szCs w:val="24"/>
          <w:shd w:val="clear" w:color="auto" w:fill="FFFFFF"/>
        </w:rPr>
        <w:t>(6), 365-378.</w:t>
      </w:r>
      <w:r w:rsidRPr="00C3761A">
        <w:rPr>
          <w:rFonts w:ascii="Times New Roman" w:hAnsi="Times New Roman" w:cs="Times New Roman"/>
          <w:sz w:val="24"/>
          <w:szCs w:val="24"/>
        </w:rPr>
        <w:t xml:space="preserve"> </w:t>
      </w:r>
      <w:hyperlink r:id="rId32" w:history="1">
        <w:r w:rsidRPr="00C3761A">
          <w:rPr>
            <w:rStyle w:val="Hyperlink"/>
            <w:rFonts w:ascii="Times New Roman" w:hAnsi="Times New Roman" w:cs="Times New Roman"/>
            <w:sz w:val="24"/>
            <w:szCs w:val="24"/>
            <w:shd w:val="clear" w:color="auto" w:fill="FFFFFF"/>
          </w:rPr>
          <w:t>https://koreascience.kr/article/JAKO202017764018182.page</w:t>
        </w:r>
      </w:hyperlink>
    </w:p>
    <w:p w14:paraId="4655FAD3"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Luo, Q., Miao, C., Sun, L., Meng, X., &amp; Duan, M. (2019). Efficiency evaluation of green technology innovation of China's strategic emerging industries: An empirical analysis based on Malmquist-data envelopment analysis index. </w:t>
      </w:r>
      <w:r w:rsidRPr="00C3761A">
        <w:rPr>
          <w:rFonts w:ascii="Times New Roman" w:hAnsi="Times New Roman" w:cs="Times New Roman"/>
          <w:i/>
          <w:iCs/>
          <w:color w:val="222222"/>
          <w:sz w:val="24"/>
          <w:szCs w:val="24"/>
          <w:shd w:val="clear" w:color="auto" w:fill="FFFFFF"/>
        </w:rPr>
        <w:t>Journal of Cleaner Production</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238</w:t>
      </w:r>
      <w:r w:rsidRPr="00C3761A">
        <w:rPr>
          <w:rFonts w:ascii="Times New Roman" w:hAnsi="Times New Roman" w:cs="Times New Roman"/>
          <w:color w:val="222222"/>
          <w:sz w:val="24"/>
          <w:szCs w:val="24"/>
          <w:shd w:val="clear" w:color="auto" w:fill="FFFFFF"/>
        </w:rPr>
        <w:t>, 117782.</w:t>
      </w:r>
      <w:r w:rsidRPr="00C3761A">
        <w:rPr>
          <w:rFonts w:ascii="Times New Roman" w:hAnsi="Times New Roman" w:cs="Times New Roman"/>
          <w:sz w:val="24"/>
          <w:szCs w:val="24"/>
        </w:rPr>
        <w:t xml:space="preserve"> </w:t>
      </w:r>
      <w:hyperlink r:id="rId33" w:history="1">
        <w:r w:rsidRPr="00C3761A">
          <w:rPr>
            <w:rStyle w:val="Hyperlink"/>
            <w:rFonts w:ascii="Times New Roman" w:hAnsi="Times New Roman" w:cs="Times New Roman"/>
            <w:sz w:val="24"/>
            <w:szCs w:val="24"/>
            <w:shd w:val="clear" w:color="auto" w:fill="FFFFFF"/>
          </w:rPr>
          <w:t>https://ieeexplore.ieee.org/abstract/document/8726152/</w:t>
        </w:r>
      </w:hyperlink>
    </w:p>
    <w:p w14:paraId="6B844565"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Mrusek, N., Ottenbacher, M. C., &amp; Harrington, R. J. (2021). The impact of sustainability and leadership on the innovation management of Michelin-starred chefs. </w:t>
      </w:r>
      <w:r w:rsidRPr="00C3761A">
        <w:rPr>
          <w:rFonts w:ascii="Times New Roman" w:hAnsi="Times New Roman" w:cs="Times New Roman"/>
          <w:i/>
          <w:iCs/>
          <w:color w:val="222222"/>
          <w:sz w:val="24"/>
          <w:szCs w:val="24"/>
          <w:shd w:val="clear" w:color="auto" w:fill="FFFFFF"/>
        </w:rPr>
        <w:t>Sustainability</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14</w:t>
      </w:r>
      <w:r w:rsidRPr="00C3761A">
        <w:rPr>
          <w:rFonts w:ascii="Times New Roman" w:hAnsi="Times New Roman" w:cs="Times New Roman"/>
          <w:color w:val="222222"/>
          <w:sz w:val="24"/>
          <w:szCs w:val="24"/>
          <w:shd w:val="clear" w:color="auto" w:fill="FFFFFF"/>
        </w:rPr>
        <w:t>(1), 330.</w:t>
      </w:r>
      <w:r w:rsidRPr="00C3761A">
        <w:rPr>
          <w:rFonts w:ascii="Times New Roman" w:hAnsi="Times New Roman" w:cs="Times New Roman"/>
          <w:sz w:val="24"/>
          <w:szCs w:val="24"/>
        </w:rPr>
        <w:t xml:space="preserve"> </w:t>
      </w:r>
      <w:hyperlink r:id="rId34" w:history="1">
        <w:r w:rsidRPr="00C3761A">
          <w:rPr>
            <w:rStyle w:val="Hyperlink"/>
            <w:rFonts w:ascii="Times New Roman" w:hAnsi="Times New Roman" w:cs="Times New Roman"/>
            <w:sz w:val="24"/>
            <w:szCs w:val="24"/>
            <w:shd w:val="clear" w:color="auto" w:fill="FFFFFF"/>
          </w:rPr>
          <w:t>https://www.mdpi.com/2071-1050/14/1/330</w:t>
        </w:r>
      </w:hyperlink>
    </w:p>
    <w:p w14:paraId="4C671E3D"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Peng, X. (2020). Strategic interaction of environmental regulation and green productivity growth in China: green innovation or pollution refuge?. </w:t>
      </w:r>
      <w:r w:rsidRPr="00C3761A">
        <w:rPr>
          <w:rFonts w:ascii="Times New Roman" w:hAnsi="Times New Roman" w:cs="Times New Roman"/>
          <w:i/>
          <w:iCs/>
          <w:color w:val="222222"/>
          <w:sz w:val="24"/>
          <w:szCs w:val="24"/>
          <w:shd w:val="clear" w:color="auto" w:fill="FFFFFF"/>
        </w:rPr>
        <w:t>Science of the total environment</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732</w:t>
      </w:r>
      <w:r w:rsidRPr="00C3761A">
        <w:rPr>
          <w:rFonts w:ascii="Times New Roman" w:hAnsi="Times New Roman" w:cs="Times New Roman"/>
          <w:color w:val="222222"/>
          <w:sz w:val="24"/>
          <w:szCs w:val="24"/>
          <w:shd w:val="clear" w:color="auto" w:fill="FFFFFF"/>
        </w:rPr>
        <w:t>, 139200.</w:t>
      </w:r>
      <w:r w:rsidRPr="00C3761A">
        <w:rPr>
          <w:rFonts w:ascii="Times New Roman" w:hAnsi="Times New Roman" w:cs="Times New Roman"/>
          <w:sz w:val="24"/>
          <w:szCs w:val="24"/>
        </w:rPr>
        <w:t xml:space="preserve"> </w:t>
      </w:r>
      <w:hyperlink r:id="rId35" w:history="1">
        <w:r w:rsidRPr="00C3761A">
          <w:rPr>
            <w:rStyle w:val="Hyperlink"/>
            <w:rFonts w:ascii="Times New Roman" w:hAnsi="Times New Roman" w:cs="Times New Roman"/>
            <w:sz w:val="24"/>
            <w:szCs w:val="24"/>
            <w:shd w:val="clear" w:color="auto" w:fill="FFFFFF"/>
          </w:rPr>
          <w:t>https://www.sciencedirect.com/science/article/pii/S0048969720327170</w:t>
        </w:r>
      </w:hyperlink>
    </w:p>
    <w:p w14:paraId="2AFFEF64"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Pereira, L. M., Calderón-Contreras, R., Norström, A. V., Espinosa, D., Willis, J., Lara, L. G., ... &amp; Amaya, O. P. (2019). Chefs as change-makers from the kitchen: indigenous knowledge and traditional food as sustainability innovations. </w:t>
      </w:r>
      <w:r w:rsidRPr="00C3761A">
        <w:rPr>
          <w:rFonts w:ascii="Times New Roman" w:hAnsi="Times New Roman" w:cs="Times New Roman"/>
          <w:i/>
          <w:iCs/>
          <w:color w:val="222222"/>
          <w:sz w:val="24"/>
          <w:szCs w:val="24"/>
          <w:shd w:val="clear" w:color="auto" w:fill="FFFFFF"/>
        </w:rPr>
        <w:t>Global Sustainability</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2</w:t>
      </w:r>
      <w:r w:rsidRPr="00C3761A">
        <w:rPr>
          <w:rFonts w:ascii="Times New Roman" w:hAnsi="Times New Roman" w:cs="Times New Roman"/>
          <w:color w:val="222222"/>
          <w:sz w:val="24"/>
          <w:szCs w:val="24"/>
          <w:shd w:val="clear" w:color="auto" w:fill="FFFFFF"/>
        </w:rPr>
        <w:t>, e16.</w:t>
      </w:r>
      <w:r w:rsidRPr="00C3761A">
        <w:rPr>
          <w:rFonts w:ascii="Times New Roman" w:hAnsi="Times New Roman" w:cs="Times New Roman"/>
          <w:sz w:val="24"/>
          <w:szCs w:val="24"/>
        </w:rPr>
        <w:t xml:space="preserve"> </w:t>
      </w:r>
      <w:hyperlink r:id="rId36" w:history="1">
        <w:r w:rsidRPr="00C3761A">
          <w:rPr>
            <w:rStyle w:val="Hyperlink"/>
            <w:rFonts w:ascii="Times New Roman" w:hAnsi="Times New Roman" w:cs="Times New Roman"/>
            <w:sz w:val="24"/>
            <w:szCs w:val="24"/>
            <w:shd w:val="clear" w:color="auto" w:fill="FFFFFF"/>
          </w:rPr>
          <w:t>https://www.cambridge.org/core/journals/global-sustainability/article/chefs-as-</w:t>
        </w:r>
        <w:r w:rsidRPr="00C3761A">
          <w:rPr>
            <w:rStyle w:val="Hyperlink"/>
            <w:rFonts w:ascii="Times New Roman" w:hAnsi="Times New Roman" w:cs="Times New Roman"/>
            <w:sz w:val="24"/>
            <w:szCs w:val="24"/>
            <w:shd w:val="clear" w:color="auto" w:fill="FFFFFF"/>
          </w:rPr>
          <w:lastRenderedPageBreak/>
          <w:t>changemakers-from-the-kitchen-indigenous-knowledge-and-traditional-food-as-sustainability-innovations/BC5432F0419FB0929D7E5C175AE51F62</w:t>
        </w:r>
      </w:hyperlink>
    </w:p>
    <w:p w14:paraId="378F9204"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Petricevic, O., &amp; Teece, D. J. (2019). The structural reshaping of globalization: Implications for strategic sectors, profiting from innovation, and the multinational enterprise. </w:t>
      </w:r>
      <w:r w:rsidRPr="00C3761A">
        <w:rPr>
          <w:rFonts w:ascii="Times New Roman" w:hAnsi="Times New Roman" w:cs="Times New Roman"/>
          <w:i/>
          <w:iCs/>
          <w:color w:val="222222"/>
          <w:sz w:val="24"/>
          <w:szCs w:val="24"/>
          <w:shd w:val="clear" w:color="auto" w:fill="FFFFFF"/>
        </w:rPr>
        <w:t>Journal of International Business Studies</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50</w:t>
      </w:r>
      <w:r w:rsidRPr="00C3761A">
        <w:rPr>
          <w:rFonts w:ascii="Times New Roman" w:hAnsi="Times New Roman" w:cs="Times New Roman"/>
          <w:color w:val="222222"/>
          <w:sz w:val="24"/>
          <w:szCs w:val="24"/>
          <w:shd w:val="clear" w:color="auto" w:fill="FFFFFF"/>
        </w:rPr>
        <w:t>, 1487-1512.</w:t>
      </w:r>
      <w:r w:rsidRPr="00C3761A">
        <w:rPr>
          <w:rFonts w:ascii="Times New Roman" w:hAnsi="Times New Roman" w:cs="Times New Roman"/>
          <w:sz w:val="24"/>
          <w:szCs w:val="24"/>
        </w:rPr>
        <w:t xml:space="preserve"> </w:t>
      </w:r>
      <w:hyperlink r:id="rId37" w:history="1">
        <w:r w:rsidRPr="00C3761A">
          <w:rPr>
            <w:rStyle w:val="Hyperlink"/>
            <w:rFonts w:ascii="Times New Roman" w:hAnsi="Times New Roman" w:cs="Times New Roman"/>
            <w:sz w:val="24"/>
            <w:szCs w:val="24"/>
            <w:shd w:val="clear" w:color="auto" w:fill="FFFFFF"/>
          </w:rPr>
          <w:t>https://link.springer.com/article/10.1057/s41267-019-00269-x</w:t>
        </w:r>
      </w:hyperlink>
    </w:p>
    <w:p w14:paraId="19E17042"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Ritala, P., Baiyere, A., Hughes, M., &amp; Kraus, S. (2021). Digital strategy implementation: The role of individual entrepreneurial orientation and relational capital. </w:t>
      </w:r>
      <w:r w:rsidRPr="00C3761A">
        <w:rPr>
          <w:rFonts w:ascii="Times New Roman" w:hAnsi="Times New Roman" w:cs="Times New Roman"/>
          <w:i/>
          <w:iCs/>
          <w:color w:val="222222"/>
          <w:sz w:val="24"/>
          <w:szCs w:val="24"/>
          <w:shd w:val="clear" w:color="auto" w:fill="FFFFFF"/>
        </w:rPr>
        <w:t>Technological Forecasting and Social Change</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171</w:t>
      </w:r>
      <w:r w:rsidRPr="00C3761A">
        <w:rPr>
          <w:rFonts w:ascii="Times New Roman" w:hAnsi="Times New Roman" w:cs="Times New Roman"/>
          <w:color w:val="222222"/>
          <w:sz w:val="24"/>
          <w:szCs w:val="24"/>
          <w:shd w:val="clear" w:color="auto" w:fill="FFFFFF"/>
        </w:rPr>
        <w:t>, 120961.</w:t>
      </w:r>
      <w:r w:rsidRPr="00C3761A">
        <w:rPr>
          <w:rFonts w:ascii="Times New Roman" w:hAnsi="Times New Roman" w:cs="Times New Roman"/>
          <w:sz w:val="24"/>
          <w:szCs w:val="24"/>
        </w:rPr>
        <w:t xml:space="preserve"> </w:t>
      </w:r>
      <w:hyperlink r:id="rId38" w:history="1">
        <w:r w:rsidRPr="00C3761A">
          <w:rPr>
            <w:rStyle w:val="Hyperlink"/>
            <w:rFonts w:ascii="Times New Roman" w:hAnsi="Times New Roman" w:cs="Times New Roman"/>
            <w:sz w:val="24"/>
            <w:szCs w:val="24"/>
            <w:shd w:val="clear" w:color="auto" w:fill="FFFFFF"/>
          </w:rPr>
          <w:t>https://www.sciencedirect.com/science/article/pii/S0040162521003930</w:t>
        </w:r>
      </w:hyperlink>
    </w:p>
    <w:p w14:paraId="789C4E6B"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Smith, J. D., Li, D. H., &amp; Rafferty, M. R. (2020). The implementation research logic model: a method for planning, executing, reporting, and synthesizing implementation projects. </w:t>
      </w:r>
      <w:r w:rsidRPr="00C3761A">
        <w:rPr>
          <w:rFonts w:ascii="Times New Roman" w:hAnsi="Times New Roman" w:cs="Times New Roman"/>
          <w:i/>
          <w:iCs/>
          <w:color w:val="222222"/>
          <w:sz w:val="24"/>
          <w:szCs w:val="24"/>
          <w:shd w:val="clear" w:color="auto" w:fill="FFFFFF"/>
        </w:rPr>
        <w:t>Implementation Science</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15</w:t>
      </w:r>
      <w:r w:rsidRPr="00C3761A">
        <w:rPr>
          <w:rFonts w:ascii="Times New Roman" w:hAnsi="Times New Roman" w:cs="Times New Roman"/>
          <w:color w:val="222222"/>
          <w:sz w:val="24"/>
          <w:szCs w:val="24"/>
          <w:shd w:val="clear" w:color="auto" w:fill="FFFFFF"/>
        </w:rPr>
        <w:t>, 1-12.</w:t>
      </w:r>
      <w:r w:rsidRPr="00C3761A">
        <w:rPr>
          <w:rFonts w:ascii="Times New Roman" w:hAnsi="Times New Roman" w:cs="Times New Roman"/>
          <w:sz w:val="24"/>
          <w:szCs w:val="24"/>
        </w:rPr>
        <w:t xml:space="preserve"> </w:t>
      </w:r>
      <w:hyperlink r:id="rId39" w:history="1">
        <w:r w:rsidRPr="00C3761A">
          <w:rPr>
            <w:rStyle w:val="Hyperlink"/>
            <w:rFonts w:ascii="Times New Roman" w:hAnsi="Times New Roman" w:cs="Times New Roman"/>
            <w:sz w:val="24"/>
            <w:szCs w:val="24"/>
            <w:shd w:val="clear" w:color="auto" w:fill="FFFFFF"/>
          </w:rPr>
          <w:t>https://link.springer.com/article/10.1186/s13012-020-01041-8</w:t>
        </w:r>
      </w:hyperlink>
    </w:p>
    <w:p w14:paraId="1F7952CA"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Sukma, D., Lubis, P. H., &amp; Utami, S. (2019). Analysis of Marketing Strategy of Minyeuk Pret Using STP, Ansoff Matrix, and Marketing Mix.</w:t>
      </w:r>
      <w:r w:rsidRPr="00C3761A">
        <w:rPr>
          <w:rFonts w:ascii="Times New Roman" w:hAnsi="Times New Roman" w:cs="Times New Roman"/>
          <w:sz w:val="24"/>
          <w:szCs w:val="24"/>
        </w:rPr>
        <w:t xml:space="preserve"> </w:t>
      </w:r>
      <w:hyperlink r:id="rId40" w:history="1">
        <w:r w:rsidRPr="00C3761A">
          <w:rPr>
            <w:rStyle w:val="Hyperlink"/>
            <w:rFonts w:ascii="Times New Roman" w:hAnsi="Times New Roman" w:cs="Times New Roman"/>
            <w:sz w:val="24"/>
            <w:szCs w:val="24"/>
            <w:shd w:val="clear" w:color="auto" w:fill="FFFFFF"/>
          </w:rPr>
          <w:t>https://easpublisher.com/media/features_articles/EASJEBM_210_601-606_c_wHtxsK3.pdf</w:t>
        </w:r>
      </w:hyperlink>
    </w:p>
    <w:p w14:paraId="0C69C2DD"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Sulaiman, A. I., Pangestuti, S., Sugito, T., &amp; Sabiq, A. (2022). Community Empowerment in Culinary Tourism as Sustainable Rural Development. </w:t>
      </w:r>
      <w:r w:rsidRPr="00C3761A">
        <w:rPr>
          <w:rFonts w:ascii="Times New Roman" w:hAnsi="Times New Roman" w:cs="Times New Roman"/>
          <w:i/>
          <w:iCs/>
          <w:color w:val="222222"/>
          <w:sz w:val="24"/>
          <w:szCs w:val="24"/>
          <w:shd w:val="clear" w:color="auto" w:fill="FFFFFF"/>
        </w:rPr>
        <w:t>Sustainable Development Research</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4</w:t>
      </w:r>
      <w:r w:rsidRPr="00C3761A">
        <w:rPr>
          <w:rFonts w:ascii="Times New Roman" w:hAnsi="Times New Roman" w:cs="Times New Roman"/>
          <w:color w:val="222222"/>
          <w:sz w:val="24"/>
          <w:szCs w:val="24"/>
          <w:shd w:val="clear" w:color="auto" w:fill="FFFFFF"/>
        </w:rPr>
        <w:t>(1), p1-p1.</w:t>
      </w:r>
      <w:r w:rsidRPr="00C3761A">
        <w:rPr>
          <w:rFonts w:ascii="Times New Roman" w:hAnsi="Times New Roman" w:cs="Times New Roman"/>
          <w:sz w:val="24"/>
          <w:szCs w:val="24"/>
        </w:rPr>
        <w:t xml:space="preserve"> </w:t>
      </w:r>
      <w:hyperlink r:id="rId41" w:history="1">
        <w:r w:rsidRPr="00C3761A">
          <w:rPr>
            <w:rStyle w:val="Hyperlink"/>
            <w:rFonts w:ascii="Times New Roman" w:hAnsi="Times New Roman" w:cs="Times New Roman"/>
            <w:sz w:val="24"/>
            <w:szCs w:val="24"/>
            <w:shd w:val="clear" w:color="auto" w:fill="FFFFFF"/>
          </w:rPr>
          <w:t>https://j.ideasspread.org/index.php/sdr/article/view/1033</w:t>
        </w:r>
      </w:hyperlink>
    </w:p>
    <w:p w14:paraId="50654398"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Tawse, A., &amp; Tabesh, P. (2021). Strategy implementation: A review and an introductory framework. </w:t>
      </w:r>
      <w:r w:rsidRPr="00C3761A">
        <w:rPr>
          <w:rFonts w:ascii="Times New Roman" w:hAnsi="Times New Roman" w:cs="Times New Roman"/>
          <w:i/>
          <w:iCs/>
          <w:color w:val="222222"/>
          <w:sz w:val="24"/>
          <w:szCs w:val="24"/>
          <w:shd w:val="clear" w:color="auto" w:fill="FFFFFF"/>
        </w:rPr>
        <w:t>European Management Journal</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39</w:t>
      </w:r>
      <w:r w:rsidRPr="00C3761A">
        <w:rPr>
          <w:rFonts w:ascii="Times New Roman" w:hAnsi="Times New Roman" w:cs="Times New Roman"/>
          <w:color w:val="222222"/>
          <w:sz w:val="24"/>
          <w:szCs w:val="24"/>
          <w:shd w:val="clear" w:color="auto" w:fill="FFFFFF"/>
        </w:rPr>
        <w:t>(1), 22-33.</w:t>
      </w:r>
      <w:r w:rsidRPr="00C3761A">
        <w:rPr>
          <w:rFonts w:ascii="Times New Roman" w:hAnsi="Times New Roman" w:cs="Times New Roman"/>
          <w:sz w:val="24"/>
          <w:szCs w:val="24"/>
        </w:rPr>
        <w:t xml:space="preserve"> </w:t>
      </w:r>
      <w:hyperlink r:id="rId42" w:history="1">
        <w:r w:rsidRPr="00C3761A">
          <w:rPr>
            <w:rStyle w:val="Hyperlink"/>
            <w:rFonts w:ascii="Times New Roman" w:hAnsi="Times New Roman" w:cs="Times New Roman"/>
            <w:sz w:val="24"/>
            <w:szCs w:val="24"/>
            <w:shd w:val="clear" w:color="auto" w:fill="FFFFFF"/>
          </w:rPr>
          <w:t>https://www.sciencedirect.com/science/article/pii/S0263237320301316</w:t>
        </w:r>
      </w:hyperlink>
    </w:p>
    <w:p w14:paraId="57DEF79B"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t>ul Musawir, A., Abd-Karim, S. B., &amp; Mohd-Danuri, M. S. (2020). Project governance and its role in enabling organizational strategy implementation: A systematic literature review. </w:t>
      </w:r>
      <w:r w:rsidRPr="00C3761A">
        <w:rPr>
          <w:rFonts w:ascii="Times New Roman" w:hAnsi="Times New Roman" w:cs="Times New Roman"/>
          <w:i/>
          <w:iCs/>
          <w:color w:val="222222"/>
          <w:sz w:val="24"/>
          <w:szCs w:val="24"/>
          <w:shd w:val="clear" w:color="auto" w:fill="FFFFFF"/>
        </w:rPr>
        <w:t>International Journal of Project Management</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38</w:t>
      </w:r>
      <w:r w:rsidRPr="00C3761A">
        <w:rPr>
          <w:rFonts w:ascii="Times New Roman" w:hAnsi="Times New Roman" w:cs="Times New Roman"/>
          <w:color w:val="222222"/>
          <w:sz w:val="24"/>
          <w:szCs w:val="24"/>
          <w:shd w:val="clear" w:color="auto" w:fill="FFFFFF"/>
        </w:rPr>
        <w:t>(1), 1-16.</w:t>
      </w:r>
      <w:r w:rsidRPr="00C3761A">
        <w:rPr>
          <w:rFonts w:ascii="Times New Roman" w:hAnsi="Times New Roman" w:cs="Times New Roman"/>
          <w:sz w:val="24"/>
          <w:szCs w:val="24"/>
        </w:rPr>
        <w:t xml:space="preserve"> </w:t>
      </w:r>
      <w:r w:rsidRPr="00C3761A">
        <w:rPr>
          <w:rFonts w:ascii="Times New Roman" w:hAnsi="Times New Roman" w:cs="Times New Roman"/>
          <w:color w:val="222222"/>
          <w:sz w:val="24"/>
          <w:szCs w:val="24"/>
          <w:shd w:val="clear" w:color="auto" w:fill="FFFFFF"/>
        </w:rPr>
        <w:t>https://www.sciencedirect.com/science/article/pii/S0263786319308555</w:t>
      </w:r>
    </w:p>
    <w:p w14:paraId="1FCDE9E6" w14:textId="77777777" w:rsidR="003E676D" w:rsidRPr="00C3761A" w:rsidRDefault="003E676D" w:rsidP="003E676D">
      <w:pPr>
        <w:spacing w:after="240" w:line="360" w:lineRule="auto"/>
        <w:jc w:val="both"/>
        <w:rPr>
          <w:rFonts w:ascii="Times New Roman" w:hAnsi="Times New Roman" w:cs="Times New Roman"/>
          <w:sz w:val="24"/>
          <w:szCs w:val="24"/>
        </w:rPr>
      </w:pPr>
      <w:r w:rsidRPr="00C3761A">
        <w:rPr>
          <w:rFonts w:ascii="Times New Roman" w:hAnsi="Times New Roman" w:cs="Times New Roman"/>
          <w:color w:val="222222"/>
          <w:sz w:val="24"/>
          <w:szCs w:val="24"/>
          <w:shd w:val="clear" w:color="auto" w:fill="FFFFFF"/>
        </w:rPr>
        <w:lastRenderedPageBreak/>
        <w:t>Yogantari, M. V., Dwijendra, S. T., SDs, M. A., &amp; IPU, A. (2019). Visual Content by Consumer in Promoting Sustainable Culinary Business. </w:t>
      </w:r>
      <w:r w:rsidRPr="00C3761A">
        <w:rPr>
          <w:rFonts w:ascii="Times New Roman" w:hAnsi="Times New Roman" w:cs="Times New Roman"/>
          <w:i/>
          <w:iCs/>
          <w:color w:val="222222"/>
          <w:sz w:val="24"/>
          <w:szCs w:val="24"/>
          <w:shd w:val="clear" w:color="auto" w:fill="FFFFFF"/>
        </w:rPr>
        <w:t>Journal of Social and Political Sciences</w:t>
      </w:r>
      <w:r w:rsidRPr="00C3761A">
        <w:rPr>
          <w:rFonts w:ascii="Times New Roman" w:hAnsi="Times New Roman" w:cs="Times New Roman"/>
          <w:color w:val="222222"/>
          <w:sz w:val="24"/>
          <w:szCs w:val="24"/>
          <w:shd w:val="clear" w:color="auto" w:fill="FFFFFF"/>
        </w:rPr>
        <w:t>, </w:t>
      </w:r>
      <w:r w:rsidRPr="00C3761A">
        <w:rPr>
          <w:rFonts w:ascii="Times New Roman" w:hAnsi="Times New Roman" w:cs="Times New Roman"/>
          <w:i/>
          <w:iCs/>
          <w:color w:val="222222"/>
          <w:sz w:val="24"/>
          <w:szCs w:val="24"/>
          <w:shd w:val="clear" w:color="auto" w:fill="FFFFFF"/>
        </w:rPr>
        <w:t>2</w:t>
      </w:r>
      <w:r w:rsidRPr="00C3761A">
        <w:rPr>
          <w:rFonts w:ascii="Times New Roman" w:hAnsi="Times New Roman" w:cs="Times New Roman"/>
          <w:color w:val="222222"/>
          <w:sz w:val="24"/>
          <w:szCs w:val="24"/>
          <w:shd w:val="clear" w:color="auto" w:fill="FFFFFF"/>
        </w:rPr>
        <w:t xml:space="preserve">(3). </w:t>
      </w:r>
      <w:hyperlink r:id="rId43" w:history="1">
        <w:r w:rsidRPr="00C3761A">
          <w:rPr>
            <w:rStyle w:val="Hyperlink"/>
            <w:rFonts w:ascii="Times New Roman" w:hAnsi="Times New Roman" w:cs="Times New Roman"/>
            <w:sz w:val="24"/>
            <w:szCs w:val="24"/>
            <w:shd w:val="clear" w:color="auto" w:fill="FFFFFF"/>
          </w:rPr>
          <w:t>https://papers.ssrn.com/sol3/papers.cfm?abstract_id=3434552</w:t>
        </w:r>
      </w:hyperlink>
    </w:p>
    <w:p w14:paraId="4A201A66" w14:textId="77777777" w:rsidR="003E676D" w:rsidRPr="003E676D" w:rsidRDefault="003E676D" w:rsidP="003E676D">
      <w:pPr>
        <w:pStyle w:val="Normal1"/>
        <w:spacing w:after="240"/>
      </w:pPr>
    </w:p>
    <w:p w14:paraId="67CDEDD6" w14:textId="77777777" w:rsidR="008027A7" w:rsidRDefault="008027A7">
      <w:pPr>
        <w:pStyle w:val="Normal1"/>
        <w:spacing w:after="200" w:line="360" w:lineRule="auto"/>
        <w:jc w:val="both"/>
        <w:rPr>
          <w:rFonts w:ascii="Times New Roman" w:eastAsia="Times New Roman" w:hAnsi="Times New Roman" w:cs="Times New Roman"/>
          <w:sz w:val="24"/>
          <w:szCs w:val="24"/>
        </w:rPr>
      </w:pPr>
    </w:p>
    <w:p w14:paraId="622A27DF" w14:textId="77777777" w:rsidR="008027A7" w:rsidRDefault="008027A7">
      <w:pPr>
        <w:pStyle w:val="Normal1"/>
        <w:spacing w:after="200" w:line="360" w:lineRule="auto"/>
        <w:jc w:val="both"/>
        <w:rPr>
          <w:rFonts w:ascii="Times New Roman" w:eastAsia="Times New Roman" w:hAnsi="Times New Roman" w:cs="Times New Roman"/>
          <w:sz w:val="24"/>
          <w:szCs w:val="24"/>
        </w:rPr>
      </w:pPr>
    </w:p>
    <w:sectPr w:rsidR="008027A7" w:rsidSect="001B466A">
      <w:footerReference w:type="default" r:id="rId4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6FD7C" w14:textId="77777777" w:rsidR="00DF540C" w:rsidRDefault="00DF540C" w:rsidP="003E676D">
      <w:pPr>
        <w:spacing w:line="240" w:lineRule="auto"/>
      </w:pPr>
      <w:r>
        <w:separator/>
      </w:r>
    </w:p>
  </w:endnote>
  <w:endnote w:type="continuationSeparator" w:id="0">
    <w:p w14:paraId="26CB3D5A" w14:textId="77777777" w:rsidR="00DF540C" w:rsidRDefault="00DF540C" w:rsidP="003E67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3922302"/>
      <w:docPartObj>
        <w:docPartGallery w:val="Page Numbers (Bottom of Page)"/>
        <w:docPartUnique/>
      </w:docPartObj>
    </w:sdtPr>
    <w:sdtEndPr>
      <w:rPr>
        <w:noProof/>
      </w:rPr>
    </w:sdtEndPr>
    <w:sdtContent>
      <w:p w14:paraId="64D3A7BF" w14:textId="352C2929" w:rsidR="003E676D" w:rsidRDefault="003E676D">
        <w:pPr>
          <w:pStyle w:val="Footer"/>
          <w:jc w:val="right"/>
        </w:pPr>
        <w:r w:rsidRPr="003E676D">
          <w:rPr>
            <w:rFonts w:ascii="Times New Roman" w:hAnsi="Times New Roman" w:cs="Times New Roman"/>
            <w:sz w:val="20"/>
            <w:szCs w:val="20"/>
          </w:rPr>
          <w:fldChar w:fldCharType="begin"/>
        </w:r>
        <w:r w:rsidRPr="003E676D">
          <w:rPr>
            <w:rFonts w:ascii="Times New Roman" w:hAnsi="Times New Roman" w:cs="Times New Roman"/>
            <w:sz w:val="20"/>
            <w:szCs w:val="20"/>
          </w:rPr>
          <w:instrText xml:space="preserve"> PAGE   \* MERGEFORMAT </w:instrText>
        </w:r>
        <w:r w:rsidRPr="003E676D">
          <w:rPr>
            <w:rFonts w:ascii="Times New Roman" w:hAnsi="Times New Roman" w:cs="Times New Roman"/>
            <w:sz w:val="20"/>
            <w:szCs w:val="20"/>
          </w:rPr>
          <w:fldChar w:fldCharType="separate"/>
        </w:r>
        <w:r w:rsidR="001B466A">
          <w:rPr>
            <w:rFonts w:ascii="Times New Roman" w:hAnsi="Times New Roman" w:cs="Times New Roman"/>
            <w:noProof/>
            <w:sz w:val="20"/>
            <w:szCs w:val="20"/>
          </w:rPr>
          <w:t>30</w:t>
        </w:r>
        <w:r w:rsidRPr="003E676D">
          <w:rPr>
            <w:rFonts w:ascii="Times New Roman" w:hAnsi="Times New Roman" w:cs="Times New Roman"/>
            <w:noProof/>
            <w:sz w:val="20"/>
            <w:szCs w:val="20"/>
          </w:rPr>
          <w:fldChar w:fldCharType="end"/>
        </w:r>
      </w:p>
    </w:sdtContent>
  </w:sdt>
  <w:p w14:paraId="0AC4E2C4" w14:textId="77777777" w:rsidR="003E676D" w:rsidRDefault="003E6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73E13" w14:textId="77777777" w:rsidR="00DF540C" w:rsidRDefault="00DF540C" w:rsidP="003E676D">
      <w:pPr>
        <w:spacing w:line="240" w:lineRule="auto"/>
      </w:pPr>
      <w:r>
        <w:separator/>
      </w:r>
    </w:p>
  </w:footnote>
  <w:footnote w:type="continuationSeparator" w:id="0">
    <w:p w14:paraId="2B253BFD" w14:textId="77777777" w:rsidR="00DF540C" w:rsidRDefault="00DF540C" w:rsidP="003E676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7A7"/>
    <w:rsid w:val="001B466A"/>
    <w:rsid w:val="003E676D"/>
    <w:rsid w:val="006C79CE"/>
    <w:rsid w:val="007F5986"/>
    <w:rsid w:val="008027A7"/>
    <w:rsid w:val="008C75BC"/>
    <w:rsid w:val="00A33DC4"/>
    <w:rsid w:val="00DF540C"/>
    <w:rsid w:val="00ED75B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0AB7E1"/>
  <w15:docId w15:val="{C01E4A09-43F4-4AA6-ACA9-586ACDA13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3E676D"/>
    <w:pPr>
      <w:keepNext/>
      <w:keepLines/>
      <w:spacing w:before="400" w:after="120"/>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3E676D"/>
    <w:rPr>
      <w:color w:val="0000FF" w:themeColor="hyperlink"/>
      <w:u w:val="single"/>
    </w:rPr>
  </w:style>
  <w:style w:type="paragraph" w:styleId="Header">
    <w:name w:val="header"/>
    <w:basedOn w:val="Normal"/>
    <w:link w:val="HeaderChar"/>
    <w:uiPriority w:val="99"/>
    <w:unhideWhenUsed/>
    <w:rsid w:val="003E676D"/>
    <w:pPr>
      <w:tabs>
        <w:tab w:val="center" w:pos="4513"/>
        <w:tab w:val="right" w:pos="9026"/>
      </w:tabs>
      <w:spacing w:line="240" w:lineRule="auto"/>
    </w:pPr>
  </w:style>
  <w:style w:type="character" w:customStyle="1" w:styleId="HeaderChar">
    <w:name w:val="Header Char"/>
    <w:basedOn w:val="DefaultParagraphFont"/>
    <w:link w:val="Header"/>
    <w:uiPriority w:val="99"/>
    <w:rsid w:val="003E676D"/>
  </w:style>
  <w:style w:type="paragraph" w:styleId="Footer">
    <w:name w:val="footer"/>
    <w:basedOn w:val="Normal"/>
    <w:link w:val="FooterChar"/>
    <w:uiPriority w:val="99"/>
    <w:unhideWhenUsed/>
    <w:rsid w:val="003E676D"/>
    <w:pPr>
      <w:tabs>
        <w:tab w:val="center" w:pos="4513"/>
        <w:tab w:val="right" w:pos="9026"/>
      </w:tabs>
      <w:spacing w:line="240" w:lineRule="auto"/>
    </w:pPr>
  </w:style>
  <w:style w:type="character" w:customStyle="1" w:styleId="FooterChar">
    <w:name w:val="Footer Char"/>
    <w:basedOn w:val="DefaultParagraphFont"/>
    <w:link w:val="Footer"/>
    <w:uiPriority w:val="99"/>
    <w:rsid w:val="003E676D"/>
  </w:style>
  <w:style w:type="paragraph" w:styleId="TOCHeading">
    <w:name w:val="TOC Heading"/>
    <w:basedOn w:val="Heading1"/>
    <w:next w:val="Normal"/>
    <w:uiPriority w:val="39"/>
    <w:unhideWhenUsed/>
    <w:qFormat/>
    <w:rsid w:val="003E676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E676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mdpi.com/2073-4395/12/3/660" TargetMode="External"/><Relationship Id="rId18" Type="http://schemas.openxmlformats.org/officeDocument/2006/relationships/hyperlink" Target="https://www.hindawi.com/journals/JE/2020/6253013/" TargetMode="External"/><Relationship Id="rId26" Type="http://schemas.openxmlformats.org/officeDocument/2006/relationships/hyperlink" Target="https://www.researchgate.net/profile/Sali-Asli/publication/360928851_Application_of_neural_network_in_portfolio_product_companies_Integration_of_Boston_Consulting_Group_matrix_and_Ansoff_matrix/links/629340546886635d5cad0cbf/Application-of-neural-network-in-portfolio-product-companies-Integration-of-Boston-Consulting-Group-matrix-and-Ansoff-matrix.pdf" TargetMode="External"/><Relationship Id="rId39" Type="http://schemas.openxmlformats.org/officeDocument/2006/relationships/hyperlink" Target="https://link.springer.com/article/10.1186/s13012-020-01041-8" TargetMode="External"/><Relationship Id="rId21" Type="http://schemas.openxmlformats.org/officeDocument/2006/relationships/hyperlink" Target="https://www.sciencedirect.com/science/article/pii/S0048733318302361" TargetMode="External"/><Relationship Id="rId34" Type="http://schemas.openxmlformats.org/officeDocument/2006/relationships/hyperlink" Target="https://www.mdpi.com/2071-1050/14/1/330" TargetMode="External"/><Relationship Id="rId42" Type="http://schemas.openxmlformats.org/officeDocument/2006/relationships/hyperlink" Target="https://www.sciencedirect.com/science/article/pii/S0263237320301316"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bimskol.org/pdf/E-copy-BIMS-Journal-Management-Kolkata-Vol5-Issue-1-July-2020.pdf" TargetMode="External"/><Relationship Id="rId29" Type="http://schemas.openxmlformats.org/officeDocument/2006/relationships/hyperlink" Target="http://www.journalsocialsciences.com/index.php/oaijss/article/view/3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abs/10.1177/0008125619885150" TargetMode="External"/><Relationship Id="rId24" Type="http://schemas.openxmlformats.org/officeDocument/2006/relationships/hyperlink" Target="https://www.researchgate.net/profile/Moses-Kabeyi/publication/333641646_Organizational_strategic_planning_implementation_and_evaluation_with_analysis_of_challenges_and_benefits_for_profit_and_nonprofit_organizations/links/5cf8cd864585153c3db745b8/Organizational-strategic-planning-implementation-and-evaluation-with-analysis-of-challenges-and-benefits-for-profit-and-nonprofit-organizations.pdf" TargetMode="External"/><Relationship Id="rId32" Type="http://schemas.openxmlformats.org/officeDocument/2006/relationships/hyperlink" Target="https://koreascience.kr/article/JAKO202017764018182.page" TargetMode="External"/><Relationship Id="rId37" Type="http://schemas.openxmlformats.org/officeDocument/2006/relationships/hyperlink" Target="https://link.springer.com/article/10.1057/s41267-019-00269-x" TargetMode="External"/><Relationship Id="rId40" Type="http://schemas.openxmlformats.org/officeDocument/2006/relationships/hyperlink" Target="https://easpublisher.com/media/features_articles/EASJEBM_210_601-606_c_wHtxsK3.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ournals.sagepub.com/doi/abs/10.1177/2516604220929994" TargetMode="External"/><Relationship Id="rId23" Type="http://schemas.openxmlformats.org/officeDocument/2006/relationships/hyperlink" Target="https://journals.sagepub.com/doi/abs/10.1177/09520767221080668" TargetMode="External"/><Relationship Id="rId28" Type="http://schemas.openxmlformats.org/officeDocument/2006/relationships/hyperlink" Target="https://ojs-gr.zrc-sazu.si/gv/article/view/7965" TargetMode="External"/><Relationship Id="rId36" Type="http://schemas.openxmlformats.org/officeDocument/2006/relationships/hyperlink" Target="https://www.cambridge.org/core/journals/global-sustainability/article/chefs-as-changemakers-from-the-kitchen-indigenous-knowledge-and-traditional-food-as-sustainability-innovations/BC5432F0419FB0929D7E5C175AE51F62" TargetMode="External"/><Relationship Id="rId10" Type="http://schemas.openxmlformats.org/officeDocument/2006/relationships/hyperlink" Target="https://www.sciencedirect.com/science/article/pii/S0959652620303425" TargetMode="External"/><Relationship Id="rId19" Type="http://schemas.openxmlformats.org/officeDocument/2006/relationships/hyperlink" Target="https://onlinelibrary.wiley.com/doi/abs/10.1111/puar.13104" TargetMode="External"/><Relationship Id="rId31" Type="http://schemas.openxmlformats.org/officeDocument/2006/relationships/hyperlink" Target="https://www.taylorfrancis.com/chapters/edit/10.4324/9780203362518-10/revival-metropolitan-planning-michael-lennon"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ciencedirect.com/science/article/pii/S0048733318302956" TargetMode="External"/><Relationship Id="rId14" Type="http://schemas.openxmlformats.org/officeDocument/2006/relationships/hyperlink" Target="https://www.mdpi.com/2071-1050/12/11/4473" TargetMode="External"/><Relationship Id="rId22" Type="http://schemas.openxmlformats.org/officeDocument/2006/relationships/hyperlink" Target="https://journals.sagepub.com/doi/abs/10.1177/18479790211042191" TargetMode="External"/><Relationship Id="rId27" Type="http://schemas.openxmlformats.org/officeDocument/2006/relationships/hyperlink" Target="https://iopscience.iop.org/article/10.1088/1755-1315/315/2/022107/meta" TargetMode="External"/><Relationship Id="rId30" Type="http://schemas.openxmlformats.org/officeDocument/2006/relationships/hyperlink" Target="https://www.sciencedirect.com/science/article/pii/S0148296320306226" TargetMode="External"/><Relationship Id="rId35" Type="http://schemas.openxmlformats.org/officeDocument/2006/relationships/hyperlink" Target="https://www.sciencedirect.com/science/article/pii/S0048969720327170" TargetMode="External"/><Relationship Id="rId43" Type="http://schemas.openxmlformats.org/officeDocument/2006/relationships/hyperlink" Target="https://papers.ssrn.com/sol3/papers.cfm?abstract_id=3434552" TargetMode="External"/><Relationship Id="rId8" Type="http://schemas.openxmlformats.org/officeDocument/2006/relationships/hyperlink" Target="https://dialnet.unirioja.es/servlet/articulo?codigo=8155778" TargetMode="External"/><Relationship Id="rId3" Type="http://schemas.openxmlformats.org/officeDocument/2006/relationships/settings" Target="settings.xml"/><Relationship Id="rId12" Type="http://schemas.openxmlformats.org/officeDocument/2006/relationships/hyperlink" Target="https://oxfordre.com/politics/display/10.1093/acrefore/9780190228637.001.0001/acrefore-9780190228637-e-1396" TargetMode="External"/><Relationship Id="rId17" Type="http://schemas.openxmlformats.org/officeDocument/2006/relationships/hyperlink" Target="https://journals.sagepub.com/doi/abs/10.1177/0008125620934864" TargetMode="External"/><Relationship Id="rId25" Type="http://schemas.openxmlformats.org/officeDocument/2006/relationships/hyperlink" Target="https://www.mdpi.com/2071-1050/11/5/1222" TargetMode="External"/><Relationship Id="rId33" Type="http://schemas.openxmlformats.org/officeDocument/2006/relationships/hyperlink" Target="https://ieeexplore.ieee.org/abstract/document/8726152/" TargetMode="External"/><Relationship Id="rId38" Type="http://schemas.openxmlformats.org/officeDocument/2006/relationships/hyperlink" Target="https://www.sciencedirect.com/science/article/pii/S0040162521003930" TargetMode="External"/><Relationship Id="rId46" Type="http://schemas.openxmlformats.org/officeDocument/2006/relationships/theme" Target="theme/theme1.xml"/><Relationship Id="rId20" Type="http://schemas.openxmlformats.org/officeDocument/2006/relationships/hyperlink" Target="https://www.sciencedirect.com/science/article/pii/S0378720618303197" TargetMode="External"/><Relationship Id="rId41" Type="http://schemas.openxmlformats.org/officeDocument/2006/relationships/hyperlink" Target="https://j.ideasspread.org/index.php/sdr/article/view/10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09A14-047E-410E-94C0-68F371543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30</Pages>
  <Words>8055</Words>
  <Characters>45920</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Sai Durga Polasi</cp:lastModifiedBy>
  <cp:revision>8</cp:revision>
  <dcterms:created xsi:type="dcterms:W3CDTF">2023-12-07T21:53:00Z</dcterms:created>
  <dcterms:modified xsi:type="dcterms:W3CDTF">2023-12-11T21:47:00Z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e059be8d74a2dbd3184dc0589737466d0044cbfe6b7e89f2c135824204687ecb</vt:lpwstr>
  </property>
</Properties>
</file>