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2AFF8" w14:textId="77777777" w:rsidR="00D52D1F" w:rsidRDefault="00D52D1F" w:rsidP="00D52D1F">
      <w:pPr>
        <w:jc w:val="center"/>
        <w:rPr>
          <w:sz w:val="48"/>
          <w:szCs w:val="48"/>
        </w:rPr>
      </w:pPr>
    </w:p>
    <w:p w14:paraId="6715B8DD" w14:textId="77777777" w:rsidR="00D52D1F" w:rsidRDefault="00D52D1F" w:rsidP="00D52D1F">
      <w:pPr>
        <w:jc w:val="center"/>
        <w:rPr>
          <w:sz w:val="48"/>
          <w:szCs w:val="48"/>
        </w:rPr>
      </w:pPr>
    </w:p>
    <w:p w14:paraId="1237623C" w14:textId="77777777" w:rsidR="00D52D1F" w:rsidRDefault="00D52D1F" w:rsidP="00D52D1F">
      <w:pPr>
        <w:jc w:val="center"/>
        <w:rPr>
          <w:sz w:val="48"/>
          <w:szCs w:val="48"/>
        </w:rPr>
      </w:pPr>
    </w:p>
    <w:p w14:paraId="4BBBE2CA" w14:textId="71C05396" w:rsidR="00565B3B" w:rsidRDefault="00D52D1F" w:rsidP="00D52D1F">
      <w:pPr>
        <w:jc w:val="center"/>
        <w:rPr>
          <w:sz w:val="48"/>
          <w:szCs w:val="48"/>
        </w:rPr>
      </w:pPr>
      <w:r w:rsidRPr="00D52D1F">
        <w:rPr>
          <w:sz w:val="48"/>
          <w:szCs w:val="48"/>
        </w:rPr>
        <w:t>Assessment Component 1 – Incidence of disease in communities</w:t>
      </w:r>
    </w:p>
    <w:p w14:paraId="7757D0CD" w14:textId="77777777" w:rsidR="00D52D1F" w:rsidRDefault="00D52D1F" w:rsidP="00D52D1F">
      <w:pPr>
        <w:jc w:val="right"/>
        <w:rPr>
          <w:sz w:val="24"/>
          <w:szCs w:val="24"/>
        </w:rPr>
      </w:pPr>
    </w:p>
    <w:p w14:paraId="2D2BE56E" w14:textId="77777777" w:rsidR="00D52D1F" w:rsidRDefault="00D52D1F" w:rsidP="00D52D1F">
      <w:pPr>
        <w:jc w:val="right"/>
        <w:rPr>
          <w:sz w:val="24"/>
          <w:szCs w:val="24"/>
        </w:rPr>
      </w:pPr>
    </w:p>
    <w:p w14:paraId="080ACE64" w14:textId="77777777" w:rsidR="00D52D1F" w:rsidRDefault="00D52D1F" w:rsidP="00D52D1F">
      <w:pPr>
        <w:jc w:val="right"/>
        <w:rPr>
          <w:sz w:val="24"/>
          <w:szCs w:val="24"/>
        </w:rPr>
      </w:pPr>
    </w:p>
    <w:p w14:paraId="0F7222BB" w14:textId="77777777" w:rsidR="00D52D1F" w:rsidRDefault="00D52D1F" w:rsidP="00D52D1F">
      <w:pPr>
        <w:jc w:val="right"/>
        <w:rPr>
          <w:sz w:val="24"/>
          <w:szCs w:val="24"/>
        </w:rPr>
      </w:pPr>
    </w:p>
    <w:p w14:paraId="488158E2" w14:textId="77777777" w:rsidR="00D52D1F" w:rsidRDefault="00D52D1F" w:rsidP="00D52D1F">
      <w:pPr>
        <w:jc w:val="right"/>
        <w:rPr>
          <w:sz w:val="24"/>
          <w:szCs w:val="24"/>
        </w:rPr>
      </w:pPr>
    </w:p>
    <w:p w14:paraId="7C9D5072" w14:textId="77777777" w:rsidR="00D52D1F" w:rsidRDefault="00D52D1F" w:rsidP="00D52D1F">
      <w:pPr>
        <w:jc w:val="right"/>
        <w:rPr>
          <w:sz w:val="24"/>
          <w:szCs w:val="24"/>
        </w:rPr>
      </w:pPr>
    </w:p>
    <w:p w14:paraId="16A47D15" w14:textId="77777777" w:rsidR="00D52D1F" w:rsidRDefault="00D52D1F" w:rsidP="00D52D1F">
      <w:pPr>
        <w:jc w:val="right"/>
        <w:rPr>
          <w:sz w:val="24"/>
          <w:szCs w:val="24"/>
        </w:rPr>
      </w:pPr>
    </w:p>
    <w:p w14:paraId="43F67D4D" w14:textId="77777777" w:rsidR="00D52D1F" w:rsidRDefault="00D52D1F" w:rsidP="00D52D1F">
      <w:pPr>
        <w:jc w:val="right"/>
        <w:rPr>
          <w:sz w:val="24"/>
          <w:szCs w:val="24"/>
        </w:rPr>
      </w:pPr>
    </w:p>
    <w:p w14:paraId="2A858501" w14:textId="77777777" w:rsidR="00D52D1F" w:rsidRDefault="00D52D1F" w:rsidP="00D52D1F">
      <w:pPr>
        <w:jc w:val="right"/>
        <w:rPr>
          <w:sz w:val="24"/>
          <w:szCs w:val="24"/>
        </w:rPr>
      </w:pPr>
    </w:p>
    <w:p w14:paraId="0C783937" w14:textId="77777777" w:rsidR="00D52D1F" w:rsidRDefault="00D52D1F" w:rsidP="00D52D1F">
      <w:pPr>
        <w:jc w:val="right"/>
        <w:rPr>
          <w:sz w:val="24"/>
          <w:szCs w:val="24"/>
        </w:rPr>
      </w:pPr>
    </w:p>
    <w:p w14:paraId="20E58915" w14:textId="77777777" w:rsidR="00D52D1F" w:rsidRDefault="00D52D1F" w:rsidP="00D52D1F">
      <w:pPr>
        <w:jc w:val="right"/>
        <w:rPr>
          <w:sz w:val="24"/>
          <w:szCs w:val="24"/>
        </w:rPr>
      </w:pPr>
    </w:p>
    <w:p w14:paraId="4FAA9256" w14:textId="77777777" w:rsidR="00D52D1F" w:rsidRDefault="00D52D1F" w:rsidP="00D52D1F">
      <w:pPr>
        <w:jc w:val="right"/>
        <w:rPr>
          <w:sz w:val="24"/>
          <w:szCs w:val="24"/>
        </w:rPr>
      </w:pPr>
    </w:p>
    <w:p w14:paraId="2F25772E" w14:textId="77777777" w:rsidR="00D52D1F" w:rsidRDefault="00D52D1F" w:rsidP="00D52D1F">
      <w:pPr>
        <w:jc w:val="right"/>
        <w:rPr>
          <w:sz w:val="24"/>
          <w:szCs w:val="24"/>
        </w:rPr>
      </w:pPr>
    </w:p>
    <w:p w14:paraId="54577873" w14:textId="77777777" w:rsidR="00D52D1F" w:rsidRDefault="00D52D1F" w:rsidP="00D52D1F">
      <w:pPr>
        <w:jc w:val="right"/>
        <w:rPr>
          <w:sz w:val="24"/>
          <w:szCs w:val="24"/>
        </w:rPr>
      </w:pPr>
    </w:p>
    <w:p w14:paraId="6A8E0936" w14:textId="4B59EFF5" w:rsidR="00D52D1F" w:rsidRPr="00D52D1F" w:rsidRDefault="00D52D1F" w:rsidP="00D52D1F">
      <w:pPr>
        <w:jc w:val="right"/>
        <w:rPr>
          <w:sz w:val="24"/>
          <w:szCs w:val="24"/>
        </w:rPr>
      </w:pPr>
      <w:r w:rsidRPr="00D52D1F">
        <w:rPr>
          <w:sz w:val="24"/>
          <w:szCs w:val="24"/>
        </w:rPr>
        <w:t>Student ID: 2211612</w:t>
      </w:r>
    </w:p>
    <w:p w14:paraId="66043C60" w14:textId="77777777" w:rsidR="00D52D1F" w:rsidRPr="00D52D1F" w:rsidRDefault="00D52D1F" w:rsidP="00D52D1F">
      <w:pPr>
        <w:jc w:val="right"/>
        <w:rPr>
          <w:sz w:val="24"/>
          <w:szCs w:val="24"/>
        </w:rPr>
      </w:pPr>
      <w:r w:rsidRPr="00D52D1F">
        <w:rPr>
          <w:sz w:val="24"/>
          <w:szCs w:val="24"/>
        </w:rPr>
        <w:t>Module Code: LCHS4003</w:t>
      </w:r>
    </w:p>
    <w:p w14:paraId="7D5D5D19" w14:textId="747AE3D1" w:rsidR="00D52D1F" w:rsidRPr="00D52D1F" w:rsidRDefault="00D52D1F" w:rsidP="00D52D1F">
      <w:pPr>
        <w:jc w:val="right"/>
        <w:rPr>
          <w:sz w:val="24"/>
          <w:szCs w:val="24"/>
        </w:rPr>
      </w:pPr>
      <w:r w:rsidRPr="00D52D1F">
        <w:rPr>
          <w:sz w:val="24"/>
          <w:szCs w:val="24"/>
        </w:rPr>
        <w:t>Assignment section: Assessment Component 1 –</w:t>
      </w:r>
      <w:r>
        <w:rPr>
          <w:sz w:val="24"/>
          <w:szCs w:val="24"/>
        </w:rPr>
        <w:br/>
      </w:r>
      <w:r w:rsidRPr="00D52D1F">
        <w:rPr>
          <w:sz w:val="24"/>
          <w:szCs w:val="24"/>
        </w:rPr>
        <w:t xml:space="preserve"> Incidence of disease in communities</w:t>
      </w:r>
    </w:p>
    <w:p w14:paraId="7A539FBE" w14:textId="2982B4AD" w:rsidR="00D52D1F" w:rsidRDefault="00D52D1F" w:rsidP="00D52D1F">
      <w:pPr>
        <w:jc w:val="right"/>
        <w:rPr>
          <w:sz w:val="24"/>
          <w:szCs w:val="24"/>
        </w:rPr>
      </w:pPr>
      <w:r w:rsidRPr="00D52D1F">
        <w:rPr>
          <w:sz w:val="24"/>
          <w:szCs w:val="24"/>
        </w:rPr>
        <w:t>Lecturer’s name: Gillian Weaver</w:t>
      </w:r>
    </w:p>
    <w:p w14:paraId="165A0C1E" w14:textId="178FA861" w:rsidR="00D52D1F" w:rsidRDefault="00D52D1F" w:rsidP="00D52D1F">
      <w:pPr>
        <w:rPr>
          <w:sz w:val="24"/>
          <w:szCs w:val="24"/>
        </w:rPr>
      </w:pPr>
    </w:p>
    <w:p w14:paraId="7D3B3DAB" w14:textId="64B9BE4F" w:rsidR="00D52D1F" w:rsidRDefault="00D52D1F" w:rsidP="00D52D1F">
      <w:pPr>
        <w:rPr>
          <w:sz w:val="24"/>
          <w:szCs w:val="24"/>
        </w:rPr>
      </w:pPr>
    </w:p>
    <w:p w14:paraId="63E5DF99" w14:textId="04BFCAA6" w:rsidR="00D52D1F" w:rsidRDefault="00D52D1F" w:rsidP="00D52D1F">
      <w:pPr>
        <w:rPr>
          <w:sz w:val="24"/>
          <w:szCs w:val="24"/>
        </w:rPr>
      </w:pPr>
    </w:p>
    <w:p w14:paraId="4CCE0285" w14:textId="31895B42" w:rsidR="00D52D1F" w:rsidRDefault="002B4C45" w:rsidP="002B4C45">
      <w:pPr>
        <w:spacing w:line="360" w:lineRule="auto"/>
        <w:jc w:val="center"/>
        <w:rPr>
          <w:sz w:val="48"/>
          <w:szCs w:val="48"/>
        </w:rPr>
      </w:pPr>
      <w:r w:rsidRPr="002B4C45">
        <w:rPr>
          <w:sz w:val="48"/>
          <w:szCs w:val="48"/>
        </w:rPr>
        <w:lastRenderedPageBreak/>
        <w:t>Report</w:t>
      </w:r>
    </w:p>
    <w:p w14:paraId="6BEDAFB1" w14:textId="12015013" w:rsidR="002B4C45" w:rsidRDefault="00C82A7E" w:rsidP="002B4C45">
      <w:pPr>
        <w:spacing w:line="360" w:lineRule="auto"/>
      </w:pPr>
      <w:r w:rsidRPr="00DE6DB1">
        <w:rPr>
          <w:b/>
          <w:bCs/>
          <w:sz w:val="28"/>
          <w:szCs w:val="28"/>
        </w:rPr>
        <w:t>Introduction</w:t>
      </w:r>
      <w:r>
        <w:rPr>
          <w:b/>
          <w:bCs/>
        </w:rPr>
        <w:br/>
      </w:r>
      <w:r w:rsidR="003F39D9">
        <w:t>In this report</w:t>
      </w:r>
      <w:r w:rsidR="00E67EF5">
        <w:t>,</w:t>
      </w:r>
      <w:r w:rsidR="003F39D9">
        <w:t xml:space="preserve"> I will be talking about Rotavirus</w:t>
      </w:r>
      <w:r w:rsidR="006E0C9F">
        <w:t>.</w:t>
      </w:r>
      <w:r w:rsidR="003F39D9">
        <w:t xml:space="preserve"> </w:t>
      </w:r>
      <w:r w:rsidR="006E0C9F" w:rsidRPr="006E0C9F">
        <w:t>The highly contagious stomach bug known as rotavirus usually affects infants and young children, resulting in vomiting, diarrhoea, tummy aches, and a high fever</w:t>
      </w:r>
      <w:r w:rsidR="00AD7928">
        <w:t xml:space="preserve">. </w:t>
      </w:r>
      <w:r w:rsidR="00AD7928" w:rsidRPr="00AD7928">
        <w:t xml:space="preserve">The Rotavirus </w:t>
      </w:r>
      <w:r w:rsidR="005E0EE0">
        <w:t>is</w:t>
      </w:r>
      <w:r w:rsidR="00AD7928" w:rsidRPr="00AD7928">
        <w:t xml:space="preserve"> frequently spread from person to person through hand-to-mouth contact and can be acquired from objects like toys, hands, or filthy diapers. Sneezing and coughing can also transfer it through the air</w:t>
      </w:r>
      <w:r w:rsidR="006E0C9F">
        <w:t>.</w:t>
      </w:r>
      <w:r w:rsidR="001E1B71">
        <w:t xml:space="preserve"> As </w:t>
      </w:r>
      <w:r w:rsidR="008E3A35">
        <w:t>I</w:t>
      </w:r>
      <w:r w:rsidR="001E1B71">
        <w:t xml:space="preserve"> and my group have </w:t>
      </w:r>
      <w:r w:rsidR="008E3A35">
        <w:t>discussed and investigated this</w:t>
      </w:r>
      <w:r w:rsidR="006E0C9F" w:rsidRPr="006E0C9F">
        <w:t xml:space="preserve"> </w:t>
      </w:r>
      <w:r w:rsidR="004C5D4D">
        <w:t>highly infectious disease,</w:t>
      </w:r>
      <w:r w:rsidR="008E3A35">
        <w:t xml:space="preserve"> </w:t>
      </w:r>
      <w:r w:rsidR="004C5D4D">
        <w:t>i</w:t>
      </w:r>
      <w:r w:rsidR="006E0C9F">
        <w:t xml:space="preserve">n this </w:t>
      </w:r>
      <w:r w:rsidR="00E67EF5">
        <w:t>r</w:t>
      </w:r>
      <w:r w:rsidR="006E0C9F">
        <w:t>eport</w:t>
      </w:r>
      <w:r w:rsidR="00E67EF5">
        <w:t>,</w:t>
      </w:r>
      <w:r w:rsidR="006E0C9F">
        <w:t xml:space="preserve"> I will be </w:t>
      </w:r>
      <w:r w:rsidR="00E67EF5">
        <w:t>explaining the</w:t>
      </w:r>
      <w:r w:rsidR="003F39D9">
        <w:t xml:space="preserve"> strategies used to</w:t>
      </w:r>
      <w:r w:rsidR="00DD06A1">
        <w:t xml:space="preserve"> measure the incidence of it as well as strategies used to monitor and control it</w:t>
      </w:r>
      <w:r w:rsidR="009D2690">
        <w:t>.</w:t>
      </w:r>
      <w:r w:rsidR="00E774B1">
        <w:t xml:space="preserve"> I will </w:t>
      </w:r>
      <w:r w:rsidR="009D2690">
        <w:t xml:space="preserve">also </w:t>
      </w:r>
      <w:r w:rsidR="00E774B1">
        <w:t>showcase my best knowledge on this topic</w:t>
      </w:r>
      <w:r w:rsidR="009D2690">
        <w:t>.</w:t>
      </w:r>
    </w:p>
    <w:p w14:paraId="1DD5A21D" w14:textId="77777777" w:rsidR="00F3199F" w:rsidRDefault="00F3199F" w:rsidP="002B4C45">
      <w:pPr>
        <w:spacing w:line="360" w:lineRule="auto"/>
      </w:pPr>
    </w:p>
    <w:p w14:paraId="37F581BA" w14:textId="02FE7D7C" w:rsidR="000E1835" w:rsidRDefault="000E1835" w:rsidP="002B4C45">
      <w:pPr>
        <w:spacing w:line="360" w:lineRule="auto"/>
      </w:pPr>
      <w:r w:rsidRPr="00DE6DB1">
        <w:rPr>
          <w:b/>
          <w:bCs/>
          <w:sz w:val="28"/>
          <w:szCs w:val="28"/>
        </w:rPr>
        <w:t>Measures</w:t>
      </w:r>
      <w:r>
        <w:rPr>
          <w:b/>
          <w:bCs/>
        </w:rPr>
        <w:br/>
      </w:r>
      <w:r w:rsidR="00C3573C" w:rsidRPr="00C3573C">
        <w:t xml:space="preserve">One of </w:t>
      </w:r>
      <w:r w:rsidR="00C3573C">
        <w:t xml:space="preserve">the </w:t>
      </w:r>
      <w:r w:rsidR="00C3573C" w:rsidRPr="00C3573C">
        <w:t xml:space="preserve">most frequent </w:t>
      </w:r>
      <w:r w:rsidR="00C3573C">
        <w:t>viruses</w:t>
      </w:r>
      <w:r w:rsidR="00C3573C" w:rsidRPr="00C3573C">
        <w:t xml:space="preserve"> in the UK that causes gastroenteritis in toddlers is the rotavirus (</w:t>
      </w:r>
      <w:r w:rsidR="00093979">
        <w:t>as well as</w:t>
      </w:r>
      <w:r w:rsidR="00C3573C" w:rsidRPr="00C3573C">
        <w:t xml:space="preserve"> worldwide). Before the age of five, nowadays most children in the UK have rotavirus infections. Children between the ages of 6 months and 2 years are the ones most likely to contract rotavirus illness. </w:t>
      </w:r>
      <w:r w:rsidR="00A04FB8" w:rsidRPr="00A04FB8">
        <w:t xml:space="preserve"> Very few children have passed away from rotavirus in the UK, where there is outstanding medical care, but before a vaccine was introduced, approximately 12,700 children a year were treated at hospitals</w:t>
      </w:r>
      <w:r w:rsidR="008C170C">
        <w:t xml:space="preserve"> for the rotavirus</w:t>
      </w:r>
      <w:r w:rsidR="00A04FB8" w:rsidRPr="00A04FB8">
        <w:t>.</w:t>
      </w:r>
      <w:r w:rsidR="00C2715C" w:rsidRPr="00C2715C">
        <w:t xml:space="preserve"> </w:t>
      </w:r>
      <w:r w:rsidR="001D71FA" w:rsidRPr="001D71FA">
        <w:t>In July 2013, a new infant vaccine against the most prevalent rotavirus strains was added to the childhood immunisation regimen.</w:t>
      </w:r>
      <w:r w:rsidR="00CC0B13" w:rsidRPr="00CC0B13">
        <w:t xml:space="preserve"> </w:t>
      </w:r>
      <w:r w:rsidR="008C170C">
        <w:t>There has been a national</w:t>
      </w:r>
      <w:r w:rsidR="00CC0B13" w:rsidRPr="00CC0B13">
        <w:t xml:space="preserve"> Norovirus and Rotavirus Bulletin introduced by Public Health England (PHE) in December 2020 to provide a summary of activity in England and temporarily substitute the halted Official Statistics national norovirus and rotavirus report.</w:t>
      </w:r>
      <w:r w:rsidR="0003179D" w:rsidRPr="0003179D">
        <w:t xml:space="preserve"> Through the first half of 2021, there was less activity in England across all surveillance measures. These decreases are thought to have a variety of causes. Many changes brought about by the coronavirus (COVID-19) pandemic are likely to have a detrimental effect on surveillance indicators, but they are also likely to have reduced the spread of rotavirus.</w:t>
      </w:r>
    </w:p>
    <w:p w14:paraId="655084EB" w14:textId="381D90D3" w:rsidR="00FF5C88" w:rsidRPr="006D63ED" w:rsidRDefault="00FF5C88" w:rsidP="002B4C45">
      <w:pPr>
        <w:spacing w:line="360" w:lineRule="auto"/>
        <w:rPr>
          <w:b/>
          <w:bCs/>
          <w:sz w:val="28"/>
          <w:szCs w:val="28"/>
        </w:rPr>
      </w:pPr>
      <w:r w:rsidRPr="006D63ED">
        <w:rPr>
          <w:b/>
          <w:bCs/>
          <w:sz w:val="28"/>
          <w:szCs w:val="28"/>
        </w:rPr>
        <w:t>Monitoring</w:t>
      </w:r>
    </w:p>
    <w:p w14:paraId="2CBD5A5C" w14:textId="3BA8B2C1" w:rsidR="00B8584B" w:rsidRDefault="00B8584B" w:rsidP="002B4C45">
      <w:pPr>
        <w:spacing w:line="360" w:lineRule="auto"/>
      </w:pPr>
      <w:r w:rsidRPr="00B8584B">
        <w:t>Rotavirus gastroenteritis is not a nationally reportable disease and notification is not required by CDC</w:t>
      </w:r>
      <w:r w:rsidR="001E4F6A">
        <w:t xml:space="preserve"> </w:t>
      </w:r>
      <w:r w:rsidR="004B4492">
        <w:t>(2022 Anon)</w:t>
      </w:r>
    </w:p>
    <w:p w14:paraId="2C1B3285" w14:textId="7CE37807" w:rsidR="00614E67" w:rsidRDefault="00614E67" w:rsidP="002B4C45">
      <w:pPr>
        <w:spacing w:line="360" w:lineRule="auto"/>
      </w:pPr>
      <w:r>
        <w:t xml:space="preserve">There are 3 test types to detect Rotavirus. </w:t>
      </w:r>
    </w:p>
    <w:p w14:paraId="1EF6ACF1" w14:textId="77777777" w:rsidR="004C2B3E" w:rsidRDefault="004C2B3E" w:rsidP="002B4C45">
      <w:pPr>
        <w:spacing w:line="360" w:lineRule="auto"/>
      </w:pPr>
    </w:p>
    <w:p w14:paraId="7AE91DAE" w14:textId="564866F1" w:rsidR="004C2B3E" w:rsidRPr="006D63ED" w:rsidRDefault="00EE54F4" w:rsidP="00EE54F4">
      <w:pPr>
        <w:pStyle w:val="ListParagraph"/>
        <w:numPr>
          <w:ilvl w:val="0"/>
          <w:numId w:val="1"/>
        </w:numPr>
        <w:spacing w:line="360" w:lineRule="auto"/>
        <w:rPr>
          <w:b/>
          <w:bCs/>
        </w:rPr>
      </w:pPr>
      <w:r w:rsidRPr="006D63ED">
        <w:rPr>
          <w:b/>
          <w:bCs/>
        </w:rPr>
        <w:t>Culture</w:t>
      </w:r>
    </w:p>
    <w:p w14:paraId="6208F1F5" w14:textId="78554947" w:rsidR="004C2B3E" w:rsidRDefault="004C2B3E" w:rsidP="002B4C45">
      <w:pPr>
        <w:spacing w:line="360" w:lineRule="auto"/>
      </w:pPr>
      <w:r w:rsidRPr="004C2B3E">
        <w:t>After trypsin pre-treatment, rotavirus was grown in MA104 and primary African green monkey kidney cell cultures in roller bottles.   Given its technical difficulty, length of time required, and high cost, this approach is not suitable for regular diagnostic use.  Comparatively speaking, this method's accuracy is only 50% of that of antigen detection from stool samples.</w:t>
      </w:r>
    </w:p>
    <w:p w14:paraId="0D791636" w14:textId="292243DE" w:rsidR="00EE54F4" w:rsidRPr="00142618" w:rsidRDefault="00EE54F4" w:rsidP="00EE54F4">
      <w:pPr>
        <w:pStyle w:val="ListParagraph"/>
        <w:numPr>
          <w:ilvl w:val="0"/>
          <w:numId w:val="1"/>
        </w:numPr>
        <w:spacing w:line="360" w:lineRule="auto"/>
        <w:rPr>
          <w:b/>
          <w:bCs/>
        </w:rPr>
      </w:pPr>
      <w:r w:rsidRPr="00142618">
        <w:rPr>
          <w:b/>
          <w:bCs/>
        </w:rPr>
        <w:t>Electron Microscopy</w:t>
      </w:r>
    </w:p>
    <w:p w14:paraId="229251E6" w14:textId="4836967D" w:rsidR="00EE54F4" w:rsidRDefault="000E3875" w:rsidP="000E3875">
      <w:pPr>
        <w:spacing w:line="360" w:lineRule="auto"/>
      </w:pPr>
      <w:r w:rsidRPr="000E3875">
        <w:t xml:space="preserve">Due to the high viral load in acute disease and the distinctive morphology of the organism, this was the first technique used to identify rotavirus and it is a sensitive and specific diagnostic tool. The benefit of EM is </w:t>
      </w:r>
      <w:r w:rsidR="003E2A01" w:rsidRPr="000E3875">
        <w:t>it</w:t>
      </w:r>
      <w:r w:rsidR="003E2A01">
        <w:t>s</w:t>
      </w:r>
      <w:r w:rsidRPr="000E3875">
        <w:t xml:space="preserve"> ability to identify non-rotavirus sources of diarrhoea or rotavirus infections caused by strains not picked up by antigen assays. The limited availability, high expense, and impracticality of screening numerous specimens are the drawbacks of EM. To be detected by EM, concentrations of roughly 106/mL must be present; shedding at these concentrations is normal during the first 48 hours of illness. Immune electron microscopy has the potential to improve specificity and sensitivity by 10-100 times, but </w:t>
      </w:r>
      <w:r w:rsidR="00CB5CE1">
        <w:t>chemical</w:t>
      </w:r>
      <w:r w:rsidRPr="000E3875">
        <w:t xml:space="preserve"> availability is generally low.</w:t>
      </w:r>
    </w:p>
    <w:p w14:paraId="0F720524" w14:textId="7008155A" w:rsidR="00CB5CE1" w:rsidRDefault="00142618" w:rsidP="00CB5CE1">
      <w:pPr>
        <w:pStyle w:val="ListParagraph"/>
        <w:numPr>
          <w:ilvl w:val="0"/>
          <w:numId w:val="1"/>
        </w:numPr>
        <w:spacing w:line="360" w:lineRule="auto"/>
        <w:rPr>
          <w:b/>
          <w:bCs/>
        </w:rPr>
      </w:pPr>
      <w:r w:rsidRPr="00142618">
        <w:rPr>
          <w:b/>
          <w:bCs/>
        </w:rPr>
        <w:t>Antigen Detection Method</w:t>
      </w:r>
    </w:p>
    <w:p w14:paraId="15C27B32" w14:textId="01D6141B" w:rsidR="00142618" w:rsidRPr="00142618" w:rsidRDefault="00381230" w:rsidP="00142618">
      <w:pPr>
        <w:spacing w:line="360" w:lineRule="auto"/>
      </w:pPr>
      <w:r w:rsidRPr="00381230">
        <w:t>This is the only rotavirus serogroup identified because all commercially available kits are based on the detection of the VP6 antigen of group A rotaviruses. Although rigid adherence to the manufacturers' specifications is essential for optimum test performance, it is still advised that laboratories conduct their own assessments of the test before offering it because patient populations may have various performance traits.</w:t>
      </w:r>
    </w:p>
    <w:p w14:paraId="51DE6F6D" w14:textId="5D659637" w:rsidR="00670542" w:rsidRDefault="00670542" w:rsidP="002B4C45">
      <w:pPr>
        <w:spacing w:line="360" w:lineRule="auto"/>
      </w:pPr>
    </w:p>
    <w:p w14:paraId="1D40B238" w14:textId="5601D9F2" w:rsidR="00670542" w:rsidRDefault="00670542" w:rsidP="002B4C45">
      <w:pPr>
        <w:spacing w:line="360" w:lineRule="auto"/>
      </w:pPr>
    </w:p>
    <w:p w14:paraId="2012FD52" w14:textId="314B35FB" w:rsidR="00670542" w:rsidRPr="00DE6DB1" w:rsidRDefault="004D66AD" w:rsidP="002B4C45">
      <w:pPr>
        <w:spacing w:line="360" w:lineRule="auto"/>
        <w:rPr>
          <w:b/>
          <w:bCs/>
          <w:sz w:val="28"/>
          <w:szCs w:val="28"/>
        </w:rPr>
      </w:pPr>
      <w:r w:rsidRPr="00DE6DB1">
        <w:rPr>
          <w:b/>
          <w:bCs/>
          <w:sz w:val="28"/>
          <w:szCs w:val="28"/>
        </w:rPr>
        <w:t>Control</w:t>
      </w:r>
    </w:p>
    <w:p w14:paraId="3E9C76F7" w14:textId="5976D4BC" w:rsidR="004D66AD" w:rsidRDefault="00286CFF" w:rsidP="00C63F68">
      <w:pPr>
        <w:spacing w:line="360" w:lineRule="auto"/>
      </w:pPr>
      <w:r w:rsidRPr="00286CFF">
        <w:t xml:space="preserve">The transmission of the virus can be slowed down but never stopped entirely by washing hands and keeping surfaces clean. Babies are much better protected from contracting an infection through vaccination. Babies can get their vaccines at 8 weeks of age and once more at 12 weeks, the vaccine will be delivered along with the child's other scheduled immunisations. For the best defence against rotavirus, your baby needs two doses, spaced at a minimum of four weeks apart. Babies under 15 weeks of age can receive the first dose if they skip one of the vaccinations, but babies over 24 weeks </w:t>
      </w:r>
      <w:r w:rsidRPr="00286CFF">
        <w:lastRenderedPageBreak/>
        <w:t>of age cannot receive any vaccinations. If they took their first dosage prior to 15 weeks, they might well take the second dose. The reason why children that are older than 24 weeks can’t receive the vaccine is because it could cause a condition which occurs in 1 out of 1,000 babies that could cause obstruction in their lower gut. Although it is extremely rare before children turns 3 months of age it could still occur in the babies aged between 5 month to a years Because the virus is weaker in the vaccine, it replicates the illness</w:t>
      </w:r>
      <w:r w:rsidR="00C63F68">
        <w:t>.</w:t>
      </w:r>
      <w:r w:rsidR="00C63F68" w:rsidRPr="00C63F68">
        <w:t xml:space="preserve"> </w:t>
      </w:r>
      <w:r w:rsidR="00C63F68">
        <w:t>Your baby will develop immunity thanks to the vaccine, meaning they won't contract the illness the next time they come into touch with the virus. In the UK, the majority of children who develop gastroenteritis including gastroenteritis brought on by rotavirus infection have minor symptoms that subside quickly. Make sure they consume plenty of water. You may not always need to consult a doctor. However, in the different circumstances like they are experiencing high fevers, have other underlying conditions like kidney or heart problems and if you think they are lacking fluids or the child appears drowsy you should seek medical advice. According to CDC Good hygiene like handwashing and cleanliness are important, but are not enough to control the spread of the disease. Rotavirus vaccination is the best way to protect your child from rotavirus disease (2021 CDC).</w:t>
      </w:r>
    </w:p>
    <w:p w14:paraId="7F7F5F70" w14:textId="77777777" w:rsidR="00CB1C5B" w:rsidRDefault="00CB1C5B" w:rsidP="00C63F68">
      <w:pPr>
        <w:spacing w:line="360" w:lineRule="auto"/>
      </w:pPr>
    </w:p>
    <w:p w14:paraId="6622D828" w14:textId="77777777" w:rsidR="00CB1C5B" w:rsidRDefault="00CB1C5B" w:rsidP="00C63F68">
      <w:pPr>
        <w:spacing w:line="360" w:lineRule="auto"/>
      </w:pPr>
    </w:p>
    <w:p w14:paraId="526F204F" w14:textId="77777777" w:rsidR="00CB1C5B" w:rsidRDefault="00CB1C5B" w:rsidP="00C63F68">
      <w:pPr>
        <w:spacing w:line="360" w:lineRule="auto"/>
      </w:pPr>
    </w:p>
    <w:p w14:paraId="4219644B" w14:textId="77777777" w:rsidR="00CB1C5B" w:rsidRDefault="00CB1C5B" w:rsidP="00C63F68">
      <w:pPr>
        <w:spacing w:line="360" w:lineRule="auto"/>
      </w:pPr>
    </w:p>
    <w:p w14:paraId="49738057" w14:textId="77777777" w:rsidR="00CB1C5B" w:rsidRDefault="00CB1C5B" w:rsidP="00C63F68">
      <w:pPr>
        <w:spacing w:line="360" w:lineRule="auto"/>
      </w:pPr>
    </w:p>
    <w:p w14:paraId="3F101F70" w14:textId="77777777" w:rsidR="00CB1C5B" w:rsidRDefault="00CB1C5B" w:rsidP="00C63F68">
      <w:pPr>
        <w:spacing w:line="360" w:lineRule="auto"/>
      </w:pPr>
    </w:p>
    <w:p w14:paraId="63CA5CC0" w14:textId="77777777" w:rsidR="00CB1C5B" w:rsidRDefault="00CB1C5B" w:rsidP="00C63F68">
      <w:pPr>
        <w:spacing w:line="360" w:lineRule="auto"/>
      </w:pPr>
    </w:p>
    <w:p w14:paraId="0F16FE94" w14:textId="77777777" w:rsidR="00CB1C5B" w:rsidRDefault="00CB1C5B" w:rsidP="00C63F68">
      <w:pPr>
        <w:spacing w:line="360" w:lineRule="auto"/>
      </w:pPr>
    </w:p>
    <w:p w14:paraId="76CCDD70" w14:textId="77777777" w:rsidR="00CB1C5B" w:rsidRDefault="00CB1C5B" w:rsidP="00C63F68">
      <w:pPr>
        <w:spacing w:line="360" w:lineRule="auto"/>
      </w:pPr>
    </w:p>
    <w:p w14:paraId="469F9B65" w14:textId="77777777" w:rsidR="00CB1C5B" w:rsidRDefault="00CB1C5B" w:rsidP="00C63F68">
      <w:pPr>
        <w:spacing w:line="360" w:lineRule="auto"/>
      </w:pPr>
    </w:p>
    <w:p w14:paraId="0C33B266" w14:textId="77777777" w:rsidR="00CB1C5B" w:rsidRDefault="00CB1C5B" w:rsidP="00C63F68">
      <w:pPr>
        <w:spacing w:line="360" w:lineRule="auto"/>
      </w:pPr>
    </w:p>
    <w:p w14:paraId="26D196CF" w14:textId="77777777" w:rsidR="00CB1C5B" w:rsidRDefault="00CB1C5B" w:rsidP="00C63F68">
      <w:pPr>
        <w:spacing w:line="360" w:lineRule="auto"/>
      </w:pPr>
    </w:p>
    <w:p w14:paraId="17D91A32" w14:textId="77777777" w:rsidR="00CB1C5B" w:rsidRDefault="00CB1C5B" w:rsidP="00C63F68">
      <w:pPr>
        <w:spacing w:line="360" w:lineRule="auto"/>
      </w:pPr>
    </w:p>
    <w:p w14:paraId="58B918A1" w14:textId="77777777" w:rsidR="00CB1C5B" w:rsidRDefault="00CB1C5B" w:rsidP="00C63F68">
      <w:pPr>
        <w:spacing w:line="360" w:lineRule="auto"/>
      </w:pPr>
    </w:p>
    <w:p w14:paraId="2C991339" w14:textId="77777777" w:rsidR="00CB1C5B" w:rsidRDefault="00CB1C5B" w:rsidP="00C63F68">
      <w:pPr>
        <w:spacing w:line="360" w:lineRule="auto"/>
      </w:pPr>
    </w:p>
    <w:p w14:paraId="5215D59E" w14:textId="232D1BEA" w:rsidR="00CB1C5B" w:rsidRDefault="00CB1C5B" w:rsidP="00CB1C5B">
      <w:pPr>
        <w:spacing w:line="360" w:lineRule="auto"/>
        <w:jc w:val="center"/>
        <w:rPr>
          <w:sz w:val="48"/>
          <w:szCs w:val="48"/>
        </w:rPr>
      </w:pPr>
      <w:r w:rsidRPr="00CB1C5B">
        <w:rPr>
          <w:sz w:val="48"/>
          <w:szCs w:val="48"/>
        </w:rPr>
        <w:t>Conclusion</w:t>
      </w:r>
    </w:p>
    <w:p w14:paraId="17F7B068" w14:textId="53C3D2EB" w:rsidR="00CB1C5B" w:rsidRDefault="00CB1C5B" w:rsidP="00CB1C5B">
      <w:pPr>
        <w:spacing w:line="360" w:lineRule="auto"/>
      </w:pPr>
      <w:r>
        <w:t xml:space="preserve">To conclude this report, the Rotavirus is </w:t>
      </w:r>
      <w:r w:rsidR="0049420D">
        <w:t xml:space="preserve">highly contagious yet not so </w:t>
      </w:r>
      <w:r w:rsidR="002F1B7A">
        <w:t xml:space="preserve">serious when it comes to the </w:t>
      </w:r>
      <w:r w:rsidR="001A0969">
        <w:t>aftermath</w:t>
      </w:r>
      <w:r w:rsidR="002F1B7A">
        <w:t xml:space="preserve"> of catching the disease. In most cases it is curable, and you should not have any side </w:t>
      </w:r>
      <w:r w:rsidR="001A0969">
        <w:t>effects</w:t>
      </w:r>
      <w:r w:rsidR="002F1B7A">
        <w:t xml:space="preserve"> from it.</w:t>
      </w:r>
      <w:r w:rsidR="001A0969">
        <w:t xml:space="preserve"> This virus is so common that</w:t>
      </w:r>
      <w:r w:rsidR="002F1B7A">
        <w:t xml:space="preserve"> </w:t>
      </w:r>
      <w:r w:rsidR="001A0969">
        <w:t>infants get vaccinated f</w:t>
      </w:r>
      <w:r w:rsidR="00803250">
        <w:t xml:space="preserve">or </w:t>
      </w:r>
      <w:r w:rsidR="001A0969">
        <w:t>it</w:t>
      </w:r>
      <w:r w:rsidR="00803250">
        <w:t xml:space="preserve"> and it’s a rare occasion when an adult catches it as it is most common in children</w:t>
      </w:r>
      <w:r w:rsidR="00B36EFC">
        <w:t>. There is multiple PCR test you can do to identify the virus</w:t>
      </w:r>
      <w:r w:rsidR="00A030CB">
        <w:t xml:space="preserve"> but you can guess it even from the symptoms as to how common it is. General </w:t>
      </w:r>
      <w:r w:rsidR="006224B3">
        <w:t xml:space="preserve">hygiene could help in not catching it or spreading </w:t>
      </w:r>
      <w:r w:rsidR="000414B6">
        <w:t>it.</w:t>
      </w:r>
    </w:p>
    <w:p w14:paraId="24A6E399" w14:textId="77777777" w:rsidR="000414B6" w:rsidRDefault="000414B6" w:rsidP="00CB1C5B">
      <w:pPr>
        <w:spacing w:line="360" w:lineRule="auto"/>
      </w:pPr>
    </w:p>
    <w:p w14:paraId="1F20541A" w14:textId="77777777" w:rsidR="000414B6" w:rsidRDefault="000414B6" w:rsidP="00CB1C5B">
      <w:pPr>
        <w:spacing w:line="360" w:lineRule="auto"/>
      </w:pPr>
    </w:p>
    <w:p w14:paraId="60DCDF07" w14:textId="77777777" w:rsidR="000414B6" w:rsidRDefault="000414B6" w:rsidP="00CB1C5B">
      <w:pPr>
        <w:spacing w:line="360" w:lineRule="auto"/>
      </w:pPr>
    </w:p>
    <w:p w14:paraId="7E546687" w14:textId="77777777" w:rsidR="000414B6" w:rsidRDefault="000414B6" w:rsidP="00CB1C5B">
      <w:pPr>
        <w:spacing w:line="360" w:lineRule="auto"/>
      </w:pPr>
    </w:p>
    <w:p w14:paraId="7FA7BA2E" w14:textId="77777777" w:rsidR="000414B6" w:rsidRDefault="000414B6" w:rsidP="00CB1C5B">
      <w:pPr>
        <w:spacing w:line="360" w:lineRule="auto"/>
      </w:pPr>
    </w:p>
    <w:p w14:paraId="3A41E0F6" w14:textId="77777777" w:rsidR="000414B6" w:rsidRDefault="000414B6" w:rsidP="00CB1C5B">
      <w:pPr>
        <w:spacing w:line="360" w:lineRule="auto"/>
      </w:pPr>
    </w:p>
    <w:p w14:paraId="5A4AE1BF" w14:textId="77777777" w:rsidR="000414B6" w:rsidRDefault="000414B6" w:rsidP="00CB1C5B">
      <w:pPr>
        <w:spacing w:line="360" w:lineRule="auto"/>
      </w:pPr>
    </w:p>
    <w:p w14:paraId="314B4F78" w14:textId="77777777" w:rsidR="000414B6" w:rsidRDefault="000414B6" w:rsidP="00CB1C5B">
      <w:pPr>
        <w:spacing w:line="360" w:lineRule="auto"/>
      </w:pPr>
    </w:p>
    <w:p w14:paraId="47BBF7FD" w14:textId="77777777" w:rsidR="000414B6" w:rsidRDefault="000414B6" w:rsidP="00CB1C5B">
      <w:pPr>
        <w:spacing w:line="360" w:lineRule="auto"/>
      </w:pPr>
    </w:p>
    <w:p w14:paraId="6485540D" w14:textId="77777777" w:rsidR="000414B6" w:rsidRDefault="000414B6" w:rsidP="00CB1C5B">
      <w:pPr>
        <w:spacing w:line="360" w:lineRule="auto"/>
      </w:pPr>
    </w:p>
    <w:p w14:paraId="2E03E1DE" w14:textId="77777777" w:rsidR="000414B6" w:rsidRDefault="000414B6" w:rsidP="00CB1C5B">
      <w:pPr>
        <w:spacing w:line="360" w:lineRule="auto"/>
      </w:pPr>
    </w:p>
    <w:p w14:paraId="2EBF9021" w14:textId="77777777" w:rsidR="000414B6" w:rsidRDefault="000414B6" w:rsidP="00CB1C5B">
      <w:pPr>
        <w:spacing w:line="360" w:lineRule="auto"/>
      </w:pPr>
    </w:p>
    <w:p w14:paraId="24699D9D" w14:textId="77777777" w:rsidR="000414B6" w:rsidRDefault="000414B6" w:rsidP="00CB1C5B">
      <w:pPr>
        <w:spacing w:line="360" w:lineRule="auto"/>
      </w:pPr>
    </w:p>
    <w:p w14:paraId="0FAE713B" w14:textId="77777777" w:rsidR="000414B6" w:rsidRDefault="000414B6" w:rsidP="00CB1C5B">
      <w:pPr>
        <w:spacing w:line="360" w:lineRule="auto"/>
      </w:pPr>
    </w:p>
    <w:p w14:paraId="106C2596" w14:textId="77777777" w:rsidR="000414B6" w:rsidRDefault="000414B6" w:rsidP="00CB1C5B">
      <w:pPr>
        <w:spacing w:line="360" w:lineRule="auto"/>
      </w:pPr>
    </w:p>
    <w:p w14:paraId="0662E776" w14:textId="77777777" w:rsidR="000414B6" w:rsidRDefault="000414B6" w:rsidP="00CB1C5B">
      <w:pPr>
        <w:spacing w:line="360" w:lineRule="auto"/>
      </w:pPr>
    </w:p>
    <w:p w14:paraId="573E4D85" w14:textId="77777777" w:rsidR="000414B6" w:rsidRDefault="000414B6" w:rsidP="00CB1C5B">
      <w:pPr>
        <w:spacing w:line="360" w:lineRule="auto"/>
      </w:pPr>
    </w:p>
    <w:p w14:paraId="494BC0B7" w14:textId="77777777" w:rsidR="000414B6" w:rsidRDefault="000414B6" w:rsidP="00CB1C5B">
      <w:pPr>
        <w:spacing w:line="360" w:lineRule="auto"/>
      </w:pPr>
    </w:p>
    <w:p w14:paraId="2EF20EDA" w14:textId="37C96DDC" w:rsidR="000414B6" w:rsidRDefault="000414B6" w:rsidP="000414B6">
      <w:pPr>
        <w:spacing w:line="360" w:lineRule="auto"/>
        <w:jc w:val="center"/>
        <w:rPr>
          <w:sz w:val="48"/>
          <w:szCs w:val="48"/>
        </w:rPr>
      </w:pPr>
      <w:r w:rsidRPr="000414B6">
        <w:rPr>
          <w:sz w:val="48"/>
          <w:szCs w:val="48"/>
        </w:rPr>
        <w:t>References</w:t>
      </w:r>
    </w:p>
    <w:p w14:paraId="0DA2AA39" w14:textId="7C91E814" w:rsidR="000414B6" w:rsidRDefault="004B7AF9" w:rsidP="000414B6">
      <w:pPr>
        <w:spacing w:line="360" w:lineRule="auto"/>
        <w:rPr>
          <w:sz w:val="24"/>
          <w:szCs w:val="24"/>
        </w:rPr>
      </w:pPr>
      <w:r w:rsidRPr="004B7AF9">
        <w:rPr>
          <w:sz w:val="24"/>
          <w:szCs w:val="24"/>
        </w:rPr>
        <w:t xml:space="preserve">www.cdc.gov. (2022). Rotavirus - Vaccine Preventable Diseases Surveillance Manual | CDC. [online] Available at: </w:t>
      </w:r>
      <w:hyperlink r:id="rId7" w:history="1">
        <w:r w:rsidRPr="00FE4718">
          <w:rPr>
            <w:rStyle w:val="Hyperlink"/>
            <w:sz w:val="24"/>
            <w:szCs w:val="24"/>
          </w:rPr>
          <w:t>https://www.cdc.gov/vaccines/pubs/surv-manual/chpt13-rotavirus.html#:~:text=Rotavirus%20gastroenteritis%20is%20not%20a</w:t>
        </w:r>
      </w:hyperlink>
      <w:r w:rsidRPr="004B7AF9">
        <w:rPr>
          <w:sz w:val="24"/>
          <w:szCs w:val="24"/>
        </w:rPr>
        <w:t>.</w:t>
      </w:r>
    </w:p>
    <w:p w14:paraId="0F2D4011" w14:textId="00E3FEFF" w:rsidR="004B7AF9" w:rsidRDefault="00194180" w:rsidP="000414B6">
      <w:pPr>
        <w:spacing w:line="360" w:lineRule="auto"/>
        <w:rPr>
          <w:sz w:val="24"/>
          <w:szCs w:val="24"/>
        </w:rPr>
      </w:pPr>
      <w:r w:rsidRPr="00194180">
        <w:rPr>
          <w:sz w:val="24"/>
          <w:szCs w:val="24"/>
        </w:rPr>
        <w:t>GOV.UK. (n.d.). National norovirus and rotavirus report, week 9 report: data up to week 7 (19 February 2023). [online] Available at: https://www.gov.uk/government/statistics/national-norovirus-and-rotavirus-surveillance-reports-2022-to-2023-season/national-norovirus-and-rotavirus-report-week-9-report-data-up-to-week-7-19-february-2023 [Accessed 10 Mar. 2023].</w:t>
      </w:r>
    </w:p>
    <w:p w14:paraId="2C48F0D7" w14:textId="54F09969" w:rsidR="00194180" w:rsidRDefault="00480150" w:rsidP="000414B6">
      <w:pPr>
        <w:spacing w:line="360" w:lineRule="auto"/>
        <w:rPr>
          <w:sz w:val="24"/>
          <w:szCs w:val="24"/>
        </w:rPr>
      </w:pPr>
      <w:r w:rsidRPr="00480150">
        <w:rPr>
          <w:sz w:val="24"/>
          <w:szCs w:val="24"/>
        </w:rPr>
        <w:t xml:space="preserve">vk.ovg.ox.ac.uk. (n.d.). Rotavirus. [online] Available at: </w:t>
      </w:r>
      <w:hyperlink r:id="rId8" w:history="1">
        <w:r w:rsidRPr="00FE4718">
          <w:rPr>
            <w:rStyle w:val="Hyperlink"/>
            <w:sz w:val="24"/>
            <w:szCs w:val="24"/>
          </w:rPr>
          <w:t>https://vk.ovg.ox.ac.uk/rotavirus#More-information-about-the-disease</w:t>
        </w:r>
      </w:hyperlink>
    </w:p>
    <w:p w14:paraId="5B4E68FE" w14:textId="3145CEE3" w:rsidR="00480150" w:rsidRDefault="00C22269" w:rsidP="000414B6">
      <w:pPr>
        <w:spacing w:line="360" w:lineRule="auto"/>
        <w:rPr>
          <w:sz w:val="24"/>
          <w:szCs w:val="24"/>
        </w:rPr>
      </w:pPr>
      <w:r w:rsidRPr="00C22269">
        <w:rPr>
          <w:sz w:val="24"/>
          <w:szCs w:val="24"/>
        </w:rPr>
        <w:t xml:space="preserve">European Centre for Disease Prevention and Control. (n.d.). Prevention and control measures for rotavirus. [online] Available at: </w:t>
      </w:r>
      <w:hyperlink r:id="rId9" w:history="1">
        <w:r w:rsidRPr="00FE4718">
          <w:rPr>
            <w:rStyle w:val="Hyperlink"/>
            <w:sz w:val="24"/>
            <w:szCs w:val="24"/>
          </w:rPr>
          <w:t>https://www.ecdc.europa.eu/en/rotavirus-infection/prevention-and-control</w:t>
        </w:r>
      </w:hyperlink>
      <w:r w:rsidRPr="00C22269">
        <w:rPr>
          <w:sz w:val="24"/>
          <w:szCs w:val="24"/>
        </w:rPr>
        <w:t>.</w:t>
      </w:r>
    </w:p>
    <w:p w14:paraId="4027D2F0" w14:textId="55E831A1" w:rsidR="00C22269" w:rsidRDefault="00FB4167" w:rsidP="000414B6">
      <w:pPr>
        <w:spacing w:line="360" w:lineRule="auto"/>
        <w:rPr>
          <w:sz w:val="24"/>
          <w:szCs w:val="24"/>
        </w:rPr>
      </w:pPr>
      <w:r w:rsidRPr="00FB4167">
        <w:rPr>
          <w:sz w:val="24"/>
          <w:szCs w:val="24"/>
        </w:rPr>
        <w:t xml:space="preserve">Pitzer, V.E., Bennett, A., Bar-Zeev, N., Jere, K.C., Lopman, B.A., Lewnard, J.A., Parashar, U.D. and Cunliffe, N.A. (2019). Evaluating strategies to improve rotavirus vaccine impact during the second year of life in Malawi. Science Translational Medicine, [online] 11(505). </w:t>
      </w:r>
      <w:r w:rsidRPr="00FB4167">
        <w:rPr>
          <w:sz w:val="24"/>
          <w:szCs w:val="24"/>
        </w:rPr>
        <w:t xml:space="preserve">Doi: </w:t>
      </w:r>
      <w:r>
        <w:rPr>
          <w:sz w:val="24"/>
          <w:szCs w:val="24"/>
        </w:rPr>
        <w:t>https</w:t>
      </w:r>
      <w:r w:rsidRPr="00FB4167">
        <w:rPr>
          <w:sz w:val="24"/>
          <w:szCs w:val="24"/>
        </w:rPr>
        <w:t>//doi.org/10.1126/scitranslmed.aav6419.</w:t>
      </w:r>
    </w:p>
    <w:p w14:paraId="66500E75" w14:textId="14540A28" w:rsidR="00FB4167" w:rsidRDefault="006973FE" w:rsidP="000414B6">
      <w:pPr>
        <w:spacing w:line="360" w:lineRule="auto"/>
        <w:rPr>
          <w:sz w:val="24"/>
          <w:szCs w:val="24"/>
        </w:rPr>
      </w:pPr>
      <w:r w:rsidRPr="006973FE">
        <w:rPr>
          <w:sz w:val="24"/>
          <w:szCs w:val="24"/>
        </w:rPr>
        <w:t xml:space="preserve">www.cdc.gov. (2022). Reporting and Surveillance for Norovirus | CDC. [online] Available at: </w:t>
      </w:r>
      <w:hyperlink r:id="rId10" w:history="1">
        <w:r w:rsidRPr="00FE4718">
          <w:rPr>
            <w:rStyle w:val="Hyperlink"/>
            <w:sz w:val="24"/>
            <w:szCs w:val="24"/>
          </w:rPr>
          <w:t>https://www.cdc.gov/norovirus/reporting/index.html#:~:text=Public%20health%20agencies%20can%20report</w:t>
        </w:r>
      </w:hyperlink>
    </w:p>
    <w:p w14:paraId="41F7C5D7" w14:textId="38A32D3B" w:rsidR="006973FE" w:rsidRDefault="00E65000" w:rsidP="000414B6">
      <w:pPr>
        <w:spacing w:line="360" w:lineRule="auto"/>
        <w:rPr>
          <w:sz w:val="24"/>
          <w:szCs w:val="24"/>
        </w:rPr>
      </w:pPr>
      <w:r w:rsidRPr="00E65000">
        <w:rPr>
          <w:sz w:val="24"/>
          <w:szCs w:val="24"/>
        </w:rPr>
        <w:t xml:space="preserve">patient.info. (n.d.). Rotavirus: Symptoms and Treatment. [online] Available at: </w:t>
      </w:r>
      <w:hyperlink r:id="rId11" w:history="1">
        <w:r w:rsidRPr="00FE4718">
          <w:rPr>
            <w:rStyle w:val="Hyperlink"/>
            <w:sz w:val="24"/>
            <w:szCs w:val="24"/>
          </w:rPr>
          <w:t>https://patient.info/childrens-health/acute-diarrhoea-in-children/rotavirus#:~:text=Almost%20every%20child%20in%20the</w:t>
        </w:r>
      </w:hyperlink>
    </w:p>
    <w:p w14:paraId="3C319A5F" w14:textId="0646AC04" w:rsidR="006D63ED" w:rsidRDefault="006D63ED" w:rsidP="006D63ED">
      <w:pPr>
        <w:spacing w:line="360" w:lineRule="auto"/>
        <w:rPr>
          <w:sz w:val="24"/>
          <w:szCs w:val="24"/>
        </w:rPr>
      </w:pPr>
      <w:r w:rsidRPr="006D63ED">
        <w:rPr>
          <w:sz w:val="24"/>
          <w:szCs w:val="24"/>
        </w:rPr>
        <w:t xml:space="preserve">The rotavirus vaccination programme Information for healthcare practitioners. (n.d.). Available at: </w:t>
      </w:r>
      <w:hyperlink r:id="rId12" w:history="1">
        <w:r w:rsidRPr="00FE4718">
          <w:rPr>
            <w:rStyle w:val="Hyperlink"/>
            <w:sz w:val="24"/>
            <w:szCs w:val="24"/>
          </w:rPr>
          <w:t>https://assets.publishing.service.gov.uk/government/uploads/system/uploads/attachment_data/file/1018732/Rotavirus_information__for_healthcare_practitioners_Sept_2021.pdf</w:t>
        </w:r>
      </w:hyperlink>
      <w:r w:rsidRPr="006D63ED">
        <w:rPr>
          <w:sz w:val="24"/>
          <w:szCs w:val="24"/>
        </w:rPr>
        <w:t>.</w:t>
      </w:r>
    </w:p>
    <w:p w14:paraId="3525627C" w14:textId="77777777" w:rsidR="006D63ED" w:rsidRPr="006D63ED" w:rsidRDefault="006D63ED" w:rsidP="006D63ED">
      <w:pPr>
        <w:spacing w:line="360" w:lineRule="auto"/>
        <w:rPr>
          <w:sz w:val="24"/>
          <w:szCs w:val="24"/>
        </w:rPr>
      </w:pPr>
    </w:p>
    <w:p w14:paraId="55FBFD69" w14:textId="77777777" w:rsidR="006D63ED" w:rsidRPr="006D63ED" w:rsidRDefault="006D63ED" w:rsidP="006D63ED">
      <w:pPr>
        <w:spacing w:line="360" w:lineRule="auto"/>
        <w:rPr>
          <w:sz w:val="24"/>
          <w:szCs w:val="24"/>
        </w:rPr>
      </w:pPr>
    </w:p>
    <w:p w14:paraId="0C036B3F" w14:textId="3F358940" w:rsidR="00A61F01" w:rsidRDefault="006D63ED" w:rsidP="006D63ED">
      <w:pPr>
        <w:spacing w:line="360" w:lineRule="auto"/>
        <w:rPr>
          <w:sz w:val="24"/>
          <w:szCs w:val="24"/>
        </w:rPr>
      </w:pPr>
      <w:r w:rsidRPr="006D63ED">
        <w:rPr>
          <w:sz w:val="24"/>
          <w:szCs w:val="24"/>
        </w:rPr>
        <w:t>‌</w:t>
      </w:r>
    </w:p>
    <w:p w14:paraId="6D8C9726" w14:textId="77777777" w:rsidR="00FB4167" w:rsidRDefault="00FB4167" w:rsidP="000414B6">
      <w:pPr>
        <w:spacing w:line="360" w:lineRule="auto"/>
        <w:rPr>
          <w:sz w:val="24"/>
          <w:szCs w:val="24"/>
        </w:rPr>
      </w:pPr>
    </w:p>
    <w:p w14:paraId="45CEE529" w14:textId="77777777" w:rsidR="00194180" w:rsidRPr="000414B6" w:rsidRDefault="00194180" w:rsidP="000414B6">
      <w:pPr>
        <w:spacing w:line="360" w:lineRule="auto"/>
        <w:rPr>
          <w:sz w:val="24"/>
          <w:szCs w:val="24"/>
        </w:rPr>
      </w:pPr>
    </w:p>
    <w:sectPr w:rsidR="00194180" w:rsidRPr="000414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1AE8E" w14:textId="77777777" w:rsidR="00611E71" w:rsidRDefault="00611E71" w:rsidP="00611E71">
      <w:pPr>
        <w:spacing w:after="0" w:line="240" w:lineRule="auto"/>
      </w:pPr>
      <w:r>
        <w:separator/>
      </w:r>
    </w:p>
  </w:endnote>
  <w:endnote w:type="continuationSeparator" w:id="0">
    <w:p w14:paraId="144E618B" w14:textId="77777777" w:rsidR="00611E71" w:rsidRDefault="00611E71" w:rsidP="00611E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65224" w14:textId="77777777" w:rsidR="00611E71" w:rsidRDefault="00611E71" w:rsidP="00611E71">
      <w:pPr>
        <w:spacing w:after="0" w:line="240" w:lineRule="auto"/>
      </w:pPr>
      <w:r>
        <w:separator/>
      </w:r>
    </w:p>
  </w:footnote>
  <w:footnote w:type="continuationSeparator" w:id="0">
    <w:p w14:paraId="6CBE1AF9" w14:textId="77777777" w:rsidR="00611E71" w:rsidRDefault="00611E71" w:rsidP="00611E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11859"/>
    <w:multiLevelType w:val="hybridMultilevel"/>
    <w:tmpl w:val="E9B0C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8134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D1F"/>
    <w:rsid w:val="0003179D"/>
    <w:rsid w:val="000414B6"/>
    <w:rsid w:val="00093979"/>
    <w:rsid w:val="000E1835"/>
    <w:rsid w:val="000E3875"/>
    <w:rsid w:val="00142618"/>
    <w:rsid w:val="00165BA0"/>
    <w:rsid w:val="00194180"/>
    <w:rsid w:val="001A0969"/>
    <w:rsid w:val="001D71FA"/>
    <w:rsid w:val="001E1B71"/>
    <w:rsid w:val="001E4F6A"/>
    <w:rsid w:val="00286CFF"/>
    <w:rsid w:val="002B4C45"/>
    <w:rsid w:val="002D4099"/>
    <w:rsid w:val="002F1B7A"/>
    <w:rsid w:val="00363477"/>
    <w:rsid w:val="00381230"/>
    <w:rsid w:val="003E2A01"/>
    <w:rsid w:val="003F39D9"/>
    <w:rsid w:val="00480150"/>
    <w:rsid w:val="0049420D"/>
    <w:rsid w:val="004B4492"/>
    <w:rsid w:val="004B7AF9"/>
    <w:rsid w:val="004C2B3E"/>
    <w:rsid w:val="004C5D4D"/>
    <w:rsid w:val="004D66AD"/>
    <w:rsid w:val="00565B3B"/>
    <w:rsid w:val="005E0EE0"/>
    <w:rsid w:val="00611E71"/>
    <w:rsid w:val="00614E67"/>
    <w:rsid w:val="006224B3"/>
    <w:rsid w:val="00670542"/>
    <w:rsid w:val="006973FE"/>
    <w:rsid w:val="006D63ED"/>
    <w:rsid w:val="006E0C9F"/>
    <w:rsid w:val="00757701"/>
    <w:rsid w:val="00766D1D"/>
    <w:rsid w:val="00803250"/>
    <w:rsid w:val="00825828"/>
    <w:rsid w:val="00886D8F"/>
    <w:rsid w:val="008C170C"/>
    <w:rsid w:val="008E3A35"/>
    <w:rsid w:val="009D2690"/>
    <w:rsid w:val="00A030CB"/>
    <w:rsid w:val="00A04FB8"/>
    <w:rsid w:val="00A37276"/>
    <w:rsid w:val="00A61F01"/>
    <w:rsid w:val="00AD7928"/>
    <w:rsid w:val="00B13866"/>
    <w:rsid w:val="00B36EFC"/>
    <w:rsid w:val="00B8584B"/>
    <w:rsid w:val="00C22269"/>
    <w:rsid w:val="00C2715C"/>
    <w:rsid w:val="00C3573C"/>
    <w:rsid w:val="00C63F68"/>
    <w:rsid w:val="00C82A7E"/>
    <w:rsid w:val="00CB1C5B"/>
    <w:rsid w:val="00CB5CE1"/>
    <w:rsid w:val="00CC0B13"/>
    <w:rsid w:val="00D52D1F"/>
    <w:rsid w:val="00DD06A1"/>
    <w:rsid w:val="00DE6DB1"/>
    <w:rsid w:val="00E314F9"/>
    <w:rsid w:val="00E65000"/>
    <w:rsid w:val="00E67EF5"/>
    <w:rsid w:val="00E774B1"/>
    <w:rsid w:val="00EE54F4"/>
    <w:rsid w:val="00F3199F"/>
    <w:rsid w:val="00FB4167"/>
    <w:rsid w:val="00FF5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E5E0E"/>
  <w15:chartTrackingRefBased/>
  <w15:docId w15:val="{E6DFEA31-3586-4905-887B-451E36A9E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54F4"/>
    <w:pPr>
      <w:ind w:left="720"/>
      <w:contextualSpacing/>
    </w:pPr>
  </w:style>
  <w:style w:type="character" w:styleId="Hyperlink">
    <w:name w:val="Hyperlink"/>
    <w:basedOn w:val="DefaultParagraphFont"/>
    <w:uiPriority w:val="99"/>
    <w:unhideWhenUsed/>
    <w:rsid w:val="004B7AF9"/>
    <w:rPr>
      <w:color w:val="0563C1" w:themeColor="hyperlink"/>
      <w:u w:val="single"/>
    </w:rPr>
  </w:style>
  <w:style w:type="character" w:styleId="UnresolvedMention">
    <w:name w:val="Unresolved Mention"/>
    <w:basedOn w:val="DefaultParagraphFont"/>
    <w:uiPriority w:val="99"/>
    <w:semiHidden/>
    <w:unhideWhenUsed/>
    <w:rsid w:val="004B7AF9"/>
    <w:rPr>
      <w:color w:val="605E5C"/>
      <w:shd w:val="clear" w:color="auto" w:fill="E1DFDD"/>
    </w:rPr>
  </w:style>
  <w:style w:type="paragraph" w:styleId="Header">
    <w:name w:val="header"/>
    <w:basedOn w:val="Normal"/>
    <w:link w:val="HeaderChar"/>
    <w:uiPriority w:val="99"/>
    <w:unhideWhenUsed/>
    <w:rsid w:val="00611E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E71"/>
  </w:style>
  <w:style w:type="paragraph" w:styleId="Footer">
    <w:name w:val="footer"/>
    <w:basedOn w:val="Normal"/>
    <w:link w:val="FooterChar"/>
    <w:uiPriority w:val="99"/>
    <w:unhideWhenUsed/>
    <w:rsid w:val="00611E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E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k.ovg.ox.ac.uk/rotavirus#More-information-about-the-diseas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dc.gov/vaccines/pubs/surv-manual/chpt13-rotavirus.html#:~:text=Rotavirus%20gastroenteritis%20is%20not%20a" TargetMode="External"/><Relationship Id="rId12" Type="http://schemas.openxmlformats.org/officeDocument/2006/relationships/hyperlink" Target="https://assets.publishing.service.gov.uk/government/uploads/system/uploads/attachment_data/file/1018732/Rotavirus_information__for_healthcare_practitioners_Sept_202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tient.info/childrens-health/acute-diarrhoea-in-children/rotavirus#:~:text=Almost%20every%20child%20in%20the" TargetMode="External"/><Relationship Id="rId5" Type="http://schemas.openxmlformats.org/officeDocument/2006/relationships/footnotes" Target="footnotes.xml"/><Relationship Id="rId10" Type="http://schemas.openxmlformats.org/officeDocument/2006/relationships/hyperlink" Target="https://www.cdc.gov/norovirus/reporting/index.html#:~:text=Public%20health%20agencies%20can%20report" TargetMode="External"/><Relationship Id="rId4" Type="http://schemas.openxmlformats.org/officeDocument/2006/relationships/webSettings" Target="webSettings.xml"/><Relationship Id="rId9" Type="http://schemas.openxmlformats.org/officeDocument/2006/relationships/hyperlink" Target="https://www.ecdc.europa.eu/en/rotavirus-infection/prevention-and-contro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1364</Words>
  <Characters>7968</Characters>
  <Application>Microsoft Office Word</Application>
  <DocSecurity>0</DocSecurity>
  <Lines>498</Lines>
  <Paragraphs>113</Paragraphs>
  <ScaleCrop>false</ScaleCrop>
  <Company/>
  <LinksUpToDate>false</LinksUpToDate>
  <CharactersWithSpaces>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Karazijaite</dc:creator>
  <cp:keywords/>
  <dc:description/>
  <cp:lastModifiedBy>Margarita Karazijaite</cp:lastModifiedBy>
  <cp:revision>2</cp:revision>
  <dcterms:created xsi:type="dcterms:W3CDTF">2023-03-10T21:54:00Z</dcterms:created>
  <dcterms:modified xsi:type="dcterms:W3CDTF">2023-03-10T21:54:00Z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83e4af6a-74ba-4312-939e-f5382762e538</vt:lpwstr>
  </property>
</Properties>
</file>