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2E4B81"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41E51034"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4B28A16D" w14:textId="1062BC1B"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r>
        <w:rPr>
          <w:rFonts w:asciiTheme="minorHAnsi" w:hAnsiTheme="minorHAnsi"/>
          <w:b/>
          <w:bCs/>
          <w:sz w:val="28"/>
          <w:szCs w:val="28"/>
        </w:rPr>
        <w:t>Shannon Fry</w:t>
      </w:r>
    </w:p>
    <w:p w14:paraId="4318021D" w14:textId="68C36171" w:rsidR="008D71A2"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r>
        <w:rPr>
          <w:rFonts w:asciiTheme="minorHAnsi" w:hAnsiTheme="minorHAnsi"/>
          <w:b/>
          <w:bCs/>
          <w:sz w:val="28"/>
          <w:szCs w:val="28"/>
        </w:rPr>
        <w:t>2505762</w:t>
      </w:r>
    </w:p>
    <w:p w14:paraId="7611BC12" w14:textId="2DEC9744" w:rsidR="002A58C1" w:rsidRDefault="001F4F75">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r>
        <w:rPr>
          <w:rFonts w:asciiTheme="minorHAnsi" w:hAnsiTheme="minorHAnsi"/>
          <w:b/>
          <w:bCs/>
          <w:sz w:val="28"/>
          <w:szCs w:val="28"/>
        </w:rPr>
        <w:t>ECEY</w:t>
      </w:r>
      <w:r w:rsidR="00CE6C44">
        <w:rPr>
          <w:rFonts w:asciiTheme="minorHAnsi" w:hAnsiTheme="minorHAnsi"/>
          <w:b/>
          <w:bCs/>
          <w:sz w:val="28"/>
          <w:szCs w:val="28"/>
        </w:rPr>
        <w:t>5</w:t>
      </w:r>
      <w:r w:rsidR="00761496">
        <w:rPr>
          <w:rFonts w:asciiTheme="minorHAnsi" w:hAnsiTheme="minorHAnsi"/>
          <w:b/>
          <w:bCs/>
          <w:sz w:val="28"/>
          <w:szCs w:val="28"/>
        </w:rPr>
        <w:t>009/</w:t>
      </w:r>
      <w:r w:rsidR="002641E2">
        <w:rPr>
          <w:rFonts w:asciiTheme="minorHAnsi" w:hAnsiTheme="minorHAnsi"/>
          <w:b/>
          <w:bCs/>
          <w:sz w:val="28"/>
          <w:szCs w:val="28"/>
        </w:rPr>
        <w:t>C</w:t>
      </w:r>
    </w:p>
    <w:p w14:paraId="696F8220"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2CF37735"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5A116068"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5C31AD7F"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55C40506"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440B3424"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267908EC"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27A9CB27"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2637A7AB"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59A40226"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291F4175"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4FEF4A67"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4BC17D1C" w14:textId="77777777" w:rsidR="002A58C1" w:rsidRDefault="002A58C1">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400549E1" w14:textId="77777777" w:rsidR="00400673"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06823EBC" w14:textId="77777777" w:rsidR="00400673"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10822A77" w14:textId="77777777" w:rsidR="00400673"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65CEEEF4" w14:textId="77777777" w:rsidR="00400673"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1CFCF251" w14:textId="77777777" w:rsidR="00400673"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36873E30" w14:textId="77777777" w:rsidR="00400673"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55B22591" w14:textId="77777777" w:rsidR="00400673"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051A0520" w14:textId="77777777" w:rsidR="00400673"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7A7351FA" w14:textId="77777777" w:rsidR="00400673"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3075CB27" w14:textId="77777777" w:rsidR="00400673"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136535E8" w14:textId="31FF5ECD" w:rsidR="00FA1DD6" w:rsidRDefault="00591EC4">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r w:rsidRPr="007D4D8A">
        <w:rPr>
          <w:rFonts w:asciiTheme="minorHAnsi" w:hAnsiTheme="minorHAnsi"/>
          <w:b/>
          <w:bCs/>
          <w:sz w:val="28"/>
          <w:szCs w:val="28"/>
        </w:rPr>
        <w:t>Childhood Obesity and Its Impact on Health and Wellbeing in Early Years</w:t>
      </w:r>
    </w:p>
    <w:p w14:paraId="7BA9DF5D" w14:textId="77777777" w:rsidR="00400673" w:rsidRPr="007D4D8A" w:rsidRDefault="00400673">
      <w:pPr>
        <w:pBdr>
          <w:top w:val="none" w:sz="0" w:space="0" w:color="auto"/>
          <w:left w:val="none" w:sz="0" w:space="0" w:color="auto"/>
          <w:bottom w:val="none" w:sz="0" w:space="0" w:color="auto"/>
          <w:right w:val="none" w:sz="0" w:space="0" w:color="auto"/>
        </w:pBdr>
        <w:spacing w:after="453" w:line="259" w:lineRule="auto"/>
        <w:ind w:left="0" w:firstLine="0"/>
        <w:jc w:val="center"/>
        <w:rPr>
          <w:rFonts w:asciiTheme="minorHAnsi" w:hAnsiTheme="minorHAnsi"/>
          <w:b/>
          <w:bCs/>
          <w:sz w:val="28"/>
          <w:szCs w:val="28"/>
        </w:rPr>
      </w:pPr>
    </w:p>
    <w:p w14:paraId="2CD1BD1B" w14:textId="77777777" w:rsidR="00FA1DD6" w:rsidRPr="007D4D8A" w:rsidRDefault="00591EC4">
      <w:pPr>
        <w:pStyle w:val="Heading1"/>
        <w:ind w:left="-5"/>
        <w:rPr>
          <w:rFonts w:asciiTheme="minorHAnsi" w:hAnsiTheme="minorHAnsi"/>
          <w:bCs/>
          <w:szCs w:val="28"/>
        </w:rPr>
      </w:pPr>
      <w:r w:rsidRPr="007D4D8A">
        <w:rPr>
          <w:rFonts w:asciiTheme="minorHAnsi" w:hAnsiTheme="minorHAnsi"/>
          <w:bCs/>
          <w:szCs w:val="28"/>
        </w:rPr>
        <w:t>Introduction</w:t>
      </w:r>
    </w:p>
    <w:p w14:paraId="055074A7" w14:textId="21F830A4" w:rsidR="00FA1DD6" w:rsidRPr="007D4D8A" w:rsidRDefault="00591EC4">
      <w:pPr>
        <w:ind w:left="-5"/>
        <w:rPr>
          <w:rFonts w:asciiTheme="minorHAnsi" w:hAnsiTheme="minorHAnsi"/>
          <w:sz w:val="28"/>
          <w:szCs w:val="28"/>
        </w:rPr>
      </w:pPr>
      <w:r w:rsidRPr="007D4D8A">
        <w:rPr>
          <w:rFonts w:asciiTheme="minorHAnsi" w:hAnsiTheme="minorHAnsi"/>
          <w:sz w:val="28"/>
          <w:szCs w:val="28"/>
        </w:rPr>
        <w:t>Childhood obesity is increasingly recognised as a major public health concern due to its significant impact on children’s immediate and long-term health outcomes (NHS, 2024). It is defined as an excessive accumulation of body fat that presents a risk to health. In early childhood, obesity is typically measured using Body Mass Index (BMI) adjusted for age and sex, as children’s growth patterns vary considerably during the early years (NICE, 2023). The early years, usually defined as birth to five years, repr</w:t>
      </w:r>
      <w:r w:rsidRPr="007D4D8A">
        <w:rPr>
          <w:rFonts w:asciiTheme="minorHAnsi" w:hAnsiTheme="minorHAnsi"/>
          <w:sz w:val="28"/>
          <w:szCs w:val="28"/>
        </w:rPr>
        <w:t>esent a critical developmental period in which children establish dietary habits, physical activity patterns and behavioural routines that often persist into adolescence and adulthood (Public Health Wales, 2024). Research consistently shows that children who experience obesity at a young age are more likely to remain overweight or obese later in life, increasing their risk of chronic illness and reduced quality of life (Marmot, 2010).</w:t>
      </w:r>
    </w:p>
    <w:p w14:paraId="7A97D4D9" w14:textId="306ABFE6" w:rsidR="00FA1DD6" w:rsidRDefault="0040474B">
      <w:pPr>
        <w:spacing w:after="418"/>
        <w:ind w:left="-5"/>
        <w:rPr>
          <w:rFonts w:asciiTheme="minorHAnsi" w:hAnsiTheme="minorHAnsi"/>
          <w:sz w:val="28"/>
          <w:szCs w:val="28"/>
        </w:rPr>
      </w:pPr>
      <w:r>
        <w:rPr>
          <w:rFonts w:asciiTheme="minorHAnsi" w:hAnsiTheme="minorHAnsi"/>
          <w:noProof/>
          <w:sz w:val="28"/>
          <w:szCs w:val="28"/>
        </w:rPr>
        <w:drawing>
          <wp:anchor distT="0" distB="0" distL="114300" distR="114300" simplePos="0" relativeHeight="251659264" behindDoc="0" locked="0" layoutInCell="1" allowOverlap="1" wp14:anchorId="68397083" wp14:editId="4AA5ED9A">
            <wp:simplePos x="0" y="0"/>
            <wp:positionH relativeFrom="column">
              <wp:posOffset>339634</wp:posOffset>
            </wp:positionH>
            <wp:positionV relativeFrom="paragraph">
              <wp:posOffset>1608092</wp:posOffset>
            </wp:positionV>
            <wp:extent cx="3539490" cy="2359660"/>
            <wp:effectExtent l="0" t="0" r="3810" b="2540"/>
            <wp:wrapTopAndBottom/>
            <wp:docPr id="88778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78784" name="Picture 88778784"/>
                    <pic:cNvPicPr/>
                  </pic:nvPicPr>
                  <pic:blipFill>
                    <a:blip r:embed="rId4" cstate="print">
                      <a:extLst>
                        <a:ext uri="{28A0092B-C50C-407E-A947-70E740481C1C}">
                          <a14:useLocalDpi xmlns:a14="http://schemas.microsoft.com/office/drawing/2010/main" val="0"/>
                        </a:ext>
                      </a:extLst>
                    </a:blip>
                    <a:stretch>
                      <a:fillRect/>
                    </a:stretch>
                  </pic:blipFill>
                  <pic:spPr>
                    <a:xfrm>
                      <a:off x="0" y="0"/>
                      <a:ext cx="3539490" cy="2359660"/>
                    </a:xfrm>
                    <a:prstGeom prst="rect">
                      <a:avLst/>
                    </a:prstGeom>
                  </pic:spPr>
                </pic:pic>
              </a:graphicData>
            </a:graphic>
            <wp14:sizeRelH relativeFrom="margin">
              <wp14:pctWidth>0</wp14:pctWidth>
            </wp14:sizeRelH>
            <wp14:sizeRelV relativeFrom="margin">
              <wp14:pctHeight>0</wp14:pctHeight>
            </wp14:sizeRelV>
          </wp:anchor>
        </w:drawing>
      </w:r>
      <w:r w:rsidR="00591EC4" w:rsidRPr="007D4D8A">
        <w:rPr>
          <w:rFonts w:asciiTheme="minorHAnsi" w:hAnsiTheme="minorHAnsi"/>
          <w:sz w:val="28"/>
          <w:szCs w:val="28"/>
        </w:rPr>
        <w:t>The early years workforce therefore plays a crucial role in identifying risk factors, supporting families and implementing preventative strategies. Through observation, early intervention and partnership with parents, practitioners can promote healthy development in line with statutory guidance such as the Early Years Foundation Stage (Department for Education, 2024). As obesity is influenced by a combination of biological, behavioural and environmental factors, a holistic and multi-agency approach is essen</w:t>
      </w:r>
      <w:r w:rsidR="00591EC4" w:rsidRPr="007D4D8A">
        <w:rPr>
          <w:rFonts w:asciiTheme="minorHAnsi" w:hAnsiTheme="minorHAnsi"/>
          <w:sz w:val="28"/>
          <w:szCs w:val="28"/>
        </w:rPr>
        <w:t>tial. Understanding the causes, consequences and preventative strategies</w:t>
      </w:r>
      <w:r w:rsidR="00591EC4" w:rsidRPr="007D4D8A">
        <w:rPr>
          <w:rFonts w:asciiTheme="minorHAnsi" w:hAnsiTheme="minorHAnsi"/>
          <w:sz w:val="28"/>
          <w:szCs w:val="28"/>
        </w:rPr>
        <w:t xml:space="preserve"> is vital for practitioners aiming to support children’s health and wellbeing effectively.</w:t>
      </w:r>
    </w:p>
    <w:p w14:paraId="1359AB31" w14:textId="0A50B60C" w:rsidR="007D4D8A" w:rsidRDefault="001F00C7">
      <w:pPr>
        <w:spacing w:after="418"/>
        <w:ind w:left="-5"/>
        <w:rPr>
          <w:rFonts w:asciiTheme="minorHAnsi" w:hAnsiTheme="minorHAnsi"/>
          <w:sz w:val="28"/>
          <w:szCs w:val="28"/>
        </w:rPr>
      </w:pPr>
      <w:r>
        <w:rPr>
          <w:rFonts w:asciiTheme="minorHAnsi" w:hAnsiTheme="minorHAnsi"/>
          <w:noProof/>
          <w:sz w:val="28"/>
          <w:szCs w:val="28"/>
        </w:rPr>
        <mc:AlternateContent>
          <mc:Choice Requires="wps">
            <w:drawing>
              <wp:anchor distT="45720" distB="45720" distL="114300" distR="114300" simplePos="0" relativeHeight="251660288" behindDoc="0" locked="0" layoutInCell="1" allowOverlap="1" wp14:anchorId="456297D0" wp14:editId="409CF487">
                <wp:simplePos x="0" y="0"/>
                <wp:positionH relativeFrom="column">
                  <wp:posOffset>254000</wp:posOffset>
                </wp:positionH>
                <wp:positionV relativeFrom="paragraph">
                  <wp:posOffset>2389596</wp:posOffset>
                </wp:positionV>
                <wp:extent cx="4003040" cy="339090"/>
                <wp:effectExtent l="0" t="0" r="10160" b="16510"/>
                <wp:wrapSquare wrapText="bothSides"/>
                <wp:docPr id="210172014" name="Text Box 2"/>
                <wp:cNvGraphicFramePr/>
                <a:graphic xmlns:a="http://schemas.openxmlformats.org/drawingml/2006/main">
                  <a:graphicData uri="http://schemas.microsoft.com/office/word/2010/wordprocessingShape">
                    <wps:wsp>
                      <wps:cNvSpPr txBox="1"/>
                      <wps:spPr>
                        <a:xfrm>
                          <a:off x="0" y="0"/>
                          <a:ext cx="4003040" cy="339090"/>
                        </a:xfrm>
                        <a:prstGeom prst="rect">
                          <a:avLst/>
                        </a:prstGeom>
                        <a:solidFill>
                          <a:prstClr val="white"/>
                        </a:solidFill>
                        <a:ln w="6350">
                          <a:solidFill>
                            <a:prstClr val="black"/>
                          </a:solidFill>
                        </a:ln>
                      </wps:spPr>
                      <wps:txbx>
                        <w:txbxContent>
                          <w:p w14:paraId="6DC97D3D" w14:textId="77777777" w:rsidR="001F00C7" w:rsidRDefault="001F00C7">
                            <w:pPr>
                              <w:pStyle w:val="p1"/>
                            </w:pPr>
                            <w:r w:rsidRPr="001F00C7">
                              <w:rPr>
                                <w:rFonts w:asciiTheme="minorHAnsi" w:hAnsiTheme="minorHAnsi"/>
                                <w:sz w:val="28"/>
                                <w:szCs w:val="28"/>
                              </w:rPr>
                              <w:t>(GP Infant Feeding Network (UK), 2017</w:t>
                            </w:r>
                            <w:r>
                              <w:t>)</w:t>
                            </w:r>
                          </w:p>
                          <w:p w14:paraId="1418B066" w14:textId="7C743F71" w:rsidR="001F00C7" w:rsidRDefault="001F00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6297D0" id="_x0000_t202" coordsize="21600,21600" o:spt="202" path="m,l,21600r21600,l21600,xe">
                <v:stroke joinstyle="miter"/>
                <v:path gradientshapeok="t" o:connecttype="rect"/>
              </v:shapetype>
              <v:shape id="Text Box 2" o:spid="_x0000_s1026" type="#_x0000_t202" style="position:absolute;left:0;text-align:left;margin-left:20pt;margin-top:188.15pt;width:315.2pt;height:26.7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" strokeweight=".5pt">
                <v:textbox>
                  <w:txbxContent>
                    <w:p w14:paraId="6DC97D3D" w14:textId="77777777" w:rsidR="001F00C7" w:rsidRDefault="001F00C7">
                      <w:pPr>
                        <w:pStyle w:val="p1"/>
                      </w:pPr>
                      <w:r w:rsidRPr="001F00C7">
                        <w:rPr>
                          <w:rFonts w:asciiTheme="minorHAnsi" w:hAnsiTheme="minorHAnsi"/>
                          <w:sz w:val="28"/>
                          <w:szCs w:val="28"/>
                        </w:rPr>
                        <w:t>(GP Infant Feeding Network (UK), 2017</w:t>
                      </w:r>
                      <w:r>
                        <w:t>)</w:t>
                      </w:r>
                    </w:p>
                    <w:p w14:paraId="1418B066" w14:textId="7C743F71" w:rsidR="001F00C7" w:rsidRDefault="001F00C7"/>
                  </w:txbxContent>
                </v:textbox>
                <w10:wrap type="square"/>
              </v:shape>
            </w:pict>
          </mc:Fallback>
        </mc:AlternateContent>
      </w:r>
    </w:p>
    <w:p w14:paraId="63C7818D" w14:textId="5D713701" w:rsidR="007D4D8A" w:rsidRDefault="007D4D8A">
      <w:pPr>
        <w:spacing w:after="418"/>
        <w:ind w:left="-5"/>
        <w:rPr>
          <w:rFonts w:asciiTheme="minorHAnsi" w:hAnsiTheme="minorHAnsi"/>
          <w:sz w:val="28"/>
          <w:szCs w:val="28"/>
        </w:rPr>
      </w:pPr>
    </w:p>
    <w:p w14:paraId="2DCD9327" w14:textId="2EB36D04" w:rsidR="00FA1DD6" w:rsidRPr="007D4D8A" w:rsidRDefault="00591EC4" w:rsidP="001F00C7">
      <w:pPr>
        <w:pStyle w:val="Heading1"/>
        <w:ind w:left="0" w:firstLine="0"/>
        <w:rPr>
          <w:rFonts w:asciiTheme="minorHAnsi" w:hAnsiTheme="minorHAnsi"/>
          <w:bCs/>
          <w:szCs w:val="28"/>
        </w:rPr>
      </w:pPr>
      <w:r w:rsidRPr="007D4D8A">
        <w:rPr>
          <w:rFonts w:asciiTheme="minorHAnsi" w:hAnsiTheme="minorHAnsi"/>
          <w:bCs/>
          <w:szCs w:val="28"/>
        </w:rPr>
        <w:t>Impact of Childhood Obesity</w:t>
      </w:r>
    </w:p>
    <w:p w14:paraId="4292FE7C" w14:textId="1CC72B49" w:rsidR="00FA1DD6" w:rsidRPr="007D4D8A" w:rsidRDefault="00591EC4">
      <w:pPr>
        <w:ind w:left="-5"/>
        <w:rPr>
          <w:rFonts w:asciiTheme="minorHAnsi" w:hAnsiTheme="minorHAnsi"/>
          <w:sz w:val="28"/>
          <w:szCs w:val="28"/>
        </w:rPr>
      </w:pPr>
      <w:r w:rsidRPr="007D4D8A">
        <w:rPr>
          <w:rFonts w:asciiTheme="minorHAnsi" w:hAnsiTheme="minorHAnsi"/>
          <w:sz w:val="28"/>
          <w:szCs w:val="28"/>
        </w:rPr>
        <w:t>Childhood obesity has wide-ranging physical, emotional and social consequences that can affect children both in the short and long term. Physically, children who are obese are at greater risk of developing serious health conditions such as type 2 diabetes, cardiovascular disease, hypertension and musculoskeletal disorders (NICE, 2023). Excess weight places additional strain on the body, which can lead to joint pain, reduced mobility and difficulties participating in physical play. Obesity is also associated</w:t>
      </w:r>
      <w:r w:rsidRPr="007D4D8A">
        <w:rPr>
          <w:rFonts w:asciiTheme="minorHAnsi" w:hAnsiTheme="minorHAnsi"/>
          <w:sz w:val="28"/>
          <w:szCs w:val="28"/>
        </w:rPr>
        <w:t xml:space="preserve"> with breathing difficulties, including asthma and sleep apnoea, which may disrupt sleep patterns and contribute to fatigue (NHS, 2024). Poor sleep can further affect concentration, learning and behaviour in early years settings.</w:t>
      </w:r>
    </w:p>
    <w:p w14:paraId="1C39A12F" w14:textId="0F7D368E" w:rsidR="00FA1DD6" w:rsidRPr="007D4D8A" w:rsidRDefault="00591EC4">
      <w:pPr>
        <w:ind w:left="-5"/>
        <w:rPr>
          <w:rFonts w:asciiTheme="minorHAnsi" w:hAnsiTheme="minorHAnsi"/>
          <w:sz w:val="28"/>
          <w:szCs w:val="28"/>
        </w:rPr>
      </w:pPr>
      <w:r w:rsidRPr="007D4D8A">
        <w:rPr>
          <w:rFonts w:asciiTheme="minorHAnsi" w:hAnsiTheme="minorHAnsi"/>
          <w:sz w:val="28"/>
          <w:szCs w:val="28"/>
        </w:rPr>
        <w:t xml:space="preserve">Emotionally, obesity can have a significant impact on a child’s self-esteem and mental health. Children may experience feelings of embarrassment, low confidence and anxiety about their appearance, particularly as they become more aware of social norms and peer expectations (Public Health Wales, 2024). These emotional challenges can contribute to more serious mental health issues such as depression or social withdrawal. Young children may not always have the language to express these feelings, so changes in </w:t>
      </w:r>
      <w:r w:rsidRPr="007D4D8A">
        <w:rPr>
          <w:rFonts w:asciiTheme="minorHAnsi" w:hAnsiTheme="minorHAnsi"/>
          <w:sz w:val="28"/>
          <w:szCs w:val="28"/>
        </w:rPr>
        <w:t>behaviour—such as reluctance to participate in group activities—may be early indicators of emotional distress.</w:t>
      </w:r>
    </w:p>
    <w:p w14:paraId="69E93C26" w14:textId="1E080BE9" w:rsidR="00FA1DD6" w:rsidRPr="007D4D8A" w:rsidRDefault="00591EC4">
      <w:pPr>
        <w:ind w:left="-5"/>
        <w:rPr>
          <w:rFonts w:asciiTheme="minorHAnsi" w:hAnsiTheme="minorHAnsi"/>
          <w:sz w:val="28"/>
          <w:szCs w:val="28"/>
        </w:rPr>
      </w:pPr>
      <w:r w:rsidRPr="007D4D8A">
        <w:rPr>
          <w:rFonts w:asciiTheme="minorHAnsi" w:hAnsiTheme="minorHAnsi"/>
          <w:sz w:val="28"/>
          <w:szCs w:val="28"/>
        </w:rPr>
        <w:t>Socially, children with obesity may face stigma, bullying and exclusion from peer groups. Negative attitudes towards weight can begin at a very young age, and children who are perceived as different may be more vulnerable to teasing or isolation. This can affect their relationships, sense of belonging and participation in school or nursery activities (World Health Organization, 2016). Reduced participation can limit opportunities for physical activity, creating a cycle in which obesity contributes to furthe</w:t>
      </w:r>
      <w:r w:rsidRPr="007D4D8A">
        <w:rPr>
          <w:rFonts w:asciiTheme="minorHAnsi" w:hAnsiTheme="minorHAnsi"/>
          <w:sz w:val="28"/>
          <w:szCs w:val="28"/>
        </w:rPr>
        <w:t>r inactivity.</w:t>
      </w:r>
    </w:p>
    <w:p w14:paraId="33B560DC" w14:textId="338DFA70" w:rsidR="00FA1DD6" w:rsidRPr="007D4D8A" w:rsidRDefault="00591EC4">
      <w:pPr>
        <w:spacing w:after="418"/>
        <w:ind w:left="-5"/>
        <w:rPr>
          <w:rFonts w:asciiTheme="minorHAnsi" w:hAnsiTheme="minorHAnsi"/>
          <w:sz w:val="28"/>
          <w:szCs w:val="28"/>
        </w:rPr>
      </w:pPr>
      <w:r w:rsidRPr="007D4D8A">
        <w:rPr>
          <w:rFonts w:asciiTheme="minorHAnsi" w:hAnsiTheme="minorHAnsi"/>
          <w:sz w:val="28"/>
          <w:szCs w:val="28"/>
        </w:rPr>
        <w:t>These combined effects highlight that obesity is not solely a physical issue but one that affects multiple areas of development. Early years practitioners must therefore adopt a holistic approach, recognising how obesity can influence learning, behaviour and overall wellbeing.</w:t>
      </w:r>
    </w:p>
    <w:p w14:paraId="5051B6B5" w14:textId="55649584" w:rsidR="00FA1DD6" w:rsidRPr="007D4D8A" w:rsidRDefault="00591EC4">
      <w:pPr>
        <w:pStyle w:val="Heading1"/>
        <w:ind w:left="-5"/>
        <w:rPr>
          <w:rFonts w:asciiTheme="minorHAnsi" w:hAnsiTheme="minorHAnsi"/>
          <w:bCs/>
          <w:szCs w:val="28"/>
        </w:rPr>
      </w:pPr>
      <w:r w:rsidRPr="007D4D8A">
        <w:rPr>
          <w:rFonts w:asciiTheme="minorHAnsi" w:hAnsiTheme="minorHAnsi"/>
          <w:bCs/>
          <w:szCs w:val="28"/>
        </w:rPr>
        <w:lastRenderedPageBreak/>
        <w:t>Theoretical Perspectives</w:t>
      </w:r>
    </w:p>
    <w:p w14:paraId="69DB0EF9" w14:textId="1D7A85E1" w:rsidR="00FA1DD6" w:rsidRPr="007D4D8A" w:rsidRDefault="00591EC4">
      <w:pPr>
        <w:ind w:left="-5"/>
        <w:rPr>
          <w:rFonts w:asciiTheme="minorHAnsi" w:hAnsiTheme="minorHAnsi"/>
          <w:sz w:val="28"/>
          <w:szCs w:val="28"/>
        </w:rPr>
      </w:pPr>
      <w:r w:rsidRPr="007D4D8A">
        <w:rPr>
          <w:rFonts w:asciiTheme="minorHAnsi" w:hAnsiTheme="minorHAnsi"/>
          <w:sz w:val="28"/>
          <w:szCs w:val="28"/>
        </w:rPr>
        <w:t>Holistic child development theory emphasises that all areas of development—physical, emotional, social and cognitive—are interconnected. This means that poor physical health, such as obesity, can influence emotional wellbeing, social interactions and even cognitive development (Department for Education, 2024). For example, a child who experiences fatigue or low confidence may be less likely to engage in active play or collaborative learning, which can impact their social skills and problem-solving abilities</w:t>
      </w:r>
      <w:r w:rsidRPr="007D4D8A">
        <w:rPr>
          <w:rFonts w:asciiTheme="minorHAnsi" w:hAnsiTheme="minorHAnsi"/>
          <w:sz w:val="28"/>
          <w:szCs w:val="28"/>
        </w:rPr>
        <w:t>.</w:t>
      </w:r>
    </w:p>
    <w:p w14:paraId="13DA62C4" w14:textId="6D815311" w:rsidR="00FA1DD6" w:rsidRPr="007D4D8A" w:rsidRDefault="00591EC4">
      <w:pPr>
        <w:ind w:left="-5"/>
        <w:rPr>
          <w:rFonts w:asciiTheme="minorHAnsi" w:hAnsiTheme="minorHAnsi"/>
          <w:sz w:val="28"/>
          <w:szCs w:val="28"/>
        </w:rPr>
      </w:pPr>
      <w:r w:rsidRPr="007D4D8A">
        <w:rPr>
          <w:rFonts w:asciiTheme="minorHAnsi" w:hAnsiTheme="minorHAnsi"/>
          <w:sz w:val="28"/>
          <w:szCs w:val="28"/>
        </w:rPr>
        <w:t>The social determinants of health framework provides further understanding by recognising that health outcomes are shaped by wider environmental and social factors. These include income, education, housing, employment and access to services (Marmot and Bell, 2012). Children living in deprived areas may have limited access to healthy foods, safe outdoor spaces or recreational facilities, increasing their risk of obesity (Marmot, 2010). Families experiencing financial hardship may rely on cheaper, energy-</w:t>
      </w:r>
      <w:r w:rsidRPr="007D4D8A">
        <w:rPr>
          <w:rFonts w:asciiTheme="minorHAnsi" w:hAnsiTheme="minorHAnsi"/>
          <w:sz w:val="28"/>
          <w:szCs w:val="28"/>
        </w:rPr>
        <w:t xml:space="preserve">dense foods that are high in sugar and fat, while parents working long hours may have less time to prepare healthy meals or engage </w:t>
      </w:r>
      <w:r w:rsidRPr="007D4D8A">
        <w:rPr>
          <w:rFonts w:asciiTheme="minorHAnsi" w:hAnsiTheme="minorHAnsi"/>
          <w:sz w:val="28"/>
          <w:szCs w:val="28"/>
        </w:rPr>
        <w:t>in active play with their children.</w:t>
      </w:r>
    </w:p>
    <w:p w14:paraId="3C0BB9CB" w14:textId="5F0D62B9" w:rsidR="00FA1DD6" w:rsidRPr="007D4D8A" w:rsidRDefault="00591EC4">
      <w:pPr>
        <w:spacing w:after="418"/>
        <w:ind w:left="-5"/>
        <w:rPr>
          <w:rFonts w:asciiTheme="minorHAnsi" w:hAnsiTheme="minorHAnsi"/>
          <w:sz w:val="28"/>
          <w:szCs w:val="28"/>
        </w:rPr>
      </w:pPr>
      <w:r w:rsidRPr="007D4D8A">
        <w:rPr>
          <w:rFonts w:asciiTheme="minorHAnsi" w:hAnsiTheme="minorHAnsi"/>
          <w:sz w:val="28"/>
          <w:szCs w:val="28"/>
        </w:rPr>
        <w:t>Bronfenbrenner’s ecological systems theory also helps explain how multiple layers of influence—family, community, policy and culture—shape children’s health behaviours. For example, cultural norms around food, parental attitudes towards physical activity and the availability of community resources all interact to influence a child’s lifestyle. These theoretical perspectives demonstrate that childhood obesity is a complex issue influenced by both individual behaviours and wider societal factors.</w:t>
      </w:r>
    </w:p>
    <w:p w14:paraId="28E36A41" w14:textId="27C2AB85" w:rsidR="00FA1DD6" w:rsidRPr="007D4D8A" w:rsidRDefault="00591EC4">
      <w:pPr>
        <w:pStyle w:val="Heading1"/>
        <w:ind w:left="-5"/>
        <w:rPr>
          <w:rFonts w:asciiTheme="minorHAnsi" w:hAnsiTheme="minorHAnsi"/>
          <w:bCs/>
          <w:szCs w:val="28"/>
        </w:rPr>
      </w:pPr>
      <w:r w:rsidRPr="007D4D8A">
        <w:rPr>
          <w:rFonts w:asciiTheme="minorHAnsi" w:hAnsiTheme="minorHAnsi"/>
          <w:bCs/>
          <w:szCs w:val="28"/>
        </w:rPr>
        <w:t>Legislation and Policy</w:t>
      </w:r>
    </w:p>
    <w:p w14:paraId="376FFA5C" w14:textId="0F8D2E71" w:rsidR="00FA1DD6" w:rsidRPr="007D4D8A" w:rsidRDefault="00591EC4">
      <w:pPr>
        <w:ind w:left="-5"/>
        <w:rPr>
          <w:rFonts w:asciiTheme="minorHAnsi" w:hAnsiTheme="minorHAnsi"/>
          <w:sz w:val="28"/>
          <w:szCs w:val="28"/>
        </w:rPr>
      </w:pPr>
      <w:r w:rsidRPr="007D4D8A">
        <w:rPr>
          <w:rFonts w:asciiTheme="minorHAnsi" w:hAnsiTheme="minorHAnsi"/>
          <w:sz w:val="28"/>
          <w:szCs w:val="28"/>
        </w:rPr>
        <w:t>Policies and guidelines at national and international levels play a key role in addressing childhood obesity. In the UK, the NHS provides advice and support for maintaining a healthy weight, including guidance on diet, physical activity and early intervention strategies (NHS, 2024). The World Health Organization has developed global strategies aimed at reducing obesity levels and promoting healthier lifestyles, emphasising the importance of early prevention.</w:t>
      </w:r>
    </w:p>
    <w:p w14:paraId="5DE45E7B" w14:textId="672B5BF6" w:rsidR="00FA1DD6" w:rsidRPr="007D4D8A" w:rsidRDefault="00591EC4">
      <w:pPr>
        <w:ind w:left="-5"/>
        <w:rPr>
          <w:rFonts w:asciiTheme="minorHAnsi" w:hAnsiTheme="minorHAnsi"/>
          <w:sz w:val="28"/>
          <w:szCs w:val="28"/>
        </w:rPr>
      </w:pPr>
      <w:r w:rsidRPr="007D4D8A">
        <w:rPr>
          <w:rFonts w:asciiTheme="minorHAnsi" w:hAnsiTheme="minorHAnsi"/>
          <w:sz w:val="28"/>
          <w:szCs w:val="28"/>
        </w:rPr>
        <w:t>Within early years settings, the Early Years Foundation Stage (EYFS) framework places a strong emphasis on promoting children’s health and wellbeing (Department for Education, 2024). The EYFS requires practitioners to ensure children have access to nutritious food, opportunities for physical activity and a safe environment that supports healthy development. It also highlights the importance of working in partnership with parents to promote consistent health messages.</w:t>
      </w:r>
    </w:p>
    <w:p w14:paraId="1D098454" w14:textId="0E85DBAF" w:rsidR="00FA1DD6" w:rsidRPr="007D4D8A" w:rsidRDefault="00591EC4">
      <w:pPr>
        <w:ind w:left="-5"/>
        <w:rPr>
          <w:rFonts w:asciiTheme="minorHAnsi" w:hAnsiTheme="minorHAnsi"/>
          <w:sz w:val="28"/>
          <w:szCs w:val="28"/>
        </w:rPr>
      </w:pPr>
      <w:r w:rsidRPr="007D4D8A">
        <w:rPr>
          <w:rFonts w:asciiTheme="minorHAnsi" w:hAnsiTheme="minorHAnsi"/>
          <w:sz w:val="28"/>
          <w:szCs w:val="28"/>
        </w:rPr>
        <w:t>In Wales, the Healthy Weight: Healthy Wales strategy outlines actions to prevent obesity and improve population health, including community-based initiatives, improved access to healthy foods and targeted support for families (Welsh Government, 2024). Public Health Wales also provides resources for early years settings to promote healthy eating and active play (Public Health Wales, 2024).</w:t>
      </w:r>
    </w:p>
    <w:p w14:paraId="112656B9" w14:textId="76C4F523" w:rsidR="00FA1DD6" w:rsidRPr="007D4D8A" w:rsidRDefault="00591EC4">
      <w:pPr>
        <w:spacing w:after="418"/>
        <w:ind w:left="-5"/>
        <w:rPr>
          <w:rFonts w:asciiTheme="minorHAnsi" w:hAnsiTheme="minorHAnsi"/>
          <w:sz w:val="28"/>
          <w:szCs w:val="28"/>
        </w:rPr>
      </w:pPr>
      <w:r w:rsidRPr="007D4D8A">
        <w:rPr>
          <w:rFonts w:asciiTheme="minorHAnsi" w:hAnsiTheme="minorHAnsi"/>
          <w:sz w:val="28"/>
          <w:szCs w:val="28"/>
        </w:rPr>
        <w:t>These policies support practitioners in creating environments that encourage healthy behaviours and reduce health inequalities. They also emphasise the need for multi-agency collaboration, recognising that tackling obesity requires coordinated efforts across health, education and community sectors.</w:t>
      </w:r>
    </w:p>
    <w:p w14:paraId="06D9A046" w14:textId="77777777" w:rsidR="00FA1DD6" w:rsidRPr="007D4D8A" w:rsidRDefault="00591EC4">
      <w:pPr>
        <w:pStyle w:val="Heading1"/>
        <w:ind w:left="-5"/>
        <w:rPr>
          <w:rFonts w:asciiTheme="minorHAnsi" w:hAnsiTheme="minorHAnsi"/>
          <w:bCs/>
          <w:szCs w:val="28"/>
        </w:rPr>
      </w:pPr>
      <w:r w:rsidRPr="007D4D8A">
        <w:rPr>
          <w:rFonts w:asciiTheme="minorHAnsi" w:hAnsiTheme="minorHAnsi"/>
          <w:bCs/>
          <w:szCs w:val="28"/>
        </w:rPr>
        <w:t>Key Concepts: Health, Wellbeing and Lifestyle</w:t>
      </w:r>
    </w:p>
    <w:p w14:paraId="65E63F38" w14:textId="2D37E5FA" w:rsidR="00FA1DD6" w:rsidRPr="007D4D8A" w:rsidRDefault="00591EC4">
      <w:pPr>
        <w:ind w:left="-5"/>
        <w:rPr>
          <w:rFonts w:asciiTheme="minorHAnsi" w:hAnsiTheme="minorHAnsi"/>
          <w:sz w:val="28"/>
          <w:szCs w:val="28"/>
        </w:rPr>
      </w:pPr>
      <w:r w:rsidRPr="007D4D8A">
        <w:rPr>
          <w:rFonts w:asciiTheme="minorHAnsi" w:hAnsiTheme="minorHAnsi"/>
          <w:sz w:val="28"/>
          <w:szCs w:val="28"/>
        </w:rPr>
        <w:t>Health is defined as a state of complete physical, mental and social wellbeing, rather than simply the absence of illness. This holistic definition highlights the importance of considering all aspects of a child’s development when addressing obesity. Wellbeing refers to a child’s emotional security, happiness and ability to develop positively (Public Health Wales, 2024). Children with high levels of wellbeing are more likely to engage confidently in learning, build positive relationships and develop resilie</w:t>
      </w:r>
      <w:r w:rsidRPr="007D4D8A">
        <w:rPr>
          <w:rFonts w:asciiTheme="minorHAnsi" w:hAnsiTheme="minorHAnsi"/>
          <w:sz w:val="28"/>
          <w:szCs w:val="28"/>
        </w:rPr>
        <w:t>nce.</w:t>
      </w:r>
    </w:p>
    <w:p w14:paraId="4D144479" w14:textId="56545E77" w:rsidR="00FA1DD6" w:rsidRPr="007D4D8A" w:rsidRDefault="00591EC4">
      <w:pPr>
        <w:ind w:left="-5"/>
        <w:rPr>
          <w:rFonts w:asciiTheme="minorHAnsi" w:hAnsiTheme="minorHAnsi"/>
          <w:sz w:val="28"/>
          <w:szCs w:val="28"/>
        </w:rPr>
      </w:pPr>
      <w:r w:rsidRPr="007D4D8A">
        <w:rPr>
          <w:rFonts w:asciiTheme="minorHAnsi" w:hAnsiTheme="minorHAnsi"/>
          <w:sz w:val="28"/>
          <w:szCs w:val="28"/>
        </w:rPr>
        <w:t>Lifestyle behaviours—including diet, physical activity, sleep and daily routines—play a significant role in shaping health outcomes (NHS, 2024). Regular physical activity supports healthy growth, strengthens bones and muscles and promotes cardiovascular health. Balanced nutrition provides essential nutrients needed for brain development, immune function and energy regulation. Conversely, unhealthy lifestyle choices—such as high consumption of sugary foods, limited physical activity or excessive screen time—</w:t>
      </w:r>
      <w:r w:rsidRPr="007D4D8A">
        <w:rPr>
          <w:rFonts w:asciiTheme="minorHAnsi" w:hAnsiTheme="minorHAnsi"/>
          <w:sz w:val="28"/>
          <w:szCs w:val="28"/>
        </w:rPr>
        <w:t>can contribute to obesity and negatively affect both physical health and emotional wellbeing.</w:t>
      </w:r>
    </w:p>
    <w:p w14:paraId="1D93BCD6" w14:textId="34463B6E" w:rsidR="00FA1DD6" w:rsidRPr="007D4D8A" w:rsidRDefault="00591EC4">
      <w:pPr>
        <w:spacing w:after="418"/>
        <w:ind w:left="-5"/>
        <w:rPr>
          <w:rFonts w:asciiTheme="minorHAnsi" w:hAnsiTheme="minorHAnsi"/>
          <w:sz w:val="28"/>
          <w:szCs w:val="28"/>
        </w:rPr>
      </w:pPr>
      <w:r w:rsidRPr="007D4D8A">
        <w:rPr>
          <w:rFonts w:asciiTheme="minorHAnsi" w:hAnsiTheme="minorHAnsi"/>
          <w:sz w:val="28"/>
          <w:szCs w:val="28"/>
        </w:rPr>
        <w:t>These concepts are closely linked. Poor lifestyle habits can lead to o</w:t>
      </w:r>
      <w:r w:rsidRPr="007D4D8A">
        <w:rPr>
          <w:rFonts w:asciiTheme="minorHAnsi" w:hAnsiTheme="minorHAnsi"/>
          <w:sz w:val="28"/>
          <w:szCs w:val="28"/>
        </w:rPr>
        <w:t>besity, which in turn can affect wellbeing and overall development. Early years practitioners must therefore promote healthy routines and model positive behaviours to support children’s long-term health.</w:t>
      </w:r>
    </w:p>
    <w:p w14:paraId="47C02047" w14:textId="77777777" w:rsidR="00FA1DD6" w:rsidRPr="007D4D8A" w:rsidRDefault="00591EC4">
      <w:pPr>
        <w:pStyle w:val="Heading1"/>
        <w:ind w:left="-5"/>
        <w:rPr>
          <w:rFonts w:asciiTheme="minorHAnsi" w:hAnsiTheme="minorHAnsi"/>
          <w:bCs/>
          <w:szCs w:val="28"/>
        </w:rPr>
      </w:pPr>
      <w:r w:rsidRPr="007D4D8A">
        <w:rPr>
          <w:rFonts w:asciiTheme="minorHAnsi" w:hAnsiTheme="minorHAnsi"/>
          <w:bCs/>
          <w:szCs w:val="28"/>
        </w:rPr>
        <w:t>Practice in Early Years Settings</w:t>
      </w:r>
    </w:p>
    <w:p w14:paraId="30A32906" w14:textId="77777777" w:rsidR="00FA1DD6" w:rsidRPr="007D4D8A" w:rsidRDefault="00591EC4">
      <w:pPr>
        <w:ind w:left="-5"/>
        <w:rPr>
          <w:rFonts w:asciiTheme="minorHAnsi" w:hAnsiTheme="minorHAnsi"/>
          <w:sz w:val="28"/>
          <w:szCs w:val="28"/>
        </w:rPr>
      </w:pPr>
      <w:r w:rsidRPr="007D4D8A">
        <w:rPr>
          <w:rFonts w:asciiTheme="minorHAnsi" w:hAnsiTheme="minorHAnsi"/>
          <w:sz w:val="28"/>
          <w:szCs w:val="28"/>
        </w:rPr>
        <w:t>Early years practitioners are in a unique position to support healthy lifestyles and reduce the risk of obesity. They can provide balanced meals and snacks, promote water consumption and limit sugary foods in line with national guidance (NHS, 2024). Mealtimes also offer opportunities to teach children about healthy choices, portion sizes and the importance of trying new foods.</w:t>
      </w:r>
    </w:p>
    <w:p w14:paraId="7E698DDD" w14:textId="77777777" w:rsidR="00FA1DD6" w:rsidRPr="007D4D8A" w:rsidRDefault="00591EC4">
      <w:pPr>
        <w:ind w:left="-5"/>
        <w:rPr>
          <w:rFonts w:asciiTheme="minorHAnsi" w:hAnsiTheme="minorHAnsi"/>
          <w:sz w:val="28"/>
          <w:szCs w:val="28"/>
        </w:rPr>
      </w:pPr>
      <w:r w:rsidRPr="007D4D8A">
        <w:rPr>
          <w:rFonts w:asciiTheme="minorHAnsi" w:hAnsiTheme="minorHAnsi"/>
          <w:sz w:val="28"/>
          <w:szCs w:val="28"/>
        </w:rPr>
        <w:t>Physical activity can be encouraged through outdoor play, structured activities and active learning environments (Department for Education, 2024). Providing a variety of resources—such as climbing equipment, bikes, balls and natural materials—supports gross motor development and encourages children to be active throughout the day. Practitioners can also integrate movement into learning activities, such as action songs, dance or nature walks.</w:t>
      </w:r>
    </w:p>
    <w:p w14:paraId="32744A73" w14:textId="77777777" w:rsidR="00FA1DD6" w:rsidRPr="007D4D8A" w:rsidRDefault="00591EC4">
      <w:pPr>
        <w:ind w:left="-5"/>
        <w:rPr>
          <w:rFonts w:asciiTheme="minorHAnsi" w:hAnsiTheme="minorHAnsi"/>
          <w:sz w:val="28"/>
          <w:szCs w:val="28"/>
        </w:rPr>
      </w:pPr>
      <w:r w:rsidRPr="007D4D8A">
        <w:rPr>
          <w:rFonts w:asciiTheme="minorHAnsi" w:hAnsiTheme="minorHAnsi"/>
          <w:sz w:val="28"/>
          <w:szCs w:val="28"/>
        </w:rPr>
        <w:lastRenderedPageBreak/>
        <w:t>Observation and assessment allow practitioners to monitor children’s development and identify potential concerns early (NICE, 2023). If a child appears to be gaining weight rapidly or shows signs of low confidence or reduced mobility, practitioners can work with parents to explore possible causes and provide support.</w:t>
      </w:r>
    </w:p>
    <w:p w14:paraId="3258FEA9" w14:textId="77777777" w:rsidR="00FA1DD6" w:rsidRPr="007D4D8A" w:rsidRDefault="00591EC4">
      <w:pPr>
        <w:spacing w:after="418"/>
        <w:ind w:left="-5"/>
        <w:rPr>
          <w:rFonts w:asciiTheme="minorHAnsi" w:hAnsiTheme="minorHAnsi"/>
          <w:sz w:val="28"/>
          <w:szCs w:val="28"/>
        </w:rPr>
      </w:pPr>
      <w:r w:rsidRPr="007D4D8A">
        <w:rPr>
          <w:rFonts w:asciiTheme="minorHAnsi" w:hAnsiTheme="minorHAnsi"/>
          <w:sz w:val="28"/>
          <w:szCs w:val="28"/>
        </w:rPr>
        <w:t>Working in partnership with parents is essential to ensure consistency between the home and setting (Public Health Wales, 2024). Practitioners can share information about healthy eating, provide ideas for active play at home and signpost families to community resources such as cooking classes or local parks. Creating a supportive and health-promoting environment helps reduce the risk of obesity and supports children’s overall wellbeing.</w:t>
      </w:r>
    </w:p>
    <w:p w14:paraId="1B2E6DEB" w14:textId="1E4CAA31" w:rsidR="00FA1DD6" w:rsidRPr="007D4D8A" w:rsidRDefault="00591EC4">
      <w:pPr>
        <w:pStyle w:val="Heading1"/>
        <w:pBdr>
          <w:bottom w:val="none" w:sz="0" w:space="0" w:color="auto"/>
        </w:pBdr>
        <w:spacing w:after="0"/>
        <w:ind w:left="0" w:firstLine="0"/>
        <w:rPr>
          <w:rFonts w:asciiTheme="minorHAnsi" w:hAnsiTheme="minorHAnsi"/>
          <w:bCs/>
          <w:szCs w:val="28"/>
        </w:rPr>
      </w:pPr>
      <w:r w:rsidRPr="007D4D8A">
        <w:rPr>
          <w:rFonts w:asciiTheme="minorHAnsi" w:hAnsiTheme="minorHAnsi"/>
          <w:bCs/>
          <w:szCs w:val="28"/>
        </w:rPr>
        <w:t>Causes of Childhood Obesity</w:t>
      </w:r>
    </w:p>
    <w:p w14:paraId="5F3B7FA6" w14:textId="77777777" w:rsidR="00FA1DD6" w:rsidRPr="007D4D8A" w:rsidRDefault="00591EC4">
      <w:pPr>
        <w:pBdr>
          <w:top w:val="none" w:sz="0" w:space="0" w:color="auto"/>
        </w:pBdr>
        <w:spacing w:after="220" w:line="255" w:lineRule="auto"/>
        <w:ind w:left="-5"/>
        <w:rPr>
          <w:rFonts w:asciiTheme="minorHAnsi" w:hAnsiTheme="minorHAnsi"/>
          <w:sz w:val="28"/>
          <w:szCs w:val="28"/>
        </w:rPr>
      </w:pPr>
      <w:r w:rsidRPr="007D4D8A">
        <w:rPr>
          <w:rFonts w:asciiTheme="minorHAnsi" w:hAnsiTheme="minorHAnsi"/>
          <w:sz w:val="28"/>
          <w:szCs w:val="28"/>
        </w:rPr>
        <w:t>Childhood obesity is influenced by multiple factors. Poor diet, particularly high consumption of processed foods rich in sugar and fat, is a key contributor (NHS, 2024). Many young children consume more calories than they need, often through snacks, sugary drinks or large portion sizes. Lack of physical activity, often linked to increased screen time, also plays a significant role (Public Health Wales, 2024). Sedentary behaviours reduce energy expenditure and can contribute to weight gain.</w:t>
      </w:r>
    </w:p>
    <w:p w14:paraId="089CF4C0" w14:textId="77777777" w:rsidR="00FA1DD6" w:rsidRPr="007D4D8A" w:rsidRDefault="00591EC4">
      <w:pPr>
        <w:pBdr>
          <w:top w:val="none" w:sz="0" w:space="0" w:color="auto"/>
        </w:pBdr>
        <w:spacing w:after="220" w:line="255" w:lineRule="auto"/>
        <w:ind w:left="-5"/>
        <w:rPr>
          <w:rFonts w:asciiTheme="minorHAnsi" w:hAnsiTheme="minorHAnsi"/>
          <w:sz w:val="28"/>
          <w:szCs w:val="28"/>
        </w:rPr>
      </w:pPr>
      <w:r w:rsidRPr="007D4D8A">
        <w:rPr>
          <w:rFonts w:asciiTheme="minorHAnsi" w:hAnsiTheme="minorHAnsi"/>
          <w:sz w:val="28"/>
          <w:szCs w:val="28"/>
        </w:rPr>
        <w:t>Family lifestyle behaviours strongly influence children’s habits, as children often model their parents’ eating and activity patterns (NICE, 2023). If parents lead sedentary lifestyles or rely on convenience foods, children are more likely to adopt similar behaviours. Socioeconomic factors further contribute, as families with lower incomes may face barriers to accessing healthy food and safe environments for exercise (Marmot and Bell, 2012). Limited access to green spaces, high food prices and lack of trans</w:t>
      </w:r>
      <w:r w:rsidRPr="007D4D8A">
        <w:rPr>
          <w:rFonts w:asciiTheme="minorHAnsi" w:hAnsiTheme="minorHAnsi"/>
          <w:sz w:val="28"/>
          <w:szCs w:val="28"/>
        </w:rPr>
        <w:t>port can all restrict opportunities for healthy living.</w:t>
      </w:r>
    </w:p>
    <w:p w14:paraId="08661D61" w14:textId="77777777" w:rsidR="00FA1DD6" w:rsidRPr="007D4D8A" w:rsidRDefault="00591EC4">
      <w:pPr>
        <w:pBdr>
          <w:top w:val="none" w:sz="0" w:space="0" w:color="auto"/>
        </w:pBdr>
        <w:spacing w:after="420" w:line="255" w:lineRule="auto"/>
        <w:ind w:left="-5"/>
        <w:rPr>
          <w:rFonts w:asciiTheme="minorHAnsi" w:hAnsiTheme="minorHAnsi"/>
          <w:sz w:val="28"/>
          <w:szCs w:val="28"/>
        </w:rPr>
      </w:pPr>
      <w:r w:rsidRPr="007D4D8A">
        <w:rPr>
          <w:rFonts w:asciiTheme="minorHAnsi" w:hAnsiTheme="minorHAnsi"/>
          <w:sz w:val="28"/>
          <w:szCs w:val="28"/>
        </w:rPr>
        <w:t>These factors demonstrate that obesity is not simply a result of individual choice but is shaped by wider environmental and social influences. Effective prevention therefore requires a whole-family and whole-community approach.</w:t>
      </w:r>
    </w:p>
    <w:p w14:paraId="5081CB7C" w14:textId="77777777" w:rsidR="00FA1DD6" w:rsidRPr="007D4D8A" w:rsidRDefault="00591EC4">
      <w:pPr>
        <w:pStyle w:val="Heading1"/>
        <w:ind w:left="-5"/>
        <w:rPr>
          <w:rFonts w:asciiTheme="minorHAnsi" w:hAnsiTheme="minorHAnsi"/>
          <w:bCs/>
          <w:szCs w:val="28"/>
        </w:rPr>
      </w:pPr>
      <w:r w:rsidRPr="007D4D8A">
        <w:rPr>
          <w:rFonts w:asciiTheme="minorHAnsi" w:hAnsiTheme="minorHAnsi"/>
          <w:bCs/>
          <w:szCs w:val="28"/>
        </w:rPr>
        <w:t>Conclusion</w:t>
      </w:r>
    </w:p>
    <w:p w14:paraId="1E682532" w14:textId="77777777" w:rsidR="00FA1DD6" w:rsidRPr="007D4D8A" w:rsidRDefault="00591EC4">
      <w:pPr>
        <w:spacing w:after="418"/>
        <w:ind w:left="-5"/>
        <w:rPr>
          <w:rFonts w:asciiTheme="minorHAnsi" w:hAnsiTheme="minorHAnsi"/>
          <w:sz w:val="28"/>
          <w:szCs w:val="28"/>
        </w:rPr>
      </w:pPr>
      <w:r w:rsidRPr="007D4D8A">
        <w:rPr>
          <w:rFonts w:asciiTheme="minorHAnsi" w:hAnsiTheme="minorHAnsi"/>
          <w:sz w:val="28"/>
          <w:szCs w:val="28"/>
        </w:rPr>
        <w:t>Childhood obesity is a complex and multifaceted issue that affects children’s physical health, emotional wellbeing and social development (NHS, 2024). It is influenced by a range of factors, including lifestyle, environment and socioeconomic conditions (Marmot, 2010). Early intervention is essential in reducing the long-term impact of obesity. Early years practitioners play a vital role in promoting healthy behaviours, supporting families and creating environments that encourage positive development. A holi</w:t>
      </w:r>
      <w:r w:rsidRPr="007D4D8A">
        <w:rPr>
          <w:rFonts w:asciiTheme="minorHAnsi" w:hAnsiTheme="minorHAnsi"/>
          <w:sz w:val="28"/>
          <w:szCs w:val="28"/>
        </w:rPr>
        <w:t>stic and proactive approach can help improve outcomes for children and contribute to better public health overall.</w:t>
      </w:r>
    </w:p>
    <w:p w14:paraId="731902BE" w14:textId="77777777" w:rsidR="00F51777" w:rsidRDefault="00F51777">
      <w:pPr>
        <w:pStyle w:val="Heading1"/>
        <w:ind w:left="-5"/>
        <w:rPr>
          <w:rFonts w:asciiTheme="minorHAnsi" w:hAnsiTheme="minorHAnsi"/>
          <w:b w:val="0"/>
          <w:szCs w:val="28"/>
        </w:rPr>
      </w:pPr>
    </w:p>
    <w:p w14:paraId="7BA4709E" w14:textId="2E2F7024" w:rsidR="00F94347" w:rsidRPr="002A58C1" w:rsidRDefault="00F94347">
      <w:pPr>
        <w:pStyle w:val="p1"/>
        <w:rPr>
          <w:rFonts w:asciiTheme="minorHAnsi" w:hAnsiTheme="minorHAnsi"/>
          <w:sz w:val="28"/>
          <w:szCs w:val="28"/>
        </w:rPr>
      </w:pPr>
      <w:r>
        <w:rPr>
          <w:rFonts w:asciiTheme="minorHAnsi" w:hAnsiTheme="minorHAnsi"/>
          <w:sz w:val="28"/>
          <w:szCs w:val="28"/>
        </w:rPr>
        <w:t>R</w:t>
      </w:r>
      <w:r w:rsidRPr="002A58C1">
        <w:rPr>
          <w:rFonts w:asciiTheme="minorHAnsi" w:hAnsiTheme="minorHAnsi"/>
          <w:sz w:val="28"/>
          <w:szCs w:val="28"/>
        </w:rPr>
        <w:t xml:space="preserve">efrence list </w:t>
      </w:r>
    </w:p>
    <w:p w14:paraId="666F383B" w14:textId="31CF600C" w:rsidR="00F51777" w:rsidRPr="002A58C1" w:rsidRDefault="00F51777">
      <w:pPr>
        <w:pStyle w:val="p1"/>
        <w:rPr>
          <w:rFonts w:asciiTheme="minorHAnsi" w:hAnsiTheme="minorHAnsi"/>
          <w:sz w:val="28"/>
          <w:szCs w:val="28"/>
        </w:rPr>
      </w:pPr>
      <w:r w:rsidRPr="002A58C1">
        <w:rPr>
          <w:rFonts w:asciiTheme="minorHAnsi" w:hAnsiTheme="minorHAnsi"/>
          <w:sz w:val="28"/>
          <w:szCs w:val="28"/>
        </w:rPr>
        <w:t>Department for Education (2024) Statutory Framework for the Early Years Foundation Stage. London: DfE.</w:t>
      </w:r>
    </w:p>
    <w:p w14:paraId="53CD193B" w14:textId="77777777" w:rsidR="00F51777" w:rsidRPr="002A58C1" w:rsidRDefault="00F51777">
      <w:pPr>
        <w:pStyle w:val="p1"/>
        <w:rPr>
          <w:rFonts w:asciiTheme="minorHAnsi" w:hAnsiTheme="minorHAnsi"/>
          <w:sz w:val="28"/>
          <w:szCs w:val="28"/>
        </w:rPr>
      </w:pPr>
      <w:r w:rsidRPr="002A58C1">
        <w:rPr>
          <w:rFonts w:asciiTheme="minorHAnsi" w:hAnsiTheme="minorHAnsi"/>
          <w:sz w:val="28"/>
          <w:szCs w:val="28"/>
        </w:rPr>
        <w:t xml:space="preserve">GP Infant Feeding Network (UK) (2017) Childhood obesity. Available at: </w:t>
      </w:r>
      <w:hyperlink r:id="rId5" w:history="1">
        <w:r w:rsidRPr="002A58C1">
          <w:rPr>
            <w:rStyle w:val="Hyperlink"/>
            <w:rFonts w:asciiTheme="minorHAnsi" w:hAnsiTheme="minorHAnsi"/>
            <w:sz w:val="28"/>
            <w:szCs w:val="28"/>
          </w:rPr>
          <w:t>https://gpifn.org.uk/childhood-obesity/</w:t>
        </w:r>
      </w:hyperlink>
    </w:p>
    <w:p w14:paraId="7E4DD88D" w14:textId="77777777" w:rsidR="00F51777" w:rsidRPr="002A58C1" w:rsidRDefault="00F51777">
      <w:pPr>
        <w:pStyle w:val="p1"/>
        <w:rPr>
          <w:rFonts w:asciiTheme="minorHAnsi" w:hAnsiTheme="minorHAnsi"/>
          <w:sz w:val="28"/>
          <w:szCs w:val="28"/>
        </w:rPr>
      </w:pPr>
      <w:r w:rsidRPr="002A58C1">
        <w:rPr>
          <w:rFonts w:asciiTheme="minorHAnsi" w:hAnsiTheme="minorHAnsi"/>
          <w:sz w:val="28"/>
          <w:szCs w:val="28"/>
        </w:rPr>
        <w:t>Marmot, M. (2010) Fair Society, Healthy Lives: The Marmot Review. London: The Marmot Review.</w:t>
      </w:r>
    </w:p>
    <w:p w14:paraId="0B799D8D" w14:textId="77777777" w:rsidR="00F51777" w:rsidRPr="002A58C1" w:rsidRDefault="00F51777">
      <w:pPr>
        <w:pStyle w:val="p1"/>
        <w:rPr>
          <w:rFonts w:asciiTheme="minorHAnsi" w:hAnsiTheme="minorHAnsi"/>
          <w:sz w:val="28"/>
          <w:szCs w:val="28"/>
        </w:rPr>
      </w:pPr>
      <w:r w:rsidRPr="002A58C1">
        <w:rPr>
          <w:rFonts w:asciiTheme="minorHAnsi" w:hAnsiTheme="minorHAnsi"/>
          <w:sz w:val="28"/>
          <w:szCs w:val="28"/>
        </w:rPr>
        <w:t>Marmot, M. and Bell, R. (2012) ‘Fair society, healthy lives’, Public Health, 126(S1), pp. S4–S10.</w:t>
      </w:r>
    </w:p>
    <w:p w14:paraId="539DD528" w14:textId="77777777" w:rsidR="00F51777" w:rsidRPr="002A58C1" w:rsidRDefault="00F51777">
      <w:pPr>
        <w:pStyle w:val="p1"/>
        <w:rPr>
          <w:rFonts w:asciiTheme="minorHAnsi" w:hAnsiTheme="minorHAnsi"/>
          <w:sz w:val="28"/>
          <w:szCs w:val="28"/>
        </w:rPr>
      </w:pPr>
      <w:r w:rsidRPr="002A58C1">
        <w:rPr>
          <w:rFonts w:asciiTheme="minorHAnsi" w:hAnsiTheme="minorHAnsi"/>
          <w:sz w:val="28"/>
          <w:szCs w:val="28"/>
        </w:rPr>
        <w:t>NICE (2023) Obesity: Identification, Assessment and Management. London: National Institute for Health and Care Excellence.</w:t>
      </w:r>
    </w:p>
    <w:p w14:paraId="69073C71" w14:textId="77777777" w:rsidR="00F51777" w:rsidRPr="002A58C1" w:rsidRDefault="00F51777">
      <w:pPr>
        <w:pStyle w:val="p1"/>
        <w:rPr>
          <w:rFonts w:asciiTheme="minorHAnsi" w:hAnsiTheme="minorHAnsi"/>
          <w:sz w:val="28"/>
          <w:szCs w:val="28"/>
        </w:rPr>
      </w:pPr>
      <w:r w:rsidRPr="002A58C1">
        <w:rPr>
          <w:rFonts w:asciiTheme="minorHAnsi" w:hAnsiTheme="minorHAnsi"/>
          <w:sz w:val="28"/>
          <w:szCs w:val="28"/>
        </w:rPr>
        <w:t xml:space="preserve">NHS (2024) Childhood Obesity. Available at: </w:t>
      </w:r>
      <w:hyperlink r:id="rId6" w:history="1">
        <w:r w:rsidRPr="002A58C1">
          <w:rPr>
            <w:rStyle w:val="Hyperlink"/>
            <w:rFonts w:asciiTheme="minorHAnsi" w:hAnsiTheme="minorHAnsi"/>
            <w:sz w:val="28"/>
            <w:szCs w:val="28"/>
          </w:rPr>
          <w:t>https://www.nhs.uk</w:t>
        </w:r>
      </w:hyperlink>
      <w:r w:rsidRPr="002A58C1">
        <w:rPr>
          <w:rFonts w:asciiTheme="minorHAnsi" w:hAnsiTheme="minorHAnsi"/>
          <w:sz w:val="28"/>
          <w:szCs w:val="28"/>
        </w:rPr>
        <w:t xml:space="preserve"> (Accessed: 21 June 2026).</w:t>
      </w:r>
    </w:p>
    <w:p w14:paraId="55A69DE1" w14:textId="77777777" w:rsidR="00F51777" w:rsidRPr="002A58C1" w:rsidRDefault="00F51777">
      <w:pPr>
        <w:pStyle w:val="p1"/>
        <w:rPr>
          <w:rFonts w:asciiTheme="minorHAnsi" w:hAnsiTheme="minorHAnsi"/>
          <w:sz w:val="28"/>
          <w:szCs w:val="28"/>
        </w:rPr>
      </w:pPr>
      <w:r w:rsidRPr="002A58C1">
        <w:rPr>
          <w:rFonts w:asciiTheme="minorHAnsi" w:hAnsiTheme="minorHAnsi"/>
          <w:sz w:val="28"/>
          <w:szCs w:val="28"/>
        </w:rPr>
        <w:t>Public Health Wales (2024) Healthy Weight: Healthy Wales. Cardiff: Public Health Wales.</w:t>
      </w:r>
    </w:p>
    <w:p w14:paraId="7403B0FA" w14:textId="77777777" w:rsidR="00F51777" w:rsidRPr="002A58C1" w:rsidRDefault="00F51777">
      <w:pPr>
        <w:pStyle w:val="p1"/>
        <w:rPr>
          <w:rFonts w:asciiTheme="minorHAnsi" w:hAnsiTheme="minorHAnsi"/>
          <w:sz w:val="28"/>
          <w:szCs w:val="28"/>
        </w:rPr>
      </w:pPr>
      <w:r w:rsidRPr="002A58C1">
        <w:rPr>
          <w:rFonts w:asciiTheme="minorHAnsi" w:hAnsiTheme="minorHAnsi"/>
          <w:sz w:val="28"/>
          <w:szCs w:val="28"/>
        </w:rPr>
        <w:t>Welsh Government (2024) Healthy Weight: Healthy Wales – Delivery Plan. Cardiff: Welsh Government.</w:t>
      </w:r>
    </w:p>
    <w:p w14:paraId="0D3004FB" w14:textId="1A71DC76" w:rsidR="007061DD" w:rsidRPr="002A58C1" w:rsidRDefault="00F51777" w:rsidP="00F51777">
      <w:pPr>
        <w:pStyle w:val="p2"/>
        <w:rPr>
          <w:rFonts w:asciiTheme="minorHAnsi" w:hAnsiTheme="minorHAnsi"/>
          <w:sz w:val="28"/>
          <w:szCs w:val="28"/>
        </w:rPr>
      </w:pPr>
      <w:r w:rsidRPr="002A58C1">
        <w:rPr>
          <w:rFonts w:asciiTheme="minorHAnsi" w:hAnsiTheme="minorHAnsi"/>
          <w:sz w:val="28"/>
          <w:szCs w:val="28"/>
        </w:rPr>
        <w:t>World Health Organization (2016) Report of the Commission on Ending Childhood Obesity. Geneva: WHO</w:t>
      </w:r>
    </w:p>
    <w:p w14:paraId="11BEA8CC" w14:textId="77777777" w:rsidR="002A58C1" w:rsidRPr="002A58C1" w:rsidRDefault="002A58C1" w:rsidP="00F51777">
      <w:pPr>
        <w:pStyle w:val="p2"/>
        <w:rPr>
          <w:rFonts w:asciiTheme="minorHAnsi" w:hAnsiTheme="minorHAnsi"/>
          <w:sz w:val="28"/>
          <w:szCs w:val="28"/>
        </w:rPr>
      </w:pPr>
    </w:p>
    <w:p w14:paraId="6E660A13" w14:textId="77777777" w:rsidR="002A58C1" w:rsidRPr="002A58C1" w:rsidRDefault="002A58C1" w:rsidP="00F51777">
      <w:pPr>
        <w:pStyle w:val="p2"/>
        <w:rPr>
          <w:rFonts w:asciiTheme="minorHAnsi" w:hAnsiTheme="minorHAnsi"/>
          <w:sz w:val="28"/>
          <w:szCs w:val="28"/>
        </w:rPr>
      </w:pPr>
    </w:p>
    <w:p w14:paraId="561F8997" w14:textId="77777777" w:rsidR="00400673" w:rsidRDefault="00400673" w:rsidP="00F51777">
      <w:pPr>
        <w:pStyle w:val="p2"/>
        <w:rPr>
          <w:rFonts w:asciiTheme="minorHAnsi" w:hAnsiTheme="minorHAnsi"/>
          <w:sz w:val="28"/>
          <w:szCs w:val="28"/>
        </w:rPr>
      </w:pPr>
    </w:p>
    <w:p w14:paraId="5AE2EC41" w14:textId="77777777" w:rsidR="00400673" w:rsidRDefault="00400673" w:rsidP="00F51777">
      <w:pPr>
        <w:pStyle w:val="p2"/>
        <w:rPr>
          <w:rFonts w:asciiTheme="minorHAnsi" w:hAnsiTheme="minorHAnsi"/>
          <w:sz w:val="28"/>
          <w:szCs w:val="28"/>
        </w:rPr>
      </w:pPr>
    </w:p>
    <w:p w14:paraId="47E49B21" w14:textId="77777777" w:rsidR="00400673" w:rsidRDefault="00400673" w:rsidP="00F51777">
      <w:pPr>
        <w:pStyle w:val="p2"/>
        <w:rPr>
          <w:rFonts w:asciiTheme="minorHAnsi" w:hAnsiTheme="minorHAnsi"/>
          <w:sz w:val="28"/>
          <w:szCs w:val="28"/>
        </w:rPr>
      </w:pPr>
    </w:p>
    <w:p w14:paraId="70CC3E8A" w14:textId="77777777" w:rsidR="00400673" w:rsidRDefault="00400673" w:rsidP="00F51777">
      <w:pPr>
        <w:pStyle w:val="p2"/>
        <w:rPr>
          <w:rFonts w:asciiTheme="minorHAnsi" w:hAnsiTheme="minorHAnsi"/>
          <w:sz w:val="28"/>
          <w:szCs w:val="28"/>
        </w:rPr>
      </w:pPr>
    </w:p>
    <w:p w14:paraId="131E6F7A" w14:textId="77777777" w:rsidR="00400673" w:rsidRDefault="00400673" w:rsidP="00F51777">
      <w:pPr>
        <w:pStyle w:val="p2"/>
        <w:rPr>
          <w:rFonts w:asciiTheme="minorHAnsi" w:hAnsiTheme="minorHAnsi"/>
          <w:sz w:val="28"/>
          <w:szCs w:val="28"/>
        </w:rPr>
      </w:pPr>
    </w:p>
    <w:p w14:paraId="5B5E5015" w14:textId="77777777" w:rsidR="00400673" w:rsidRDefault="00400673" w:rsidP="00F51777">
      <w:pPr>
        <w:pStyle w:val="p2"/>
        <w:rPr>
          <w:rFonts w:asciiTheme="minorHAnsi" w:hAnsiTheme="minorHAnsi"/>
          <w:sz w:val="28"/>
          <w:szCs w:val="28"/>
        </w:rPr>
      </w:pPr>
    </w:p>
    <w:p w14:paraId="5D80A4CA" w14:textId="77777777" w:rsidR="00400673" w:rsidRDefault="00400673" w:rsidP="00F51777">
      <w:pPr>
        <w:pStyle w:val="p2"/>
        <w:rPr>
          <w:rFonts w:asciiTheme="minorHAnsi" w:hAnsiTheme="minorHAnsi"/>
          <w:sz w:val="28"/>
          <w:szCs w:val="28"/>
        </w:rPr>
      </w:pPr>
    </w:p>
    <w:p w14:paraId="43F007E6" w14:textId="4C330CD8" w:rsidR="002A58C1" w:rsidRPr="002A58C1" w:rsidRDefault="002A58C1" w:rsidP="00F51777">
      <w:pPr>
        <w:pStyle w:val="p2"/>
        <w:rPr>
          <w:rFonts w:asciiTheme="minorHAnsi" w:hAnsiTheme="minorHAnsi"/>
          <w:sz w:val="28"/>
          <w:szCs w:val="28"/>
        </w:rPr>
      </w:pPr>
      <w:r w:rsidRPr="002A58C1">
        <w:rPr>
          <w:rFonts w:asciiTheme="minorHAnsi" w:hAnsiTheme="minorHAnsi"/>
          <w:sz w:val="28"/>
          <w:szCs w:val="28"/>
        </w:rPr>
        <w:t xml:space="preserve">Flash cards for presentation </w:t>
      </w:r>
    </w:p>
    <w:p w14:paraId="136EC0CE"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Opening</w:t>
      </w:r>
    </w:p>
    <w:p w14:paraId="1AE75935"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38560CD6"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Introduce topic: childhood obesity</w:t>
      </w:r>
    </w:p>
    <w:p w14:paraId="58374BA0"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Why it matters in early years</w:t>
      </w:r>
    </w:p>
    <w:p w14:paraId="5C5D29D1"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What the presentation will cover</w:t>
      </w:r>
    </w:p>
    <w:p w14:paraId="7D1A17F4"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6D15F475"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Introduction</w:t>
      </w:r>
    </w:p>
    <w:p w14:paraId="7E502044"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62F2C2F8"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Definition of obesity</w:t>
      </w:r>
    </w:p>
    <w:p w14:paraId="162E7E16"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BMI adjusted for age/sex</w:t>
      </w:r>
    </w:p>
    <w:p w14:paraId="10A7CB3E"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Early years = habit</w:t>
      </w:r>
      <w:r w:rsidRPr="002A58C1">
        <w:rPr>
          <w:rFonts w:asciiTheme="minorHAnsi" w:eastAsia="Times New Roman" w:hAnsiTheme="minorHAnsi" w:cs="Times New Roman"/>
          <w:color w:val="454545"/>
          <w:kern w:val="0"/>
          <w:sz w:val="28"/>
          <w:szCs w:val="28"/>
          <w14:ligatures w14:val="none"/>
        </w:rPr>
        <w:noBreakHyphen/>
        <w:t>forming period</w:t>
      </w:r>
    </w:p>
    <w:p w14:paraId="102CB450"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Early obesity → adult obesity</w:t>
      </w:r>
    </w:p>
    <w:p w14:paraId="1E0E09AD"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Practitioner role: observation, early intervention, partnership</w:t>
      </w:r>
    </w:p>
    <w:p w14:paraId="1B95F68F"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63209514"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Physical Impacts</w:t>
      </w:r>
    </w:p>
    <w:p w14:paraId="740404E4"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593C9CDB"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Diabetes, heart issues</w:t>
      </w:r>
    </w:p>
    <w:p w14:paraId="055A6B55"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Joint pain, mobility issues</w:t>
      </w:r>
    </w:p>
    <w:p w14:paraId="78D45353"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Breathing problems</w:t>
      </w:r>
    </w:p>
    <w:p w14:paraId="048D80E1"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Sleep issues → behaviour &amp; learning</w:t>
      </w:r>
    </w:p>
    <w:p w14:paraId="4395F69A"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6B225AFE"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Emotional Impacts</w:t>
      </w:r>
    </w:p>
    <w:p w14:paraId="2009B571"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2F826A92"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Low self</w:t>
      </w:r>
      <w:r w:rsidRPr="002A58C1">
        <w:rPr>
          <w:rFonts w:asciiTheme="minorHAnsi" w:eastAsia="Times New Roman" w:hAnsiTheme="minorHAnsi" w:cs="Times New Roman"/>
          <w:color w:val="454545"/>
          <w:kern w:val="0"/>
          <w:sz w:val="28"/>
          <w:szCs w:val="28"/>
          <w14:ligatures w14:val="none"/>
        </w:rPr>
        <w:noBreakHyphen/>
        <w:t>esteem</w:t>
      </w:r>
    </w:p>
    <w:p w14:paraId="393F378F"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Embarrassment, anxiety</w:t>
      </w:r>
    </w:p>
    <w:p w14:paraId="49433E98"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Withdrawal</w:t>
      </w:r>
    </w:p>
    <w:p w14:paraId="33C5184C"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Risk of depression</w:t>
      </w:r>
    </w:p>
    <w:p w14:paraId="2B41F59A"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1C77CE31"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Social Impacts</w:t>
      </w:r>
    </w:p>
    <w:p w14:paraId="3B2DFEF3"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6E9A7F40"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Bullying, stigma</w:t>
      </w:r>
    </w:p>
    <w:p w14:paraId="3810A553"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Peer exclusion</w:t>
      </w:r>
    </w:p>
    <w:p w14:paraId="71A32A5B"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Avoiding activities</w:t>
      </w:r>
    </w:p>
    <w:p w14:paraId="1B9CD0A8"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Cycle of inactivity</w:t>
      </w:r>
    </w:p>
    <w:p w14:paraId="69FD9093"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3FA0458C"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Holistic Development Theory</w:t>
      </w:r>
    </w:p>
    <w:p w14:paraId="0298E627"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3EC214EC"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All areas linked</w:t>
      </w:r>
    </w:p>
    <w:p w14:paraId="36A988C4"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Physical ↔ emotional ↔ social ↔ cognitive</w:t>
      </w:r>
    </w:p>
    <w:p w14:paraId="20F08851"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Poor health affects confidence &amp; learning</w:t>
      </w:r>
    </w:p>
    <w:p w14:paraId="46AA5F58"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11189D98"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Social Determinants of Health</w:t>
      </w:r>
    </w:p>
    <w:p w14:paraId="786295E6"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791D95E8"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Income, housing, education</w:t>
      </w:r>
    </w:p>
    <w:p w14:paraId="7F0CE122"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Access to services</w:t>
      </w:r>
    </w:p>
    <w:p w14:paraId="2C25DF4C"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Deprivation → higher obesity risk</w:t>
      </w:r>
    </w:p>
    <w:p w14:paraId="43F42985"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08E9B507"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Ecological Systems Theory</w:t>
      </w:r>
    </w:p>
    <w:p w14:paraId="08D27BA1"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0DDD77CE"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Family influence</w:t>
      </w:r>
    </w:p>
    <w:p w14:paraId="0449C2AD"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Community resources</w:t>
      </w:r>
    </w:p>
    <w:p w14:paraId="1CBE1A1A"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Cultural norms</w:t>
      </w:r>
    </w:p>
    <w:p w14:paraId="43FC1436"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Policy environment</w:t>
      </w:r>
    </w:p>
    <w:p w14:paraId="38A0415F"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76F8A69C"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Legislation &amp; Policy</w:t>
      </w:r>
    </w:p>
    <w:p w14:paraId="3C1CAB5A"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32E67F20"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NHS guidance</w:t>
      </w:r>
    </w:p>
    <w:p w14:paraId="4FA7C9E3"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EYFS: promote health &amp; wellbeing</w:t>
      </w:r>
    </w:p>
    <w:p w14:paraId="72F8EC71"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Healthy Weight: Healthy Wales</w:t>
      </w:r>
    </w:p>
    <w:p w14:paraId="5293A93B"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Public Health Wales resources</w:t>
      </w:r>
    </w:p>
    <w:p w14:paraId="05D011C8"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1A46D4DD"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Key Concepts</w:t>
      </w:r>
    </w:p>
    <w:p w14:paraId="2A60E666"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62738ECD"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Health: whole wellbeing</w:t>
      </w:r>
    </w:p>
    <w:p w14:paraId="063A2DB6"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Wellbeing: emotional security, resilience</w:t>
      </w:r>
    </w:p>
    <w:p w14:paraId="00F84D6D"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Lifestyle: diet, activity, sleep, routines</w:t>
      </w:r>
    </w:p>
    <w:p w14:paraId="50BF0BD0"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4C3513C3"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Practice in Early Years Settings</w:t>
      </w:r>
    </w:p>
    <w:p w14:paraId="2B44060B"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6BA8A48B"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Balanced meals, water</w:t>
      </w:r>
    </w:p>
    <w:p w14:paraId="3FBD4C73"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Outdoor play, active learning</w:t>
      </w:r>
    </w:p>
    <w:p w14:paraId="5C2ABD74"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Observation &amp; assessment</w:t>
      </w:r>
    </w:p>
    <w:p w14:paraId="6EB2F7A2"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Partnership with parents</w:t>
      </w:r>
    </w:p>
    <w:p w14:paraId="62D302A7"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Supportive environments</w:t>
      </w:r>
    </w:p>
    <w:p w14:paraId="5419A3CC"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76ADAEDC"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Causes of Childhood Obesity</w:t>
      </w:r>
    </w:p>
    <w:p w14:paraId="001A2164"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057FA95C"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Poor diet</w:t>
      </w:r>
    </w:p>
    <w:p w14:paraId="0D90F276"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Low activity, high screen time</w:t>
      </w:r>
    </w:p>
    <w:p w14:paraId="0CB25805"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Family lifestyle patterns</w:t>
      </w:r>
    </w:p>
    <w:p w14:paraId="30E77F7D"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Socioeconomic barriers</w:t>
      </w:r>
    </w:p>
    <w:p w14:paraId="3C129B11"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30D3A34C"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Conclusion</w:t>
      </w:r>
    </w:p>
    <w:p w14:paraId="422C5AC0"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p>
    <w:p w14:paraId="3AA23DCF"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Obesity affects whole</w:t>
      </w:r>
      <w:r w:rsidRPr="002A58C1">
        <w:rPr>
          <w:rFonts w:asciiTheme="minorHAnsi" w:eastAsia="Times New Roman" w:hAnsiTheme="minorHAnsi" w:cs="Times New Roman"/>
          <w:color w:val="454545"/>
          <w:kern w:val="0"/>
          <w:sz w:val="28"/>
          <w:szCs w:val="28"/>
          <w14:ligatures w14:val="none"/>
        </w:rPr>
        <w:noBreakHyphen/>
        <w:t>child development</w:t>
      </w:r>
    </w:p>
    <w:p w14:paraId="7D2A01AA"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Influenced by lifestyle + environment</w:t>
      </w:r>
    </w:p>
    <w:p w14:paraId="4F8EE44C"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Practitioners = key prevention role</w:t>
      </w:r>
    </w:p>
    <w:p w14:paraId="37D91618" w14:textId="77777777" w:rsidR="002A58C1" w:rsidRPr="002A58C1" w:rsidRDefault="002A58C1" w:rsidP="002A58C1">
      <w:pPr>
        <w:pBdr>
          <w:top w:val="none" w:sz="0" w:space="0" w:color="auto"/>
          <w:left w:val="none" w:sz="0" w:space="0" w:color="auto"/>
          <w:bottom w:val="none" w:sz="0" w:space="0" w:color="auto"/>
          <w:right w:val="none" w:sz="0" w:space="0" w:color="auto"/>
        </w:pBdr>
        <w:spacing w:after="0" w:line="240" w:lineRule="auto"/>
        <w:ind w:left="0" w:firstLine="0"/>
        <w:rPr>
          <w:rFonts w:asciiTheme="minorHAnsi" w:eastAsia="Times New Roman" w:hAnsiTheme="minorHAnsi" w:cs="Times New Roman"/>
          <w:color w:val="454545"/>
          <w:kern w:val="0"/>
          <w:sz w:val="28"/>
          <w:szCs w:val="28"/>
          <w14:ligatures w14:val="none"/>
        </w:rPr>
      </w:pPr>
      <w:r w:rsidRPr="002A58C1">
        <w:rPr>
          <w:rFonts w:asciiTheme="minorHAnsi" w:eastAsia="Times New Roman" w:hAnsiTheme="minorHAnsi" w:cs="Times New Roman"/>
          <w:color w:val="454545"/>
          <w:kern w:val="0"/>
          <w:sz w:val="28"/>
          <w:szCs w:val="28"/>
          <w14:ligatures w14:val="none"/>
        </w:rPr>
        <w:t>• Holistic, proactive approach</w:t>
      </w:r>
    </w:p>
    <w:p w14:paraId="7E926EC2" w14:textId="77777777" w:rsidR="002A58C1" w:rsidRPr="007D4D8A" w:rsidRDefault="002A58C1" w:rsidP="00F51777">
      <w:pPr>
        <w:pStyle w:val="p2"/>
        <w:rPr>
          <w:rFonts w:asciiTheme="minorHAnsi" w:hAnsiTheme="minorHAnsi"/>
          <w:sz w:val="28"/>
          <w:szCs w:val="28"/>
        </w:rPr>
      </w:pPr>
    </w:p>
    <w:sectPr w:rsidR="002A58C1" w:rsidRPr="007D4D8A">
      <w:pgSz w:w="16838" w:h="23811"/>
      <w:pgMar w:top="622" w:right="539" w:bottom="673" w:left="539"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1DD6"/>
    <w:rsid w:val="00175005"/>
    <w:rsid w:val="001A024A"/>
    <w:rsid w:val="001A1BCC"/>
    <w:rsid w:val="001F00C7"/>
    <w:rsid w:val="001F4F75"/>
    <w:rsid w:val="00246683"/>
    <w:rsid w:val="002641E2"/>
    <w:rsid w:val="00282897"/>
    <w:rsid w:val="002A58C1"/>
    <w:rsid w:val="00400673"/>
    <w:rsid w:val="0040474B"/>
    <w:rsid w:val="00591EC4"/>
    <w:rsid w:val="007061DD"/>
    <w:rsid w:val="00761496"/>
    <w:rsid w:val="007D4D8A"/>
    <w:rsid w:val="00873B61"/>
    <w:rsid w:val="008D71A2"/>
    <w:rsid w:val="009977AD"/>
    <w:rsid w:val="00BC7E75"/>
    <w:rsid w:val="00CE6C44"/>
    <w:rsid w:val="00F51777"/>
    <w:rsid w:val="00F94347"/>
    <w:rsid w:val="00FA1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3576D9"/>
  <w15:docId w15:val="{667C9580-8A50-C343-9BB1-9B271E884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pBdr>
        <w:top w:val="single" w:sz="8" w:space="0" w:color="000000"/>
        <w:left w:val="single" w:sz="8" w:space="0" w:color="000000"/>
        <w:bottom w:val="single" w:sz="8" w:space="0" w:color="000000"/>
        <w:right w:val="single" w:sz="8" w:space="0" w:color="000000"/>
      </w:pBdr>
      <w:spacing w:after="218" w:line="257" w:lineRule="auto"/>
      <w:ind w:left="10" w:hanging="10"/>
    </w:pPr>
    <w:rPr>
      <w:rFonts w:ascii="Arial" w:eastAsia="Arial" w:hAnsi="Arial" w:cs="Arial"/>
      <w:color w:val="000000"/>
      <w:sz w:val="18"/>
    </w:rPr>
  </w:style>
  <w:style w:type="paragraph" w:styleId="Heading1">
    <w:name w:val="heading 1"/>
    <w:next w:val="Normal"/>
    <w:link w:val="Heading1Char"/>
    <w:uiPriority w:val="9"/>
    <w:qFormat/>
    <w:pPr>
      <w:keepNext/>
      <w:keepLines/>
      <w:pBdr>
        <w:top w:val="single" w:sz="8" w:space="0" w:color="000000"/>
        <w:left w:val="single" w:sz="8" w:space="0" w:color="000000"/>
        <w:bottom w:val="single" w:sz="8" w:space="0" w:color="000000"/>
        <w:right w:val="single" w:sz="8" w:space="0" w:color="000000"/>
      </w:pBdr>
      <w:spacing w:after="32" w:line="259" w:lineRule="auto"/>
      <w:ind w:left="10" w:hanging="10"/>
      <w:outlineLvl w:val="0"/>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8"/>
    </w:rPr>
  </w:style>
  <w:style w:type="paragraph" w:customStyle="1" w:styleId="p1">
    <w:name w:val="p1"/>
    <w:basedOn w:val="Normal"/>
    <w:rsid w:val="007061DD"/>
    <w:pPr>
      <w:pBdr>
        <w:top w:val="none" w:sz="0" w:space="0" w:color="auto"/>
        <w:left w:val="none" w:sz="0" w:space="0" w:color="auto"/>
        <w:bottom w:val="none" w:sz="0" w:space="0" w:color="auto"/>
        <w:right w:val="none" w:sz="0" w:space="0" w:color="auto"/>
      </w:pBdr>
      <w:spacing w:before="100" w:beforeAutospacing="1" w:after="100" w:afterAutospacing="1" w:line="240" w:lineRule="auto"/>
      <w:ind w:left="0" w:firstLine="0"/>
    </w:pPr>
    <w:rPr>
      <w:rFonts w:ascii="Times New Roman" w:eastAsiaTheme="minorEastAsia" w:hAnsi="Times New Roman" w:cs="Times New Roman"/>
      <w:color w:val="auto"/>
      <w:kern w:val="0"/>
      <w:sz w:val="24"/>
      <w14:ligatures w14:val="none"/>
    </w:rPr>
  </w:style>
  <w:style w:type="character" w:customStyle="1" w:styleId="s2">
    <w:name w:val="s2"/>
    <w:basedOn w:val="DefaultParagraphFont"/>
    <w:rsid w:val="007061DD"/>
  </w:style>
  <w:style w:type="character" w:customStyle="1" w:styleId="s1">
    <w:name w:val="s1"/>
    <w:basedOn w:val="DefaultParagraphFont"/>
    <w:rsid w:val="007061DD"/>
  </w:style>
  <w:style w:type="character" w:styleId="Hyperlink">
    <w:name w:val="Hyperlink"/>
    <w:basedOn w:val="DefaultParagraphFont"/>
    <w:uiPriority w:val="99"/>
    <w:semiHidden/>
    <w:unhideWhenUsed/>
    <w:rsid w:val="007061DD"/>
    <w:rPr>
      <w:color w:val="0000FF"/>
      <w:u w:val="single"/>
    </w:rPr>
  </w:style>
  <w:style w:type="paragraph" w:customStyle="1" w:styleId="p2">
    <w:name w:val="p2"/>
    <w:basedOn w:val="Normal"/>
    <w:rsid w:val="00F51777"/>
    <w:pPr>
      <w:pBdr>
        <w:top w:val="none" w:sz="0" w:space="0" w:color="auto"/>
        <w:left w:val="none" w:sz="0" w:space="0" w:color="auto"/>
        <w:bottom w:val="none" w:sz="0" w:space="0" w:color="auto"/>
        <w:right w:val="none" w:sz="0" w:space="0" w:color="auto"/>
      </w:pBdr>
      <w:spacing w:before="100" w:beforeAutospacing="1" w:after="100" w:afterAutospacing="1" w:line="240" w:lineRule="auto"/>
      <w:ind w:left="0" w:firstLine="0"/>
    </w:pPr>
    <w:rPr>
      <w:rFonts w:ascii="Times New Roman" w:eastAsiaTheme="minorEastAsia" w:hAnsi="Times New Roman" w:cs="Times New Roman"/>
      <w:color w:val="auto"/>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 TargetMode="External"/><Relationship Id="rId5" Type="http://schemas.openxmlformats.org/officeDocument/2006/relationships/hyperlink" Target="https://gpifn.org.uk/childhood-obesity/"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116</TotalTime>
  <Pages>6</Pages>
  <Words>2262</Words>
  <Characters>12896</Characters>
  <Application>Microsoft Office Word</Application>
  <DocSecurity>0</DocSecurity>
  <Lines>107</Lines>
  <Paragraphs>30</Paragraphs>
  <ScaleCrop>false</ScaleCrop>
  <Company/>
  <LinksUpToDate>false</LinksUpToDate>
  <CharactersWithSpaces>15128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(anonymous)</dc:title>
  <dc:subject>(unspecified)</dc:subject>
  <dc:creator>(anonymous)</dc:creator>
  <cp:keywords/>
  <cp:lastModifiedBy>Shannon Fry (2505762)</cp:lastModifiedBy>
  <cp:revision>2</cp:revision>
  <dcterms:created xsi:type="dcterms:W3CDTF">2026-06-21T21:49:00Z</dcterms:created>
  <dcterms:modified xsi:type="dcterms:W3CDTF">2026-06-21T21:49:00Z</dcterms:modified>
</cp:coreProperties>
</file>