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10696" w14:textId="77777777" w:rsidR="008B3BF4" w:rsidRDefault="008B3BF4" w:rsidP="001A3A2D"/>
    <w:p w14:paraId="764D9452" w14:textId="77777777" w:rsidR="005C1225" w:rsidRPr="00A85BFE" w:rsidRDefault="005C1225" w:rsidP="005C1225">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373530A" wp14:editId="0A4580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93FF44B" w14:textId="77777777" w:rsidR="005C1225" w:rsidRPr="00A406E5" w:rsidRDefault="005C1225" w:rsidP="005C122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5C1225" w:rsidRPr="00A406E5" w14:paraId="199E2ECF" w14:textId="77777777" w:rsidTr="009C0408">
        <w:tc>
          <w:tcPr>
            <w:tcW w:w="9922" w:type="dxa"/>
            <w:shd w:val="clear" w:color="auto" w:fill="C0C0C0"/>
          </w:tcPr>
          <w:p w14:paraId="458BA74E" w14:textId="77777777" w:rsidR="005C1225" w:rsidRPr="00A406E5" w:rsidRDefault="005C1225" w:rsidP="009C0408">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64767C03" w14:textId="77777777" w:rsidR="005C1225" w:rsidRPr="00A406E5" w:rsidRDefault="005C1225" w:rsidP="005C122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C1225" w:rsidRPr="00A406E5" w14:paraId="55F7FC96" w14:textId="77777777" w:rsidTr="009C0408">
        <w:tc>
          <w:tcPr>
            <w:tcW w:w="2093" w:type="dxa"/>
            <w:shd w:val="pct15" w:color="auto" w:fill="auto"/>
          </w:tcPr>
          <w:p w14:paraId="30805D80" w14:textId="77777777" w:rsidR="005C1225" w:rsidRPr="00A406E5" w:rsidRDefault="005C1225" w:rsidP="009C0408">
            <w:pPr>
              <w:spacing w:before="120" w:after="120"/>
              <w:rPr>
                <w:rFonts w:ascii="Arial" w:hAnsi="Arial" w:cs="Arial"/>
                <w:b/>
                <w:sz w:val="22"/>
              </w:rPr>
            </w:pPr>
            <w:r w:rsidRPr="00A406E5">
              <w:rPr>
                <w:rFonts w:ascii="Arial" w:hAnsi="Arial" w:cs="Arial"/>
                <w:b/>
                <w:sz w:val="22"/>
              </w:rPr>
              <w:t>Student name:</w:t>
            </w:r>
          </w:p>
        </w:tc>
        <w:tc>
          <w:tcPr>
            <w:tcW w:w="3293" w:type="dxa"/>
          </w:tcPr>
          <w:p w14:paraId="478FCC3E" w14:textId="5B99B39D" w:rsidR="005C1225" w:rsidRPr="00A406E5" w:rsidRDefault="005C1225" w:rsidP="009C0408">
            <w:pPr>
              <w:spacing w:before="120" w:after="120"/>
              <w:rPr>
                <w:rFonts w:ascii="Arial" w:hAnsi="Arial" w:cs="Arial"/>
                <w:b/>
                <w:sz w:val="22"/>
              </w:rPr>
            </w:pPr>
            <w:r>
              <w:rPr>
                <w:rFonts w:ascii="Arial" w:hAnsi="Arial" w:cs="Arial"/>
                <w:b/>
                <w:sz w:val="22"/>
              </w:rPr>
              <w:t>SEHRASH SOHAIL</w:t>
            </w:r>
          </w:p>
        </w:tc>
        <w:tc>
          <w:tcPr>
            <w:tcW w:w="2268" w:type="dxa"/>
            <w:shd w:val="clear" w:color="auto" w:fill="D9D9D9"/>
          </w:tcPr>
          <w:p w14:paraId="729B5112" w14:textId="77777777" w:rsidR="005C1225" w:rsidRPr="00A406E5" w:rsidRDefault="005C1225" w:rsidP="009C0408">
            <w:pPr>
              <w:spacing w:before="120" w:after="120"/>
              <w:rPr>
                <w:rFonts w:ascii="Arial" w:hAnsi="Arial" w:cs="Arial"/>
                <w:b/>
                <w:sz w:val="22"/>
              </w:rPr>
            </w:pPr>
            <w:r w:rsidRPr="00A406E5">
              <w:rPr>
                <w:rFonts w:ascii="Arial" w:hAnsi="Arial" w:cs="Arial"/>
                <w:b/>
                <w:sz w:val="22"/>
              </w:rPr>
              <w:t>Student ID number:</w:t>
            </w:r>
          </w:p>
        </w:tc>
        <w:tc>
          <w:tcPr>
            <w:tcW w:w="2268" w:type="dxa"/>
          </w:tcPr>
          <w:p w14:paraId="4B82049E" w14:textId="63659070" w:rsidR="005C1225" w:rsidRPr="005C1225" w:rsidRDefault="005C1225" w:rsidP="009C0408">
            <w:pPr>
              <w:spacing w:before="120" w:after="120"/>
              <w:rPr>
                <w:rFonts w:ascii="Arial" w:hAnsi="Arial" w:cs="Arial"/>
                <w:b/>
                <w:sz w:val="28"/>
                <w:szCs w:val="28"/>
              </w:rPr>
            </w:pPr>
            <w:r w:rsidRPr="005C1225">
              <w:rPr>
                <w:rFonts w:ascii="Source Sans Pro" w:hAnsi="Source Sans Pro"/>
                <w:color w:val="242130"/>
                <w:sz w:val="28"/>
                <w:szCs w:val="28"/>
                <w:shd w:val="clear" w:color="auto" w:fill="FFFFFF"/>
              </w:rPr>
              <w:t>2243921</w:t>
            </w:r>
          </w:p>
        </w:tc>
      </w:tr>
      <w:tr w:rsidR="005C1225" w:rsidRPr="00A406E5" w14:paraId="6AF16F70" w14:textId="77777777" w:rsidTr="009C0408">
        <w:tc>
          <w:tcPr>
            <w:tcW w:w="2093" w:type="dxa"/>
            <w:shd w:val="pct15" w:color="auto" w:fill="auto"/>
          </w:tcPr>
          <w:p w14:paraId="25A1E282" w14:textId="77777777" w:rsidR="005C1225" w:rsidRPr="00A406E5" w:rsidRDefault="005C1225" w:rsidP="009C0408">
            <w:pPr>
              <w:spacing w:before="120" w:after="120"/>
              <w:rPr>
                <w:rFonts w:ascii="Arial" w:hAnsi="Arial" w:cs="Arial"/>
                <w:b/>
                <w:sz w:val="22"/>
              </w:rPr>
            </w:pPr>
            <w:r w:rsidRPr="00A406E5">
              <w:rPr>
                <w:rFonts w:ascii="Arial" w:hAnsi="Arial" w:cs="Arial"/>
                <w:b/>
                <w:sz w:val="22"/>
              </w:rPr>
              <w:t>Programme:</w:t>
            </w:r>
          </w:p>
        </w:tc>
        <w:tc>
          <w:tcPr>
            <w:tcW w:w="7829" w:type="dxa"/>
            <w:gridSpan w:val="3"/>
          </w:tcPr>
          <w:p w14:paraId="4E7B4ACD" w14:textId="77777777" w:rsidR="005C1225" w:rsidRPr="00A406E5" w:rsidRDefault="005C1225" w:rsidP="009C0408">
            <w:pPr>
              <w:spacing w:before="120" w:after="120"/>
              <w:rPr>
                <w:rFonts w:ascii="Arial" w:hAnsi="Arial" w:cs="Arial"/>
                <w:b/>
                <w:sz w:val="22"/>
              </w:rPr>
            </w:pPr>
            <w:r>
              <w:rPr>
                <w:rFonts w:ascii="Arial" w:hAnsi="Arial" w:cs="Arial"/>
                <w:b/>
                <w:sz w:val="22"/>
              </w:rPr>
              <w:t xml:space="preserve">Cert He Professional policing </w:t>
            </w:r>
          </w:p>
        </w:tc>
      </w:tr>
      <w:tr w:rsidR="005C1225" w:rsidRPr="00A406E5" w14:paraId="575583DA" w14:textId="77777777" w:rsidTr="009C0408">
        <w:tc>
          <w:tcPr>
            <w:tcW w:w="2093" w:type="dxa"/>
            <w:shd w:val="pct15" w:color="auto" w:fill="auto"/>
          </w:tcPr>
          <w:p w14:paraId="4B4D1B24" w14:textId="77777777" w:rsidR="005C1225" w:rsidRPr="00A406E5" w:rsidRDefault="005C1225" w:rsidP="009C0408">
            <w:pPr>
              <w:spacing w:before="120" w:after="120"/>
              <w:rPr>
                <w:rFonts w:ascii="Arial" w:hAnsi="Arial" w:cs="Arial"/>
                <w:b/>
                <w:sz w:val="22"/>
              </w:rPr>
            </w:pPr>
            <w:r w:rsidRPr="00A406E5">
              <w:rPr>
                <w:rFonts w:ascii="Arial" w:hAnsi="Arial" w:cs="Arial"/>
                <w:b/>
                <w:sz w:val="22"/>
              </w:rPr>
              <w:t>Module:</w:t>
            </w:r>
          </w:p>
        </w:tc>
        <w:tc>
          <w:tcPr>
            <w:tcW w:w="7829" w:type="dxa"/>
            <w:gridSpan w:val="3"/>
            <w:shd w:val="clear" w:color="auto" w:fill="auto"/>
          </w:tcPr>
          <w:p w14:paraId="68170CDE" w14:textId="77777777" w:rsidR="005C1225" w:rsidRPr="00A406E5" w:rsidRDefault="005C1225" w:rsidP="009C0408">
            <w:pPr>
              <w:spacing w:before="120" w:after="120"/>
              <w:rPr>
                <w:rFonts w:ascii="Arial" w:hAnsi="Arial" w:cs="Arial"/>
                <w:b/>
                <w:sz w:val="22"/>
              </w:rPr>
            </w:pPr>
            <w:r>
              <w:rPr>
                <w:rFonts w:ascii="Arial" w:hAnsi="Arial" w:cs="Arial"/>
                <w:b/>
                <w:sz w:val="22"/>
              </w:rPr>
              <w:t xml:space="preserve">Legal Process </w:t>
            </w:r>
          </w:p>
        </w:tc>
      </w:tr>
      <w:tr w:rsidR="005C1225" w:rsidRPr="00A406E5" w14:paraId="5556D208" w14:textId="77777777" w:rsidTr="009C0408">
        <w:tc>
          <w:tcPr>
            <w:tcW w:w="2093" w:type="dxa"/>
            <w:shd w:val="pct15" w:color="auto" w:fill="auto"/>
          </w:tcPr>
          <w:p w14:paraId="06B02EEC" w14:textId="77777777" w:rsidR="005C1225" w:rsidRPr="00A406E5" w:rsidRDefault="005C1225" w:rsidP="009C0408">
            <w:pPr>
              <w:spacing w:before="120" w:after="120"/>
              <w:rPr>
                <w:rFonts w:ascii="Arial" w:hAnsi="Arial" w:cs="Arial"/>
                <w:b/>
                <w:sz w:val="22"/>
              </w:rPr>
            </w:pPr>
            <w:r w:rsidRPr="00A406E5">
              <w:rPr>
                <w:rFonts w:ascii="Arial" w:hAnsi="Arial" w:cs="Arial"/>
                <w:b/>
                <w:sz w:val="22"/>
              </w:rPr>
              <w:t>Module code:</w:t>
            </w:r>
          </w:p>
        </w:tc>
        <w:tc>
          <w:tcPr>
            <w:tcW w:w="3293" w:type="dxa"/>
          </w:tcPr>
          <w:p w14:paraId="3004B65A" w14:textId="77777777" w:rsidR="005C1225" w:rsidRPr="00A406E5" w:rsidRDefault="005C1225" w:rsidP="009C0408">
            <w:pPr>
              <w:spacing w:before="120" w:after="120"/>
              <w:rPr>
                <w:rFonts w:ascii="Arial" w:hAnsi="Arial" w:cs="Arial"/>
                <w:b/>
                <w:sz w:val="22"/>
              </w:rPr>
            </w:pPr>
            <w:r>
              <w:rPr>
                <w:rFonts w:ascii="Arial" w:hAnsi="Arial" w:cs="Arial"/>
                <w:b/>
                <w:sz w:val="22"/>
              </w:rPr>
              <w:t>BMPL4011</w:t>
            </w:r>
          </w:p>
        </w:tc>
        <w:tc>
          <w:tcPr>
            <w:tcW w:w="2268" w:type="dxa"/>
            <w:shd w:val="clear" w:color="auto" w:fill="D9D9D9"/>
          </w:tcPr>
          <w:p w14:paraId="3FD47163" w14:textId="77777777" w:rsidR="005C1225" w:rsidRPr="004D5E9B" w:rsidRDefault="005C1225" w:rsidP="009C040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40EC2DF" w14:textId="77777777" w:rsidR="005C1225" w:rsidRPr="00A406E5" w:rsidRDefault="005C1225" w:rsidP="009C0408">
            <w:pPr>
              <w:spacing w:before="120" w:after="120"/>
              <w:rPr>
                <w:rFonts w:ascii="Arial" w:hAnsi="Arial" w:cs="Arial"/>
                <w:b/>
                <w:sz w:val="22"/>
              </w:rPr>
            </w:pPr>
            <w:r>
              <w:rPr>
                <w:rFonts w:ascii="Arial" w:hAnsi="Arial" w:cs="Arial"/>
                <w:b/>
                <w:sz w:val="22"/>
              </w:rPr>
              <w:t>50%</w:t>
            </w:r>
          </w:p>
        </w:tc>
      </w:tr>
      <w:tr w:rsidR="005C1225" w:rsidRPr="00A406E5" w14:paraId="79880EC3" w14:textId="77777777" w:rsidTr="009C0408">
        <w:tc>
          <w:tcPr>
            <w:tcW w:w="2093" w:type="dxa"/>
            <w:shd w:val="pct15" w:color="auto" w:fill="auto"/>
          </w:tcPr>
          <w:p w14:paraId="7EC461C2" w14:textId="77777777" w:rsidR="005C1225" w:rsidRPr="00A406E5" w:rsidRDefault="005C1225" w:rsidP="009C0408">
            <w:pPr>
              <w:spacing w:before="120" w:after="120"/>
              <w:rPr>
                <w:rFonts w:ascii="Arial" w:hAnsi="Arial" w:cs="Arial"/>
                <w:b/>
                <w:sz w:val="22"/>
              </w:rPr>
            </w:pPr>
            <w:r w:rsidRPr="00A406E5">
              <w:rPr>
                <w:rFonts w:ascii="Arial" w:hAnsi="Arial" w:cs="Arial"/>
                <w:b/>
                <w:sz w:val="22"/>
              </w:rPr>
              <w:t>Lecturer:</w:t>
            </w:r>
          </w:p>
        </w:tc>
        <w:tc>
          <w:tcPr>
            <w:tcW w:w="3293" w:type="dxa"/>
          </w:tcPr>
          <w:p w14:paraId="4EE73C0C" w14:textId="77777777" w:rsidR="005C1225" w:rsidRPr="00A406E5" w:rsidRDefault="005C1225" w:rsidP="009C0408">
            <w:pPr>
              <w:spacing w:before="120" w:after="120"/>
              <w:rPr>
                <w:rFonts w:ascii="Arial" w:hAnsi="Arial" w:cs="Arial"/>
                <w:b/>
                <w:sz w:val="22"/>
              </w:rPr>
            </w:pPr>
            <w:r>
              <w:rPr>
                <w:rFonts w:ascii="Arial" w:hAnsi="Arial" w:cs="Arial"/>
                <w:b/>
                <w:sz w:val="22"/>
              </w:rPr>
              <w:t xml:space="preserve">Zita Draper </w:t>
            </w:r>
          </w:p>
        </w:tc>
        <w:tc>
          <w:tcPr>
            <w:tcW w:w="2268" w:type="dxa"/>
            <w:shd w:val="clear" w:color="auto" w:fill="D9D9D9"/>
          </w:tcPr>
          <w:p w14:paraId="17F779D8" w14:textId="77777777" w:rsidR="005C1225" w:rsidRPr="00A406E5" w:rsidRDefault="005C1225" w:rsidP="009C0408">
            <w:pPr>
              <w:spacing w:before="120" w:after="120"/>
              <w:rPr>
                <w:rFonts w:ascii="Arial" w:hAnsi="Arial" w:cs="Arial"/>
                <w:b/>
                <w:sz w:val="22"/>
              </w:rPr>
            </w:pPr>
            <w:r w:rsidRPr="00A406E5">
              <w:rPr>
                <w:rFonts w:ascii="Arial" w:hAnsi="Arial" w:cs="Arial"/>
                <w:b/>
                <w:sz w:val="22"/>
              </w:rPr>
              <w:t>Internal Verifier:</w:t>
            </w:r>
          </w:p>
        </w:tc>
        <w:tc>
          <w:tcPr>
            <w:tcW w:w="2268" w:type="dxa"/>
          </w:tcPr>
          <w:p w14:paraId="0C0A1303" w14:textId="77777777" w:rsidR="005C1225" w:rsidRPr="00A406E5" w:rsidRDefault="005C1225" w:rsidP="009C0408">
            <w:pPr>
              <w:spacing w:before="120" w:after="120"/>
              <w:rPr>
                <w:rFonts w:ascii="Arial" w:hAnsi="Arial" w:cs="Arial"/>
                <w:b/>
                <w:sz w:val="22"/>
              </w:rPr>
            </w:pPr>
          </w:p>
        </w:tc>
      </w:tr>
      <w:tr w:rsidR="005C1225" w:rsidRPr="00A406E5" w14:paraId="4F18390B" w14:textId="77777777" w:rsidTr="009C0408">
        <w:tc>
          <w:tcPr>
            <w:tcW w:w="2093" w:type="dxa"/>
            <w:shd w:val="pct15" w:color="auto" w:fill="auto"/>
          </w:tcPr>
          <w:p w14:paraId="73AB4347" w14:textId="77777777" w:rsidR="005C1225" w:rsidRPr="00A406E5" w:rsidRDefault="005C1225" w:rsidP="009C0408">
            <w:pPr>
              <w:spacing w:before="120" w:after="120"/>
              <w:rPr>
                <w:rFonts w:ascii="Arial" w:hAnsi="Arial" w:cs="Arial"/>
                <w:b/>
                <w:sz w:val="22"/>
              </w:rPr>
            </w:pPr>
            <w:r w:rsidRPr="00A406E5">
              <w:rPr>
                <w:rFonts w:ascii="Arial" w:hAnsi="Arial" w:cs="Arial"/>
                <w:b/>
                <w:sz w:val="22"/>
              </w:rPr>
              <w:t>Assignment Title:</w:t>
            </w:r>
          </w:p>
        </w:tc>
        <w:tc>
          <w:tcPr>
            <w:tcW w:w="3293" w:type="dxa"/>
          </w:tcPr>
          <w:p w14:paraId="0C40DF20" w14:textId="77777777" w:rsidR="005C1225" w:rsidRPr="00A406E5" w:rsidRDefault="005C1225" w:rsidP="009C0408">
            <w:pPr>
              <w:spacing w:before="120" w:after="120"/>
              <w:rPr>
                <w:rFonts w:ascii="Arial" w:hAnsi="Arial" w:cs="Arial"/>
                <w:b/>
                <w:sz w:val="22"/>
              </w:rPr>
            </w:pPr>
            <w:r>
              <w:rPr>
                <w:rFonts w:ascii="Arial" w:hAnsi="Arial" w:cs="Arial"/>
                <w:b/>
                <w:sz w:val="22"/>
              </w:rPr>
              <w:t xml:space="preserve">Constitutional Reform Act 2005. </w:t>
            </w:r>
          </w:p>
        </w:tc>
        <w:tc>
          <w:tcPr>
            <w:tcW w:w="2268" w:type="dxa"/>
            <w:shd w:val="pct15" w:color="auto" w:fill="auto"/>
          </w:tcPr>
          <w:p w14:paraId="2FBC8A7E" w14:textId="77777777" w:rsidR="005C1225" w:rsidRPr="00A406E5" w:rsidRDefault="005C1225" w:rsidP="009C0408">
            <w:pPr>
              <w:spacing w:before="120" w:after="120"/>
              <w:rPr>
                <w:rFonts w:ascii="Arial" w:hAnsi="Arial" w:cs="Arial"/>
                <w:b/>
                <w:sz w:val="22"/>
              </w:rPr>
            </w:pPr>
            <w:r>
              <w:rPr>
                <w:rFonts w:ascii="Arial" w:hAnsi="Arial" w:cs="Arial"/>
                <w:b/>
                <w:sz w:val="22"/>
              </w:rPr>
              <w:t>Word count (or equivalent):</w:t>
            </w:r>
          </w:p>
        </w:tc>
        <w:tc>
          <w:tcPr>
            <w:tcW w:w="2268" w:type="dxa"/>
          </w:tcPr>
          <w:p w14:paraId="6F19E2A1" w14:textId="77777777" w:rsidR="005C1225" w:rsidRPr="00A406E5" w:rsidRDefault="005C1225" w:rsidP="009C0408">
            <w:pPr>
              <w:spacing w:before="120" w:after="120"/>
              <w:rPr>
                <w:rFonts w:ascii="Arial" w:hAnsi="Arial" w:cs="Arial"/>
                <w:b/>
                <w:sz w:val="22"/>
              </w:rPr>
            </w:pPr>
            <w:r>
              <w:rPr>
                <w:rFonts w:ascii="Arial" w:hAnsi="Arial" w:cs="Arial"/>
                <w:b/>
                <w:sz w:val="22"/>
              </w:rPr>
              <w:t>1500</w:t>
            </w:r>
          </w:p>
        </w:tc>
      </w:tr>
      <w:tr w:rsidR="005C1225" w:rsidRPr="00A406E5" w14:paraId="05095E4D" w14:textId="77777777" w:rsidTr="009C0408">
        <w:tc>
          <w:tcPr>
            <w:tcW w:w="2093" w:type="dxa"/>
            <w:shd w:val="pct15" w:color="auto" w:fill="auto"/>
          </w:tcPr>
          <w:p w14:paraId="6F512CE4" w14:textId="77777777" w:rsidR="005C1225" w:rsidRPr="00A406E5" w:rsidRDefault="005C1225" w:rsidP="009C0408">
            <w:pPr>
              <w:spacing w:before="120" w:after="120"/>
              <w:rPr>
                <w:rFonts w:ascii="Arial" w:hAnsi="Arial" w:cs="Arial"/>
                <w:b/>
                <w:sz w:val="22"/>
              </w:rPr>
            </w:pPr>
            <w:r w:rsidRPr="00A406E5">
              <w:rPr>
                <w:rFonts w:ascii="Arial" w:hAnsi="Arial" w:cs="Arial"/>
                <w:b/>
                <w:sz w:val="22"/>
              </w:rPr>
              <w:t>Submission deadline:</w:t>
            </w:r>
          </w:p>
        </w:tc>
        <w:tc>
          <w:tcPr>
            <w:tcW w:w="3293" w:type="dxa"/>
            <w:shd w:val="clear" w:color="auto" w:fill="auto"/>
          </w:tcPr>
          <w:p w14:paraId="18341520" w14:textId="77777777" w:rsidR="005C1225" w:rsidRPr="00A406E5" w:rsidRDefault="005C1225" w:rsidP="009C0408">
            <w:pPr>
              <w:spacing w:before="120" w:after="120"/>
              <w:rPr>
                <w:rFonts w:ascii="Arial" w:hAnsi="Arial" w:cs="Arial"/>
                <w:b/>
                <w:sz w:val="22"/>
              </w:rPr>
            </w:pPr>
            <w:r>
              <w:rPr>
                <w:rFonts w:ascii="Arial" w:hAnsi="Arial" w:cs="Arial"/>
                <w:b/>
                <w:sz w:val="22"/>
              </w:rPr>
              <w:t>11</w:t>
            </w:r>
            <w:r w:rsidRPr="00E74CE7">
              <w:rPr>
                <w:rFonts w:ascii="Arial" w:hAnsi="Arial" w:cs="Arial"/>
                <w:b/>
                <w:sz w:val="22"/>
                <w:vertAlign w:val="superscript"/>
              </w:rPr>
              <w:t>th</w:t>
            </w:r>
            <w:r>
              <w:rPr>
                <w:rFonts w:ascii="Arial" w:hAnsi="Arial" w:cs="Arial"/>
                <w:b/>
                <w:sz w:val="22"/>
              </w:rPr>
              <w:t xml:space="preserve"> August 2023 by 23:59pm </w:t>
            </w:r>
          </w:p>
        </w:tc>
        <w:tc>
          <w:tcPr>
            <w:tcW w:w="2268" w:type="dxa"/>
            <w:shd w:val="pct15" w:color="auto" w:fill="auto"/>
          </w:tcPr>
          <w:p w14:paraId="211B2E7D" w14:textId="77777777" w:rsidR="005C1225" w:rsidRPr="00A406E5" w:rsidRDefault="005C1225" w:rsidP="009C0408">
            <w:pPr>
              <w:spacing w:before="120" w:after="120"/>
              <w:rPr>
                <w:rFonts w:ascii="Arial" w:hAnsi="Arial" w:cs="Arial"/>
                <w:b/>
                <w:sz w:val="22"/>
              </w:rPr>
            </w:pPr>
            <w:r w:rsidRPr="00A406E5">
              <w:rPr>
                <w:rFonts w:ascii="Arial" w:hAnsi="Arial" w:cs="Arial"/>
                <w:b/>
                <w:sz w:val="22"/>
              </w:rPr>
              <w:t>Return date of provisional marks &amp; written feedback:</w:t>
            </w:r>
          </w:p>
        </w:tc>
        <w:tc>
          <w:tcPr>
            <w:tcW w:w="2268" w:type="dxa"/>
          </w:tcPr>
          <w:p w14:paraId="2AD33E4A" w14:textId="77777777" w:rsidR="005C1225" w:rsidRPr="00A406E5" w:rsidRDefault="005C1225" w:rsidP="009C0408">
            <w:pPr>
              <w:spacing w:before="120" w:after="120"/>
              <w:rPr>
                <w:rFonts w:ascii="Arial" w:hAnsi="Arial" w:cs="Arial"/>
                <w:b/>
                <w:sz w:val="22"/>
              </w:rPr>
            </w:pPr>
            <w:r>
              <w:rPr>
                <w:rFonts w:ascii="Arial" w:hAnsi="Arial" w:cs="Arial"/>
                <w:b/>
                <w:sz w:val="22"/>
              </w:rPr>
              <w:t>11</w:t>
            </w:r>
            <w:r w:rsidRPr="00E74CE7">
              <w:rPr>
                <w:rFonts w:ascii="Arial" w:hAnsi="Arial" w:cs="Arial"/>
                <w:b/>
                <w:sz w:val="22"/>
                <w:vertAlign w:val="superscript"/>
              </w:rPr>
              <w:t>th</w:t>
            </w:r>
            <w:r>
              <w:rPr>
                <w:rFonts w:ascii="Arial" w:hAnsi="Arial" w:cs="Arial"/>
                <w:b/>
                <w:sz w:val="22"/>
              </w:rPr>
              <w:t xml:space="preserve"> September 2023 at 10am</w:t>
            </w:r>
          </w:p>
        </w:tc>
      </w:tr>
    </w:tbl>
    <w:p w14:paraId="1DA0EC89" w14:textId="77777777" w:rsidR="0009280A" w:rsidRDefault="0009280A" w:rsidP="001A3A2D"/>
    <w:p w14:paraId="0D62BC53" w14:textId="77777777" w:rsidR="0009280A" w:rsidRDefault="0009280A" w:rsidP="001A3A2D"/>
    <w:p w14:paraId="5BFACBF1" w14:textId="77777777" w:rsidR="0009280A" w:rsidRDefault="0009280A" w:rsidP="001A3A2D"/>
    <w:p w14:paraId="15944949" w14:textId="77777777" w:rsidR="0009280A" w:rsidRDefault="0009280A" w:rsidP="001A3A2D"/>
    <w:p w14:paraId="4C4EDDD3" w14:textId="77777777" w:rsidR="0009280A" w:rsidRDefault="0009280A" w:rsidP="001A3A2D"/>
    <w:p w14:paraId="5767AA71" w14:textId="1E067E57" w:rsidR="00B13635" w:rsidRPr="0055235B" w:rsidRDefault="00B13635" w:rsidP="00C15006">
      <w:pPr>
        <w:pStyle w:val="Heading1"/>
        <w:rPr>
          <w:rFonts w:ascii="Arial" w:hAnsi="Arial" w:cs="Arial"/>
          <w:color w:val="auto"/>
        </w:rPr>
      </w:pPr>
      <w:r w:rsidRPr="0055235B">
        <w:rPr>
          <w:rFonts w:ascii="Arial" w:hAnsi="Arial" w:cs="Arial"/>
          <w:color w:val="auto"/>
        </w:rPr>
        <w:lastRenderedPageBreak/>
        <w:t>Introductio</w:t>
      </w:r>
      <w:r w:rsidR="0055235B" w:rsidRPr="0055235B">
        <w:rPr>
          <w:rFonts w:ascii="Arial" w:hAnsi="Arial" w:cs="Arial"/>
          <w:color w:val="auto"/>
        </w:rPr>
        <w:t>n</w:t>
      </w:r>
      <w:r w:rsidR="0055235B">
        <w:rPr>
          <w:rFonts w:ascii="Arial" w:hAnsi="Arial" w:cs="Arial"/>
          <w:color w:val="auto"/>
        </w:rPr>
        <w:t>:</w:t>
      </w:r>
    </w:p>
    <w:p w14:paraId="64C518FE" w14:textId="2E517FD6" w:rsidR="00F51A48" w:rsidRPr="0055235B" w:rsidRDefault="00F51A48" w:rsidP="00F51A48">
      <w:pPr>
        <w:rPr>
          <w:rFonts w:ascii="Arial" w:hAnsi="Arial" w:cs="Arial"/>
        </w:rPr>
      </w:pPr>
      <w:r w:rsidRPr="0055235B">
        <w:rPr>
          <w:rFonts w:ascii="Arial" w:hAnsi="Arial" w:cs="Arial"/>
        </w:rPr>
        <w:t xml:space="preserve">This </w:t>
      </w:r>
      <w:r w:rsidR="00B54FEB" w:rsidRPr="0055235B">
        <w:rPr>
          <w:rFonts w:ascii="Arial" w:hAnsi="Arial" w:cs="Arial"/>
        </w:rPr>
        <w:t>assessment</w:t>
      </w:r>
      <w:r w:rsidRPr="0055235B">
        <w:rPr>
          <w:rFonts w:ascii="Arial" w:hAnsi="Arial" w:cs="Arial"/>
        </w:rPr>
        <w:t xml:space="preserve"> offers insight into the complexities of </w:t>
      </w:r>
      <w:r w:rsidR="00A338E5" w:rsidRPr="0055235B">
        <w:rPr>
          <w:rFonts w:ascii="Arial" w:hAnsi="Arial" w:cs="Arial"/>
        </w:rPr>
        <w:t xml:space="preserve">the </w:t>
      </w:r>
      <w:r w:rsidRPr="0055235B">
        <w:rPr>
          <w:rFonts w:ascii="Arial" w:hAnsi="Arial" w:cs="Arial"/>
        </w:rPr>
        <w:t xml:space="preserve">UK's constitutional landscape and highlights its complexity through an examination of how the Constitutional Reform Act 2005 has helped shape it. Notable provisions in this act include those related to </w:t>
      </w:r>
      <w:r w:rsidR="00A338E5" w:rsidRPr="0055235B">
        <w:rPr>
          <w:rFonts w:ascii="Arial" w:hAnsi="Arial" w:cs="Arial"/>
        </w:rPr>
        <w:t xml:space="preserve">the </w:t>
      </w:r>
      <w:r w:rsidRPr="0055235B">
        <w:rPr>
          <w:rFonts w:ascii="Arial" w:hAnsi="Arial" w:cs="Arial"/>
        </w:rPr>
        <w:t>separation of powers theory and authority between executive, legislative, and judicial branches - an ongoing process which underscores governance's dynamic nature as the UK seeks to uphold core principles while adapting to modern governance demands.</w:t>
      </w:r>
    </w:p>
    <w:p w14:paraId="5DE3CFF4" w14:textId="77777777" w:rsidR="00C15006" w:rsidRPr="0055235B" w:rsidRDefault="00C15006" w:rsidP="00F51A48">
      <w:pPr>
        <w:rPr>
          <w:rFonts w:ascii="Arial" w:hAnsi="Arial" w:cs="Arial"/>
        </w:rPr>
      </w:pPr>
    </w:p>
    <w:p w14:paraId="785CA734" w14:textId="206D5945" w:rsidR="00F51A48" w:rsidRPr="0055235B" w:rsidRDefault="00F51A48" w:rsidP="00C15006">
      <w:pPr>
        <w:pStyle w:val="Heading2"/>
        <w:rPr>
          <w:rFonts w:ascii="Arial" w:hAnsi="Arial" w:cs="Arial"/>
          <w:color w:val="auto"/>
        </w:rPr>
      </w:pPr>
      <w:r w:rsidRPr="0055235B">
        <w:rPr>
          <w:rFonts w:ascii="Arial" w:hAnsi="Arial" w:cs="Arial"/>
          <w:color w:val="auto"/>
        </w:rPr>
        <w:t>Definition of Constitution</w:t>
      </w:r>
      <w:r w:rsidR="0055235B">
        <w:rPr>
          <w:rFonts w:ascii="Arial" w:hAnsi="Arial" w:cs="Arial"/>
          <w:color w:val="auto"/>
        </w:rPr>
        <w:t>:</w:t>
      </w:r>
    </w:p>
    <w:p w14:paraId="09965F5D" w14:textId="1CAE40C1" w:rsidR="00F51A48" w:rsidRPr="0055235B" w:rsidRDefault="00F51A48" w:rsidP="00F51A48">
      <w:pPr>
        <w:rPr>
          <w:rFonts w:ascii="Arial" w:hAnsi="Arial" w:cs="Arial"/>
        </w:rPr>
      </w:pPr>
      <w:r w:rsidRPr="0055235B">
        <w:rPr>
          <w:rFonts w:ascii="Arial" w:hAnsi="Arial" w:cs="Arial"/>
        </w:rPr>
        <w:t>A country's constitution serves as its fundamental framework, outlining how its governance system should operate and establishing how the public is represented within it</w:t>
      </w:r>
      <w:r w:rsidR="00E74BED" w:rsidRPr="0055235B">
        <w:rPr>
          <w:rFonts w:ascii="Arial" w:hAnsi="Arial" w:cs="Arial"/>
        </w:rPr>
        <w:t xml:space="preserve"> (Filipcová, 2015)</w:t>
      </w:r>
      <w:r w:rsidRPr="0055235B">
        <w:rPr>
          <w:rFonts w:ascii="Arial" w:hAnsi="Arial" w:cs="Arial"/>
        </w:rPr>
        <w:t>. This document details how powers, rights, and responsibilities are distributed among various institutions to create an equitable balance of power while protecting individual liberties. In the United Kingdom, its concept of a constitution differs significantly from codified constitutions found elsewhere</w:t>
      </w:r>
      <w:r w:rsidR="00E74BED" w:rsidRPr="0055235B">
        <w:rPr>
          <w:rFonts w:ascii="Arial" w:hAnsi="Arial" w:cs="Arial"/>
        </w:rPr>
        <w:t xml:space="preserve"> (Kime, 2019)</w:t>
      </w:r>
      <w:r w:rsidRPr="0055235B">
        <w:rPr>
          <w:rFonts w:ascii="Arial" w:hAnsi="Arial" w:cs="Arial"/>
        </w:rPr>
        <w:t xml:space="preserve">. Instead, the UK constitution is composed of both written and unwritten sources, such as statutes, common law conventions and historical documents. The Constitutional Reform Act 2005 (CRA 2005) was an integral piece of legislation designed to reform certain aspects of </w:t>
      </w:r>
      <w:r w:rsidR="00A338E5" w:rsidRPr="0055235B">
        <w:rPr>
          <w:rFonts w:ascii="Arial" w:hAnsi="Arial" w:cs="Arial"/>
        </w:rPr>
        <w:t xml:space="preserve">the </w:t>
      </w:r>
      <w:r w:rsidRPr="0055235B">
        <w:rPr>
          <w:rFonts w:ascii="Arial" w:hAnsi="Arial" w:cs="Arial"/>
        </w:rPr>
        <w:t>UK's constitutional landscape, especially when it came to roles for judiciary, executive and legislature.</w:t>
      </w:r>
    </w:p>
    <w:p w14:paraId="68D51BB2" w14:textId="365971BE" w:rsidR="00F51A48" w:rsidRPr="0055235B" w:rsidRDefault="00F51A48" w:rsidP="00C15006">
      <w:pPr>
        <w:pStyle w:val="Heading2"/>
        <w:rPr>
          <w:rFonts w:ascii="Arial" w:hAnsi="Arial" w:cs="Arial"/>
          <w:color w:val="auto"/>
        </w:rPr>
      </w:pPr>
      <w:r w:rsidRPr="0055235B">
        <w:rPr>
          <w:rFonts w:ascii="Arial" w:hAnsi="Arial" w:cs="Arial"/>
          <w:color w:val="auto"/>
        </w:rPr>
        <w:t xml:space="preserve">Principles of </w:t>
      </w:r>
      <w:r w:rsidR="00A338E5" w:rsidRPr="0055235B">
        <w:rPr>
          <w:rFonts w:ascii="Arial" w:hAnsi="Arial" w:cs="Arial"/>
          <w:color w:val="auto"/>
        </w:rPr>
        <w:t xml:space="preserve">the </w:t>
      </w:r>
      <w:r w:rsidR="005C1225" w:rsidRPr="0055235B">
        <w:rPr>
          <w:rFonts w:ascii="Arial" w:hAnsi="Arial" w:cs="Arial"/>
          <w:color w:val="auto"/>
        </w:rPr>
        <w:t>U.K</w:t>
      </w:r>
      <w:r w:rsidRPr="0055235B">
        <w:rPr>
          <w:rFonts w:ascii="Arial" w:hAnsi="Arial" w:cs="Arial"/>
          <w:color w:val="auto"/>
        </w:rPr>
        <w:t xml:space="preserve"> Constitution</w:t>
      </w:r>
      <w:r w:rsidR="0055235B">
        <w:rPr>
          <w:rFonts w:ascii="Arial" w:hAnsi="Arial" w:cs="Arial"/>
          <w:color w:val="auto"/>
        </w:rPr>
        <w:t>:</w:t>
      </w:r>
    </w:p>
    <w:p w14:paraId="446C2652" w14:textId="28259DB5" w:rsidR="00F51A48" w:rsidRPr="0055235B" w:rsidRDefault="00F51A48" w:rsidP="00F51A48">
      <w:pPr>
        <w:rPr>
          <w:rFonts w:ascii="Arial" w:hAnsi="Arial" w:cs="Arial"/>
        </w:rPr>
      </w:pPr>
      <w:r w:rsidRPr="0055235B">
        <w:rPr>
          <w:rFonts w:ascii="Arial" w:hAnsi="Arial" w:cs="Arial"/>
        </w:rPr>
        <w:t>The UK constitution is founded upon four underlying principles: parliamentary sovereignty, the rule of law, constitutional monarchy and individual rights and freedoms protection</w:t>
      </w:r>
      <w:r w:rsidR="00E74BED" w:rsidRPr="0055235B">
        <w:rPr>
          <w:rFonts w:ascii="Arial" w:hAnsi="Arial" w:cs="Arial"/>
        </w:rPr>
        <w:t xml:space="preserve"> (Kime, 2019)</w:t>
      </w:r>
      <w:r w:rsidRPr="0055235B">
        <w:rPr>
          <w:rFonts w:ascii="Arial" w:hAnsi="Arial" w:cs="Arial"/>
        </w:rPr>
        <w:t xml:space="preserve">. These tenets guide interactions among different branches of government as well as uphold democracy. CRA 2005 was intended to reinforce these tenets while improving transparency, independence and accountability within judiciary institutions - though some would argue this act has only made minor adjustments to UK's Constitution while not altering </w:t>
      </w:r>
      <w:r w:rsidR="00A338E5" w:rsidRPr="0055235B">
        <w:rPr>
          <w:rFonts w:ascii="Arial" w:hAnsi="Arial" w:cs="Arial"/>
        </w:rPr>
        <w:t xml:space="preserve">the </w:t>
      </w:r>
      <w:r w:rsidRPr="0055235B">
        <w:rPr>
          <w:rFonts w:ascii="Arial" w:hAnsi="Arial" w:cs="Arial"/>
        </w:rPr>
        <w:t>traditional understanding of separation of powers significantly</w:t>
      </w:r>
      <w:r w:rsidR="00E74BED" w:rsidRPr="0055235B">
        <w:rPr>
          <w:rFonts w:ascii="Arial" w:hAnsi="Arial" w:cs="Arial"/>
        </w:rPr>
        <w:t xml:space="preserve"> (Filipcová, 2015)</w:t>
      </w:r>
      <w:r w:rsidRPr="0055235B">
        <w:rPr>
          <w:rFonts w:ascii="Arial" w:hAnsi="Arial" w:cs="Arial"/>
        </w:rPr>
        <w:t>.</w:t>
      </w:r>
      <w:r w:rsidR="00E74BED" w:rsidRPr="0055235B">
        <w:rPr>
          <w:rFonts w:ascii="Arial" w:hAnsi="Arial" w:cs="Arial"/>
        </w:rPr>
        <w:t xml:space="preserve"> </w:t>
      </w:r>
    </w:p>
    <w:p w14:paraId="1700BB3A" w14:textId="77777777" w:rsidR="00F51A48" w:rsidRPr="0055235B" w:rsidRDefault="00F51A48" w:rsidP="00F51A48">
      <w:pPr>
        <w:rPr>
          <w:rFonts w:ascii="Arial" w:hAnsi="Arial" w:cs="Arial"/>
        </w:rPr>
      </w:pPr>
    </w:p>
    <w:p w14:paraId="4C9CE2C1" w14:textId="08E78EAE" w:rsidR="00A111EA" w:rsidRPr="0055235B" w:rsidRDefault="00A111EA" w:rsidP="00C15006">
      <w:pPr>
        <w:pStyle w:val="Heading2"/>
        <w:rPr>
          <w:rFonts w:ascii="Arial" w:hAnsi="Arial" w:cs="Arial"/>
          <w:color w:val="auto"/>
        </w:rPr>
      </w:pPr>
      <w:r w:rsidRPr="0055235B">
        <w:rPr>
          <w:rFonts w:ascii="Arial" w:hAnsi="Arial" w:cs="Arial"/>
          <w:color w:val="auto"/>
        </w:rPr>
        <w:t xml:space="preserve"> </w:t>
      </w:r>
      <w:r w:rsidR="005C1225" w:rsidRPr="0055235B">
        <w:rPr>
          <w:rFonts w:ascii="Arial" w:hAnsi="Arial" w:cs="Arial"/>
          <w:color w:val="auto"/>
        </w:rPr>
        <w:t>S</w:t>
      </w:r>
      <w:r w:rsidRPr="0055235B">
        <w:rPr>
          <w:rFonts w:ascii="Arial" w:hAnsi="Arial" w:cs="Arial"/>
          <w:color w:val="auto"/>
        </w:rPr>
        <w:t xml:space="preserve">eparation of </w:t>
      </w:r>
      <w:r w:rsidR="005C1225" w:rsidRPr="0055235B">
        <w:rPr>
          <w:rFonts w:ascii="Arial" w:hAnsi="Arial" w:cs="Arial"/>
          <w:color w:val="auto"/>
        </w:rPr>
        <w:t>P</w:t>
      </w:r>
      <w:r w:rsidRPr="0055235B">
        <w:rPr>
          <w:rFonts w:ascii="Arial" w:hAnsi="Arial" w:cs="Arial"/>
          <w:color w:val="auto"/>
        </w:rPr>
        <w:t xml:space="preserve">owers </w:t>
      </w:r>
      <w:r w:rsidR="005C1225" w:rsidRPr="0055235B">
        <w:rPr>
          <w:rFonts w:ascii="Arial" w:hAnsi="Arial" w:cs="Arial"/>
          <w:color w:val="auto"/>
        </w:rPr>
        <w:t>Theory</w:t>
      </w:r>
      <w:r w:rsidR="0055235B">
        <w:rPr>
          <w:rFonts w:ascii="Arial" w:hAnsi="Arial" w:cs="Arial"/>
          <w:color w:val="auto"/>
        </w:rPr>
        <w:t>:</w:t>
      </w:r>
    </w:p>
    <w:p w14:paraId="43A5AE8C" w14:textId="2099517A" w:rsidR="00F51A48" w:rsidRPr="0055235B" w:rsidRDefault="00F51A48" w:rsidP="00F51A48">
      <w:pPr>
        <w:rPr>
          <w:rFonts w:ascii="Arial" w:hAnsi="Arial" w:cs="Arial"/>
        </w:rPr>
      </w:pPr>
      <w:r w:rsidRPr="0055235B">
        <w:rPr>
          <w:rFonts w:ascii="Arial" w:hAnsi="Arial" w:cs="Arial"/>
        </w:rPr>
        <w:t xml:space="preserve">Montesquieu popularized the theory of Separation of Powers as part of political philosophy; it proposes that government power should be divided among three separate branches - executive, legislature and judiciary - so as to prevent any one branch from becoming too powerful and violating citizens' rights. This system of checks and balances allows each branch to monitor and restrain each other. CRA 2005 sought to reinforce </w:t>
      </w:r>
      <w:r w:rsidR="00A338E5" w:rsidRPr="0055235B">
        <w:rPr>
          <w:rFonts w:ascii="Arial" w:hAnsi="Arial" w:cs="Arial"/>
        </w:rPr>
        <w:t xml:space="preserve">the </w:t>
      </w:r>
      <w:r w:rsidRPr="0055235B">
        <w:rPr>
          <w:rFonts w:ascii="Arial" w:hAnsi="Arial" w:cs="Arial"/>
        </w:rPr>
        <w:t xml:space="preserve">separation of powers in regard to </w:t>
      </w:r>
      <w:r w:rsidR="00A338E5" w:rsidRPr="0055235B">
        <w:rPr>
          <w:rFonts w:ascii="Arial" w:hAnsi="Arial" w:cs="Arial"/>
        </w:rPr>
        <w:t xml:space="preserve">the </w:t>
      </w:r>
      <w:r w:rsidRPr="0055235B">
        <w:rPr>
          <w:rFonts w:ascii="Arial" w:hAnsi="Arial" w:cs="Arial"/>
        </w:rPr>
        <w:t>judiciary</w:t>
      </w:r>
      <w:r w:rsidR="00E74BED" w:rsidRPr="0055235B">
        <w:rPr>
          <w:rFonts w:ascii="Arial" w:hAnsi="Arial" w:cs="Arial"/>
        </w:rPr>
        <w:t xml:space="preserve"> (Filipcová, 2015)</w:t>
      </w:r>
      <w:r w:rsidRPr="0055235B">
        <w:rPr>
          <w:rFonts w:ascii="Arial" w:hAnsi="Arial" w:cs="Arial"/>
        </w:rPr>
        <w:t>.</w:t>
      </w:r>
    </w:p>
    <w:p w14:paraId="462603BB" w14:textId="3E96201D" w:rsidR="00F51A48" w:rsidRPr="0055235B" w:rsidRDefault="00F51A48" w:rsidP="00C15006">
      <w:pPr>
        <w:pStyle w:val="Heading2"/>
        <w:rPr>
          <w:rFonts w:ascii="Arial" w:hAnsi="Arial" w:cs="Arial"/>
          <w:color w:val="auto"/>
        </w:rPr>
      </w:pPr>
      <w:r w:rsidRPr="0055235B">
        <w:rPr>
          <w:rFonts w:ascii="Arial" w:hAnsi="Arial" w:cs="Arial"/>
          <w:color w:val="auto"/>
        </w:rPr>
        <w:t>Government, Parliament and Judiciary</w:t>
      </w:r>
      <w:r w:rsidR="0055235B">
        <w:rPr>
          <w:rFonts w:ascii="Arial" w:hAnsi="Arial" w:cs="Arial"/>
          <w:color w:val="auto"/>
        </w:rPr>
        <w:t>:</w:t>
      </w:r>
    </w:p>
    <w:p w14:paraId="3B69F2BA" w14:textId="5236C7D2" w:rsidR="00F51A48" w:rsidRPr="0055235B" w:rsidRDefault="00F51A48" w:rsidP="00F51A48">
      <w:pPr>
        <w:rPr>
          <w:rFonts w:ascii="Arial" w:hAnsi="Arial" w:cs="Arial"/>
        </w:rPr>
      </w:pPr>
      <w:r w:rsidRPr="0055235B">
        <w:rPr>
          <w:rFonts w:ascii="Arial" w:hAnsi="Arial" w:cs="Arial"/>
        </w:rPr>
        <w:t>The executive branch, led by the Prime Minister and Cabinet, holds authority for governing and implementing policies</w:t>
      </w:r>
      <w:r w:rsidR="00E74BED" w:rsidRPr="0055235B">
        <w:rPr>
          <w:rFonts w:ascii="Arial" w:hAnsi="Arial" w:cs="Arial"/>
        </w:rPr>
        <w:t xml:space="preserve"> (Kime, 2019)</w:t>
      </w:r>
      <w:r w:rsidRPr="0055235B">
        <w:rPr>
          <w:rFonts w:ascii="Arial" w:hAnsi="Arial" w:cs="Arial"/>
        </w:rPr>
        <w:t xml:space="preserve">. Meanwhile, Parliament is charged with passing laws. The judiciary, consisting of independent courts, interprets and applies laws in order to guarantee justice and uphold the rule of law. Prior to the CRA 2005, there were concerns over the close ties between executive and judiciary authorities; </w:t>
      </w:r>
      <w:r w:rsidR="005C1225" w:rsidRPr="0055235B">
        <w:rPr>
          <w:rFonts w:ascii="Arial" w:hAnsi="Arial" w:cs="Arial"/>
        </w:rPr>
        <w:t>specifically,</w:t>
      </w:r>
      <w:r w:rsidRPr="0055235B">
        <w:rPr>
          <w:rFonts w:ascii="Arial" w:hAnsi="Arial" w:cs="Arial"/>
        </w:rPr>
        <w:t xml:space="preserve"> the Lord Chancellor who is charged with fulfilling both executive and judicial functions simultaneously. The Court Reform Act 2005 attempted to address this problem by splitting Lord Chancellor into two distinct roles - Lord Speaker for the House of Lords and Lord Chief Justice for the judiciary - so as to increase independence between judiciary and executive</w:t>
      </w:r>
      <w:r w:rsidR="00C15006" w:rsidRPr="0055235B">
        <w:rPr>
          <w:rFonts w:ascii="Arial" w:hAnsi="Arial" w:cs="Arial"/>
        </w:rPr>
        <w:t xml:space="preserve"> (Skold, 2014)</w:t>
      </w:r>
      <w:r w:rsidRPr="0055235B">
        <w:rPr>
          <w:rFonts w:ascii="Arial" w:hAnsi="Arial" w:cs="Arial"/>
        </w:rPr>
        <w:t>.</w:t>
      </w:r>
    </w:p>
    <w:p w14:paraId="6A91A295" w14:textId="1314FCA7" w:rsidR="00F51A48" w:rsidRPr="0055235B" w:rsidRDefault="00F51A48" w:rsidP="00F51A48">
      <w:pPr>
        <w:rPr>
          <w:rFonts w:ascii="Arial" w:hAnsi="Arial" w:cs="Arial"/>
        </w:rPr>
      </w:pPr>
      <w:r w:rsidRPr="0055235B">
        <w:rPr>
          <w:rFonts w:ascii="Arial" w:hAnsi="Arial" w:cs="Arial"/>
        </w:rPr>
        <w:t>Critics contend that the Constitution Revision Act 2005 (CRA 2005) has only brought minor adjustments to UK's constitution. Parliament remains sovereign over making and unmaking laws; while this act aimed to strengthen judiciary independence it did not alter their relationship; judgements may still be overridden by subsequent legislation passed by Parliament, which further highlights its dominance within its constitutional framework</w:t>
      </w:r>
      <w:r w:rsidR="00E74BED" w:rsidRPr="0055235B">
        <w:rPr>
          <w:rFonts w:ascii="Arial" w:hAnsi="Arial" w:cs="Arial"/>
        </w:rPr>
        <w:t xml:space="preserve"> (Masterman, 2010)</w:t>
      </w:r>
      <w:r w:rsidRPr="0055235B">
        <w:rPr>
          <w:rFonts w:ascii="Arial" w:hAnsi="Arial" w:cs="Arial"/>
        </w:rPr>
        <w:t>.</w:t>
      </w:r>
    </w:p>
    <w:p w14:paraId="62653C9A" w14:textId="34D76B32" w:rsidR="00F51A48" w:rsidRPr="0055235B" w:rsidRDefault="00F51A48" w:rsidP="00F51A48">
      <w:pPr>
        <w:rPr>
          <w:rFonts w:ascii="Arial" w:hAnsi="Arial" w:cs="Arial"/>
        </w:rPr>
      </w:pPr>
      <w:r w:rsidRPr="0055235B">
        <w:rPr>
          <w:rFonts w:ascii="Arial" w:hAnsi="Arial" w:cs="Arial"/>
        </w:rPr>
        <w:t>However, the relationship between the executive and legislature remains significant as both are made up of members from majority parties within Parliament</w:t>
      </w:r>
      <w:r w:rsidR="00E74BED" w:rsidRPr="0055235B">
        <w:rPr>
          <w:rFonts w:ascii="Arial" w:hAnsi="Arial" w:cs="Arial"/>
        </w:rPr>
        <w:t xml:space="preserve"> (Kime, 2019)</w:t>
      </w:r>
      <w:r w:rsidRPr="0055235B">
        <w:rPr>
          <w:rFonts w:ascii="Arial" w:hAnsi="Arial" w:cs="Arial"/>
        </w:rPr>
        <w:t>; this close ties between these branches blur lines of separation between them, potentially giving way to executive influence over legislative decisions.</w:t>
      </w:r>
    </w:p>
    <w:p w14:paraId="56E982AF" w14:textId="5466DADF" w:rsidR="0055235B" w:rsidRPr="0055235B" w:rsidRDefault="00A111EA" w:rsidP="0055235B">
      <w:pPr>
        <w:pStyle w:val="Heading2"/>
        <w:rPr>
          <w:rFonts w:ascii="Arial" w:hAnsi="Arial" w:cs="Arial"/>
          <w:color w:val="auto"/>
        </w:rPr>
      </w:pPr>
      <w:r w:rsidRPr="0055235B">
        <w:rPr>
          <w:rFonts w:ascii="Arial" w:hAnsi="Arial" w:cs="Arial"/>
          <w:color w:val="auto"/>
        </w:rPr>
        <w:lastRenderedPageBreak/>
        <w:t>Constitutional Reform Act 2005</w:t>
      </w:r>
      <w:r w:rsidR="0055235B">
        <w:rPr>
          <w:rFonts w:ascii="Arial" w:hAnsi="Arial" w:cs="Arial"/>
          <w:color w:val="auto"/>
        </w:rPr>
        <w:t>:</w:t>
      </w:r>
    </w:p>
    <w:p w14:paraId="701C17F2" w14:textId="33520654" w:rsidR="00F51A48" w:rsidRPr="0055235B" w:rsidRDefault="00F51A48" w:rsidP="00F51A48">
      <w:pPr>
        <w:rPr>
          <w:rFonts w:ascii="Arial" w:hAnsi="Arial" w:cs="Arial"/>
        </w:rPr>
      </w:pPr>
      <w:r w:rsidRPr="0055235B">
        <w:rPr>
          <w:rFonts w:ascii="Arial" w:hAnsi="Arial" w:cs="Arial"/>
        </w:rPr>
        <w:t xml:space="preserve">The Constitutional Reform Act 2005 (CRA 2005) represented an ambitious attempt at modernizing and improving various aspects of </w:t>
      </w:r>
      <w:r w:rsidR="00A338E5" w:rsidRPr="0055235B">
        <w:rPr>
          <w:rFonts w:ascii="Arial" w:hAnsi="Arial" w:cs="Arial"/>
        </w:rPr>
        <w:t xml:space="preserve">the </w:t>
      </w:r>
      <w:r w:rsidRPr="0055235B">
        <w:rPr>
          <w:rFonts w:ascii="Arial" w:hAnsi="Arial" w:cs="Arial"/>
        </w:rPr>
        <w:t>United Kingdom</w:t>
      </w:r>
      <w:r w:rsidR="00A338E5" w:rsidRPr="0055235B">
        <w:rPr>
          <w:rFonts w:ascii="Arial" w:hAnsi="Arial" w:cs="Arial"/>
        </w:rPr>
        <w:t>'s</w:t>
      </w:r>
      <w:r w:rsidRPr="0055235B">
        <w:rPr>
          <w:rFonts w:ascii="Arial" w:hAnsi="Arial" w:cs="Arial"/>
        </w:rPr>
        <w:t xml:space="preserve"> constitutional structure</w:t>
      </w:r>
      <w:r w:rsidR="00E74BED" w:rsidRPr="0055235B">
        <w:rPr>
          <w:rFonts w:ascii="Arial" w:hAnsi="Arial" w:cs="Arial"/>
        </w:rPr>
        <w:t xml:space="preserve"> (Masterman, 2010)</w:t>
      </w:r>
      <w:r w:rsidRPr="0055235B">
        <w:rPr>
          <w:rFonts w:ascii="Arial" w:hAnsi="Arial" w:cs="Arial"/>
        </w:rPr>
        <w:t>. Enacted to address certain deficiencies within the system, its main goals included reforming Lord Chancellor</w:t>
      </w:r>
      <w:r w:rsidR="00A338E5" w:rsidRPr="0055235B">
        <w:rPr>
          <w:rFonts w:ascii="Arial" w:hAnsi="Arial" w:cs="Arial"/>
        </w:rPr>
        <w:t>'s</w:t>
      </w:r>
      <w:r w:rsidRPr="0055235B">
        <w:rPr>
          <w:rFonts w:ascii="Arial" w:hAnsi="Arial" w:cs="Arial"/>
        </w:rPr>
        <w:t xml:space="preserve"> roles and creating the first independent Supreme Court in Britain. While its overall effect remains controversially debated among scholars, many people feel that its results did not bring substantial changes to </w:t>
      </w:r>
      <w:r w:rsidR="00A338E5" w:rsidRPr="0055235B">
        <w:rPr>
          <w:rFonts w:ascii="Arial" w:hAnsi="Arial" w:cs="Arial"/>
        </w:rPr>
        <w:t xml:space="preserve">the </w:t>
      </w:r>
      <w:r w:rsidRPr="0055235B">
        <w:rPr>
          <w:rFonts w:ascii="Arial" w:hAnsi="Arial" w:cs="Arial"/>
        </w:rPr>
        <w:t>separation of powers theory</w:t>
      </w:r>
      <w:r w:rsidR="00E74BED" w:rsidRPr="0055235B">
        <w:rPr>
          <w:rFonts w:ascii="Arial" w:hAnsi="Arial" w:cs="Arial"/>
        </w:rPr>
        <w:t xml:space="preserve"> (McHarg, 2011)</w:t>
      </w:r>
      <w:r w:rsidRPr="0055235B">
        <w:rPr>
          <w:rFonts w:ascii="Arial" w:hAnsi="Arial" w:cs="Arial"/>
        </w:rPr>
        <w:t>.</w:t>
      </w:r>
    </w:p>
    <w:p w14:paraId="00CF8798" w14:textId="77777777" w:rsidR="00F51A48" w:rsidRPr="0055235B" w:rsidRDefault="00F51A48" w:rsidP="00F51A48">
      <w:pPr>
        <w:rPr>
          <w:rFonts w:ascii="Arial" w:hAnsi="Arial" w:cs="Arial"/>
        </w:rPr>
      </w:pPr>
    </w:p>
    <w:p w14:paraId="34917C41" w14:textId="62F5DD0D" w:rsidR="00F51A48" w:rsidRPr="0055235B" w:rsidRDefault="00F51A48" w:rsidP="00C15006">
      <w:pPr>
        <w:pStyle w:val="Heading2"/>
        <w:rPr>
          <w:rFonts w:ascii="Arial" w:hAnsi="Arial" w:cs="Arial"/>
          <w:color w:val="auto"/>
        </w:rPr>
      </w:pPr>
      <w:r w:rsidRPr="0055235B">
        <w:rPr>
          <w:rFonts w:ascii="Arial" w:hAnsi="Arial" w:cs="Arial"/>
          <w:color w:val="auto"/>
        </w:rPr>
        <w:t>Lord Chancellor</w:t>
      </w:r>
      <w:r w:rsidR="0055235B">
        <w:rPr>
          <w:rFonts w:ascii="Arial" w:hAnsi="Arial" w:cs="Arial"/>
          <w:color w:val="auto"/>
        </w:rPr>
        <w:t>:</w:t>
      </w:r>
    </w:p>
    <w:p w14:paraId="4C589FA2" w14:textId="0A966F27" w:rsidR="00F51A48" w:rsidRPr="0055235B" w:rsidRDefault="00F51A48" w:rsidP="00F51A48">
      <w:pPr>
        <w:rPr>
          <w:rFonts w:ascii="Arial" w:hAnsi="Arial" w:cs="Arial"/>
        </w:rPr>
      </w:pPr>
      <w:r w:rsidRPr="0055235B">
        <w:rPr>
          <w:rFonts w:ascii="Arial" w:hAnsi="Arial" w:cs="Arial"/>
        </w:rPr>
        <w:t>At the core of CRA 2005 was its transformation of the role of Lord Chancellor. Traditionally, this position held multiple responsibilities such as high-ranking government minister and head of judiciary - potentially raising conflicts of interest concerns while undermining separation of powers principles</w:t>
      </w:r>
      <w:r w:rsidR="00C15006" w:rsidRPr="0055235B">
        <w:rPr>
          <w:rFonts w:ascii="Arial" w:hAnsi="Arial" w:cs="Arial"/>
        </w:rPr>
        <w:t xml:space="preserve"> (</w:t>
      </w:r>
      <w:r w:rsidR="00BB3632" w:rsidRPr="0055235B">
        <w:rPr>
          <w:rFonts w:ascii="Arial" w:hAnsi="Arial" w:cs="Arial"/>
        </w:rPr>
        <w:t>Delaney</w:t>
      </w:r>
      <w:r w:rsidR="00C15006" w:rsidRPr="0055235B">
        <w:rPr>
          <w:rFonts w:ascii="Arial" w:hAnsi="Arial" w:cs="Arial"/>
        </w:rPr>
        <w:t>, 201</w:t>
      </w:r>
      <w:r w:rsidR="00BB3632" w:rsidRPr="0055235B">
        <w:rPr>
          <w:rFonts w:ascii="Arial" w:hAnsi="Arial" w:cs="Arial"/>
        </w:rPr>
        <w:t>3</w:t>
      </w:r>
      <w:r w:rsidR="00C15006" w:rsidRPr="0055235B">
        <w:rPr>
          <w:rFonts w:ascii="Arial" w:hAnsi="Arial" w:cs="Arial"/>
        </w:rPr>
        <w:t>)</w:t>
      </w:r>
      <w:r w:rsidRPr="0055235B">
        <w:rPr>
          <w:rFonts w:ascii="Arial" w:hAnsi="Arial" w:cs="Arial"/>
        </w:rPr>
        <w:t>. To address these concerns more efficiently and maintain separation of powers principles more fully, CRA 2005 created two different Lord Chancellor roles with specific responsibilities allocated between each one of them.</w:t>
      </w:r>
    </w:p>
    <w:p w14:paraId="7EF0DCE8" w14:textId="090E42FC" w:rsidR="00F51A48" w:rsidRPr="0055235B" w:rsidRDefault="00F51A48" w:rsidP="00F51A48">
      <w:pPr>
        <w:rPr>
          <w:rFonts w:ascii="Arial" w:hAnsi="Arial" w:cs="Arial"/>
        </w:rPr>
      </w:pPr>
      <w:r w:rsidRPr="0055235B">
        <w:rPr>
          <w:rFonts w:ascii="Arial" w:hAnsi="Arial" w:cs="Arial"/>
        </w:rPr>
        <w:t xml:space="preserve">The Constitutional Affairs 2005 Act transferred the Lord Chancellor's executive and legislative functions to a newly created position: Secretary of State for Constitutional Affairs. This change sought to ensure that </w:t>
      </w:r>
      <w:r w:rsidR="00A338E5" w:rsidRPr="0055235B">
        <w:rPr>
          <w:rFonts w:ascii="Arial" w:hAnsi="Arial" w:cs="Arial"/>
        </w:rPr>
        <w:t xml:space="preserve">the </w:t>
      </w:r>
      <w:r w:rsidRPr="0055235B">
        <w:rPr>
          <w:rFonts w:ascii="Arial" w:hAnsi="Arial" w:cs="Arial"/>
        </w:rPr>
        <w:t>executive branch and legislative functions were distinct from each other as well as separated from the judiciary</w:t>
      </w:r>
      <w:r w:rsidR="00E74BED" w:rsidRPr="0055235B">
        <w:rPr>
          <w:rFonts w:ascii="Arial" w:hAnsi="Arial" w:cs="Arial"/>
        </w:rPr>
        <w:t xml:space="preserve"> (McHarg, 2011)</w:t>
      </w:r>
      <w:r w:rsidRPr="0055235B">
        <w:rPr>
          <w:rFonts w:ascii="Arial" w:hAnsi="Arial" w:cs="Arial"/>
        </w:rPr>
        <w:t>. Furthermore, Lord Chief Justice assumed his previous judicial responsibilities and thus enhanced independence within the judiciary while eliminating potential conflicts between government and judiciary.</w:t>
      </w:r>
    </w:p>
    <w:p w14:paraId="3FBA1923" w14:textId="79071ABA" w:rsidR="00F51A48" w:rsidRPr="0055235B" w:rsidRDefault="00F51A48" w:rsidP="00F51A48">
      <w:pPr>
        <w:rPr>
          <w:rFonts w:ascii="Arial" w:hAnsi="Arial" w:cs="Arial"/>
        </w:rPr>
      </w:pPr>
      <w:r w:rsidRPr="0055235B">
        <w:rPr>
          <w:rFonts w:ascii="Arial" w:hAnsi="Arial" w:cs="Arial"/>
        </w:rPr>
        <w:t>Critics argue that this act does not completely reduce executive influence over the judiciary; Lord Chief Justice appointments still require approval by Prime Minister and may compromise its independence</w:t>
      </w:r>
      <w:r w:rsidR="00C15006" w:rsidRPr="0055235B">
        <w:rPr>
          <w:rFonts w:ascii="Arial" w:hAnsi="Arial" w:cs="Arial"/>
        </w:rPr>
        <w:t xml:space="preserve"> (Masterman, 2010)</w:t>
      </w:r>
      <w:r w:rsidRPr="0055235B">
        <w:rPr>
          <w:rFonts w:ascii="Arial" w:hAnsi="Arial" w:cs="Arial"/>
        </w:rPr>
        <w:t xml:space="preserve">. Furthermore, it retains Lord Chancellor as head of Scottish courts which raises doubts as to their uniformity across all of </w:t>
      </w:r>
      <w:r w:rsidR="00A338E5" w:rsidRPr="0055235B">
        <w:rPr>
          <w:rFonts w:ascii="Arial" w:hAnsi="Arial" w:cs="Arial"/>
        </w:rPr>
        <w:t xml:space="preserve">the </w:t>
      </w:r>
      <w:r w:rsidRPr="0055235B">
        <w:rPr>
          <w:rFonts w:ascii="Arial" w:hAnsi="Arial" w:cs="Arial"/>
        </w:rPr>
        <w:t>UK.</w:t>
      </w:r>
    </w:p>
    <w:p w14:paraId="46559078" w14:textId="01EFAE14" w:rsidR="00F51A48" w:rsidRPr="0055235B" w:rsidRDefault="00F51A48" w:rsidP="00C15006">
      <w:pPr>
        <w:pStyle w:val="Heading2"/>
        <w:rPr>
          <w:rFonts w:ascii="Arial" w:hAnsi="Arial" w:cs="Arial"/>
          <w:color w:val="auto"/>
        </w:rPr>
      </w:pPr>
      <w:r w:rsidRPr="0055235B">
        <w:rPr>
          <w:rFonts w:ascii="Arial" w:hAnsi="Arial" w:cs="Arial"/>
          <w:color w:val="auto"/>
        </w:rPr>
        <w:lastRenderedPageBreak/>
        <w:t>Supreme Court</w:t>
      </w:r>
      <w:r w:rsidR="0055235B">
        <w:rPr>
          <w:rFonts w:ascii="Arial" w:hAnsi="Arial" w:cs="Arial"/>
          <w:color w:val="auto"/>
        </w:rPr>
        <w:t>:</w:t>
      </w:r>
    </w:p>
    <w:p w14:paraId="5B94220F" w14:textId="13716FBF" w:rsidR="00F51A48" w:rsidRPr="0055235B" w:rsidRDefault="00F51A48" w:rsidP="00F51A48">
      <w:pPr>
        <w:rPr>
          <w:rFonts w:ascii="Arial" w:hAnsi="Arial" w:cs="Arial"/>
        </w:rPr>
      </w:pPr>
      <w:r w:rsidRPr="0055235B">
        <w:rPr>
          <w:rFonts w:ascii="Arial" w:hAnsi="Arial" w:cs="Arial"/>
        </w:rPr>
        <w:t xml:space="preserve">One of the more significant provisions of CRA 2005 was its creation of the Supreme Court of the United Kingdom. Before its creation, many cases that went up for appeal would go before the House of Lords as its highest court of appeal; this arrangement often blurred lines between </w:t>
      </w:r>
      <w:r w:rsidR="00A338E5" w:rsidRPr="0055235B">
        <w:rPr>
          <w:rFonts w:ascii="Arial" w:hAnsi="Arial" w:cs="Arial"/>
        </w:rPr>
        <w:t xml:space="preserve">the </w:t>
      </w:r>
      <w:r w:rsidRPr="0055235B">
        <w:rPr>
          <w:rFonts w:ascii="Arial" w:hAnsi="Arial" w:cs="Arial"/>
        </w:rPr>
        <w:t>judicial and legislative branches of government; therefore CRA 2005 attempted to address this problem by creating a separate and independent Supreme Court</w:t>
      </w:r>
      <w:r w:rsidR="00C15006" w:rsidRPr="0055235B">
        <w:rPr>
          <w:rFonts w:ascii="Arial" w:hAnsi="Arial" w:cs="Arial"/>
        </w:rPr>
        <w:t xml:space="preserve"> (</w:t>
      </w:r>
      <w:r w:rsidR="00C27AC2" w:rsidRPr="0055235B">
        <w:rPr>
          <w:rFonts w:ascii="Arial" w:hAnsi="Arial" w:cs="Arial"/>
        </w:rPr>
        <w:t>Delaney</w:t>
      </w:r>
      <w:r w:rsidR="00C15006" w:rsidRPr="0055235B">
        <w:rPr>
          <w:rFonts w:ascii="Arial" w:hAnsi="Arial" w:cs="Arial"/>
        </w:rPr>
        <w:t>, 201</w:t>
      </w:r>
      <w:r w:rsidR="00C27AC2" w:rsidRPr="0055235B">
        <w:rPr>
          <w:rFonts w:ascii="Arial" w:hAnsi="Arial" w:cs="Arial"/>
        </w:rPr>
        <w:t>3</w:t>
      </w:r>
      <w:r w:rsidR="00C15006" w:rsidRPr="0055235B">
        <w:rPr>
          <w:rFonts w:ascii="Arial" w:hAnsi="Arial" w:cs="Arial"/>
        </w:rPr>
        <w:t>)</w:t>
      </w:r>
      <w:r w:rsidRPr="0055235B">
        <w:rPr>
          <w:rFonts w:ascii="Arial" w:hAnsi="Arial" w:cs="Arial"/>
        </w:rPr>
        <w:t>.</w:t>
      </w:r>
    </w:p>
    <w:p w14:paraId="5CEB8AD0" w14:textId="12FC0EBD" w:rsidR="00F51A48" w:rsidRPr="0055235B" w:rsidRDefault="00F51A48" w:rsidP="00F51A48">
      <w:pPr>
        <w:rPr>
          <w:rFonts w:ascii="Arial" w:hAnsi="Arial" w:cs="Arial"/>
        </w:rPr>
      </w:pPr>
      <w:r w:rsidRPr="0055235B">
        <w:rPr>
          <w:rFonts w:ascii="Arial" w:hAnsi="Arial" w:cs="Arial"/>
        </w:rPr>
        <w:t xml:space="preserve">The Supreme Court was given authority to hear appeals on matters of public significance and constitutional significance, effectively serving as the highest court of appeal for the UK. </w:t>
      </w:r>
      <w:r w:rsidR="00A338E5" w:rsidRPr="0055235B">
        <w:rPr>
          <w:rFonts w:ascii="Arial" w:hAnsi="Arial" w:cs="Arial"/>
        </w:rPr>
        <w:t>S</w:t>
      </w:r>
      <w:r w:rsidRPr="0055235B">
        <w:rPr>
          <w:rFonts w:ascii="Arial" w:hAnsi="Arial" w:cs="Arial"/>
        </w:rPr>
        <w:t xml:space="preserve">eparating its judicial function from legislative duties, meant increasing credibility and authority within </w:t>
      </w:r>
      <w:r w:rsidR="00A338E5" w:rsidRPr="0055235B">
        <w:rPr>
          <w:rFonts w:ascii="Arial" w:hAnsi="Arial" w:cs="Arial"/>
        </w:rPr>
        <w:t xml:space="preserve">the </w:t>
      </w:r>
      <w:r w:rsidRPr="0055235B">
        <w:rPr>
          <w:rFonts w:ascii="Arial" w:hAnsi="Arial" w:cs="Arial"/>
        </w:rPr>
        <w:t xml:space="preserve">British judiciary while providing more focused consideration of legal issues without political distractions associated with </w:t>
      </w:r>
      <w:r w:rsidR="00A338E5" w:rsidRPr="0055235B">
        <w:rPr>
          <w:rFonts w:ascii="Arial" w:hAnsi="Arial" w:cs="Arial"/>
        </w:rPr>
        <w:t xml:space="preserve">the </w:t>
      </w:r>
      <w:r w:rsidRPr="0055235B">
        <w:rPr>
          <w:rFonts w:ascii="Arial" w:hAnsi="Arial" w:cs="Arial"/>
        </w:rPr>
        <w:t>House of Lords' dual roles</w:t>
      </w:r>
      <w:r w:rsidR="00C15006" w:rsidRPr="0055235B">
        <w:rPr>
          <w:rFonts w:ascii="Arial" w:hAnsi="Arial" w:cs="Arial"/>
        </w:rPr>
        <w:t xml:space="preserve"> (Masterman, 2010)</w:t>
      </w:r>
      <w:r w:rsidRPr="0055235B">
        <w:rPr>
          <w:rFonts w:ascii="Arial" w:hAnsi="Arial" w:cs="Arial"/>
        </w:rPr>
        <w:t>.</w:t>
      </w:r>
    </w:p>
    <w:p w14:paraId="6F396966" w14:textId="03FCCFA5" w:rsidR="0009280A" w:rsidRPr="0055235B" w:rsidRDefault="00F51A48" w:rsidP="00F51A48">
      <w:pPr>
        <w:rPr>
          <w:rFonts w:ascii="Arial" w:hAnsi="Arial" w:cs="Arial"/>
        </w:rPr>
      </w:pPr>
      <w:r w:rsidRPr="0055235B">
        <w:rPr>
          <w:rFonts w:ascii="Arial" w:hAnsi="Arial" w:cs="Arial"/>
        </w:rPr>
        <w:t>However, it should be remembered that the establishment of the Supreme Court did not alter the fundamental principle of parliamentary sovereignty</w:t>
      </w:r>
      <w:r w:rsidR="00C15006" w:rsidRPr="0055235B">
        <w:rPr>
          <w:rFonts w:ascii="Arial" w:hAnsi="Arial" w:cs="Arial"/>
        </w:rPr>
        <w:t xml:space="preserve"> (Skold, 2014)</w:t>
      </w:r>
      <w:r w:rsidRPr="0055235B">
        <w:rPr>
          <w:rFonts w:ascii="Arial" w:hAnsi="Arial" w:cs="Arial"/>
        </w:rPr>
        <w:t xml:space="preserve">. While its decisions could potentially impact compliance with European Convention on Human Rights legislation, they could still be overridden by subsequent legislative legislation in Parliament reaffirming the supremacy of </w:t>
      </w:r>
      <w:r w:rsidR="00A338E5" w:rsidRPr="0055235B">
        <w:rPr>
          <w:rFonts w:ascii="Arial" w:hAnsi="Arial" w:cs="Arial"/>
        </w:rPr>
        <w:t xml:space="preserve">the </w:t>
      </w:r>
      <w:r w:rsidRPr="0055235B">
        <w:rPr>
          <w:rFonts w:ascii="Arial" w:hAnsi="Arial" w:cs="Arial"/>
        </w:rPr>
        <w:t xml:space="preserve">legislative branch in </w:t>
      </w:r>
      <w:r w:rsidR="00A338E5" w:rsidRPr="0055235B">
        <w:rPr>
          <w:rFonts w:ascii="Arial" w:hAnsi="Arial" w:cs="Arial"/>
        </w:rPr>
        <w:t xml:space="preserve">the </w:t>
      </w:r>
      <w:r w:rsidRPr="0055235B">
        <w:rPr>
          <w:rFonts w:ascii="Arial" w:hAnsi="Arial" w:cs="Arial"/>
        </w:rPr>
        <w:t>UK's constitutional framework</w:t>
      </w:r>
      <w:r w:rsidR="00C15006" w:rsidRPr="0055235B">
        <w:rPr>
          <w:rFonts w:ascii="Arial" w:hAnsi="Arial" w:cs="Arial"/>
        </w:rPr>
        <w:t xml:space="preserve"> (McHarg, 2011)</w:t>
      </w:r>
      <w:r w:rsidRPr="0055235B">
        <w:rPr>
          <w:rFonts w:ascii="Arial" w:hAnsi="Arial" w:cs="Arial"/>
        </w:rPr>
        <w:t>.</w:t>
      </w:r>
    </w:p>
    <w:p w14:paraId="1218FD36" w14:textId="77777777" w:rsidR="00B13635" w:rsidRPr="0055235B" w:rsidRDefault="00B13635" w:rsidP="00B13635">
      <w:pPr>
        <w:rPr>
          <w:rFonts w:ascii="Arial" w:hAnsi="Arial" w:cs="Arial"/>
        </w:rPr>
      </w:pPr>
    </w:p>
    <w:p w14:paraId="35D9D959" w14:textId="473827A5" w:rsidR="00B13635" w:rsidRPr="0055235B" w:rsidRDefault="00B13635" w:rsidP="00C15006">
      <w:pPr>
        <w:pStyle w:val="Heading2"/>
        <w:rPr>
          <w:rFonts w:ascii="Arial" w:hAnsi="Arial" w:cs="Arial"/>
          <w:color w:val="auto"/>
        </w:rPr>
      </w:pPr>
      <w:r w:rsidRPr="0055235B">
        <w:rPr>
          <w:rFonts w:ascii="Arial" w:hAnsi="Arial" w:cs="Arial"/>
          <w:color w:val="auto"/>
        </w:rPr>
        <w:t>Further Reforms Needed in the UK's Constitutional Landscape</w:t>
      </w:r>
      <w:r w:rsidR="0055235B">
        <w:rPr>
          <w:rFonts w:ascii="Arial" w:hAnsi="Arial" w:cs="Arial"/>
          <w:color w:val="auto"/>
        </w:rPr>
        <w:t>:</w:t>
      </w:r>
    </w:p>
    <w:p w14:paraId="708C9CEE" w14:textId="14B69987" w:rsidR="00F51A48" w:rsidRPr="0055235B" w:rsidRDefault="00F51A48" w:rsidP="00F51A48">
      <w:pPr>
        <w:rPr>
          <w:rFonts w:ascii="Arial" w:hAnsi="Arial" w:cs="Arial"/>
        </w:rPr>
      </w:pPr>
      <w:r w:rsidRPr="0055235B">
        <w:rPr>
          <w:rFonts w:ascii="Arial" w:hAnsi="Arial" w:cs="Arial"/>
        </w:rPr>
        <w:t xml:space="preserve">While the Constitutional Reform Act 2005 (CRA 2005) made major improvements to UK's constitution by changing Lord Chancellor and Supreme Court roles and creating the Supreme Court, there remain areas for additional reform that need attention in order to strengthen </w:t>
      </w:r>
      <w:r w:rsidR="00A338E5" w:rsidRPr="0055235B">
        <w:rPr>
          <w:rFonts w:ascii="Arial" w:hAnsi="Arial" w:cs="Arial"/>
        </w:rPr>
        <w:t xml:space="preserve">the </w:t>
      </w:r>
      <w:r w:rsidRPr="0055235B">
        <w:rPr>
          <w:rFonts w:ascii="Arial" w:hAnsi="Arial" w:cs="Arial"/>
        </w:rPr>
        <w:t>separation of powers, increase accountability and uphold democratic principles within UK governance structures</w:t>
      </w:r>
      <w:r w:rsidR="00C15006" w:rsidRPr="0055235B">
        <w:rPr>
          <w:rFonts w:ascii="Arial" w:hAnsi="Arial" w:cs="Arial"/>
        </w:rPr>
        <w:t xml:space="preserve"> (Kime, 2019)</w:t>
      </w:r>
      <w:r w:rsidRPr="0055235B">
        <w:rPr>
          <w:rFonts w:ascii="Arial" w:hAnsi="Arial" w:cs="Arial"/>
        </w:rPr>
        <w:t>.</w:t>
      </w:r>
    </w:p>
    <w:p w14:paraId="449D20C9" w14:textId="3C2C8671" w:rsidR="00F51A48" w:rsidRPr="0055235B" w:rsidRDefault="00F51A48" w:rsidP="00F51A48">
      <w:pPr>
        <w:rPr>
          <w:rFonts w:ascii="Arial" w:hAnsi="Arial" w:cs="Arial"/>
        </w:rPr>
      </w:pPr>
      <w:r w:rsidRPr="0055235B">
        <w:rPr>
          <w:rFonts w:ascii="Arial" w:hAnsi="Arial" w:cs="Arial"/>
          <w:b/>
          <w:bCs/>
        </w:rPr>
        <w:t>Codification of the Constitution:</w:t>
      </w:r>
      <w:r w:rsidRPr="0055235B">
        <w:rPr>
          <w:rFonts w:ascii="Arial" w:hAnsi="Arial" w:cs="Arial"/>
        </w:rPr>
        <w:t xml:space="preserve"> Currently, Britain's constitution remains mostly uncodified, consisting of various statutes, conventions and judicial decisions that collectively comprise its fabric. Due to this lack of coherence among various sources of </w:t>
      </w:r>
      <w:r w:rsidRPr="0055235B">
        <w:rPr>
          <w:rFonts w:ascii="Arial" w:hAnsi="Arial" w:cs="Arial"/>
        </w:rPr>
        <w:lastRenderedPageBreak/>
        <w:t>constitutional law its interpretation and interpretation can become complicated; having one comprehensive document could provide greater clarity</w:t>
      </w:r>
      <w:r w:rsidR="00C15006" w:rsidRPr="0055235B">
        <w:rPr>
          <w:rFonts w:ascii="Arial" w:hAnsi="Arial" w:cs="Arial"/>
        </w:rPr>
        <w:t xml:space="preserve"> (Skold, 2014)</w:t>
      </w:r>
      <w:r w:rsidRPr="0055235B">
        <w:rPr>
          <w:rFonts w:ascii="Arial" w:hAnsi="Arial" w:cs="Arial"/>
        </w:rPr>
        <w:t>. Codifying would codify multiple sources into one framework for government operations and protecting individual rights more efficiently.</w:t>
      </w:r>
    </w:p>
    <w:p w14:paraId="17C0C251" w14:textId="01712859" w:rsidR="00F51A48" w:rsidRPr="0055235B" w:rsidRDefault="00F51A48" w:rsidP="00F51A48">
      <w:pPr>
        <w:rPr>
          <w:rFonts w:ascii="Arial" w:hAnsi="Arial" w:cs="Arial"/>
        </w:rPr>
      </w:pPr>
      <w:r w:rsidRPr="0055235B">
        <w:rPr>
          <w:rFonts w:ascii="Arial" w:hAnsi="Arial" w:cs="Arial"/>
          <w:b/>
          <w:bCs/>
        </w:rPr>
        <w:t>Further Judicial Independence:</w:t>
      </w:r>
      <w:r w:rsidRPr="0055235B">
        <w:rPr>
          <w:rFonts w:ascii="Arial" w:hAnsi="Arial" w:cs="Arial"/>
        </w:rPr>
        <w:t xml:space="preserve"> While the Constitution Revision Act 2005 made strides toward increasing judicial independence, there remains much room for improvement</w:t>
      </w:r>
      <w:r w:rsidR="00C15006" w:rsidRPr="0055235B">
        <w:rPr>
          <w:rFonts w:ascii="Arial" w:hAnsi="Arial" w:cs="Arial"/>
        </w:rPr>
        <w:t xml:space="preserve"> (Kime, 2019)</w:t>
      </w:r>
      <w:r w:rsidRPr="0055235B">
        <w:rPr>
          <w:rFonts w:ascii="Arial" w:hAnsi="Arial" w:cs="Arial"/>
        </w:rPr>
        <w:t>. Measures designed to shield judges' appointments from political influence and ensure secure tenure remain crucial components of maintaining integrity within the judicial branch; reevaluating judicial appointment procedures could promote transparency within this system.</w:t>
      </w:r>
    </w:p>
    <w:p w14:paraId="577FD499" w14:textId="0B849A08" w:rsidR="00F51A48" w:rsidRPr="0055235B" w:rsidRDefault="00F51A48" w:rsidP="00F51A48">
      <w:pPr>
        <w:rPr>
          <w:rFonts w:ascii="Arial" w:hAnsi="Arial" w:cs="Arial"/>
        </w:rPr>
      </w:pPr>
      <w:r w:rsidRPr="0055235B">
        <w:rPr>
          <w:rFonts w:ascii="Arial" w:hAnsi="Arial" w:cs="Arial"/>
          <w:b/>
          <w:bCs/>
        </w:rPr>
        <w:t>Strengthening Devolved Governments:</w:t>
      </w:r>
      <w:r w:rsidRPr="0055235B">
        <w:rPr>
          <w:rFonts w:ascii="Arial" w:hAnsi="Arial" w:cs="Arial"/>
        </w:rPr>
        <w:t xml:space="preserve"> The UK constitutional landscape is complex due to devolution, with Scotland, Wales and Northern Ireland each holding their own legislative and executive powers. Unfortunately, issues regarding power distribution remain between devolved governments and Westminster despite continued efforts at </w:t>
      </w:r>
      <w:r w:rsidR="00C15006" w:rsidRPr="0055235B">
        <w:rPr>
          <w:rFonts w:ascii="Arial" w:hAnsi="Arial" w:cs="Arial"/>
        </w:rPr>
        <w:t>decentralization (Delaney, 2013)</w:t>
      </w:r>
      <w:r w:rsidRPr="0055235B">
        <w:rPr>
          <w:rFonts w:ascii="Arial" w:hAnsi="Arial" w:cs="Arial"/>
        </w:rPr>
        <w:t>; reforms that clarify boundaries of devolved authority while providing mechanisms for resolving differences across levels of government are necessary in order to promote stability.</w:t>
      </w:r>
    </w:p>
    <w:p w14:paraId="04B5E95A" w14:textId="77D62308" w:rsidR="00F51A48" w:rsidRPr="0055235B" w:rsidRDefault="00F51A48" w:rsidP="00F51A48">
      <w:pPr>
        <w:rPr>
          <w:rFonts w:ascii="Arial" w:hAnsi="Arial" w:cs="Arial"/>
        </w:rPr>
      </w:pPr>
      <w:r w:rsidRPr="0055235B">
        <w:rPr>
          <w:rFonts w:ascii="Arial" w:hAnsi="Arial" w:cs="Arial"/>
          <w:b/>
          <w:bCs/>
        </w:rPr>
        <w:t>Reform of the House of Lords:</w:t>
      </w:r>
      <w:r w:rsidRPr="0055235B">
        <w:rPr>
          <w:rFonts w:ascii="Arial" w:hAnsi="Arial" w:cs="Arial"/>
        </w:rPr>
        <w:t xml:space="preserve"> While Supreme Court was intended to separate judicial from legislative functions, </w:t>
      </w:r>
      <w:r w:rsidR="00A338E5" w:rsidRPr="0055235B">
        <w:rPr>
          <w:rFonts w:ascii="Arial" w:hAnsi="Arial" w:cs="Arial"/>
        </w:rPr>
        <w:t xml:space="preserve">the </w:t>
      </w:r>
      <w:r w:rsidRPr="0055235B">
        <w:rPr>
          <w:rFonts w:ascii="Arial" w:hAnsi="Arial" w:cs="Arial"/>
        </w:rPr>
        <w:t xml:space="preserve">House of Lords still plays an active role in legislative processes. Further reform could involve evaluating its role and composition while addressing concerns over </w:t>
      </w:r>
      <w:r w:rsidR="00A338E5" w:rsidRPr="0055235B">
        <w:rPr>
          <w:rFonts w:ascii="Arial" w:hAnsi="Arial" w:cs="Arial"/>
        </w:rPr>
        <w:t xml:space="preserve">the </w:t>
      </w:r>
      <w:r w:rsidRPr="0055235B">
        <w:rPr>
          <w:rFonts w:ascii="Arial" w:hAnsi="Arial" w:cs="Arial"/>
        </w:rPr>
        <w:t>legitimacy or potential political interference with it.</w:t>
      </w:r>
    </w:p>
    <w:p w14:paraId="380FCA43" w14:textId="5B1CC038" w:rsidR="00C15006" w:rsidRPr="0055235B" w:rsidRDefault="00F51A48" w:rsidP="00F51A48">
      <w:pPr>
        <w:rPr>
          <w:rFonts w:ascii="Arial" w:hAnsi="Arial" w:cs="Arial"/>
        </w:rPr>
      </w:pPr>
      <w:r w:rsidRPr="0055235B">
        <w:rPr>
          <w:rFonts w:ascii="Arial" w:hAnsi="Arial" w:cs="Arial"/>
          <w:b/>
          <w:bCs/>
        </w:rPr>
        <w:t>Enhancing Rights Protections:</w:t>
      </w:r>
      <w:r w:rsidRPr="0055235B">
        <w:rPr>
          <w:rFonts w:ascii="Arial" w:hAnsi="Arial" w:cs="Arial"/>
        </w:rPr>
        <w:t xml:space="preserve"> The UK lacks a comprehensive Bill of Rights, instead relying on the Human Rights Act </w:t>
      </w:r>
      <w:r w:rsidR="00A338E5" w:rsidRPr="0055235B">
        <w:rPr>
          <w:rFonts w:ascii="Arial" w:hAnsi="Arial" w:cs="Arial"/>
        </w:rPr>
        <w:t xml:space="preserve">of </w:t>
      </w:r>
      <w:r w:rsidRPr="0055235B">
        <w:rPr>
          <w:rFonts w:ascii="Arial" w:hAnsi="Arial" w:cs="Arial"/>
        </w:rPr>
        <w:t>1998 to incorporate European Convention on Human Rights into domestic law. Expanding rights protection and considering adopting a Bill of Rights may strengthen individual liberties while giving judges a clearer framework to assess whether legislation meets human rights standards</w:t>
      </w:r>
      <w:r w:rsidR="00C15006" w:rsidRPr="0055235B">
        <w:rPr>
          <w:rFonts w:ascii="Arial" w:hAnsi="Arial" w:cs="Arial"/>
        </w:rPr>
        <w:t xml:space="preserve"> (Filipcová, 2015)</w:t>
      </w:r>
    </w:p>
    <w:p w14:paraId="4197102B" w14:textId="2FBB41BC" w:rsidR="00B13635" w:rsidRPr="0055235B" w:rsidRDefault="00B13635" w:rsidP="00C15006">
      <w:pPr>
        <w:pStyle w:val="Heading1"/>
        <w:rPr>
          <w:rFonts w:ascii="Arial" w:hAnsi="Arial" w:cs="Arial"/>
          <w:color w:val="auto"/>
        </w:rPr>
      </w:pPr>
      <w:r w:rsidRPr="0055235B">
        <w:rPr>
          <w:rFonts w:ascii="Arial" w:hAnsi="Arial" w:cs="Arial"/>
          <w:color w:val="auto"/>
        </w:rPr>
        <w:t>Conclusion</w:t>
      </w:r>
      <w:r w:rsidR="0055235B">
        <w:rPr>
          <w:rFonts w:ascii="Arial" w:hAnsi="Arial" w:cs="Arial"/>
          <w:color w:val="auto"/>
        </w:rPr>
        <w:t>:</w:t>
      </w:r>
    </w:p>
    <w:p w14:paraId="76DC63B6" w14:textId="62E5B527" w:rsidR="00B13635" w:rsidRPr="0055235B" w:rsidRDefault="001D5369" w:rsidP="00B13635">
      <w:pPr>
        <w:rPr>
          <w:rFonts w:ascii="Arial" w:hAnsi="Arial" w:cs="Arial"/>
        </w:rPr>
      </w:pPr>
      <w:r w:rsidRPr="0055235B">
        <w:rPr>
          <w:rFonts w:ascii="Arial" w:hAnsi="Arial" w:cs="Arial"/>
        </w:rPr>
        <w:t xml:space="preserve">While the Constitutional Reform Act 2005 made great strides towards modernizing Britain's constitutional framework by clarifying </w:t>
      </w:r>
      <w:r w:rsidR="00A338E5" w:rsidRPr="0055235B">
        <w:rPr>
          <w:rFonts w:ascii="Arial" w:hAnsi="Arial" w:cs="Arial"/>
        </w:rPr>
        <w:t xml:space="preserve">the </w:t>
      </w:r>
      <w:r w:rsidRPr="0055235B">
        <w:rPr>
          <w:rFonts w:ascii="Arial" w:hAnsi="Arial" w:cs="Arial"/>
        </w:rPr>
        <w:t>Lord Chancellor</w:t>
      </w:r>
      <w:r w:rsidR="00A338E5" w:rsidRPr="0055235B">
        <w:rPr>
          <w:rFonts w:ascii="Arial" w:hAnsi="Arial" w:cs="Arial"/>
        </w:rPr>
        <w:t>'s</w:t>
      </w:r>
      <w:r w:rsidRPr="0055235B">
        <w:rPr>
          <w:rFonts w:ascii="Arial" w:hAnsi="Arial" w:cs="Arial"/>
        </w:rPr>
        <w:t xml:space="preserve"> duties and creating </w:t>
      </w:r>
      <w:r w:rsidRPr="0055235B">
        <w:rPr>
          <w:rFonts w:ascii="Arial" w:hAnsi="Arial" w:cs="Arial"/>
        </w:rPr>
        <w:lastRenderedPageBreak/>
        <w:t>the Supreme Court, further reforms must take place to guarantee stronger separation of powers, greater accountability and the upholding of democratic principles</w:t>
      </w:r>
      <w:r w:rsidR="00C15006" w:rsidRPr="0055235B">
        <w:rPr>
          <w:rFonts w:ascii="Arial" w:hAnsi="Arial" w:cs="Arial"/>
        </w:rPr>
        <w:t xml:space="preserve"> (Filipcová, 2015)</w:t>
      </w:r>
      <w:r w:rsidRPr="0055235B">
        <w:rPr>
          <w:rFonts w:ascii="Arial" w:hAnsi="Arial" w:cs="Arial"/>
        </w:rPr>
        <w:t>. These reforms should include codifying the constitution, strengthening judicial independence measures, clarifying devolution arrangements, reforms to the House of Lords and increasing rights protections</w:t>
      </w:r>
      <w:r w:rsidR="00C15006" w:rsidRPr="0055235B">
        <w:rPr>
          <w:rFonts w:ascii="Arial" w:hAnsi="Arial" w:cs="Arial"/>
        </w:rPr>
        <w:t xml:space="preserve"> (Kime, 2019)</w:t>
      </w:r>
      <w:r w:rsidRPr="0055235B">
        <w:rPr>
          <w:rFonts w:ascii="Arial" w:hAnsi="Arial" w:cs="Arial"/>
        </w:rPr>
        <w:t xml:space="preserve">. These efforts must be undertaken with </w:t>
      </w:r>
      <w:r w:rsidR="00A338E5" w:rsidRPr="0055235B">
        <w:rPr>
          <w:rFonts w:ascii="Arial" w:hAnsi="Arial" w:cs="Arial"/>
        </w:rPr>
        <w:t>the</w:t>
      </w:r>
      <w:r w:rsidRPr="0055235B">
        <w:rPr>
          <w:rFonts w:ascii="Arial" w:hAnsi="Arial" w:cs="Arial"/>
        </w:rPr>
        <w:t xml:space="preserve"> aim of upholding the fundamental principles of </w:t>
      </w:r>
      <w:r w:rsidR="00A338E5" w:rsidRPr="0055235B">
        <w:rPr>
          <w:rFonts w:ascii="Arial" w:hAnsi="Arial" w:cs="Arial"/>
        </w:rPr>
        <w:t xml:space="preserve">the </w:t>
      </w:r>
      <w:r w:rsidRPr="0055235B">
        <w:rPr>
          <w:rFonts w:ascii="Arial" w:hAnsi="Arial" w:cs="Arial"/>
        </w:rPr>
        <w:t>UK's constitution while adapting it to meet modern governance's shifting needs. Only through ongoing and targeted reform can Britain's constitutional system continue to adapt and develop as an example of democratic governance.</w:t>
      </w:r>
    </w:p>
    <w:p w14:paraId="1DA2ECF0" w14:textId="3DD59427" w:rsidR="00E74BED" w:rsidRPr="0055235B" w:rsidRDefault="00E74BED" w:rsidP="00C15006">
      <w:pPr>
        <w:pStyle w:val="Heading1"/>
        <w:rPr>
          <w:rFonts w:ascii="Arial" w:hAnsi="Arial" w:cs="Arial"/>
          <w:color w:val="auto"/>
        </w:rPr>
      </w:pPr>
      <w:r w:rsidRPr="0055235B">
        <w:rPr>
          <w:rFonts w:ascii="Arial" w:hAnsi="Arial" w:cs="Arial"/>
          <w:color w:val="auto"/>
        </w:rPr>
        <w:t>Reference</w:t>
      </w:r>
      <w:r w:rsidR="0055235B">
        <w:rPr>
          <w:rFonts w:ascii="Arial" w:hAnsi="Arial" w:cs="Arial"/>
          <w:color w:val="auto"/>
        </w:rPr>
        <w:t>:</w:t>
      </w:r>
    </w:p>
    <w:p w14:paraId="2129A6E0" w14:textId="3CD37C0F" w:rsidR="00E74BED" w:rsidRPr="0055235B" w:rsidRDefault="00E74BED" w:rsidP="00B13635">
      <w:pPr>
        <w:rPr>
          <w:rFonts w:ascii="Arial" w:hAnsi="Arial" w:cs="Arial"/>
        </w:rPr>
      </w:pPr>
      <w:r w:rsidRPr="0055235B">
        <w:rPr>
          <w:rFonts w:ascii="Arial" w:hAnsi="Arial" w:cs="Arial"/>
        </w:rPr>
        <w:t>Filipcová, E., 2015. The Impact of The Constitutional Reform Act 2005 on Separation of Powers in the United Kingdom.</w:t>
      </w:r>
    </w:p>
    <w:p w14:paraId="16DEF193" w14:textId="7022C5A3" w:rsidR="00E74BED" w:rsidRPr="0055235B" w:rsidRDefault="00E74BED" w:rsidP="00B13635">
      <w:pPr>
        <w:rPr>
          <w:rFonts w:ascii="Arial" w:hAnsi="Arial" w:cs="Arial"/>
        </w:rPr>
      </w:pPr>
      <w:r w:rsidRPr="0055235B">
        <w:rPr>
          <w:rFonts w:ascii="Arial" w:hAnsi="Arial" w:cs="Arial"/>
        </w:rPr>
        <w:t>Kime, R. and Yacine, L., 2019. The Role of Constitutional Reform Act 2005 in Reinforcing the Divisions of Power in the UK.</w:t>
      </w:r>
    </w:p>
    <w:p w14:paraId="38227AB9" w14:textId="1380E006" w:rsidR="00E74BED" w:rsidRPr="0055235B" w:rsidRDefault="00E74BED" w:rsidP="00B13635">
      <w:pPr>
        <w:rPr>
          <w:rFonts w:ascii="Arial" w:hAnsi="Arial" w:cs="Arial"/>
        </w:rPr>
      </w:pPr>
      <w:r w:rsidRPr="0055235B">
        <w:rPr>
          <w:rFonts w:ascii="Arial" w:hAnsi="Arial" w:cs="Arial"/>
        </w:rPr>
        <w:t>Masterman, R., 2010. The separation of powers in the contemporary constitution: Judicial competence and independence in the United Kingdom. Cambridge University Press.</w:t>
      </w:r>
    </w:p>
    <w:p w14:paraId="0D53260E" w14:textId="24473A5B" w:rsidR="00E74BED" w:rsidRPr="0055235B" w:rsidRDefault="00E74BED" w:rsidP="00B13635">
      <w:pPr>
        <w:rPr>
          <w:rFonts w:ascii="Arial" w:hAnsi="Arial" w:cs="Arial"/>
        </w:rPr>
      </w:pPr>
      <w:r w:rsidRPr="0055235B">
        <w:rPr>
          <w:rFonts w:ascii="Arial" w:hAnsi="Arial" w:cs="Arial"/>
        </w:rPr>
        <w:t>McHarg, A., 2011. Reforming the United Kingdom Constitution: Law, Convention, Soft Law. The Modern Law Review, 71(6), pp.853-877.</w:t>
      </w:r>
    </w:p>
    <w:p w14:paraId="4F3A2193" w14:textId="4100FDAE" w:rsidR="00E74BED" w:rsidRPr="0055235B" w:rsidRDefault="00E74BED" w:rsidP="00B13635">
      <w:pPr>
        <w:rPr>
          <w:rFonts w:ascii="Arial" w:hAnsi="Arial" w:cs="Arial"/>
        </w:rPr>
      </w:pPr>
      <w:r w:rsidRPr="0055235B">
        <w:rPr>
          <w:rFonts w:ascii="Arial" w:hAnsi="Arial" w:cs="Arial"/>
        </w:rPr>
        <w:t>Skold, M., 2014. The Reform Act's Supreme Court: A Missed Opportunity for Judicial Review in the United Kingdom. Conn. L. Rev., 39, p.2149.</w:t>
      </w:r>
    </w:p>
    <w:p w14:paraId="4A751967" w14:textId="4CEE700F" w:rsidR="00C15006" w:rsidRPr="0055235B" w:rsidRDefault="00C15006" w:rsidP="00B13635">
      <w:pPr>
        <w:rPr>
          <w:rFonts w:ascii="Arial" w:hAnsi="Arial" w:cs="Arial"/>
        </w:rPr>
      </w:pPr>
      <w:bookmarkStart w:id="0" w:name="_Hlk142401481"/>
      <w:r w:rsidRPr="0055235B">
        <w:rPr>
          <w:rFonts w:ascii="Arial" w:hAnsi="Arial" w:cs="Arial"/>
        </w:rPr>
        <w:t>Delaney</w:t>
      </w:r>
      <w:bookmarkEnd w:id="0"/>
      <w:r w:rsidRPr="0055235B">
        <w:rPr>
          <w:rFonts w:ascii="Arial" w:hAnsi="Arial" w:cs="Arial"/>
        </w:rPr>
        <w:t>, E.F., 2013. Judiciary Rising: Constitutional Change in the United Kingdom. Nw. UL Rev., 108, p.543.</w:t>
      </w:r>
    </w:p>
    <w:sectPr w:rsidR="00C15006" w:rsidRPr="0055235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01C4CA" w14:textId="77777777" w:rsidR="00C40D74" w:rsidRDefault="00C40D74">
      <w:pPr>
        <w:spacing w:after="0" w:line="240" w:lineRule="auto"/>
      </w:pPr>
      <w:r>
        <w:separator/>
      </w:r>
    </w:p>
  </w:endnote>
  <w:endnote w:type="continuationSeparator" w:id="0">
    <w:p w14:paraId="1731463A" w14:textId="77777777" w:rsidR="00C40D74" w:rsidRDefault="00C40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6101280"/>
      <w:docPartObj>
        <w:docPartGallery w:val="Page Numbers (Bottom of Page)"/>
        <w:docPartUnique/>
      </w:docPartObj>
    </w:sdtPr>
    <w:sdtEndPr>
      <w:rPr>
        <w:noProof/>
      </w:rPr>
    </w:sdtEndPr>
    <w:sdtContent>
      <w:p w14:paraId="2114659E" w14:textId="545429B5" w:rsidR="008266CC"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B81975" w14:textId="77777777" w:rsidR="008266CC" w:rsidRDefault="00826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86FC0" w14:textId="77777777" w:rsidR="00C40D74" w:rsidRDefault="00C40D74">
      <w:pPr>
        <w:spacing w:after="0" w:line="240" w:lineRule="auto"/>
      </w:pPr>
      <w:r>
        <w:separator/>
      </w:r>
    </w:p>
  </w:footnote>
  <w:footnote w:type="continuationSeparator" w:id="0">
    <w:p w14:paraId="4A67A407" w14:textId="77777777" w:rsidR="00C40D74" w:rsidRDefault="00C40D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D4787"/>
    <w:multiLevelType w:val="hybridMultilevel"/>
    <w:tmpl w:val="A59CFE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E00025"/>
    <w:multiLevelType w:val="multilevel"/>
    <w:tmpl w:val="7FC65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E94318"/>
    <w:multiLevelType w:val="multilevel"/>
    <w:tmpl w:val="47201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E570E6"/>
    <w:multiLevelType w:val="multilevel"/>
    <w:tmpl w:val="E4D2C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270992"/>
    <w:multiLevelType w:val="multilevel"/>
    <w:tmpl w:val="B99E78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2942E0"/>
    <w:multiLevelType w:val="hybridMultilevel"/>
    <w:tmpl w:val="9D02DE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C247D27"/>
    <w:multiLevelType w:val="multilevel"/>
    <w:tmpl w:val="0F70A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C3A36D6"/>
    <w:multiLevelType w:val="multilevel"/>
    <w:tmpl w:val="DD8843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D4D68AE"/>
    <w:multiLevelType w:val="multilevel"/>
    <w:tmpl w:val="75DC0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F751F17"/>
    <w:multiLevelType w:val="multilevel"/>
    <w:tmpl w:val="DE82E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F9C7C01"/>
    <w:multiLevelType w:val="multilevel"/>
    <w:tmpl w:val="2348F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FBC4F71"/>
    <w:multiLevelType w:val="multilevel"/>
    <w:tmpl w:val="ECA65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15E003B"/>
    <w:multiLevelType w:val="multilevel"/>
    <w:tmpl w:val="F2D22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66C6684"/>
    <w:multiLevelType w:val="multilevel"/>
    <w:tmpl w:val="25A80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7C94220"/>
    <w:multiLevelType w:val="multilevel"/>
    <w:tmpl w:val="2EE0A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BD737B7"/>
    <w:multiLevelType w:val="multilevel"/>
    <w:tmpl w:val="2AAEC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6A3CAA"/>
    <w:multiLevelType w:val="multilevel"/>
    <w:tmpl w:val="1CDCA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DA168A5"/>
    <w:multiLevelType w:val="multilevel"/>
    <w:tmpl w:val="88E2C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0B027F2"/>
    <w:multiLevelType w:val="multilevel"/>
    <w:tmpl w:val="58042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19472A2"/>
    <w:multiLevelType w:val="multilevel"/>
    <w:tmpl w:val="116CD7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1CF45C1"/>
    <w:multiLevelType w:val="multilevel"/>
    <w:tmpl w:val="5CF6A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2F83D56"/>
    <w:multiLevelType w:val="multilevel"/>
    <w:tmpl w:val="8C54D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3291B21"/>
    <w:multiLevelType w:val="multilevel"/>
    <w:tmpl w:val="E0FA7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49C3C11"/>
    <w:multiLevelType w:val="multilevel"/>
    <w:tmpl w:val="38F8D5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7442609"/>
    <w:multiLevelType w:val="multilevel"/>
    <w:tmpl w:val="B5344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81B4F36"/>
    <w:multiLevelType w:val="multilevel"/>
    <w:tmpl w:val="0B646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9C7688C"/>
    <w:multiLevelType w:val="multilevel"/>
    <w:tmpl w:val="289A13E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A9E1ED0"/>
    <w:multiLevelType w:val="multilevel"/>
    <w:tmpl w:val="AC50E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B4E0B0C"/>
    <w:multiLevelType w:val="multilevel"/>
    <w:tmpl w:val="FAEAA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C4C092A"/>
    <w:multiLevelType w:val="multilevel"/>
    <w:tmpl w:val="7D743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CF6072E"/>
    <w:multiLevelType w:val="multilevel"/>
    <w:tmpl w:val="434401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E930235"/>
    <w:multiLevelType w:val="multilevel"/>
    <w:tmpl w:val="9B42A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F615514"/>
    <w:multiLevelType w:val="multilevel"/>
    <w:tmpl w:val="3482B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FE3531D"/>
    <w:multiLevelType w:val="multilevel"/>
    <w:tmpl w:val="A20E6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1193DB1"/>
    <w:multiLevelType w:val="multilevel"/>
    <w:tmpl w:val="DFEAC0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1524671"/>
    <w:multiLevelType w:val="multilevel"/>
    <w:tmpl w:val="55D2F3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2145DFF"/>
    <w:multiLevelType w:val="multilevel"/>
    <w:tmpl w:val="8CC00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33D64EAA"/>
    <w:multiLevelType w:val="multilevel"/>
    <w:tmpl w:val="406A8F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4D33895"/>
    <w:multiLevelType w:val="multilevel"/>
    <w:tmpl w:val="EAF438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68B3BFE"/>
    <w:multiLevelType w:val="multilevel"/>
    <w:tmpl w:val="7D6AC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7171E78"/>
    <w:multiLevelType w:val="multilevel"/>
    <w:tmpl w:val="540EF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7E805B4"/>
    <w:multiLevelType w:val="multilevel"/>
    <w:tmpl w:val="E8D4B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97745F1"/>
    <w:multiLevelType w:val="multilevel"/>
    <w:tmpl w:val="F85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9CC7DBE"/>
    <w:multiLevelType w:val="multilevel"/>
    <w:tmpl w:val="65AE3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3EE106B1"/>
    <w:multiLevelType w:val="multilevel"/>
    <w:tmpl w:val="C832A9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0110DA6"/>
    <w:multiLevelType w:val="hybridMultilevel"/>
    <w:tmpl w:val="B7ACF0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6" w15:restartNumberingAfterBreak="0">
    <w:nsid w:val="419B093E"/>
    <w:multiLevelType w:val="multilevel"/>
    <w:tmpl w:val="A2809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3585124"/>
    <w:multiLevelType w:val="multilevel"/>
    <w:tmpl w:val="34807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6D92EEC"/>
    <w:multiLevelType w:val="multilevel"/>
    <w:tmpl w:val="A4CC8F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B635BC8"/>
    <w:multiLevelType w:val="multilevel"/>
    <w:tmpl w:val="81B0C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0273E58"/>
    <w:multiLevelType w:val="multilevel"/>
    <w:tmpl w:val="F140D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0B0262F"/>
    <w:multiLevelType w:val="hybridMultilevel"/>
    <w:tmpl w:val="80B41818"/>
    <w:lvl w:ilvl="0" w:tplc="95E295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2" w15:restartNumberingAfterBreak="0">
    <w:nsid w:val="50BE4279"/>
    <w:multiLevelType w:val="multilevel"/>
    <w:tmpl w:val="A9A6C45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51903555"/>
    <w:multiLevelType w:val="multilevel"/>
    <w:tmpl w:val="8A5696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1D3608D"/>
    <w:multiLevelType w:val="multilevel"/>
    <w:tmpl w:val="9ACAC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2A957BB"/>
    <w:multiLevelType w:val="multilevel"/>
    <w:tmpl w:val="F84AC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5B41C06"/>
    <w:multiLevelType w:val="multilevel"/>
    <w:tmpl w:val="900A3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7F40333"/>
    <w:multiLevelType w:val="multilevel"/>
    <w:tmpl w:val="E0FCB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5B7F6864"/>
    <w:multiLevelType w:val="multilevel"/>
    <w:tmpl w:val="2EC0EF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BB318B3"/>
    <w:multiLevelType w:val="multilevel"/>
    <w:tmpl w:val="7BAE50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EEB15A7"/>
    <w:multiLevelType w:val="multilevel"/>
    <w:tmpl w:val="A92A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604B588F"/>
    <w:multiLevelType w:val="multilevel"/>
    <w:tmpl w:val="673C05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62F46A4D"/>
    <w:multiLevelType w:val="multilevel"/>
    <w:tmpl w:val="90F2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64FE3066"/>
    <w:multiLevelType w:val="multilevel"/>
    <w:tmpl w:val="F07A2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5343684"/>
    <w:multiLevelType w:val="multilevel"/>
    <w:tmpl w:val="31A86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54A1C2D"/>
    <w:multiLevelType w:val="multilevel"/>
    <w:tmpl w:val="4B903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B0B4B07"/>
    <w:multiLevelType w:val="multilevel"/>
    <w:tmpl w:val="20023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6F2F1FCB"/>
    <w:multiLevelType w:val="multilevel"/>
    <w:tmpl w:val="C0BEC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9" w15:restartNumberingAfterBreak="0">
    <w:nsid w:val="736C49FC"/>
    <w:multiLevelType w:val="multilevel"/>
    <w:tmpl w:val="F75E8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5161FCA"/>
    <w:multiLevelType w:val="multilevel"/>
    <w:tmpl w:val="6A1E98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764F01B1"/>
    <w:multiLevelType w:val="multilevel"/>
    <w:tmpl w:val="1158A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76EF098D"/>
    <w:multiLevelType w:val="multilevel"/>
    <w:tmpl w:val="39027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7D32B6B"/>
    <w:multiLevelType w:val="multilevel"/>
    <w:tmpl w:val="ABEAB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8DA12FA"/>
    <w:multiLevelType w:val="multilevel"/>
    <w:tmpl w:val="84DEA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7A270458"/>
    <w:multiLevelType w:val="multilevel"/>
    <w:tmpl w:val="B5121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7B5F3BAE"/>
    <w:multiLevelType w:val="multilevel"/>
    <w:tmpl w:val="715676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7D132220"/>
    <w:multiLevelType w:val="multilevel"/>
    <w:tmpl w:val="C6D2D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7F0A7B58"/>
    <w:multiLevelType w:val="multilevel"/>
    <w:tmpl w:val="53741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7F6239BA"/>
    <w:multiLevelType w:val="multilevel"/>
    <w:tmpl w:val="9A9CC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9901339">
    <w:abstractNumId w:val="15"/>
  </w:num>
  <w:num w:numId="2" w16cid:durableId="1961371401">
    <w:abstractNumId w:val="55"/>
  </w:num>
  <w:num w:numId="3" w16cid:durableId="1090467859">
    <w:abstractNumId w:val="32"/>
  </w:num>
  <w:num w:numId="4" w16cid:durableId="1969386161">
    <w:abstractNumId w:val="31"/>
  </w:num>
  <w:num w:numId="5" w16cid:durableId="1284463841">
    <w:abstractNumId w:val="33"/>
  </w:num>
  <w:num w:numId="6" w16cid:durableId="2056810514">
    <w:abstractNumId w:val="28"/>
  </w:num>
  <w:num w:numId="7" w16cid:durableId="962812958">
    <w:abstractNumId w:val="72"/>
  </w:num>
  <w:num w:numId="8" w16cid:durableId="674306315">
    <w:abstractNumId w:val="69"/>
  </w:num>
  <w:num w:numId="9" w16cid:durableId="838232762">
    <w:abstractNumId w:val="45"/>
  </w:num>
  <w:num w:numId="10" w16cid:durableId="1060055225">
    <w:abstractNumId w:val="24"/>
  </w:num>
  <w:num w:numId="11" w16cid:durableId="107046427">
    <w:abstractNumId w:val="10"/>
  </w:num>
  <w:num w:numId="12" w16cid:durableId="1036199722">
    <w:abstractNumId w:val="14"/>
  </w:num>
  <w:num w:numId="13" w16cid:durableId="1873805738">
    <w:abstractNumId w:val="75"/>
  </w:num>
  <w:num w:numId="14" w16cid:durableId="100957293">
    <w:abstractNumId w:val="12"/>
  </w:num>
  <w:num w:numId="15" w16cid:durableId="1135609159">
    <w:abstractNumId w:val="54"/>
  </w:num>
  <w:num w:numId="16" w16cid:durableId="1305694486">
    <w:abstractNumId w:val="64"/>
  </w:num>
  <w:num w:numId="17" w16cid:durableId="867792909">
    <w:abstractNumId w:val="29"/>
  </w:num>
  <w:num w:numId="18" w16cid:durableId="1362627807">
    <w:abstractNumId w:val="42"/>
  </w:num>
  <w:num w:numId="19" w16cid:durableId="2132550961">
    <w:abstractNumId w:val="16"/>
  </w:num>
  <w:num w:numId="20" w16cid:durableId="1902711909">
    <w:abstractNumId w:val="21"/>
  </w:num>
  <w:num w:numId="21" w16cid:durableId="521213156">
    <w:abstractNumId w:val="47"/>
  </w:num>
  <w:num w:numId="22" w16cid:durableId="581763235">
    <w:abstractNumId w:val="13"/>
  </w:num>
  <w:num w:numId="23" w16cid:durableId="371419954">
    <w:abstractNumId w:val="27"/>
  </w:num>
  <w:num w:numId="24" w16cid:durableId="75707341">
    <w:abstractNumId w:val="39"/>
  </w:num>
  <w:num w:numId="25" w16cid:durableId="479422981">
    <w:abstractNumId w:val="53"/>
  </w:num>
  <w:num w:numId="26" w16cid:durableId="540635206">
    <w:abstractNumId w:val="41"/>
  </w:num>
  <w:num w:numId="27" w16cid:durableId="462041142">
    <w:abstractNumId w:val="49"/>
  </w:num>
  <w:num w:numId="28" w16cid:durableId="911045439">
    <w:abstractNumId w:val="25"/>
  </w:num>
  <w:num w:numId="29" w16cid:durableId="428549896">
    <w:abstractNumId w:val="17"/>
  </w:num>
  <w:num w:numId="30" w16cid:durableId="1308977256">
    <w:abstractNumId w:val="36"/>
  </w:num>
  <w:num w:numId="31" w16cid:durableId="552040934">
    <w:abstractNumId w:val="74"/>
  </w:num>
  <w:num w:numId="32" w16cid:durableId="1251356543">
    <w:abstractNumId w:val="58"/>
  </w:num>
  <w:num w:numId="33" w16cid:durableId="278488711">
    <w:abstractNumId w:val="73"/>
  </w:num>
  <w:num w:numId="34" w16cid:durableId="748117354">
    <w:abstractNumId w:val="0"/>
  </w:num>
  <w:num w:numId="35" w16cid:durableId="1403403759">
    <w:abstractNumId w:val="63"/>
  </w:num>
  <w:num w:numId="36" w16cid:durableId="969480900">
    <w:abstractNumId w:val="43"/>
  </w:num>
  <w:num w:numId="37" w16cid:durableId="376122068">
    <w:abstractNumId w:val="61"/>
  </w:num>
  <w:num w:numId="38" w16cid:durableId="1178810472">
    <w:abstractNumId w:val="19"/>
  </w:num>
  <w:num w:numId="39" w16cid:durableId="630747510">
    <w:abstractNumId w:val="26"/>
  </w:num>
  <w:num w:numId="40" w16cid:durableId="237205772">
    <w:abstractNumId w:val="59"/>
  </w:num>
  <w:num w:numId="41" w16cid:durableId="564073338">
    <w:abstractNumId w:val="34"/>
  </w:num>
  <w:num w:numId="42" w16cid:durableId="1742485669">
    <w:abstractNumId w:val="76"/>
  </w:num>
  <w:num w:numId="43" w16cid:durableId="690452605">
    <w:abstractNumId w:val="56"/>
  </w:num>
  <w:num w:numId="44" w16cid:durableId="330640128">
    <w:abstractNumId w:val="48"/>
  </w:num>
  <w:num w:numId="45" w16cid:durableId="1751805239">
    <w:abstractNumId w:val="52"/>
  </w:num>
  <w:num w:numId="46" w16cid:durableId="854422638">
    <w:abstractNumId w:val="50"/>
  </w:num>
  <w:num w:numId="47" w16cid:durableId="1949386563">
    <w:abstractNumId w:val="11"/>
  </w:num>
  <w:num w:numId="48" w16cid:durableId="504201020">
    <w:abstractNumId w:val="78"/>
  </w:num>
  <w:num w:numId="49" w16cid:durableId="1929383821">
    <w:abstractNumId w:val="1"/>
  </w:num>
  <w:num w:numId="50" w16cid:durableId="1107237358">
    <w:abstractNumId w:val="57"/>
  </w:num>
  <w:num w:numId="51" w16cid:durableId="1661230794">
    <w:abstractNumId w:val="46"/>
  </w:num>
  <w:num w:numId="52" w16cid:durableId="1405378388">
    <w:abstractNumId w:val="20"/>
  </w:num>
  <w:num w:numId="53" w16cid:durableId="1460491438">
    <w:abstractNumId w:val="2"/>
  </w:num>
  <w:num w:numId="54" w16cid:durableId="1841193418">
    <w:abstractNumId w:val="35"/>
  </w:num>
  <w:num w:numId="55" w16cid:durableId="1304895516">
    <w:abstractNumId w:val="18"/>
  </w:num>
  <w:num w:numId="56" w16cid:durableId="68430032">
    <w:abstractNumId w:val="44"/>
  </w:num>
  <w:num w:numId="57" w16cid:durableId="1880124562">
    <w:abstractNumId w:val="8"/>
  </w:num>
  <w:num w:numId="58" w16cid:durableId="1731687710">
    <w:abstractNumId w:val="38"/>
  </w:num>
  <w:num w:numId="59" w16cid:durableId="1415589601">
    <w:abstractNumId w:val="67"/>
  </w:num>
  <w:num w:numId="60" w16cid:durableId="1021858361">
    <w:abstractNumId w:val="23"/>
  </w:num>
  <w:num w:numId="61" w16cid:durableId="215702908">
    <w:abstractNumId w:val="40"/>
  </w:num>
  <w:num w:numId="62" w16cid:durableId="919949120">
    <w:abstractNumId w:val="4"/>
  </w:num>
  <w:num w:numId="63" w16cid:durableId="2137915411">
    <w:abstractNumId w:val="60"/>
  </w:num>
  <w:num w:numId="64" w16cid:durableId="218130570">
    <w:abstractNumId w:val="70"/>
  </w:num>
  <w:num w:numId="65" w16cid:durableId="1323772065">
    <w:abstractNumId w:val="3"/>
  </w:num>
  <w:num w:numId="66" w16cid:durableId="1423338277">
    <w:abstractNumId w:val="66"/>
  </w:num>
  <w:num w:numId="67" w16cid:durableId="1157308306">
    <w:abstractNumId w:val="62"/>
  </w:num>
  <w:num w:numId="68" w16cid:durableId="1590578229">
    <w:abstractNumId w:val="7"/>
  </w:num>
  <w:num w:numId="69" w16cid:durableId="1247568090">
    <w:abstractNumId w:val="79"/>
  </w:num>
  <w:num w:numId="70" w16cid:durableId="1654413535">
    <w:abstractNumId w:val="37"/>
  </w:num>
  <w:num w:numId="71" w16cid:durableId="553851820">
    <w:abstractNumId w:val="22"/>
  </w:num>
  <w:num w:numId="72" w16cid:durableId="1054087270">
    <w:abstractNumId w:val="71"/>
  </w:num>
  <w:num w:numId="73" w16cid:durableId="1356924987">
    <w:abstractNumId w:val="9"/>
  </w:num>
  <w:num w:numId="74" w16cid:durableId="2104107044">
    <w:abstractNumId w:val="77"/>
  </w:num>
  <w:num w:numId="75" w16cid:durableId="810635151">
    <w:abstractNumId w:val="30"/>
  </w:num>
  <w:num w:numId="76" w16cid:durableId="813522624">
    <w:abstractNumId w:val="6"/>
  </w:num>
  <w:num w:numId="77" w16cid:durableId="2056738838">
    <w:abstractNumId w:val="5"/>
  </w:num>
  <w:num w:numId="78" w16cid:durableId="405883502">
    <w:abstractNumId w:val="68"/>
  </w:num>
  <w:num w:numId="79" w16cid:durableId="531654330">
    <w:abstractNumId w:val="51"/>
  </w:num>
  <w:num w:numId="80" w16cid:durableId="1560706822">
    <w:abstractNumId w:val="6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I0NzYysjQ1MLEwMbJQ0lEKTi0uzszPAykwNKsFAEKTHYstAAAA"/>
  </w:docVars>
  <w:rsids>
    <w:rsidRoot w:val="00262D02"/>
    <w:rsid w:val="000130E9"/>
    <w:rsid w:val="00020D3E"/>
    <w:rsid w:val="00023AEF"/>
    <w:rsid w:val="0003085A"/>
    <w:rsid w:val="00035174"/>
    <w:rsid w:val="00061F21"/>
    <w:rsid w:val="0006202F"/>
    <w:rsid w:val="00065DD7"/>
    <w:rsid w:val="000764B3"/>
    <w:rsid w:val="000823FC"/>
    <w:rsid w:val="0009280A"/>
    <w:rsid w:val="000964D8"/>
    <w:rsid w:val="000A4471"/>
    <w:rsid w:val="000B40D2"/>
    <w:rsid w:val="000D0291"/>
    <w:rsid w:val="000F6AA4"/>
    <w:rsid w:val="00103615"/>
    <w:rsid w:val="00114F8A"/>
    <w:rsid w:val="0012594B"/>
    <w:rsid w:val="00152B5A"/>
    <w:rsid w:val="001531F8"/>
    <w:rsid w:val="00167041"/>
    <w:rsid w:val="001715DF"/>
    <w:rsid w:val="001A3A2D"/>
    <w:rsid w:val="001A6EEE"/>
    <w:rsid w:val="001C72FC"/>
    <w:rsid w:val="001C7A24"/>
    <w:rsid w:val="001D5369"/>
    <w:rsid w:val="001E69A7"/>
    <w:rsid w:val="001E78E5"/>
    <w:rsid w:val="001F63F5"/>
    <w:rsid w:val="001F664D"/>
    <w:rsid w:val="00214C25"/>
    <w:rsid w:val="00250CED"/>
    <w:rsid w:val="00262344"/>
    <w:rsid w:val="00262D02"/>
    <w:rsid w:val="0026385D"/>
    <w:rsid w:val="00277FD0"/>
    <w:rsid w:val="002847BB"/>
    <w:rsid w:val="002B3AE2"/>
    <w:rsid w:val="002B40D7"/>
    <w:rsid w:val="002B7AAF"/>
    <w:rsid w:val="002C19B1"/>
    <w:rsid w:val="002E3A5E"/>
    <w:rsid w:val="003041E1"/>
    <w:rsid w:val="00327BF4"/>
    <w:rsid w:val="00352C69"/>
    <w:rsid w:val="00352F3C"/>
    <w:rsid w:val="00385ED1"/>
    <w:rsid w:val="003C10A1"/>
    <w:rsid w:val="003D1949"/>
    <w:rsid w:val="003E1DAC"/>
    <w:rsid w:val="003E3844"/>
    <w:rsid w:val="003E6635"/>
    <w:rsid w:val="003F7A23"/>
    <w:rsid w:val="00417AA9"/>
    <w:rsid w:val="0042037E"/>
    <w:rsid w:val="00423417"/>
    <w:rsid w:val="004412E1"/>
    <w:rsid w:val="004477F4"/>
    <w:rsid w:val="00457F1E"/>
    <w:rsid w:val="004610DA"/>
    <w:rsid w:val="00472862"/>
    <w:rsid w:val="00486B37"/>
    <w:rsid w:val="00490556"/>
    <w:rsid w:val="004A2190"/>
    <w:rsid w:val="004E01BD"/>
    <w:rsid w:val="005059D4"/>
    <w:rsid w:val="005173B3"/>
    <w:rsid w:val="00524264"/>
    <w:rsid w:val="00525C8B"/>
    <w:rsid w:val="00537284"/>
    <w:rsid w:val="00544B3E"/>
    <w:rsid w:val="0054704B"/>
    <w:rsid w:val="00547BBE"/>
    <w:rsid w:val="005506F5"/>
    <w:rsid w:val="0055235B"/>
    <w:rsid w:val="00557ED4"/>
    <w:rsid w:val="00560C71"/>
    <w:rsid w:val="00577EFF"/>
    <w:rsid w:val="005835BC"/>
    <w:rsid w:val="00591A26"/>
    <w:rsid w:val="005A058C"/>
    <w:rsid w:val="005A15EB"/>
    <w:rsid w:val="005B57C1"/>
    <w:rsid w:val="005C1225"/>
    <w:rsid w:val="005E21CC"/>
    <w:rsid w:val="005E45CF"/>
    <w:rsid w:val="006004A0"/>
    <w:rsid w:val="0063563E"/>
    <w:rsid w:val="00646501"/>
    <w:rsid w:val="0066630D"/>
    <w:rsid w:val="00667B22"/>
    <w:rsid w:val="00677218"/>
    <w:rsid w:val="006A1549"/>
    <w:rsid w:val="006A653A"/>
    <w:rsid w:val="006C4244"/>
    <w:rsid w:val="007154C1"/>
    <w:rsid w:val="00723570"/>
    <w:rsid w:val="00731597"/>
    <w:rsid w:val="0073299B"/>
    <w:rsid w:val="00743699"/>
    <w:rsid w:val="00747EED"/>
    <w:rsid w:val="0077312A"/>
    <w:rsid w:val="007818BE"/>
    <w:rsid w:val="00781D08"/>
    <w:rsid w:val="00782F90"/>
    <w:rsid w:val="007B78BC"/>
    <w:rsid w:val="007B7C40"/>
    <w:rsid w:val="007C0834"/>
    <w:rsid w:val="007F15E7"/>
    <w:rsid w:val="007F2991"/>
    <w:rsid w:val="00802860"/>
    <w:rsid w:val="008266CC"/>
    <w:rsid w:val="00832FC6"/>
    <w:rsid w:val="00853B6D"/>
    <w:rsid w:val="00860A8A"/>
    <w:rsid w:val="00862620"/>
    <w:rsid w:val="00883DDC"/>
    <w:rsid w:val="00885DD6"/>
    <w:rsid w:val="008A0466"/>
    <w:rsid w:val="008B3BF4"/>
    <w:rsid w:val="008C2D71"/>
    <w:rsid w:val="008C6651"/>
    <w:rsid w:val="008F524A"/>
    <w:rsid w:val="00910A0D"/>
    <w:rsid w:val="0091341D"/>
    <w:rsid w:val="00921717"/>
    <w:rsid w:val="00932AF0"/>
    <w:rsid w:val="00934601"/>
    <w:rsid w:val="00946E6E"/>
    <w:rsid w:val="00947997"/>
    <w:rsid w:val="0095635A"/>
    <w:rsid w:val="00980A25"/>
    <w:rsid w:val="009A3502"/>
    <w:rsid w:val="009B0FA0"/>
    <w:rsid w:val="009C4BCE"/>
    <w:rsid w:val="009C73FB"/>
    <w:rsid w:val="009E087E"/>
    <w:rsid w:val="00A00DAA"/>
    <w:rsid w:val="00A11083"/>
    <w:rsid w:val="00A111EA"/>
    <w:rsid w:val="00A13865"/>
    <w:rsid w:val="00A15107"/>
    <w:rsid w:val="00A2265F"/>
    <w:rsid w:val="00A25FCD"/>
    <w:rsid w:val="00A338E5"/>
    <w:rsid w:val="00A35B18"/>
    <w:rsid w:val="00A513CC"/>
    <w:rsid w:val="00A561D2"/>
    <w:rsid w:val="00A616CA"/>
    <w:rsid w:val="00A814B1"/>
    <w:rsid w:val="00A909BB"/>
    <w:rsid w:val="00A9165A"/>
    <w:rsid w:val="00A917C7"/>
    <w:rsid w:val="00AA1362"/>
    <w:rsid w:val="00AA14CA"/>
    <w:rsid w:val="00AB0A21"/>
    <w:rsid w:val="00AB2C2C"/>
    <w:rsid w:val="00AC64F4"/>
    <w:rsid w:val="00AE386A"/>
    <w:rsid w:val="00B125F2"/>
    <w:rsid w:val="00B12F25"/>
    <w:rsid w:val="00B13635"/>
    <w:rsid w:val="00B15E6A"/>
    <w:rsid w:val="00B21FE6"/>
    <w:rsid w:val="00B4084C"/>
    <w:rsid w:val="00B44709"/>
    <w:rsid w:val="00B46DD0"/>
    <w:rsid w:val="00B54FEB"/>
    <w:rsid w:val="00B55B25"/>
    <w:rsid w:val="00B564D4"/>
    <w:rsid w:val="00B60E8E"/>
    <w:rsid w:val="00B7392F"/>
    <w:rsid w:val="00B776BE"/>
    <w:rsid w:val="00B80EAE"/>
    <w:rsid w:val="00B948F6"/>
    <w:rsid w:val="00BA0E2C"/>
    <w:rsid w:val="00BA63E4"/>
    <w:rsid w:val="00BB3632"/>
    <w:rsid w:val="00BE66A7"/>
    <w:rsid w:val="00BF3703"/>
    <w:rsid w:val="00C003F6"/>
    <w:rsid w:val="00C0057A"/>
    <w:rsid w:val="00C15006"/>
    <w:rsid w:val="00C27AC2"/>
    <w:rsid w:val="00C3084A"/>
    <w:rsid w:val="00C32276"/>
    <w:rsid w:val="00C40D74"/>
    <w:rsid w:val="00C41B26"/>
    <w:rsid w:val="00C47BF5"/>
    <w:rsid w:val="00C654A4"/>
    <w:rsid w:val="00C65E75"/>
    <w:rsid w:val="00C675CA"/>
    <w:rsid w:val="00C747B0"/>
    <w:rsid w:val="00C75896"/>
    <w:rsid w:val="00C827E4"/>
    <w:rsid w:val="00C90D31"/>
    <w:rsid w:val="00CD0BFB"/>
    <w:rsid w:val="00CD4147"/>
    <w:rsid w:val="00CD5C27"/>
    <w:rsid w:val="00CD62A3"/>
    <w:rsid w:val="00CE438B"/>
    <w:rsid w:val="00D078E9"/>
    <w:rsid w:val="00D31DEC"/>
    <w:rsid w:val="00D40378"/>
    <w:rsid w:val="00D61848"/>
    <w:rsid w:val="00D73D05"/>
    <w:rsid w:val="00D909C8"/>
    <w:rsid w:val="00DA4411"/>
    <w:rsid w:val="00DB639C"/>
    <w:rsid w:val="00DC2463"/>
    <w:rsid w:val="00DC3DD2"/>
    <w:rsid w:val="00DC59FB"/>
    <w:rsid w:val="00DC6256"/>
    <w:rsid w:val="00DD7D0D"/>
    <w:rsid w:val="00DE7C5B"/>
    <w:rsid w:val="00DF785E"/>
    <w:rsid w:val="00E036CB"/>
    <w:rsid w:val="00E1757A"/>
    <w:rsid w:val="00E2102D"/>
    <w:rsid w:val="00E2251C"/>
    <w:rsid w:val="00E37937"/>
    <w:rsid w:val="00E40B9B"/>
    <w:rsid w:val="00E60B0A"/>
    <w:rsid w:val="00E70181"/>
    <w:rsid w:val="00E74BED"/>
    <w:rsid w:val="00E801B7"/>
    <w:rsid w:val="00EA354A"/>
    <w:rsid w:val="00ED1091"/>
    <w:rsid w:val="00ED11B8"/>
    <w:rsid w:val="00ED1E17"/>
    <w:rsid w:val="00EE47FC"/>
    <w:rsid w:val="00EE4C5A"/>
    <w:rsid w:val="00EF7693"/>
    <w:rsid w:val="00F44C63"/>
    <w:rsid w:val="00F47584"/>
    <w:rsid w:val="00F51A48"/>
    <w:rsid w:val="00F5567E"/>
    <w:rsid w:val="00F744B2"/>
    <w:rsid w:val="00F826CA"/>
    <w:rsid w:val="00F84371"/>
    <w:rsid w:val="00F8578D"/>
    <w:rsid w:val="00FA3B30"/>
    <w:rsid w:val="00FA46C8"/>
    <w:rsid w:val="00FB1B5A"/>
    <w:rsid w:val="00FB6463"/>
    <w:rsid w:val="00FC60D5"/>
    <w:rsid w:val="00FD42C0"/>
    <w:rsid w:val="00FE76AD"/>
    <w:rsid w:val="00FF3E02"/>
    <w:rsid w:val="00FF6E69"/>
    <w:rsid w:val="00FF6F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E1B4A"/>
  <w15:chartTrackingRefBased/>
  <w15:docId w15:val="{23E050A7-3916-4938-8C3A-5C7B59167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00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E6635"/>
    <w:pPr>
      <w:keepNext/>
      <w:keepLines/>
      <w:pBdr>
        <w:bottom w:val="single" w:sz="4" w:space="1" w:color="ED7D31" w:themeColor="accent2"/>
      </w:pBdr>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4A2190"/>
    <w:pPr>
      <w:keepNext/>
      <w:keepLines/>
      <w:spacing w:before="40" w:after="0"/>
      <w:outlineLvl w:val="1"/>
    </w:pPr>
    <w:rPr>
      <w:rFonts w:eastAsiaTheme="majorEastAsia" w:cstheme="majorBidi"/>
      <w:b/>
      <w:color w:val="0070C0"/>
      <w:sz w:val="26"/>
      <w:szCs w:val="26"/>
    </w:rPr>
  </w:style>
  <w:style w:type="paragraph" w:styleId="Heading4">
    <w:name w:val="heading 4"/>
    <w:basedOn w:val="Normal"/>
    <w:next w:val="Normal"/>
    <w:link w:val="Heading4Char"/>
    <w:uiPriority w:val="9"/>
    <w:semiHidden/>
    <w:unhideWhenUsed/>
    <w:qFormat/>
    <w:rsid w:val="005C122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635"/>
    <w:rPr>
      <w:rFonts w:ascii="Times New Roman" w:eastAsiaTheme="majorEastAsia" w:hAnsi="Times New Roman" w:cstheme="majorBidi"/>
      <w:b/>
      <w:color w:val="4472C4" w:themeColor="accent1"/>
      <w:sz w:val="32"/>
      <w:szCs w:val="32"/>
    </w:rPr>
  </w:style>
  <w:style w:type="character" w:customStyle="1" w:styleId="Heading2Char">
    <w:name w:val="Heading 2 Char"/>
    <w:basedOn w:val="DefaultParagraphFont"/>
    <w:link w:val="Heading2"/>
    <w:uiPriority w:val="9"/>
    <w:rsid w:val="004A2190"/>
    <w:rPr>
      <w:rFonts w:ascii="Times New Roman" w:eastAsiaTheme="majorEastAsia" w:hAnsi="Times New Roman" w:cstheme="majorBidi"/>
      <w:b/>
      <w:color w:val="0070C0"/>
      <w:sz w:val="26"/>
      <w:szCs w:val="26"/>
    </w:rPr>
  </w:style>
  <w:style w:type="paragraph" w:styleId="NormalWeb">
    <w:name w:val="Normal (Web)"/>
    <w:basedOn w:val="Normal"/>
    <w:uiPriority w:val="99"/>
    <w:semiHidden/>
    <w:unhideWhenUsed/>
    <w:rsid w:val="00BA63E4"/>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BA63E4"/>
    <w:rPr>
      <w:b/>
      <w:bCs/>
    </w:rPr>
  </w:style>
  <w:style w:type="paragraph" w:styleId="Header">
    <w:name w:val="header"/>
    <w:basedOn w:val="Normal"/>
    <w:link w:val="HeaderChar"/>
    <w:unhideWhenUsed/>
    <w:rsid w:val="008266CC"/>
    <w:pPr>
      <w:tabs>
        <w:tab w:val="center" w:pos="4680"/>
        <w:tab w:val="right" w:pos="9360"/>
      </w:tabs>
      <w:spacing w:after="0" w:line="240" w:lineRule="auto"/>
    </w:pPr>
  </w:style>
  <w:style w:type="character" w:customStyle="1" w:styleId="HeaderChar">
    <w:name w:val="Header Char"/>
    <w:basedOn w:val="DefaultParagraphFont"/>
    <w:link w:val="Header"/>
    <w:rsid w:val="008266CC"/>
    <w:rPr>
      <w:rFonts w:ascii="Times New Roman" w:hAnsi="Times New Roman"/>
      <w:sz w:val="24"/>
    </w:rPr>
  </w:style>
  <w:style w:type="paragraph" w:styleId="Footer">
    <w:name w:val="footer"/>
    <w:basedOn w:val="Normal"/>
    <w:link w:val="FooterChar"/>
    <w:uiPriority w:val="99"/>
    <w:unhideWhenUsed/>
    <w:rsid w:val="008266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66CC"/>
    <w:rPr>
      <w:rFonts w:ascii="Times New Roman" w:hAnsi="Times New Roman"/>
      <w:sz w:val="24"/>
    </w:rPr>
  </w:style>
  <w:style w:type="paragraph" w:styleId="TOCHeading">
    <w:name w:val="TOC Heading"/>
    <w:basedOn w:val="Heading1"/>
    <w:next w:val="Normal"/>
    <w:uiPriority w:val="39"/>
    <w:unhideWhenUsed/>
    <w:qFormat/>
    <w:rsid w:val="00250CED"/>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50CED"/>
    <w:pPr>
      <w:spacing w:after="100"/>
    </w:pPr>
  </w:style>
  <w:style w:type="paragraph" w:styleId="TOC2">
    <w:name w:val="toc 2"/>
    <w:basedOn w:val="Normal"/>
    <w:next w:val="Normal"/>
    <w:autoRedefine/>
    <w:uiPriority w:val="39"/>
    <w:unhideWhenUsed/>
    <w:rsid w:val="00250CED"/>
    <w:pPr>
      <w:spacing w:after="100"/>
      <w:ind w:left="240"/>
    </w:pPr>
  </w:style>
  <w:style w:type="character" w:styleId="Hyperlink">
    <w:name w:val="Hyperlink"/>
    <w:basedOn w:val="DefaultParagraphFont"/>
    <w:uiPriority w:val="99"/>
    <w:unhideWhenUsed/>
    <w:rsid w:val="00250CED"/>
    <w:rPr>
      <w:color w:val="0563C1" w:themeColor="hyperlink"/>
      <w:u w:val="single"/>
    </w:rPr>
  </w:style>
  <w:style w:type="table" w:styleId="GridTable1Light">
    <w:name w:val="Grid Table 1 Light"/>
    <w:basedOn w:val="TableNormal"/>
    <w:uiPriority w:val="46"/>
    <w:rsid w:val="0074369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E70181"/>
    <w:rPr>
      <w:color w:val="605E5C"/>
      <w:shd w:val="clear" w:color="auto" w:fill="E1DFDD"/>
    </w:rPr>
  </w:style>
  <w:style w:type="paragraph" w:styleId="ListParagraph">
    <w:name w:val="List Paragraph"/>
    <w:basedOn w:val="Normal"/>
    <w:uiPriority w:val="34"/>
    <w:qFormat/>
    <w:rsid w:val="00FF3E02"/>
    <w:pPr>
      <w:ind w:left="720"/>
      <w:contextualSpacing/>
    </w:pPr>
  </w:style>
  <w:style w:type="table" w:styleId="TableGrid">
    <w:name w:val="Table Grid"/>
    <w:basedOn w:val="TableNormal"/>
    <w:uiPriority w:val="39"/>
    <w:rsid w:val="00E1757A"/>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5C1225"/>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35786">
      <w:bodyDiv w:val="1"/>
      <w:marLeft w:val="0"/>
      <w:marRight w:val="0"/>
      <w:marTop w:val="0"/>
      <w:marBottom w:val="0"/>
      <w:divBdr>
        <w:top w:val="none" w:sz="0" w:space="0" w:color="auto"/>
        <w:left w:val="none" w:sz="0" w:space="0" w:color="auto"/>
        <w:bottom w:val="none" w:sz="0" w:space="0" w:color="auto"/>
        <w:right w:val="none" w:sz="0" w:space="0" w:color="auto"/>
      </w:divBdr>
    </w:div>
    <w:div w:id="80487786">
      <w:bodyDiv w:val="1"/>
      <w:marLeft w:val="0"/>
      <w:marRight w:val="0"/>
      <w:marTop w:val="0"/>
      <w:marBottom w:val="0"/>
      <w:divBdr>
        <w:top w:val="none" w:sz="0" w:space="0" w:color="auto"/>
        <w:left w:val="none" w:sz="0" w:space="0" w:color="auto"/>
        <w:bottom w:val="none" w:sz="0" w:space="0" w:color="auto"/>
        <w:right w:val="none" w:sz="0" w:space="0" w:color="auto"/>
      </w:divBdr>
    </w:div>
    <w:div w:id="108478047">
      <w:bodyDiv w:val="1"/>
      <w:marLeft w:val="0"/>
      <w:marRight w:val="0"/>
      <w:marTop w:val="0"/>
      <w:marBottom w:val="0"/>
      <w:divBdr>
        <w:top w:val="none" w:sz="0" w:space="0" w:color="auto"/>
        <w:left w:val="none" w:sz="0" w:space="0" w:color="auto"/>
        <w:bottom w:val="none" w:sz="0" w:space="0" w:color="auto"/>
        <w:right w:val="none" w:sz="0" w:space="0" w:color="auto"/>
      </w:divBdr>
    </w:div>
    <w:div w:id="135807621">
      <w:bodyDiv w:val="1"/>
      <w:marLeft w:val="0"/>
      <w:marRight w:val="0"/>
      <w:marTop w:val="0"/>
      <w:marBottom w:val="0"/>
      <w:divBdr>
        <w:top w:val="none" w:sz="0" w:space="0" w:color="auto"/>
        <w:left w:val="none" w:sz="0" w:space="0" w:color="auto"/>
        <w:bottom w:val="none" w:sz="0" w:space="0" w:color="auto"/>
        <w:right w:val="none" w:sz="0" w:space="0" w:color="auto"/>
      </w:divBdr>
    </w:div>
    <w:div w:id="188447989">
      <w:bodyDiv w:val="1"/>
      <w:marLeft w:val="0"/>
      <w:marRight w:val="0"/>
      <w:marTop w:val="0"/>
      <w:marBottom w:val="0"/>
      <w:divBdr>
        <w:top w:val="none" w:sz="0" w:space="0" w:color="auto"/>
        <w:left w:val="none" w:sz="0" w:space="0" w:color="auto"/>
        <w:bottom w:val="none" w:sz="0" w:space="0" w:color="auto"/>
        <w:right w:val="none" w:sz="0" w:space="0" w:color="auto"/>
      </w:divBdr>
    </w:div>
    <w:div w:id="215318414">
      <w:bodyDiv w:val="1"/>
      <w:marLeft w:val="0"/>
      <w:marRight w:val="0"/>
      <w:marTop w:val="0"/>
      <w:marBottom w:val="0"/>
      <w:divBdr>
        <w:top w:val="none" w:sz="0" w:space="0" w:color="auto"/>
        <w:left w:val="none" w:sz="0" w:space="0" w:color="auto"/>
        <w:bottom w:val="none" w:sz="0" w:space="0" w:color="auto"/>
        <w:right w:val="none" w:sz="0" w:space="0" w:color="auto"/>
      </w:divBdr>
    </w:div>
    <w:div w:id="337276601">
      <w:bodyDiv w:val="1"/>
      <w:marLeft w:val="0"/>
      <w:marRight w:val="0"/>
      <w:marTop w:val="0"/>
      <w:marBottom w:val="0"/>
      <w:divBdr>
        <w:top w:val="none" w:sz="0" w:space="0" w:color="auto"/>
        <w:left w:val="none" w:sz="0" w:space="0" w:color="auto"/>
        <w:bottom w:val="none" w:sz="0" w:space="0" w:color="auto"/>
        <w:right w:val="none" w:sz="0" w:space="0" w:color="auto"/>
      </w:divBdr>
    </w:div>
    <w:div w:id="448935097">
      <w:bodyDiv w:val="1"/>
      <w:marLeft w:val="0"/>
      <w:marRight w:val="0"/>
      <w:marTop w:val="0"/>
      <w:marBottom w:val="0"/>
      <w:divBdr>
        <w:top w:val="none" w:sz="0" w:space="0" w:color="auto"/>
        <w:left w:val="none" w:sz="0" w:space="0" w:color="auto"/>
        <w:bottom w:val="none" w:sz="0" w:space="0" w:color="auto"/>
        <w:right w:val="none" w:sz="0" w:space="0" w:color="auto"/>
      </w:divBdr>
    </w:div>
    <w:div w:id="658776144">
      <w:bodyDiv w:val="1"/>
      <w:marLeft w:val="0"/>
      <w:marRight w:val="0"/>
      <w:marTop w:val="0"/>
      <w:marBottom w:val="0"/>
      <w:divBdr>
        <w:top w:val="none" w:sz="0" w:space="0" w:color="auto"/>
        <w:left w:val="none" w:sz="0" w:space="0" w:color="auto"/>
        <w:bottom w:val="none" w:sz="0" w:space="0" w:color="auto"/>
        <w:right w:val="none" w:sz="0" w:space="0" w:color="auto"/>
      </w:divBdr>
    </w:div>
    <w:div w:id="768161394">
      <w:bodyDiv w:val="1"/>
      <w:marLeft w:val="0"/>
      <w:marRight w:val="0"/>
      <w:marTop w:val="0"/>
      <w:marBottom w:val="0"/>
      <w:divBdr>
        <w:top w:val="none" w:sz="0" w:space="0" w:color="auto"/>
        <w:left w:val="none" w:sz="0" w:space="0" w:color="auto"/>
        <w:bottom w:val="none" w:sz="0" w:space="0" w:color="auto"/>
        <w:right w:val="none" w:sz="0" w:space="0" w:color="auto"/>
      </w:divBdr>
    </w:div>
    <w:div w:id="782461353">
      <w:bodyDiv w:val="1"/>
      <w:marLeft w:val="0"/>
      <w:marRight w:val="0"/>
      <w:marTop w:val="0"/>
      <w:marBottom w:val="0"/>
      <w:divBdr>
        <w:top w:val="none" w:sz="0" w:space="0" w:color="auto"/>
        <w:left w:val="none" w:sz="0" w:space="0" w:color="auto"/>
        <w:bottom w:val="none" w:sz="0" w:space="0" w:color="auto"/>
        <w:right w:val="none" w:sz="0" w:space="0" w:color="auto"/>
      </w:divBdr>
    </w:div>
    <w:div w:id="782654047">
      <w:bodyDiv w:val="1"/>
      <w:marLeft w:val="0"/>
      <w:marRight w:val="0"/>
      <w:marTop w:val="0"/>
      <w:marBottom w:val="0"/>
      <w:divBdr>
        <w:top w:val="none" w:sz="0" w:space="0" w:color="auto"/>
        <w:left w:val="none" w:sz="0" w:space="0" w:color="auto"/>
        <w:bottom w:val="none" w:sz="0" w:space="0" w:color="auto"/>
        <w:right w:val="none" w:sz="0" w:space="0" w:color="auto"/>
      </w:divBdr>
    </w:div>
    <w:div w:id="791824948">
      <w:bodyDiv w:val="1"/>
      <w:marLeft w:val="0"/>
      <w:marRight w:val="0"/>
      <w:marTop w:val="0"/>
      <w:marBottom w:val="0"/>
      <w:divBdr>
        <w:top w:val="none" w:sz="0" w:space="0" w:color="auto"/>
        <w:left w:val="none" w:sz="0" w:space="0" w:color="auto"/>
        <w:bottom w:val="none" w:sz="0" w:space="0" w:color="auto"/>
        <w:right w:val="none" w:sz="0" w:space="0" w:color="auto"/>
      </w:divBdr>
    </w:div>
    <w:div w:id="908031110">
      <w:bodyDiv w:val="1"/>
      <w:marLeft w:val="0"/>
      <w:marRight w:val="0"/>
      <w:marTop w:val="0"/>
      <w:marBottom w:val="0"/>
      <w:divBdr>
        <w:top w:val="none" w:sz="0" w:space="0" w:color="auto"/>
        <w:left w:val="none" w:sz="0" w:space="0" w:color="auto"/>
        <w:bottom w:val="none" w:sz="0" w:space="0" w:color="auto"/>
        <w:right w:val="none" w:sz="0" w:space="0" w:color="auto"/>
      </w:divBdr>
    </w:div>
    <w:div w:id="985354524">
      <w:bodyDiv w:val="1"/>
      <w:marLeft w:val="0"/>
      <w:marRight w:val="0"/>
      <w:marTop w:val="0"/>
      <w:marBottom w:val="0"/>
      <w:divBdr>
        <w:top w:val="none" w:sz="0" w:space="0" w:color="auto"/>
        <w:left w:val="none" w:sz="0" w:space="0" w:color="auto"/>
        <w:bottom w:val="none" w:sz="0" w:space="0" w:color="auto"/>
        <w:right w:val="none" w:sz="0" w:space="0" w:color="auto"/>
      </w:divBdr>
    </w:div>
    <w:div w:id="1139300333">
      <w:bodyDiv w:val="1"/>
      <w:marLeft w:val="0"/>
      <w:marRight w:val="0"/>
      <w:marTop w:val="0"/>
      <w:marBottom w:val="0"/>
      <w:divBdr>
        <w:top w:val="none" w:sz="0" w:space="0" w:color="auto"/>
        <w:left w:val="none" w:sz="0" w:space="0" w:color="auto"/>
        <w:bottom w:val="none" w:sz="0" w:space="0" w:color="auto"/>
        <w:right w:val="none" w:sz="0" w:space="0" w:color="auto"/>
      </w:divBdr>
    </w:div>
    <w:div w:id="1271861776">
      <w:bodyDiv w:val="1"/>
      <w:marLeft w:val="0"/>
      <w:marRight w:val="0"/>
      <w:marTop w:val="0"/>
      <w:marBottom w:val="0"/>
      <w:divBdr>
        <w:top w:val="none" w:sz="0" w:space="0" w:color="auto"/>
        <w:left w:val="none" w:sz="0" w:space="0" w:color="auto"/>
        <w:bottom w:val="none" w:sz="0" w:space="0" w:color="auto"/>
        <w:right w:val="none" w:sz="0" w:space="0" w:color="auto"/>
      </w:divBdr>
    </w:div>
    <w:div w:id="1281035302">
      <w:bodyDiv w:val="1"/>
      <w:marLeft w:val="0"/>
      <w:marRight w:val="0"/>
      <w:marTop w:val="0"/>
      <w:marBottom w:val="0"/>
      <w:divBdr>
        <w:top w:val="none" w:sz="0" w:space="0" w:color="auto"/>
        <w:left w:val="none" w:sz="0" w:space="0" w:color="auto"/>
        <w:bottom w:val="none" w:sz="0" w:space="0" w:color="auto"/>
        <w:right w:val="none" w:sz="0" w:space="0" w:color="auto"/>
      </w:divBdr>
    </w:div>
    <w:div w:id="1286080786">
      <w:bodyDiv w:val="1"/>
      <w:marLeft w:val="0"/>
      <w:marRight w:val="0"/>
      <w:marTop w:val="0"/>
      <w:marBottom w:val="0"/>
      <w:divBdr>
        <w:top w:val="none" w:sz="0" w:space="0" w:color="auto"/>
        <w:left w:val="none" w:sz="0" w:space="0" w:color="auto"/>
        <w:bottom w:val="none" w:sz="0" w:space="0" w:color="auto"/>
        <w:right w:val="none" w:sz="0" w:space="0" w:color="auto"/>
      </w:divBdr>
    </w:div>
    <w:div w:id="1410083406">
      <w:bodyDiv w:val="1"/>
      <w:marLeft w:val="0"/>
      <w:marRight w:val="0"/>
      <w:marTop w:val="0"/>
      <w:marBottom w:val="0"/>
      <w:divBdr>
        <w:top w:val="none" w:sz="0" w:space="0" w:color="auto"/>
        <w:left w:val="none" w:sz="0" w:space="0" w:color="auto"/>
        <w:bottom w:val="none" w:sz="0" w:space="0" w:color="auto"/>
        <w:right w:val="none" w:sz="0" w:space="0" w:color="auto"/>
      </w:divBdr>
    </w:div>
    <w:div w:id="1471556387">
      <w:bodyDiv w:val="1"/>
      <w:marLeft w:val="0"/>
      <w:marRight w:val="0"/>
      <w:marTop w:val="0"/>
      <w:marBottom w:val="0"/>
      <w:divBdr>
        <w:top w:val="none" w:sz="0" w:space="0" w:color="auto"/>
        <w:left w:val="none" w:sz="0" w:space="0" w:color="auto"/>
        <w:bottom w:val="none" w:sz="0" w:space="0" w:color="auto"/>
        <w:right w:val="none" w:sz="0" w:space="0" w:color="auto"/>
      </w:divBdr>
    </w:div>
    <w:div w:id="1515266266">
      <w:bodyDiv w:val="1"/>
      <w:marLeft w:val="0"/>
      <w:marRight w:val="0"/>
      <w:marTop w:val="0"/>
      <w:marBottom w:val="0"/>
      <w:divBdr>
        <w:top w:val="none" w:sz="0" w:space="0" w:color="auto"/>
        <w:left w:val="none" w:sz="0" w:space="0" w:color="auto"/>
        <w:bottom w:val="none" w:sz="0" w:space="0" w:color="auto"/>
        <w:right w:val="none" w:sz="0" w:space="0" w:color="auto"/>
      </w:divBdr>
    </w:div>
    <w:div w:id="1648125251">
      <w:bodyDiv w:val="1"/>
      <w:marLeft w:val="0"/>
      <w:marRight w:val="0"/>
      <w:marTop w:val="0"/>
      <w:marBottom w:val="0"/>
      <w:divBdr>
        <w:top w:val="none" w:sz="0" w:space="0" w:color="auto"/>
        <w:left w:val="none" w:sz="0" w:space="0" w:color="auto"/>
        <w:bottom w:val="none" w:sz="0" w:space="0" w:color="auto"/>
        <w:right w:val="none" w:sz="0" w:space="0" w:color="auto"/>
      </w:divBdr>
    </w:div>
    <w:div w:id="1729958478">
      <w:bodyDiv w:val="1"/>
      <w:marLeft w:val="0"/>
      <w:marRight w:val="0"/>
      <w:marTop w:val="0"/>
      <w:marBottom w:val="0"/>
      <w:divBdr>
        <w:top w:val="none" w:sz="0" w:space="0" w:color="auto"/>
        <w:left w:val="none" w:sz="0" w:space="0" w:color="auto"/>
        <w:bottom w:val="none" w:sz="0" w:space="0" w:color="auto"/>
        <w:right w:val="none" w:sz="0" w:space="0" w:color="auto"/>
      </w:divBdr>
    </w:div>
    <w:div w:id="1735814000">
      <w:bodyDiv w:val="1"/>
      <w:marLeft w:val="0"/>
      <w:marRight w:val="0"/>
      <w:marTop w:val="0"/>
      <w:marBottom w:val="0"/>
      <w:divBdr>
        <w:top w:val="none" w:sz="0" w:space="0" w:color="auto"/>
        <w:left w:val="none" w:sz="0" w:space="0" w:color="auto"/>
        <w:bottom w:val="none" w:sz="0" w:space="0" w:color="auto"/>
        <w:right w:val="none" w:sz="0" w:space="0" w:color="auto"/>
      </w:divBdr>
    </w:div>
    <w:div w:id="1760832992">
      <w:bodyDiv w:val="1"/>
      <w:marLeft w:val="0"/>
      <w:marRight w:val="0"/>
      <w:marTop w:val="0"/>
      <w:marBottom w:val="0"/>
      <w:divBdr>
        <w:top w:val="none" w:sz="0" w:space="0" w:color="auto"/>
        <w:left w:val="none" w:sz="0" w:space="0" w:color="auto"/>
        <w:bottom w:val="none" w:sz="0" w:space="0" w:color="auto"/>
        <w:right w:val="none" w:sz="0" w:space="0" w:color="auto"/>
      </w:divBdr>
    </w:div>
    <w:div w:id="1764061014">
      <w:bodyDiv w:val="1"/>
      <w:marLeft w:val="0"/>
      <w:marRight w:val="0"/>
      <w:marTop w:val="0"/>
      <w:marBottom w:val="0"/>
      <w:divBdr>
        <w:top w:val="none" w:sz="0" w:space="0" w:color="auto"/>
        <w:left w:val="none" w:sz="0" w:space="0" w:color="auto"/>
        <w:bottom w:val="none" w:sz="0" w:space="0" w:color="auto"/>
        <w:right w:val="none" w:sz="0" w:space="0" w:color="auto"/>
      </w:divBdr>
    </w:div>
    <w:div w:id="1891185972">
      <w:bodyDiv w:val="1"/>
      <w:marLeft w:val="0"/>
      <w:marRight w:val="0"/>
      <w:marTop w:val="0"/>
      <w:marBottom w:val="0"/>
      <w:divBdr>
        <w:top w:val="none" w:sz="0" w:space="0" w:color="auto"/>
        <w:left w:val="none" w:sz="0" w:space="0" w:color="auto"/>
        <w:bottom w:val="none" w:sz="0" w:space="0" w:color="auto"/>
        <w:right w:val="none" w:sz="0" w:space="0" w:color="auto"/>
      </w:divBdr>
    </w:div>
    <w:div w:id="1928348439">
      <w:bodyDiv w:val="1"/>
      <w:marLeft w:val="0"/>
      <w:marRight w:val="0"/>
      <w:marTop w:val="0"/>
      <w:marBottom w:val="0"/>
      <w:divBdr>
        <w:top w:val="none" w:sz="0" w:space="0" w:color="auto"/>
        <w:left w:val="none" w:sz="0" w:space="0" w:color="auto"/>
        <w:bottom w:val="none" w:sz="0" w:space="0" w:color="auto"/>
        <w:right w:val="none" w:sz="0" w:space="0" w:color="auto"/>
      </w:divBdr>
    </w:div>
    <w:div w:id="1944798729">
      <w:bodyDiv w:val="1"/>
      <w:marLeft w:val="0"/>
      <w:marRight w:val="0"/>
      <w:marTop w:val="0"/>
      <w:marBottom w:val="0"/>
      <w:divBdr>
        <w:top w:val="none" w:sz="0" w:space="0" w:color="auto"/>
        <w:left w:val="none" w:sz="0" w:space="0" w:color="auto"/>
        <w:bottom w:val="none" w:sz="0" w:space="0" w:color="auto"/>
        <w:right w:val="none" w:sz="0" w:space="0" w:color="auto"/>
      </w:divBdr>
    </w:div>
    <w:div w:id="1968899525">
      <w:bodyDiv w:val="1"/>
      <w:marLeft w:val="0"/>
      <w:marRight w:val="0"/>
      <w:marTop w:val="0"/>
      <w:marBottom w:val="0"/>
      <w:divBdr>
        <w:top w:val="none" w:sz="0" w:space="0" w:color="auto"/>
        <w:left w:val="none" w:sz="0" w:space="0" w:color="auto"/>
        <w:bottom w:val="none" w:sz="0" w:space="0" w:color="auto"/>
        <w:right w:val="none" w:sz="0" w:space="0" w:color="auto"/>
      </w:divBdr>
    </w:div>
    <w:div w:id="2010449612">
      <w:bodyDiv w:val="1"/>
      <w:marLeft w:val="0"/>
      <w:marRight w:val="0"/>
      <w:marTop w:val="0"/>
      <w:marBottom w:val="0"/>
      <w:divBdr>
        <w:top w:val="none" w:sz="0" w:space="0" w:color="auto"/>
        <w:left w:val="none" w:sz="0" w:space="0" w:color="auto"/>
        <w:bottom w:val="none" w:sz="0" w:space="0" w:color="auto"/>
        <w:right w:val="none" w:sz="0" w:space="0" w:color="auto"/>
      </w:divBdr>
    </w:div>
    <w:div w:id="2042974886">
      <w:bodyDiv w:val="1"/>
      <w:marLeft w:val="0"/>
      <w:marRight w:val="0"/>
      <w:marTop w:val="0"/>
      <w:marBottom w:val="0"/>
      <w:divBdr>
        <w:top w:val="none" w:sz="0" w:space="0" w:color="auto"/>
        <w:left w:val="none" w:sz="0" w:space="0" w:color="auto"/>
        <w:bottom w:val="none" w:sz="0" w:space="0" w:color="auto"/>
        <w:right w:val="none" w:sz="0" w:space="0" w:color="auto"/>
      </w:divBdr>
    </w:div>
    <w:div w:id="214161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7044B-54BC-4422-9171-D8DAAA405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1248</TotalTime>
  <Pages>7</Pages>
  <Words>1895</Words>
  <Characters>10807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 Sohail</cp:lastModifiedBy>
  <cp:revision>203</cp:revision>
  <dcterms:created xsi:type="dcterms:W3CDTF">2022-12-05T14:47:00Z</dcterms:created>
  <dcterms:modified xsi:type="dcterms:W3CDTF">2023-08-10T20:32:00Z</dcterms:modified>
</cp:coreProperties>
</file>