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9A343DB" w14:textId="0665571A" w:rsidR="006869EF" w:rsidRDefault="005F6394" w:rsidP="00B30013">
      <w:pPr>
        <w:spacing w:after="0" w:line="360" w:lineRule="auto"/>
        <w:jc w:val="both"/>
        <w:rPr>
          <w:rFonts w:cstheme="minorHAnsi"/>
          <w:sz w:val="24"/>
          <w:szCs w:val="24"/>
        </w:rPr>
      </w:pPr>
      <w:r>
        <w:rPr>
          <w:noProof/>
        </w:rPr>
        <w:drawing>
          <wp:anchor distT="0" distB="0" distL="114300" distR="114300" simplePos="0" relativeHeight="251660288" behindDoc="1" locked="0" layoutInCell="1" allowOverlap="1" wp14:anchorId="14BFE60A" wp14:editId="02F7F83C">
            <wp:simplePos x="0" y="0"/>
            <wp:positionH relativeFrom="column">
              <wp:posOffset>658495</wp:posOffset>
            </wp:positionH>
            <wp:positionV relativeFrom="paragraph">
              <wp:posOffset>1438275</wp:posOffset>
            </wp:positionV>
            <wp:extent cx="4392930" cy="1521460"/>
            <wp:effectExtent l="6985" t="0" r="0" b="0"/>
            <wp:wrapTight wrapText="bothSides">
              <wp:wrapPolygon edited="0">
                <wp:start x="34" y="21699"/>
                <wp:lineTo x="21484" y="21699"/>
                <wp:lineTo x="21484" y="334"/>
                <wp:lineTo x="34" y="334"/>
                <wp:lineTo x="34" y="21699"/>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5" cstate="print">
                      <a:extLst>
                        <a:ext uri="{28A0092B-C50C-407E-A947-70E740481C1C}">
                          <a14:useLocalDpi xmlns:a14="http://schemas.microsoft.com/office/drawing/2010/main" val="0"/>
                        </a:ext>
                      </a:extLst>
                    </a:blip>
                    <a:srcRect l="8200" t="23326" r="4606" b="31367"/>
                    <a:stretch/>
                  </pic:blipFill>
                  <pic:spPr bwMode="auto">
                    <a:xfrm rot="5400000">
                      <a:off x="0" y="0"/>
                      <a:ext cx="4392930" cy="152146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6BE3C49" w14:textId="62B35735" w:rsidR="0086404C" w:rsidRPr="000B5D4C" w:rsidRDefault="00F505A1" w:rsidP="00B30013">
      <w:pPr>
        <w:spacing w:after="0" w:line="360" w:lineRule="auto"/>
        <w:jc w:val="both"/>
        <w:rPr>
          <w:rFonts w:cstheme="minorHAnsi"/>
          <w:sz w:val="24"/>
          <w:szCs w:val="24"/>
        </w:rPr>
      </w:pPr>
      <w:r>
        <w:rPr>
          <w:noProof/>
        </w:rPr>
        <w:drawing>
          <wp:anchor distT="0" distB="0" distL="114300" distR="114300" simplePos="0" relativeHeight="251658240" behindDoc="1" locked="0" layoutInCell="1" allowOverlap="1" wp14:anchorId="0183DDE3" wp14:editId="5956E682">
            <wp:simplePos x="0" y="0"/>
            <wp:positionH relativeFrom="margin">
              <wp:align>right</wp:align>
            </wp:positionH>
            <wp:positionV relativeFrom="paragraph">
              <wp:posOffset>756285</wp:posOffset>
            </wp:positionV>
            <wp:extent cx="4387215" cy="1777365"/>
            <wp:effectExtent l="0" t="9525" r="3810" b="3810"/>
            <wp:wrapTight wrapText="bothSides">
              <wp:wrapPolygon edited="0">
                <wp:start x="-47" y="21484"/>
                <wp:lineTo x="21525" y="21484"/>
                <wp:lineTo x="21525" y="185"/>
                <wp:lineTo x="-47" y="185"/>
                <wp:lineTo x="-47" y="21484"/>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6" cstate="print">
                      <a:extLst>
                        <a:ext uri="{28A0092B-C50C-407E-A947-70E740481C1C}">
                          <a14:useLocalDpi xmlns:a14="http://schemas.microsoft.com/office/drawing/2010/main" val="0"/>
                        </a:ext>
                      </a:extLst>
                    </a:blip>
                    <a:srcRect l="6736" t="24006" r="8873" b="24681"/>
                    <a:stretch/>
                  </pic:blipFill>
                  <pic:spPr bwMode="auto">
                    <a:xfrm rot="5400000">
                      <a:off x="0" y="0"/>
                      <a:ext cx="4387215" cy="177736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59264" behindDoc="1" locked="0" layoutInCell="1" allowOverlap="1" wp14:anchorId="00E3698D" wp14:editId="4E7C6442">
            <wp:simplePos x="0" y="0"/>
            <wp:positionH relativeFrom="margin">
              <wp:align>left</wp:align>
            </wp:positionH>
            <wp:positionV relativeFrom="paragraph">
              <wp:posOffset>203200</wp:posOffset>
            </wp:positionV>
            <wp:extent cx="4411980" cy="1774190"/>
            <wp:effectExtent l="4445" t="0" r="0" b="0"/>
            <wp:wrapTight wrapText="bothSides">
              <wp:wrapPolygon edited="0">
                <wp:start x="22" y="21654"/>
                <wp:lineTo x="21473" y="21654"/>
                <wp:lineTo x="21473" y="317"/>
                <wp:lineTo x="22" y="317"/>
                <wp:lineTo x="22" y="21654"/>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7" cstate="print">
                      <a:extLst>
                        <a:ext uri="{28A0092B-C50C-407E-A947-70E740481C1C}">
                          <a14:useLocalDpi xmlns:a14="http://schemas.microsoft.com/office/drawing/2010/main" val="0"/>
                        </a:ext>
                      </a:extLst>
                    </a:blip>
                    <a:srcRect l="14414" t="27638" r="8599" b="29806"/>
                    <a:stretch/>
                  </pic:blipFill>
                  <pic:spPr bwMode="auto">
                    <a:xfrm rot="5400000">
                      <a:off x="0" y="0"/>
                      <a:ext cx="4411980" cy="177419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C914F4" w:rsidRPr="000B5D4C">
        <w:rPr>
          <w:rFonts w:cstheme="minorHAnsi"/>
          <w:sz w:val="24"/>
          <w:szCs w:val="24"/>
        </w:rPr>
        <w:t>Wooden Female Figurine</w:t>
      </w:r>
    </w:p>
    <w:p w14:paraId="056B5DAE" w14:textId="2A1EACB0" w:rsidR="00C914F4" w:rsidRPr="000B5D4C" w:rsidRDefault="00C914F4" w:rsidP="00B30013">
      <w:pPr>
        <w:spacing w:after="0" w:line="360" w:lineRule="auto"/>
        <w:jc w:val="both"/>
        <w:rPr>
          <w:rFonts w:cstheme="minorHAnsi"/>
          <w:sz w:val="24"/>
          <w:szCs w:val="24"/>
        </w:rPr>
      </w:pPr>
      <w:r w:rsidRPr="000B5D4C">
        <w:rPr>
          <w:rFonts w:cstheme="minorHAnsi"/>
          <w:sz w:val="24"/>
          <w:szCs w:val="24"/>
        </w:rPr>
        <w:t>Cyfarthfa Castle, Merthyr Tydfil CCM</w:t>
      </w:r>
      <w:r w:rsidR="002263F5" w:rsidRPr="000B5D4C">
        <w:rPr>
          <w:rFonts w:cstheme="minorHAnsi"/>
          <w:sz w:val="24"/>
          <w:szCs w:val="24"/>
        </w:rPr>
        <w:t>… (1695.004)</w:t>
      </w:r>
    </w:p>
    <w:p w14:paraId="75D3AA29" w14:textId="32D1DEF7" w:rsidR="002263F5" w:rsidRPr="000B5D4C" w:rsidRDefault="00262F92" w:rsidP="00B30013">
      <w:pPr>
        <w:spacing w:after="0" w:line="360" w:lineRule="auto"/>
        <w:jc w:val="both"/>
        <w:rPr>
          <w:rFonts w:cstheme="minorHAnsi"/>
          <w:sz w:val="24"/>
          <w:szCs w:val="24"/>
        </w:rPr>
      </w:pPr>
      <w:r w:rsidRPr="000B5D4C">
        <w:rPr>
          <w:rFonts w:cstheme="minorHAnsi"/>
          <w:sz w:val="24"/>
          <w:szCs w:val="24"/>
        </w:rPr>
        <w:t>Material : wood</w:t>
      </w:r>
    </w:p>
    <w:p w14:paraId="38637004" w14:textId="3A057A8E" w:rsidR="00262F92" w:rsidRPr="000B5D4C" w:rsidRDefault="00262F92" w:rsidP="00B30013">
      <w:pPr>
        <w:spacing w:after="0" w:line="360" w:lineRule="auto"/>
        <w:jc w:val="both"/>
        <w:rPr>
          <w:rFonts w:cstheme="minorHAnsi"/>
          <w:sz w:val="24"/>
          <w:szCs w:val="24"/>
        </w:rPr>
      </w:pPr>
      <w:r w:rsidRPr="000B5D4C">
        <w:rPr>
          <w:rFonts w:cstheme="minorHAnsi"/>
          <w:sz w:val="24"/>
          <w:szCs w:val="24"/>
        </w:rPr>
        <w:t xml:space="preserve">Period </w:t>
      </w:r>
      <w:r w:rsidR="004C1D1C" w:rsidRPr="000B5D4C">
        <w:rPr>
          <w:rFonts w:cstheme="minorHAnsi"/>
          <w:sz w:val="24"/>
          <w:szCs w:val="24"/>
        </w:rPr>
        <w:t>:</w:t>
      </w:r>
      <w:r w:rsidRPr="000B5D4C">
        <w:rPr>
          <w:rFonts w:cstheme="minorHAnsi"/>
          <w:sz w:val="24"/>
          <w:szCs w:val="24"/>
        </w:rPr>
        <w:t xml:space="preserve"> </w:t>
      </w:r>
      <w:r w:rsidR="004C1D1C" w:rsidRPr="000B5D4C">
        <w:rPr>
          <w:rFonts w:cstheme="minorHAnsi"/>
          <w:sz w:val="24"/>
          <w:szCs w:val="24"/>
        </w:rPr>
        <w:t>Middle Kingdom – New Kingdom?</w:t>
      </w:r>
    </w:p>
    <w:p w14:paraId="7F3B7D50" w14:textId="5E92F92E" w:rsidR="004C1D1C" w:rsidRPr="000B5D4C" w:rsidRDefault="004C1D1C" w:rsidP="00B30013">
      <w:pPr>
        <w:spacing w:after="0" w:line="360" w:lineRule="auto"/>
        <w:jc w:val="both"/>
        <w:rPr>
          <w:rFonts w:cstheme="minorHAnsi"/>
          <w:sz w:val="24"/>
          <w:szCs w:val="24"/>
        </w:rPr>
      </w:pPr>
      <w:r w:rsidRPr="000B5D4C">
        <w:rPr>
          <w:rFonts w:cstheme="minorHAnsi"/>
          <w:sz w:val="24"/>
          <w:szCs w:val="24"/>
        </w:rPr>
        <w:t>Prove</w:t>
      </w:r>
      <w:r w:rsidR="005B5DD1" w:rsidRPr="000B5D4C">
        <w:rPr>
          <w:rFonts w:cstheme="minorHAnsi"/>
          <w:sz w:val="24"/>
          <w:szCs w:val="24"/>
        </w:rPr>
        <w:t>nance : Unknown</w:t>
      </w:r>
    </w:p>
    <w:p w14:paraId="476E4C80" w14:textId="694FDCCE" w:rsidR="005B5DD1" w:rsidRPr="000B5D4C" w:rsidRDefault="005B5DD1" w:rsidP="00B30013">
      <w:pPr>
        <w:spacing w:after="0" w:line="360" w:lineRule="auto"/>
        <w:jc w:val="both"/>
        <w:rPr>
          <w:rFonts w:cstheme="minorHAnsi"/>
          <w:sz w:val="24"/>
          <w:szCs w:val="24"/>
        </w:rPr>
      </w:pPr>
      <w:r w:rsidRPr="000B5D4C">
        <w:rPr>
          <w:rFonts w:cstheme="minorHAnsi"/>
          <w:sz w:val="24"/>
          <w:szCs w:val="24"/>
        </w:rPr>
        <w:t xml:space="preserve">Dimensions : H:17cm </w:t>
      </w:r>
      <w:r w:rsidR="00B157A5" w:rsidRPr="000B5D4C">
        <w:rPr>
          <w:rFonts w:cstheme="minorHAnsi"/>
          <w:sz w:val="24"/>
          <w:szCs w:val="24"/>
        </w:rPr>
        <w:t>W:4.5cm D2.5cm</w:t>
      </w:r>
    </w:p>
    <w:p w14:paraId="37D6CC2A" w14:textId="0701B187" w:rsidR="00B157A5" w:rsidRPr="000B5D4C" w:rsidRDefault="00B157A5" w:rsidP="00B30013">
      <w:pPr>
        <w:spacing w:after="0" w:line="360" w:lineRule="auto"/>
        <w:jc w:val="both"/>
        <w:rPr>
          <w:rFonts w:cstheme="minorHAnsi"/>
          <w:sz w:val="24"/>
          <w:szCs w:val="24"/>
        </w:rPr>
      </w:pPr>
      <w:r w:rsidRPr="000B5D4C">
        <w:rPr>
          <w:rFonts w:cstheme="minorHAnsi"/>
          <w:sz w:val="24"/>
          <w:szCs w:val="24"/>
        </w:rPr>
        <w:t>Object analysis by Imogen Rawlinson (1908288)</w:t>
      </w:r>
    </w:p>
    <w:p w14:paraId="14B15C40" w14:textId="51AC1311" w:rsidR="00B157A5" w:rsidRPr="000B5D4C" w:rsidRDefault="00B157A5" w:rsidP="00B30013">
      <w:pPr>
        <w:spacing w:after="0" w:line="360" w:lineRule="auto"/>
        <w:jc w:val="both"/>
        <w:rPr>
          <w:rFonts w:cstheme="minorHAnsi"/>
          <w:sz w:val="24"/>
          <w:szCs w:val="24"/>
        </w:rPr>
      </w:pPr>
    </w:p>
    <w:p w14:paraId="51645747" w14:textId="2F5F0104" w:rsidR="00B157A5" w:rsidRDefault="00B157A5" w:rsidP="00B30013">
      <w:pPr>
        <w:spacing w:after="0" w:line="360" w:lineRule="auto"/>
        <w:jc w:val="both"/>
        <w:rPr>
          <w:rFonts w:cstheme="minorHAnsi"/>
          <w:sz w:val="24"/>
          <w:szCs w:val="24"/>
          <w:u w:val="single"/>
        </w:rPr>
      </w:pPr>
      <w:r w:rsidRPr="000B5D4C">
        <w:rPr>
          <w:rFonts w:cstheme="minorHAnsi"/>
          <w:sz w:val="24"/>
          <w:szCs w:val="24"/>
          <w:u w:val="single"/>
        </w:rPr>
        <w:t>Description.</w:t>
      </w:r>
    </w:p>
    <w:p w14:paraId="6AB6BE28" w14:textId="702BD532" w:rsidR="00F07C09" w:rsidRPr="0026458F" w:rsidRDefault="0026458F" w:rsidP="00B30013">
      <w:pPr>
        <w:spacing w:after="0" w:line="360" w:lineRule="auto"/>
        <w:jc w:val="both"/>
        <w:rPr>
          <w:rFonts w:cstheme="minorHAnsi"/>
          <w:sz w:val="24"/>
          <w:szCs w:val="24"/>
        </w:rPr>
      </w:pPr>
      <w:r>
        <w:rPr>
          <w:rFonts w:cstheme="minorHAnsi"/>
          <w:sz w:val="24"/>
          <w:szCs w:val="24"/>
        </w:rPr>
        <w:t>Nude female figurine carved from wood</w:t>
      </w:r>
      <w:r w:rsidR="00E14E14">
        <w:rPr>
          <w:rFonts w:cstheme="minorHAnsi"/>
          <w:sz w:val="24"/>
          <w:szCs w:val="24"/>
        </w:rPr>
        <w:t xml:space="preserve"> to emphasise the hips and clear lining of the p</w:t>
      </w:r>
      <w:r w:rsidR="005F6394">
        <w:rPr>
          <w:rFonts w:cstheme="minorHAnsi"/>
          <w:sz w:val="24"/>
          <w:szCs w:val="24"/>
        </w:rPr>
        <w:t xml:space="preserve">ubic </w:t>
      </w:r>
      <w:r w:rsidR="00E14E14">
        <w:rPr>
          <w:rFonts w:cstheme="minorHAnsi"/>
          <w:sz w:val="24"/>
          <w:szCs w:val="24"/>
        </w:rPr>
        <w:t>triangle</w:t>
      </w:r>
      <w:r w:rsidR="00A324CC">
        <w:rPr>
          <w:rFonts w:cstheme="minorHAnsi"/>
          <w:sz w:val="24"/>
          <w:szCs w:val="24"/>
        </w:rPr>
        <w:t>. Break</w:t>
      </w:r>
      <w:r w:rsidR="000073AC">
        <w:rPr>
          <w:rFonts w:cstheme="minorHAnsi"/>
          <w:sz w:val="24"/>
          <w:szCs w:val="24"/>
        </w:rPr>
        <w:t>s</w:t>
      </w:r>
      <w:r w:rsidR="00A324CC">
        <w:rPr>
          <w:rFonts w:cstheme="minorHAnsi"/>
          <w:sz w:val="24"/>
          <w:szCs w:val="24"/>
        </w:rPr>
        <w:t xml:space="preserve"> down the centre of the front </w:t>
      </w:r>
      <w:r w:rsidR="000073AC">
        <w:rPr>
          <w:rFonts w:cstheme="minorHAnsi"/>
          <w:sz w:val="24"/>
          <w:szCs w:val="24"/>
        </w:rPr>
        <w:t xml:space="preserve">and </w:t>
      </w:r>
      <w:r w:rsidR="004D5842">
        <w:rPr>
          <w:rFonts w:cstheme="minorHAnsi"/>
          <w:sz w:val="24"/>
          <w:szCs w:val="24"/>
        </w:rPr>
        <w:t xml:space="preserve">right side of the torso, with truncated legs. Arms missing, </w:t>
      </w:r>
      <w:r w:rsidR="00032344">
        <w:rPr>
          <w:rFonts w:cstheme="minorHAnsi"/>
          <w:sz w:val="24"/>
          <w:szCs w:val="24"/>
        </w:rPr>
        <w:t>holes/pins can be seen where arms may have originally been attached. Vague facial features</w:t>
      </w:r>
      <w:r w:rsidR="00C57B84">
        <w:rPr>
          <w:rFonts w:cstheme="minorHAnsi"/>
          <w:sz w:val="24"/>
          <w:szCs w:val="24"/>
        </w:rPr>
        <w:t xml:space="preserve"> with a flat nose and a long plain </w:t>
      </w:r>
      <w:r w:rsidR="00CC4CCA">
        <w:rPr>
          <w:rFonts w:cstheme="minorHAnsi"/>
          <w:sz w:val="24"/>
          <w:szCs w:val="24"/>
        </w:rPr>
        <w:t>hairdo</w:t>
      </w:r>
      <w:r w:rsidR="00C57B84">
        <w:rPr>
          <w:rFonts w:cstheme="minorHAnsi"/>
          <w:sz w:val="24"/>
          <w:szCs w:val="24"/>
        </w:rPr>
        <w:t>. No tattoos or hieroglyphs anywhere on the figurine.</w:t>
      </w:r>
    </w:p>
    <w:p w14:paraId="378A5D39" w14:textId="77777777" w:rsidR="00F07C09" w:rsidRPr="000B5D4C" w:rsidRDefault="00F07C09" w:rsidP="00B30013">
      <w:pPr>
        <w:spacing w:after="0" w:line="360" w:lineRule="auto"/>
        <w:jc w:val="both"/>
        <w:rPr>
          <w:rFonts w:cstheme="minorHAnsi"/>
          <w:sz w:val="24"/>
          <w:szCs w:val="24"/>
          <w:u w:val="single"/>
        </w:rPr>
      </w:pPr>
    </w:p>
    <w:p w14:paraId="2BDEF524" w14:textId="0780FD70" w:rsidR="00E43B24" w:rsidRDefault="00E43B24" w:rsidP="00B30013">
      <w:pPr>
        <w:spacing w:line="360" w:lineRule="auto"/>
        <w:jc w:val="both"/>
        <w:rPr>
          <w:rFonts w:cstheme="minorHAnsi"/>
          <w:sz w:val="24"/>
          <w:szCs w:val="24"/>
        </w:rPr>
      </w:pPr>
      <w:r w:rsidRPr="000B5D4C">
        <w:rPr>
          <w:rFonts w:cstheme="minorHAnsi"/>
          <w:sz w:val="24"/>
          <w:szCs w:val="24"/>
        </w:rPr>
        <w:lastRenderedPageBreak/>
        <w:t xml:space="preserve">The </w:t>
      </w:r>
      <w:r w:rsidR="00E21A89">
        <w:rPr>
          <w:rFonts w:cstheme="minorHAnsi"/>
          <w:sz w:val="24"/>
          <w:szCs w:val="24"/>
        </w:rPr>
        <w:t xml:space="preserve">wooden female </w:t>
      </w:r>
      <w:r w:rsidRPr="000B5D4C">
        <w:rPr>
          <w:rFonts w:cstheme="minorHAnsi"/>
          <w:sz w:val="24"/>
          <w:szCs w:val="24"/>
        </w:rPr>
        <w:t xml:space="preserve">figurine may resemble a basic shabti, these were placed in tombs to provide the deceased with slaves to perform manual </w:t>
      </w:r>
      <w:r w:rsidR="00CA3179" w:rsidRPr="000B5D4C">
        <w:rPr>
          <w:rFonts w:cstheme="minorHAnsi"/>
          <w:sz w:val="24"/>
          <w:szCs w:val="24"/>
        </w:rPr>
        <w:t>labour</w:t>
      </w:r>
      <w:r w:rsidRPr="000B5D4C">
        <w:rPr>
          <w:rFonts w:cstheme="minorHAnsi"/>
          <w:sz w:val="24"/>
          <w:szCs w:val="24"/>
        </w:rPr>
        <w:t xml:space="preserve"> in the afterlife (Taylor, 2001, 114). However, many shabtis were decorated with tattoos or hieroglyphs, often designed to resemble the coffin of a mummified individual. While this may not rule out the possibility of the figurine originally being a shabti, it does cause doubt and does not explain the clear damage to the figurine.</w:t>
      </w:r>
    </w:p>
    <w:p w14:paraId="7A8770A0" w14:textId="506D0FA7" w:rsidR="00CE3883" w:rsidRPr="000B5D4C" w:rsidRDefault="00CE3883" w:rsidP="00B30013">
      <w:pPr>
        <w:spacing w:line="360" w:lineRule="auto"/>
        <w:jc w:val="both"/>
        <w:rPr>
          <w:rFonts w:cstheme="minorHAnsi"/>
          <w:sz w:val="24"/>
          <w:szCs w:val="24"/>
        </w:rPr>
      </w:pPr>
      <w:r>
        <w:rPr>
          <w:rFonts w:cstheme="minorHAnsi"/>
          <w:noProof/>
        </w:rPr>
        <w:drawing>
          <wp:anchor distT="0" distB="0" distL="114300" distR="114300" simplePos="0" relativeHeight="251661312" behindDoc="0" locked="0" layoutInCell="1" allowOverlap="1" wp14:anchorId="6479A2EE" wp14:editId="02FE52FD">
            <wp:simplePos x="0" y="0"/>
            <wp:positionH relativeFrom="margin">
              <wp:align>center</wp:align>
            </wp:positionH>
            <wp:positionV relativeFrom="paragraph">
              <wp:posOffset>538406</wp:posOffset>
            </wp:positionV>
            <wp:extent cx="2827655" cy="3551555"/>
            <wp:effectExtent l="0" t="0" r="0" b="0"/>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rotWithShape="1">
                    <a:blip r:embed="rId8">
                      <a:extLst>
                        <a:ext uri="{28A0092B-C50C-407E-A947-70E740481C1C}">
                          <a14:useLocalDpi xmlns:a14="http://schemas.microsoft.com/office/drawing/2010/main" val="0"/>
                        </a:ext>
                      </a:extLst>
                    </a:blip>
                    <a:srcRect l="31353" t="4176" r="31361"/>
                    <a:stretch/>
                  </pic:blipFill>
                  <pic:spPr bwMode="auto">
                    <a:xfrm>
                      <a:off x="0" y="0"/>
                      <a:ext cx="2827655" cy="355155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AA29A70" w14:textId="396CFB7E" w:rsidR="00C502EA" w:rsidRPr="00CE3883" w:rsidRDefault="00C502EA" w:rsidP="00CE3883">
      <w:pPr>
        <w:spacing w:line="360" w:lineRule="auto"/>
        <w:jc w:val="center"/>
        <w:rPr>
          <w:rFonts w:cstheme="minorHAnsi"/>
          <w:i/>
          <w:iCs/>
        </w:rPr>
      </w:pPr>
      <w:r w:rsidRPr="00CE3883">
        <w:rPr>
          <w:rFonts w:cstheme="minorHAnsi"/>
          <w:i/>
          <w:iCs/>
        </w:rPr>
        <w:t xml:space="preserve">Figure 1. </w:t>
      </w:r>
      <w:r w:rsidR="00F2332B" w:rsidRPr="00CE3883">
        <w:rPr>
          <w:rFonts w:cstheme="minorHAnsi"/>
          <w:i/>
          <w:iCs/>
        </w:rPr>
        <w:t>Shabti</w:t>
      </w:r>
      <w:r w:rsidR="005832EC" w:rsidRPr="00CE3883">
        <w:rPr>
          <w:rFonts w:cstheme="minorHAnsi"/>
          <w:i/>
          <w:iCs/>
        </w:rPr>
        <w:t xml:space="preserve"> collection from the New Kingdom, E</w:t>
      </w:r>
      <w:r w:rsidR="00950FFA" w:rsidRPr="00CE3883">
        <w:rPr>
          <w:rFonts w:cstheme="minorHAnsi"/>
          <w:i/>
          <w:iCs/>
        </w:rPr>
        <w:t xml:space="preserve">A41548 (Photo </w:t>
      </w:r>
      <w:r w:rsidR="00D558A8">
        <w:rPr>
          <w:rFonts w:cstheme="minorHAnsi"/>
          <w:i/>
          <w:iCs/>
        </w:rPr>
        <w:t>from</w:t>
      </w:r>
      <w:r w:rsidR="00950FFA" w:rsidRPr="00CE3883">
        <w:rPr>
          <w:rFonts w:cstheme="minorHAnsi"/>
          <w:i/>
          <w:iCs/>
        </w:rPr>
        <w:t xml:space="preserve"> of The British Museum)</w:t>
      </w:r>
    </w:p>
    <w:p w14:paraId="13AA6D38" w14:textId="77777777" w:rsidR="00CE3883" w:rsidRDefault="00CE3883" w:rsidP="00B30013">
      <w:pPr>
        <w:spacing w:line="360" w:lineRule="auto"/>
        <w:jc w:val="both"/>
        <w:rPr>
          <w:rFonts w:cstheme="minorHAnsi"/>
          <w:sz w:val="24"/>
          <w:szCs w:val="24"/>
        </w:rPr>
      </w:pPr>
    </w:p>
    <w:p w14:paraId="473C32B6" w14:textId="77777777" w:rsidR="00CE3883" w:rsidRDefault="00CE3883" w:rsidP="00B30013">
      <w:pPr>
        <w:spacing w:line="360" w:lineRule="auto"/>
        <w:jc w:val="both"/>
        <w:rPr>
          <w:rFonts w:cstheme="minorHAnsi"/>
          <w:sz w:val="24"/>
          <w:szCs w:val="24"/>
        </w:rPr>
      </w:pPr>
    </w:p>
    <w:p w14:paraId="0880C36C" w14:textId="5E6A4E55" w:rsidR="00C616BF" w:rsidRPr="000B5D4C" w:rsidRDefault="00F97745" w:rsidP="00B30013">
      <w:pPr>
        <w:spacing w:line="360" w:lineRule="auto"/>
        <w:jc w:val="both"/>
        <w:rPr>
          <w:rFonts w:cstheme="minorHAnsi"/>
          <w:sz w:val="24"/>
          <w:szCs w:val="24"/>
        </w:rPr>
      </w:pPr>
      <w:r w:rsidRPr="000B5D4C">
        <w:rPr>
          <w:rFonts w:cstheme="minorHAnsi"/>
          <w:sz w:val="24"/>
          <w:szCs w:val="24"/>
        </w:rPr>
        <w:t xml:space="preserve">Figure 1 shows </w:t>
      </w:r>
      <w:r w:rsidR="00AE05FD">
        <w:rPr>
          <w:rFonts w:cstheme="minorHAnsi"/>
          <w:sz w:val="24"/>
          <w:szCs w:val="24"/>
        </w:rPr>
        <w:t xml:space="preserve">a selection of </w:t>
      </w:r>
      <w:r w:rsidR="00E43B24" w:rsidRPr="000B5D4C">
        <w:rPr>
          <w:rFonts w:cstheme="minorHAnsi"/>
          <w:sz w:val="24"/>
          <w:szCs w:val="24"/>
        </w:rPr>
        <w:t xml:space="preserve">12 shabtis from the British Museum </w:t>
      </w:r>
      <w:r w:rsidRPr="000B5D4C">
        <w:rPr>
          <w:rFonts w:cstheme="minorHAnsi"/>
          <w:sz w:val="24"/>
          <w:szCs w:val="24"/>
        </w:rPr>
        <w:t xml:space="preserve">which </w:t>
      </w:r>
      <w:r w:rsidR="00E43B24" w:rsidRPr="000B5D4C">
        <w:rPr>
          <w:rFonts w:cstheme="minorHAnsi"/>
          <w:sz w:val="24"/>
          <w:szCs w:val="24"/>
        </w:rPr>
        <w:t>demonstrate the coffin and painted design</w:t>
      </w:r>
      <w:r w:rsidRPr="000B5D4C">
        <w:rPr>
          <w:rFonts w:cstheme="minorHAnsi"/>
          <w:sz w:val="24"/>
          <w:szCs w:val="24"/>
        </w:rPr>
        <w:t>s</w:t>
      </w:r>
      <w:r w:rsidR="00E43B24" w:rsidRPr="000B5D4C">
        <w:rPr>
          <w:rFonts w:cstheme="minorHAnsi"/>
          <w:sz w:val="24"/>
          <w:szCs w:val="24"/>
        </w:rPr>
        <w:t>, w</w:t>
      </w:r>
      <w:r w:rsidRPr="000B5D4C">
        <w:rPr>
          <w:rFonts w:cstheme="minorHAnsi"/>
          <w:sz w:val="24"/>
          <w:szCs w:val="24"/>
        </w:rPr>
        <w:t>ith</w:t>
      </w:r>
      <w:r w:rsidR="00E43B24" w:rsidRPr="000B5D4C">
        <w:rPr>
          <w:rFonts w:cstheme="minorHAnsi"/>
          <w:sz w:val="24"/>
          <w:szCs w:val="24"/>
        </w:rPr>
        <w:t xml:space="preserve"> the largest measur</w:t>
      </w:r>
      <w:r w:rsidRPr="000B5D4C">
        <w:rPr>
          <w:rFonts w:cstheme="minorHAnsi"/>
          <w:sz w:val="24"/>
          <w:szCs w:val="24"/>
        </w:rPr>
        <w:t>ing</w:t>
      </w:r>
      <w:r w:rsidR="00E43B24" w:rsidRPr="000B5D4C">
        <w:rPr>
          <w:rFonts w:cstheme="minorHAnsi"/>
          <w:sz w:val="24"/>
          <w:szCs w:val="24"/>
        </w:rPr>
        <w:t xml:space="preserve"> 22.13cm in height, only approximately 5cm la</w:t>
      </w:r>
      <w:r w:rsidR="006473DD">
        <w:rPr>
          <w:rFonts w:cstheme="minorHAnsi"/>
          <w:sz w:val="24"/>
          <w:szCs w:val="24"/>
        </w:rPr>
        <w:t>r</w:t>
      </w:r>
      <w:r w:rsidR="00E43B24" w:rsidRPr="000B5D4C">
        <w:rPr>
          <w:rFonts w:cstheme="minorHAnsi"/>
          <w:sz w:val="24"/>
          <w:szCs w:val="24"/>
        </w:rPr>
        <w:t xml:space="preserve">ger than the </w:t>
      </w:r>
      <w:r w:rsidRPr="000B5D4C">
        <w:rPr>
          <w:rFonts w:cstheme="minorHAnsi"/>
          <w:sz w:val="24"/>
          <w:szCs w:val="24"/>
        </w:rPr>
        <w:t xml:space="preserve">wooden </w:t>
      </w:r>
      <w:r w:rsidR="00E43B24" w:rsidRPr="000B5D4C">
        <w:rPr>
          <w:rFonts w:cstheme="minorHAnsi"/>
          <w:sz w:val="24"/>
          <w:szCs w:val="24"/>
        </w:rPr>
        <w:t>female figurine.</w:t>
      </w:r>
    </w:p>
    <w:p w14:paraId="4E25EFE2" w14:textId="39E14849" w:rsidR="008B245B" w:rsidRPr="000B5D4C" w:rsidRDefault="00DF398E" w:rsidP="00B30013">
      <w:pPr>
        <w:spacing w:line="360" w:lineRule="auto"/>
        <w:jc w:val="both"/>
        <w:rPr>
          <w:rFonts w:cstheme="minorHAnsi"/>
          <w:sz w:val="24"/>
          <w:szCs w:val="24"/>
        </w:rPr>
      </w:pPr>
      <w:r>
        <w:rPr>
          <w:rFonts w:cstheme="minorHAnsi"/>
          <w:sz w:val="24"/>
          <w:szCs w:val="24"/>
        </w:rPr>
        <w:t>F</w:t>
      </w:r>
      <w:r w:rsidR="00E43B24" w:rsidRPr="000B5D4C">
        <w:rPr>
          <w:rFonts w:cstheme="minorHAnsi"/>
          <w:sz w:val="24"/>
          <w:szCs w:val="24"/>
        </w:rPr>
        <w:t xml:space="preserve">igurines of nude females </w:t>
      </w:r>
      <w:r w:rsidR="00C616BF">
        <w:rPr>
          <w:rFonts w:cstheme="minorHAnsi"/>
          <w:sz w:val="24"/>
          <w:szCs w:val="24"/>
        </w:rPr>
        <w:t xml:space="preserve">which </w:t>
      </w:r>
      <w:r w:rsidR="00E43B24" w:rsidRPr="000B5D4C">
        <w:rPr>
          <w:rFonts w:cstheme="minorHAnsi"/>
          <w:sz w:val="24"/>
          <w:szCs w:val="24"/>
        </w:rPr>
        <w:t xml:space="preserve">were placed in tombs may have been used to provide the deceased with sexual powers in the afterlife or were given as symbols of rebirth and regeneration (Taylor, 2001, 210). </w:t>
      </w:r>
    </w:p>
    <w:p w14:paraId="7208FC95" w14:textId="08F26345" w:rsidR="00284753" w:rsidRPr="00D558A8" w:rsidRDefault="00284753" w:rsidP="00CC4CCA">
      <w:pPr>
        <w:spacing w:after="0" w:line="360" w:lineRule="auto"/>
        <w:jc w:val="center"/>
        <w:rPr>
          <w:rFonts w:cstheme="minorHAnsi"/>
          <w:i/>
          <w:iCs/>
          <w:sz w:val="24"/>
          <w:szCs w:val="24"/>
        </w:rPr>
      </w:pPr>
      <w:r w:rsidRPr="00D558A8">
        <w:rPr>
          <w:i/>
          <w:iCs/>
          <w:noProof/>
          <w:sz w:val="20"/>
          <w:szCs w:val="20"/>
        </w:rPr>
        <w:lastRenderedPageBreak/>
        <w:drawing>
          <wp:anchor distT="0" distB="0" distL="114300" distR="114300" simplePos="0" relativeHeight="251662336" behindDoc="0" locked="0" layoutInCell="1" allowOverlap="1" wp14:anchorId="131C7A1F" wp14:editId="0924DE2E">
            <wp:simplePos x="0" y="0"/>
            <wp:positionH relativeFrom="margin">
              <wp:align>center</wp:align>
            </wp:positionH>
            <wp:positionV relativeFrom="paragraph">
              <wp:posOffset>133</wp:posOffset>
            </wp:positionV>
            <wp:extent cx="2306320" cy="3723640"/>
            <wp:effectExtent l="0" t="0" r="0" b="0"/>
            <wp:wrapTopAndBottom/>
            <wp:docPr id="5" name="Picture 5" descr="Female figure, Conifer (Cedar)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Female figure, Conifer (Cedar) "/>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t="6054" r="4365" b="8498"/>
                    <a:stretch/>
                  </pic:blipFill>
                  <pic:spPr bwMode="auto">
                    <a:xfrm>
                      <a:off x="0" y="0"/>
                      <a:ext cx="2306320" cy="372364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893326" w:rsidRPr="00D558A8">
        <w:rPr>
          <w:rFonts w:cstheme="minorHAnsi"/>
          <w:i/>
          <w:iCs/>
        </w:rPr>
        <w:t>Figure 2. Fema</w:t>
      </w:r>
      <w:r w:rsidR="003C4669" w:rsidRPr="00D558A8">
        <w:rPr>
          <w:rFonts w:cstheme="minorHAnsi"/>
          <w:i/>
          <w:iCs/>
        </w:rPr>
        <w:t>l</w:t>
      </w:r>
      <w:r w:rsidR="00893326" w:rsidRPr="00D558A8">
        <w:rPr>
          <w:rFonts w:cstheme="minorHAnsi"/>
          <w:i/>
          <w:iCs/>
        </w:rPr>
        <w:t>e figure, Middle Kingdom, 12</w:t>
      </w:r>
      <w:r w:rsidR="00893326" w:rsidRPr="00D558A8">
        <w:rPr>
          <w:rFonts w:cstheme="minorHAnsi"/>
          <w:i/>
          <w:iCs/>
          <w:vertAlign w:val="superscript"/>
        </w:rPr>
        <w:t>th</w:t>
      </w:r>
      <w:r w:rsidR="00893326" w:rsidRPr="00D558A8">
        <w:rPr>
          <w:rFonts w:cstheme="minorHAnsi"/>
          <w:i/>
          <w:iCs/>
        </w:rPr>
        <w:t xml:space="preserve"> Dynasty</w:t>
      </w:r>
      <w:r w:rsidR="003C4669" w:rsidRPr="00D558A8">
        <w:rPr>
          <w:rFonts w:cstheme="minorHAnsi"/>
          <w:i/>
          <w:iCs/>
        </w:rPr>
        <w:t>, 26.7.1416</w:t>
      </w:r>
      <w:r w:rsidR="00D558A8" w:rsidRPr="00D558A8">
        <w:rPr>
          <w:rFonts w:cstheme="minorHAnsi"/>
          <w:i/>
          <w:iCs/>
        </w:rPr>
        <w:t xml:space="preserve"> (Photo from The Metropolitan Museum)</w:t>
      </w:r>
    </w:p>
    <w:p w14:paraId="3BC1BA58" w14:textId="77777777" w:rsidR="00893326" w:rsidRDefault="00893326" w:rsidP="00B30013">
      <w:pPr>
        <w:spacing w:line="360" w:lineRule="auto"/>
        <w:jc w:val="both"/>
        <w:rPr>
          <w:rFonts w:cstheme="minorHAnsi"/>
          <w:sz w:val="24"/>
          <w:szCs w:val="24"/>
        </w:rPr>
      </w:pPr>
    </w:p>
    <w:p w14:paraId="06BAB904" w14:textId="77777777" w:rsidR="00893326" w:rsidRDefault="00893326" w:rsidP="00B30013">
      <w:pPr>
        <w:spacing w:line="360" w:lineRule="auto"/>
        <w:jc w:val="both"/>
        <w:rPr>
          <w:rFonts w:cstheme="minorHAnsi"/>
          <w:sz w:val="24"/>
          <w:szCs w:val="24"/>
        </w:rPr>
      </w:pPr>
    </w:p>
    <w:p w14:paraId="14732B7D" w14:textId="121690B9" w:rsidR="00E43B24" w:rsidRDefault="004B614E" w:rsidP="00B30013">
      <w:pPr>
        <w:spacing w:line="360" w:lineRule="auto"/>
        <w:jc w:val="both"/>
        <w:rPr>
          <w:rFonts w:cstheme="minorHAnsi"/>
          <w:sz w:val="24"/>
          <w:szCs w:val="24"/>
        </w:rPr>
      </w:pPr>
      <w:r w:rsidRPr="000B5D4C">
        <w:rPr>
          <w:rFonts w:cstheme="minorHAnsi"/>
          <w:sz w:val="24"/>
          <w:szCs w:val="24"/>
        </w:rPr>
        <w:t>Figure 2 shows a</w:t>
      </w:r>
      <w:r w:rsidR="00E43B24" w:rsidRPr="000B5D4C">
        <w:rPr>
          <w:rFonts w:cstheme="minorHAnsi"/>
          <w:sz w:val="24"/>
          <w:szCs w:val="24"/>
        </w:rPr>
        <w:t xml:space="preserve"> female figure </w:t>
      </w:r>
      <w:r w:rsidRPr="000B5D4C">
        <w:rPr>
          <w:rFonts w:cstheme="minorHAnsi"/>
          <w:sz w:val="24"/>
          <w:szCs w:val="24"/>
        </w:rPr>
        <w:t xml:space="preserve">which is </w:t>
      </w:r>
      <w:r w:rsidR="00E43B24" w:rsidRPr="000B5D4C">
        <w:rPr>
          <w:rFonts w:cstheme="minorHAnsi"/>
          <w:sz w:val="24"/>
          <w:szCs w:val="24"/>
        </w:rPr>
        <w:t>also made of wood, specifically conifer, demonstrating a similar feminine physique from the narrow waist into the curved hips and clear pelvic triangle. The female figure measures at 17cm tall, like the female figurine.</w:t>
      </w:r>
    </w:p>
    <w:p w14:paraId="5D238AFF" w14:textId="18A66107" w:rsidR="00270EBE" w:rsidRPr="000B5D4C" w:rsidRDefault="006912A3" w:rsidP="00B30013">
      <w:pPr>
        <w:spacing w:line="360" w:lineRule="auto"/>
        <w:jc w:val="both"/>
        <w:rPr>
          <w:rFonts w:cstheme="minorHAnsi"/>
          <w:sz w:val="24"/>
          <w:szCs w:val="24"/>
        </w:rPr>
      </w:pPr>
      <w:r>
        <w:rPr>
          <w:rFonts w:cstheme="minorHAnsi"/>
          <w:sz w:val="24"/>
          <w:szCs w:val="24"/>
        </w:rPr>
        <w:t xml:space="preserve">Fragmented females figurines have been assumed to be used </w:t>
      </w:r>
      <w:r w:rsidR="007769A6">
        <w:rPr>
          <w:rFonts w:cstheme="minorHAnsi"/>
          <w:sz w:val="24"/>
          <w:szCs w:val="24"/>
        </w:rPr>
        <w:t>as execration figures</w:t>
      </w:r>
      <w:r w:rsidR="00BD13C5">
        <w:rPr>
          <w:rFonts w:cstheme="minorHAnsi"/>
          <w:sz w:val="24"/>
          <w:szCs w:val="24"/>
        </w:rPr>
        <w:t xml:space="preserve"> used in rituals to </w:t>
      </w:r>
      <w:r w:rsidR="00DA310B">
        <w:rPr>
          <w:rFonts w:cstheme="minorHAnsi"/>
          <w:sz w:val="24"/>
          <w:szCs w:val="24"/>
        </w:rPr>
        <w:t>destroy evil forces</w:t>
      </w:r>
      <w:r w:rsidR="007769A6">
        <w:rPr>
          <w:rFonts w:cstheme="minorHAnsi"/>
          <w:sz w:val="24"/>
          <w:szCs w:val="24"/>
        </w:rPr>
        <w:t xml:space="preserve">, although most appear to be male, </w:t>
      </w:r>
      <w:r w:rsidR="00B346AF">
        <w:rPr>
          <w:rFonts w:cstheme="minorHAnsi"/>
          <w:sz w:val="24"/>
          <w:szCs w:val="24"/>
        </w:rPr>
        <w:t>with “clearly missing arms, which appear to have been cut or snapped off</w:t>
      </w:r>
      <w:r w:rsidR="00F84E0D">
        <w:rPr>
          <w:rFonts w:cstheme="minorHAnsi"/>
          <w:sz w:val="24"/>
          <w:szCs w:val="24"/>
        </w:rPr>
        <w:t>”</w:t>
      </w:r>
      <w:r w:rsidR="00426C7C">
        <w:rPr>
          <w:rFonts w:cstheme="minorHAnsi"/>
          <w:sz w:val="24"/>
          <w:szCs w:val="24"/>
        </w:rPr>
        <w:t xml:space="preserve"> (Waraksa, 2009, 111-11</w:t>
      </w:r>
      <w:r w:rsidR="001F56A0">
        <w:rPr>
          <w:rFonts w:cstheme="minorHAnsi"/>
          <w:sz w:val="24"/>
          <w:szCs w:val="24"/>
        </w:rPr>
        <w:t>2</w:t>
      </w:r>
      <w:r w:rsidR="00426C7C">
        <w:rPr>
          <w:rFonts w:cstheme="minorHAnsi"/>
          <w:sz w:val="24"/>
          <w:szCs w:val="24"/>
        </w:rPr>
        <w:t>)</w:t>
      </w:r>
      <w:r w:rsidR="008824BD">
        <w:rPr>
          <w:rFonts w:cstheme="minorHAnsi"/>
          <w:sz w:val="24"/>
          <w:szCs w:val="24"/>
        </w:rPr>
        <w:t>. W</w:t>
      </w:r>
      <w:r w:rsidR="001F56A0">
        <w:rPr>
          <w:rFonts w:cstheme="minorHAnsi"/>
          <w:sz w:val="24"/>
          <w:szCs w:val="24"/>
        </w:rPr>
        <w:t xml:space="preserve">hile the wooden female figurine does not have some of the typical designs of </w:t>
      </w:r>
      <w:r w:rsidR="00EB0C32">
        <w:rPr>
          <w:rFonts w:cstheme="minorHAnsi"/>
          <w:sz w:val="24"/>
          <w:szCs w:val="24"/>
        </w:rPr>
        <w:t xml:space="preserve">an execration figure, such as </w:t>
      </w:r>
      <w:r w:rsidR="00782AC9">
        <w:rPr>
          <w:rFonts w:cstheme="minorHAnsi"/>
          <w:sz w:val="24"/>
          <w:szCs w:val="24"/>
        </w:rPr>
        <w:t>inscriptions or colouring</w:t>
      </w:r>
      <w:r w:rsidR="006B1CAE">
        <w:rPr>
          <w:rFonts w:cstheme="minorHAnsi"/>
          <w:sz w:val="24"/>
          <w:szCs w:val="24"/>
        </w:rPr>
        <w:t>,</w:t>
      </w:r>
      <w:r w:rsidR="00782AC9">
        <w:rPr>
          <w:rFonts w:cstheme="minorHAnsi"/>
          <w:sz w:val="24"/>
          <w:szCs w:val="24"/>
        </w:rPr>
        <w:t xml:space="preserve"> and </w:t>
      </w:r>
      <w:r w:rsidR="00B31DA6">
        <w:rPr>
          <w:rFonts w:cstheme="minorHAnsi"/>
          <w:sz w:val="24"/>
          <w:szCs w:val="24"/>
        </w:rPr>
        <w:t>is not made of the typical ceramic</w:t>
      </w:r>
      <w:r w:rsidR="006B1CAE">
        <w:rPr>
          <w:rFonts w:cstheme="minorHAnsi"/>
          <w:sz w:val="24"/>
          <w:szCs w:val="24"/>
        </w:rPr>
        <w:t xml:space="preserve"> or clay</w:t>
      </w:r>
      <w:r w:rsidR="000833B4">
        <w:rPr>
          <w:rFonts w:cstheme="minorHAnsi"/>
          <w:sz w:val="24"/>
          <w:szCs w:val="24"/>
        </w:rPr>
        <w:t xml:space="preserve"> which would be easier to break, this </w:t>
      </w:r>
      <w:r w:rsidR="006D005B">
        <w:rPr>
          <w:rFonts w:cstheme="minorHAnsi"/>
          <w:sz w:val="24"/>
          <w:szCs w:val="24"/>
        </w:rPr>
        <w:t xml:space="preserve">use for execration may explain the damage </w:t>
      </w:r>
      <w:r w:rsidR="00FE1997">
        <w:rPr>
          <w:rFonts w:cstheme="minorHAnsi"/>
          <w:sz w:val="24"/>
          <w:szCs w:val="24"/>
        </w:rPr>
        <w:t>to the wooden female figurine  including the loss of the arms and the truncated legs.</w:t>
      </w:r>
    </w:p>
    <w:p w14:paraId="0FEE2BDE" w14:textId="1EAAD3C1" w:rsidR="00B07020" w:rsidRPr="000B5D4C" w:rsidRDefault="00B07020" w:rsidP="00B30013">
      <w:pPr>
        <w:spacing w:line="360" w:lineRule="auto"/>
        <w:jc w:val="both"/>
        <w:rPr>
          <w:rFonts w:cstheme="minorHAnsi"/>
          <w:sz w:val="24"/>
          <w:szCs w:val="24"/>
        </w:rPr>
      </w:pPr>
      <w:r w:rsidRPr="000B5D4C">
        <w:rPr>
          <w:rFonts w:cstheme="minorHAnsi"/>
          <w:sz w:val="24"/>
          <w:szCs w:val="24"/>
        </w:rPr>
        <w:t xml:space="preserve">Whether the </w:t>
      </w:r>
      <w:r w:rsidR="00B96B0B">
        <w:rPr>
          <w:rFonts w:cstheme="minorHAnsi"/>
          <w:sz w:val="24"/>
          <w:szCs w:val="24"/>
        </w:rPr>
        <w:t xml:space="preserve">wooden </w:t>
      </w:r>
      <w:r w:rsidR="00DD5672">
        <w:rPr>
          <w:rFonts w:cstheme="minorHAnsi"/>
          <w:sz w:val="24"/>
          <w:szCs w:val="24"/>
        </w:rPr>
        <w:t xml:space="preserve"> </w:t>
      </w:r>
      <w:r w:rsidRPr="000B5D4C">
        <w:rPr>
          <w:rFonts w:cstheme="minorHAnsi"/>
          <w:sz w:val="24"/>
          <w:szCs w:val="24"/>
        </w:rPr>
        <w:t>female figurine was produced as a shabti</w:t>
      </w:r>
      <w:r w:rsidR="00683B27">
        <w:rPr>
          <w:rFonts w:cstheme="minorHAnsi"/>
          <w:sz w:val="24"/>
          <w:szCs w:val="24"/>
        </w:rPr>
        <w:t xml:space="preserve">, </w:t>
      </w:r>
      <w:r w:rsidRPr="000B5D4C">
        <w:rPr>
          <w:rFonts w:cstheme="minorHAnsi"/>
          <w:sz w:val="24"/>
          <w:szCs w:val="24"/>
        </w:rPr>
        <w:t>a fertility figurine</w:t>
      </w:r>
      <w:r w:rsidR="00683B27">
        <w:rPr>
          <w:rFonts w:cstheme="minorHAnsi"/>
          <w:sz w:val="24"/>
          <w:szCs w:val="24"/>
        </w:rPr>
        <w:t xml:space="preserve"> or an execration figure</w:t>
      </w:r>
      <w:r w:rsidRPr="000B5D4C">
        <w:rPr>
          <w:rFonts w:cstheme="minorHAnsi"/>
          <w:sz w:val="24"/>
          <w:szCs w:val="24"/>
        </w:rPr>
        <w:t xml:space="preserve">, this object would have been placed in tombs as gifts </w:t>
      </w:r>
      <w:r w:rsidR="008926C5">
        <w:rPr>
          <w:rFonts w:cstheme="minorHAnsi"/>
          <w:sz w:val="24"/>
          <w:szCs w:val="24"/>
        </w:rPr>
        <w:t>to aid</w:t>
      </w:r>
      <w:r w:rsidRPr="000B5D4C">
        <w:rPr>
          <w:rFonts w:cstheme="minorHAnsi"/>
          <w:sz w:val="24"/>
          <w:szCs w:val="24"/>
        </w:rPr>
        <w:t xml:space="preserve"> the deceased the afterlife.</w:t>
      </w:r>
    </w:p>
    <w:p w14:paraId="30D10FD8" w14:textId="7B982B47" w:rsidR="006B1C86" w:rsidRPr="000B5D4C" w:rsidRDefault="006B1C86" w:rsidP="00B30013">
      <w:pPr>
        <w:spacing w:line="360" w:lineRule="auto"/>
        <w:jc w:val="both"/>
        <w:rPr>
          <w:rFonts w:cstheme="minorHAnsi"/>
          <w:sz w:val="24"/>
          <w:szCs w:val="24"/>
        </w:rPr>
      </w:pPr>
      <w:r w:rsidRPr="000B5D4C">
        <w:rPr>
          <w:rFonts w:cstheme="minorHAnsi"/>
          <w:sz w:val="24"/>
          <w:szCs w:val="24"/>
        </w:rPr>
        <w:lastRenderedPageBreak/>
        <w:t xml:space="preserve">As the location and circumstances of how the female figurine was found are unknown, it cannot be determined who the objected was intended for; figurines were also placed in the tombs of both men and women so the </w:t>
      </w:r>
      <w:r w:rsidR="003D1B2E">
        <w:rPr>
          <w:rFonts w:cstheme="minorHAnsi"/>
          <w:sz w:val="24"/>
          <w:szCs w:val="24"/>
        </w:rPr>
        <w:t>gender</w:t>
      </w:r>
      <w:r w:rsidRPr="000B5D4C">
        <w:rPr>
          <w:rFonts w:cstheme="minorHAnsi"/>
          <w:sz w:val="24"/>
          <w:szCs w:val="24"/>
        </w:rPr>
        <w:t xml:space="preserve"> of the owner of the tomb may not explain the full purpose of the female figurine.</w:t>
      </w:r>
      <w:r w:rsidR="00C809DB">
        <w:rPr>
          <w:rFonts w:cstheme="minorHAnsi"/>
          <w:sz w:val="24"/>
          <w:szCs w:val="24"/>
        </w:rPr>
        <w:t xml:space="preserve"> However, f</w:t>
      </w:r>
      <w:r w:rsidRPr="000B5D4C">
        <w:rPr>
          <w:rFonts w:cstheme="minorHAnsi"/>
          <w:sz w:val="24"/>
          <w:szCs w:val="24"/>
        </w:rPr>
        <w:t>emale shabtis</w:t>
      </w:r>
      <w:r w:rsidR="00D826C1">
        <w:rPr>
          <w:rFonts w:cstheme="minorHAnsi"/>
          <w:sz w:val="24"/>
          <w:szCs w:val="24"/>
        </w:rPr>
        <w:t xml:space="preserve"> given to deceased women</w:t>
      </w:r>
      <w:r w:rsidRPr="000B5D4C">
        <w:rPr>
          <w:rFonts w:cstheme="minorHAnsi"/>
          <w:sz w:val="24"/>
          <w:szCs w:val="24"/>
        </w:rPr>
        <w:t xml:space="preserve"> may have been intended to act as maidservants</w:t>
      </w:r>
      <w:r w:rsidR="00C809DB">
        <w:rPr>
          <w:rFonts w:cstheme="minorHAnsi"/>
          <w:sz w:val="24"/>
          <w:szCs w:val="24"/>
        </w:rPr>
        <w:t xml:space="preserve"> in the afterlife</w:t>
      </w:r>
      <w:r w:rsidRPr="000B5D4C">
        <w:rPr>
          <w:rFonts w:cstheme="minorHAnsi"/>
          <w:sz w:val="24"/>
          <w:szCs w:val="24"/>
        </w:rPr>
        <w:t xml:space="preserve"> as many female statuettes, some carrying children, have been fund in the tombs of women (Hayes,</w:t>
      </w:r>
      <w:r w:rsidR="005123D4">
        <w:rPr>
          <w:rFonts w:cstheme="minorHAnsi"/>
          <w:sz w:val="24"/>
          <w:szCs w:val="24"/>
        </w:rPr>
        <w:t xml:space="preserve"> 1978</w:t>
      </w:r>
      <w:r w:rsidRPr="000B5D4C">
        <w:rPr>
          <w:rFonts w:cstheme="minorHAnsi"/>
          <w:sz w:val="24"/>
          <w:szCs w:val="24"/>
        </w:rPr>
        <w:t>, 221)</w:t>
      </w:r>
      <w:r w:rsidR="00C809DB">
        <w:rPr>
          <w:rFonts w:cstheme="minorHAnsi"/>
          <w:sz w:val="24"/>
          <w:szCs w:val="24"/>
        </w:rPr>
        <w:t>.</w:t>
      </w:r>
    </w:p>
    <w:p w14:paraId="47D81C63" w14:textId="61E33E87" w:rsidR="00D21CFB" w:rsidRPr="000B5D4C" w:rsidRDefault="00D21CFB" w:rsidP="00B30013">
      <w:pPr>
        <w:spacing w:line="360" w:lineRule="auto"/>
        <w:jc w:val="both"/>
        <w:rPr>
          <w:rFonts w:cstheme="minorHAnsi"/>
          <w:sz w:val="24"/>
          <w:szCs w:val="24"/>
        </w:rPr>
      </w:pPr>
      <w:r w:rsidRPr="000B5D4C">
        <w:rPr>
          <w:rFonts w:cstheme="minorHAnsi"/>
          <w:sz w:val="24"/>
          <w:szCs w:val="24"/>
        </w:rPr>
        <w:t>The female figurine appears to be a large part of a fuller, broken, figurine; the lack of arms and legs suggest damage which could suggest it was used during a ritual or spell such as a fertility spell</w:t>
      </w:r>
      <w:r w:rsidR="003D1B2E">
        <w:rPr>
          <w:rFonts w:cstheme="minorHAnsi"/>
          <w:sz w:val="24"/>
          <w:szCs w:val="24"/>
        </w:rPr>
        <w:t xml:space="preserve"> or </w:t>
      </w:r>
      <w:r w:rsidR="006B7147">
        <w:rPr>
          <w:rFonts w:cstheme="minorHAnsi"/>
          <w:sz w:val="24"/>
          <w:szCs w:val="24"/>
        </w:rPr>
        <w:t>against evil forces</w:t>
      </w:r>
      <w:r w:rsidRPr="000B5D4C">
        <w:rPr>
          <w:rFonts w:cstheme="minorHAnsi"/>
          <w:sz w:val="24"/>
          <w:szCs w:val="24"/>
        </w:rPr>
        <w:t xml:space="preserve">, or it may have been </w:t>
      </w:r>
      <w:r w:rsidR="006B7147">
        <w:rPr>
          <w:rFonts w:cstheme="minorHAnsi"/>
          <w:sz w:val="24"/>
          <w:szCs w:val="24"/>
        </w:rPr>
        <w:t xml:space="preserve">simply </w:t>
      </w:r>
      <w:r w:rsidRPr="000B5D4C">
        <w:rPr>
          <w:rFonts w:cstheme="minorHAnsi"/>
          <w:sz w:val="24"/>
          <w:szCs w:val="24"/>
        </w:rPr>
        <w:t xml:space="preserve">accidental damage. Due to the unknown circumstances of the excavation, it cannot be said that the female figurine was found alone; it may have been one of many similar or identical figurines, had a protective casing such as a coffin or have been surrounded by magical tools. </w:t>
      </w:r>
    </w:p>
    <w:p w14:paraId="48C5E552" w14:textId="2F733E22" w:rsidR="00D21CFB" w:rsidRPr="000B5D4C" w:rsidRDefault="00D21CFB" w:rsidP="00B30013">
      <w:pPr>
        <w:spacing w:line="360" w:lineRule="auto"/>
        <w:jc w:val="both"/>
        <w:rPr>
          <w:rFonts w:cstheme="minorHAnsi"/>
          <w:sz w:val="24"/>
          <w:szCs w:val="24"/>
        </w:rPr>
      </w:pPr>
      <w:r w:rsidRPr="000B5D4C">
        <w:rPr>
          <w:rFonts w:cstheme="minorHAnsi"/>
          <w:sz w:val="24"/>
          <w:szCs w:val="24"/>
        </w:rPr>
        <w:t>While the female figurine does not have any hieroglyphs to explain the object’s purpose, the site of the excavation may have contained texts and spells to illustrate how the female figurine was used.</w:t>
      </w:r>
      <w:r w:rsidR="00D849DD">
        <w:rPr>
          <w:rFonts w:cstheme="minorHAnsi"/>
          <w:sz w:val="24"/>
          <w:szCs w:val="24"/>
        </w:rPr>
        <w:t xml:space="preserve"> The lack of </w:t>
      </w:r>
      <w:r w:rsidR="0027736B">
        <w:rPr>
          <w:rFonts w:cstheme="minorHAnsi"/>
          <w:sz w:val="24"/>
          <w:szCs w:val="24"/>
        </w:rPr>
        <w:t xml:space="preserve">decoration on the wooden female figurine may </w:t>
      </w:r>
      <w:r w:rsidR="00B01D86">
        <w:rPr>
          <w:rFonts w:cstheme="minorHAnsi"/>
          <w:sz w:val="24"/>
          <w:szCs w:val="24"/>
        </w:rPr>
        <w:t xml:space="preserve">support the possibility that this was produced and used as an execration figure, since </w:t>
      </w:r>
      <w:r w:rsidR="001061FD">
        <w:rPr>
          <w:rFonts w:cstheme="minorHAnsi"/>
          <w:sz w:val="24"/>
          <w:szCs w:val="24"/>
        </w:rPr>
        <w:t>“</w:t>
      </w:r>
      <w:r w:rsidR="005833A4">
        <w:rPr>
          <w:rFonts w:cstheme="minorHAnsi"/>
          <w:sz w:val="24"/>
          <w:szCs w:val="24"/>
        </w:rPr>
        <w:t xml:space="preserve">a statuette meant to be used as </w:t>
      </w:r>
      <w:r w:rsidR="007557A3">
        <w:rPr>
          <w:rFonts w:cstheme="minorHAnsi"/>
          <w:sz w:val="24"/>
          <w:szCs w:val="24"/>
        </w:rPr>
        <w:t>an aide to a ritual spell and then destroyed would not necessarily be afforded the level of detailed decoration one would expect to find on other forms of Egyptian statuary</w:t>
      </w:r>
      <w:r w:rsidR="008B245B">
        <w:rPr>
          <w:rFonts w:cstheme="minorHAnsi"/>
          <w:sz w:val="24"/>
          <w:szCs w:val="24"/>
        </w:rPr>
        <w:t xml:space="preserve"> and figurines” (Redpath, 2018)</w:t>
      </w:r>
      <w:r w:rsidR="00AD44A8">
        <w:rPr>
          <w:rFonts w:cstheme="minorHAnsi"/>
          <w:sz w:val="24"/>
          <w:szCs w:val="24"/>
        </w:rPr>
        <w:t xml:space="preserve">. </w:t>
      </w:r>
      <w:r w:rsidR="00D829E6">
        <w:rPr>
          <w:rFonts w:cstheme="minorHAnsi"/>
          <w:sz w:val="24"/>
          <w:szCs w:val="24"/>
        </w:rPr>
        <w:t>Typically,</w:t>
      </w:r>
      <w:r w:rsidR="00C96D9A">
        <w:rPr>
          <w:rFonts w:cstheme="minorHAnsi"/>
          <w:sz w:val="24"/>
          <w:szCs w:val="24"/>
        </w:rPr>
        <w:t xml:space="preserve"> however</w:t>
      </w:r>
      <w:r w:rsidR="00600E8D">
        <w:rPr>
          <w:rFonts w:cstheme="minorHAnsi"/>
          <w:sz w:val="24"/>
          <w:szCs w:val="24"/>
        </w:rPr>
        <w:t xml:space="preserve">, the execration figure would be </w:t>
      </w:r>
      <w:r w:rsidR="00AB0627">
        <w:rPr>
          <w:rFonts w:cstheme="minorHAnsi"/>
          <w:sz w:val="24"/>
          <w:szCs w:val="24"/>
        </w:rPr>
        <w:t>shaped by hand without any tools, a method of production which could not be replicated when using wood (</w:t>
      </w:r>
      <w:r w:rsidR="001E3E5B">
        <w:rPr>
          <w:rFonts w:cstheme="minorHAnsi"/>
          <w:sz w:val="24"/>
          <w:szCs w:val="24"/>
        </w:rPr>
        <w:t>D</w:t>
      </w:r>
      <w:r w:rsidR="009455BE">
        <w:rPr>
          <w:rFonts w:cstheme="minorHAnsi"/>
          <w:sz w:val="24"/>
          <w:szCs w:val="24"/>
        </w:rPr>
        <w:t xml:space="preserve">elvaux et al. 2017, </w:t>
      </w:r>
      <w:r w:rsidR="00F56FF9">
        <w:rPr>
          <w:rFonts w:cstheme="minorHAnsi"/>
          <w:sz w:val="24"/>
          <w:szCs w:val="24"/>
        </w:rPr>
        <w:t>12</w:t>
      </w:r>
      <w:r w:rsidR="00AB0627">
        <w:rPr>
          <w:rFonts w:cstheme="minorHAnsi"/>
          <w:sz w:val="24"/>
          <w:szCs w:val="24"/>
        </w:rPr>
        <w:t xml:space="preserve">) which may suggest that the wooden female </w:t>
      </w:r>
      <w:r w:rsidR="00002B43">
        <w:rPr>
          <w:rFonts w:cstheme="minorHAnsi"/>
          <w:sz w:val="24"/>
          <w:szCs w:val="24"/>
        </w:rPr>
        <w:t>figurine was not used as a</w:t>
      </w:r>
      <w:r w:rsidR="001E3E5B">
        <w:rPr>
          <w:rFonts w:cstheme="minorHAnsi"/>
          <w:sz w:val="24"/>
          <w:szCs w:val="24"/>
        </w:rPr>
        <w:t>n</w:t>
      </w:r>
      <w:r w:rsidR="00002B43">
        <w:rPr>
          <w:rFonts w:cstheme="minorHAnsi"/>
          <w:sz w:val="24"/>
          <w:szCs w:val="24"/>
        </w:rPr>
        <w:t xml:space="preserve"> execration figure.</w:t>
      </w:r>
    </w:p>
    <w:p w14:paraId="730E32FA" w14:textId="6CBD769F" w:rsidR="00681FD7" w:rsidRPr="000B5D4C" w:rsidRDefault="00681FD7" w:rsidP="00B30013">
      <w:pPr>
        <w:spacing w:line="360" w:lineRule="auto"/>
        <w:jc w:val="both"/>
        <w:rPr>
          <w:rFonts w:cstheme="minorHAnsi"/>
          <w:sz w:val="24"/>
          <w:szCs w:val="24"/>
        </w:rPr>
      </w:pPr>
      <w:r w:rsidRPr="000B5D4C">
        <w:rPr>
          <w:rFonts w:cstheme="minorHAnsi"/>
          <w:sz w:val="24"/>
          <w:szCs w:val="24"/>
        </w:rPr>
        <w:t xml:space="preserve">The use of shabtis demonstrates the ancient Egyptian belief in life after death, while the use of fertility figures in tombs clearly demonstrates the ancient Egyptian beliefs surrounding the abilities of a person’s ba and shadow – in this case their ability to have sexual intercourse with the living which aides to fulfil their need for rebirth and regeneration (Harrington, </w:t>
      </w:r>
      <w:r w:rsidR="00B645F3">
        <w:rPr>
          <w:rFonts w:cstheme="minorHAnsi"/>
          <w:sz w:val="24"/>
          <w:szCs w:val="24"/>
        </w:rPr>
        <w:t>2013</w:t>
      </w:r>
      <w:r w:rsidRPr="000B5D4C">
        <w:rPr>
          <w:rFonts w:cstheme="minorHAnsi"/>
          <w:sz w:val="24"/>
          <w:szCs w:val="24"/>
        </w:rPr>
        <w:t xml:space="preserve">, </w:t>
      </w:r>
      <w:r w:rsidR="001642E9">
        <w:rPr>
          <w:rFonts w:cstheme="minorHAnsi"/>
          <w:sz w:val="24"/>
          <w:szCs w:val="24"/>
        </w:rPr>
        <w:t>5-6</w:t>
      </w:r>
      <w:r w:rsidRPr="000B5D4C">
        <w:rPr>
          <w:rFonts w:cstheme="minorHAnsi"/>
          <w:sz w:val="24"/>
          <w:szCs w:val="24"/>
        </w:rPr>
        <w:t>)</w:t>
      </w:r>
    </w:p>
    <w:p w14:paraId="52C3C3F2" w14:textId="26E4345D" w:rsidR="00A32A7E" w:rsidRPr="000B5D4C" w:rsidRDefault="00A32A7E" w:rsidP="00B30013">
      <w:pPr>
        <w:spacing w:line="360" w:lineRule="auto"/>
        <w:jc w:val="both"/>
        <w:rPr>
          <w:rFonts w:cstheme="minorHAnsi"/>
          <w:sz w:val="24"/>
          <w:szCs w:val="24"/>
        </w:rPr>
      </w:pPr>
      <w:r w:rsidRPr="000B5D4C">
        <w:rPr>
          <w:rFonts w:cstheme="minorHAnsi"/>
          <w:sz w:val="24"/>
          <w:szCs w:val="24"/>
        </w:rPr>
        <w:t xml:space="preserve">If the object </w:t>
      </w:r>
      <w:r w:rsidR="004B614E" w:rsidRPr="000B5D4C">
        <w:rPr>
          <w:rFonts w:cstheme="minorHAnsi"/>
          <w:sz w:val="24"/>
          <w:szCs w:val="24"/>
        </w:rPr>
        <w:t>were</w:t>
      </w:r>
      <w:r w:rsidRPr="000B5D4C">
        <w:rPr>
          <w:rFonts w:cstheme="minorHAnsi"/>
          <w:sz w:val="24"/>
          <w:szCs w:val="24"/>
        </w:rPr>
        <w:t xml:space="preserve"> originally used as a shabti, it is likely that it would be dated from the Late Second Intermediate Period; the overall design of the female figurine is simple and rather rough, lacking smooth clean lines and distinct facial features which may reflect shabtis produced in this period which were often “figures of sycamore wood (or tamarisk), the </w:t>
      </w:r>
      <w:r w:rsidRPr="000B5D4C">
        <w:rPr>
          <w:rFonts w:cstheme="minorHAnsi"/>
          <w:sz w:val="24"/>
          <w:szCs w:val="24"/>
        </w:rPr>
        <w:lastRenderedPageBreak/>
        <w:t xml:space="preserve">majority of which were extremely crude workmanship. Many of the figures were mere sticks or offcuts roughly shaped” (Taylor, 2001, 118). </w:t>
      </w:r>
    </w:p>
    <w:p w14:paraId="43A81462" w14:textId="5726A685" w:rsidR="000A2470" w:rsidRDefault="000A2470" w:rsidP="00B30013">
      <w:pPr>
        <w:spacing w:line="360" w:lineRule="auto"/>
        <w:jc w:val="both"/>
        <w:rPr>
          <w:rFonts w:cstheme="minorHAnsi"/>
          <w:sz w:val="24"/>
          <w:szCs w:val="24"/>
        </w:rPr>
      </w:pPr>
      <w:r w:rsidRPr="000B5D4C">
        <w:rPr>
          <w:rFonts w:cstheme="minorHAnsi"/>
          <w:sz w:val="24"/>
          <w:szCs w:val="24"/>
        </w:rPr>
        <w:t xml:space="preserve">Meanwhile, if the object </w:t>
      </w:r>
      <w:r w:rsidR="004B614E" w:rsidRPr="000B5D4C">
        <w:rPr>
          <w:rFonts w:cstheme="minorHAnsi"/>
          <w:sz w:val="24"/>
          <w:szCs w:val="24"/>
        </w:rPr>
        <w:t>were</w:t>
      </w:r>
      <w:r w:rsidRPr="000B5D4C">
        <w:rPr>
          <w:rFonts w:cstheme="minorHAnsi"/>
          <w:sz w:val="24"/>
          <w:szCs w:val="24"/>
        </w:rPr>
        <w:t xml:space="preserve"> produced as a fertility figurine </w:t>
      </w:r>
      <w:r w:rsidR="00EF1806" w:rsidRPr="000B5D4C">
        <w:rPr>
          <w:rFonts w:cstheme="minorHAnsi"/>
          <w:sz w:val="24"/>
          <w:szCs w:val="24"/>
        </w:rPr>
        <w:t>then it cou</w:t>
      </w:r>
      <w:r w:rsidR="00DC5E9A" w:rsidRPr="000B5D4C">
        <w:rPr>
          <w:rFonts w:cstheme="minorHAnsi"/>
          <w:sz w:val="24"/>
          <w:szCs w:val="24"/>
        </w:rPr>
        <w:t>ld date from the Middle Kingdom into the new Kingdom, when fertility objects were p</w:t>
      </w:r>
      <w:r w:rsidR="00F10C34" w:rsidRPr="000B5D4C">
        <w:rPr>
          <w:rFonts w:cstheme="minorHAnsi"/>
          <w:sz w:val="24"/>
          <w:szCs w:val="24"/>
        </w:rPr>
        <w:t>laced in tombs (Taylor, 2001, 210)</w:t>
      </w:r>
      <w:r w:rsidR="00D2082B" w:rsidRPr="000B5D4C">
        <w:rPr>
          <w:rFonts w:cstheme="minorHAnsi"/>
          <w:sz w:val="24"/>
          <w:szCs w:val="24"/>
        </w:rPr>
        <w:t xml:space="preserve">. </w:t>
      </w:r>
      <w:r w:rsidR="00D35133" w:rsidRPr="000B5D4C">
        <w:rPr>
          <w:rFonts w:cstheme="minorHAnsi"/>
          <w:sz w:val="24"/>
          <w:szCs w:val="24"/>
        </w:rPr>
        <w:t xml:space="preserve">Figure 2 demonstrates clear similarities to the object – while </w:t>
      </w:r>
      <w:r w:rsidR="00D3078F" w:rsidRPr="000B5D4C">
        <w:rPr>
          <w:rFonts w:cstheme="minorHAnsi"/>
          <w:sz w:val="24"/>
          <w:szCs w:val="24"/>
        </w:rPr>
        <w:t xml:space="preserve">appearing to be more carefully or skilfully designed and preserved </w:t>
      </w:r>
      <w:r w:rsidR="003B3D36" w:rsidRPr="000B5D4C">
        <w:rPr>
          <w:rFonts w:cstheme="minorHAnsi"/>
          <w:sz w:val="24"/>
          <w:szCs w:val="24"/>
        </w:rPr>
        <w:t>–</w:t>
      </w:r>
      <w:r w:rsidR="00D3078F" w:rsidRPr="000B5D4C">
        <w:rPr>
          <w:rFonts w:cstheme="minorHAnsi"/>
          <w:sz w:val="24"/>
          <w:szCs w:val="24"/>
        </w:rPr>
        <w:t xml:space="preserve"> </w:t>
      </w:r>
      <w:r w:rsidR="003B3D36" w:rsidRPr="000B5D4C">
        <w:rPr>
          <w:rFonts w:cstheme="minorHAnsi"/>
          <w:sz w:val="24"/>
          <w:szCs w:val="24"/>
        </w:rPr>
        <w:t>including shape, material and size which cou</w:t>
      </w:r>
      <w:r w:rsidR="000A3042" w:rsidRPr="000B5D4C">
        <w:rPr>
          <w:rFonts w:cstheme="minorHAnsi"/>
          <w:sz w:val="24"/>
          <w:szCs w:val="24"/>
        </w:rPr>
        <w:t>l</w:t>
      </w:r>
      <w:r w:rsidR="003B3D36" w:rsidRPr="000B5D4C">
        <w:rPr>
          <w:rFonts w:cstheme="minorHAnsi"/>
          <w:sz w:val="24"/>
          <w:szCs w:val="24"/>
        </w:rPr>
        <w:t xml:space="preserve">d suggest the </w:t>
      </w:r>
      <w:r w:rsidR="00E922C2" w:rsidRPr="000B5D4C">
        <w:rPr>
          <w:rFonts w:cstheme="minorHAnsi"/>
          <w:sz w:val="24"/>
          <w:szCs w:val="24"/>
        </w:rPr>
        <w:t xml:space="preserve">wooden female figurine dates back to the same approximate time period </w:t>
      </w:r>
      <w:r w:rsidR="000A3042" w:rsidRPr="000B5D4C">
        <w:rPr>
          <w:rFonts w:cstheme="minorHAnsi"/>
          <w:sz w:val="24"/>
          <w:szCs w:val="24"/>
        </w:rPr>
        <w:t>in the Middle Kingdom.</w:t>
      </w:r>
    </w:p>
    <w:p w14:paraId="00CF1F73" w14:textId="24F63E2B" w:rsidR="00B21A7D" w:rsidRDefault="00B21A7D" w:rsidP="00B30013">
      <w:pPr>
        <w:spacing w:line="360" w:lineRule="auto"/>
        <w:jc w:val="both"/>
        <w:rPr>
          <w:rFonts w:cstheme="minorHAnsi"/>
          <w:sz w:val="24"/>
          <w:szCs w:val="24"/>
        </w:rPr>
      </w:pPr>
    </w:p>
    <w:p w14:paraId="15BBC4BA" w14:textId="254EC17E" w:rsidR="00B21A7D" w:rsidRDefault="00B21A7D" w:rsidP="00B30013">
      <w:pPr>
        <w:spacing w:line="360" w:lineRule="auto"/>
        <w:jc w:val="both"/>
        <w:rPr>
          <w:rFonts w:cstheme="minorHAnsi"/>
          <w:sz w:val="24"/>
          <w:szCs w:val="24"/>
        </w:rPr>
      </w:pPr>
      <w:r>
        <w:rPr>
          <w:rFonts w:cstheme="minorHAnsi"/>
          <w:sz w:val="24"/>
          <w:szCs w:val="24"/>
        </w:rPr>
        <w:t>Bibliography.</w:t>
      </w:r>
    </w:p>
    <w:p w14:paraId="52C33A06" w14:textId="1E98CC43" w:rsidR="00FB249E" w:rsidRPr="00B52430" w:rsidRDefault="00FB249E" w:rsidP="00003992">
      <w:pPr>
        <w:spacing w:line="360" w:lineRule="auto"/>
        <w:jc w:val="both"/>
        <w:rPr>
          <w:rFonts w:cstheme="minorHAnsi"/>
          <w:sz w:val="24"/>
          <w:szCs w:val="24"/>
        </w:rPr>
      </w:pPr>
      <w:r w:rsidRPr="00B52430">
        <w:rPr>
          <w:rFonts w:cstheme="minorHAnsi"/>
          <w:color w:val="000000"/>
          <w:sz w:val="24"/>
          <w:szCs w:val="24"/>
          <w:shd w:val="clear" w:color="auto" w:fill="FFFFFF"/>
        </w:rPr>
        <w:t xml:space="preserve">Delvaux, L., </w:t>
      </w:r>
      <w:proofErr w:type="spellStart"/>
      <w:r w:rsidRPr="00B52430">
        <w:rPr>
          <w:rFonts w:cstheme="minorHAnsi"/>
          <w:color w:val="000000"/>
          <w:sz w:val="24"/>
          <w:szCs w:val="24"/>
          <w:shd w:val="clear" w:color="auto" w:fill="FFFFFF"/>
        </w:rPr>
        <w:t>Hameeuw</w:t>
      </w:r>
      <w:proofErr w:type="spellEnd"/>
      <w:r w:rsidRPr="00B52430">
        <w:rPr>
          <w:rFonts w:cstheme="minorHAnsi"/>
          <w:color w:val="000000"/>
          <w:sz w:val="24"/>
          <w:szCs w:val="24"/>
          <w:shd w:val="clear" w:color="auto" w:fill="FFFFFF"/>
        </w:rPr>
        <w:t xml:space="preserve">, H., Van der </w:t>
      </w:r>
      <w:proofErr w:type="spellStart"/>
      <w:r w:rsidRPr="00B52430">
        <w:rPr>
          <w:rFonts w:cstheme="minorHAnsi"/>
          <w:color w:val="000000"/>
          <w:sz w:val="24"/>
          <w:szCs w:val="24"/>
          <w:shd w:val="clear" w:color="auto" w:fill="FFFFFF"/>
        </w:rPr>
        <w:t>Perre</w:t>
      </w:r>
      <w:proofErr w:type="spellEnd"/>
      <w:r w:rsidRPr="00B52430">
        <w:rPr>
          <w:rFonts w:cstheme="minorHAnsi"/>
          <w:color w:val="000000"/>
          <w:sz w:val="24"/>
          <w:szCs w:val="24"/>
          <w:shd w:val="clear" w:color="auto" w:fill="FFFFFF"/>
        </w:rPr>
        <w:t xml:space="preserve">, A., </w:t>
      </w:r>
      <w:proofErr w:type="spellStart"/>
      <w:r w:rsidRPr="00B52430">
        <w:rPr>
          <w:rFonts w:cstheme="minorHAnsi"/>
          <w:color w:val="000000"/>
          <w:sz w:val="24"/>
          <w:szCs w:val="24"/>
          <w:shd w:val="clear" w:color="auto" w:fill="FFFFFF"/>
        </w:rPr>
        <w:t>Boschloos</w:t>
      </w:r>
      <w:proofErr w:type="spellEnd"/>
      <w:r w:rsidRPr="00B52430">
        <w:rPr>
          <w:rFonts w:cstheme="minorHAnsi"/>
          <w:color w:val="000000"/>
          <w:sz w:val="24"/>
          <w:szCs w:val="24"/>
          <w:shd w:val="clear" w:color="auto" w:fill="FFFFFF"/>
        </w:rPr>
        <w:t xml:space="preserve">, V., </w:t>
      </w:r>
      <w:proofErr w:type="spellStart"/>
      <w:r w:rsidRPr="00B52430">
        <w:rPr>
          <w:rFonts w:cstheme="minorHAnsi"/>
          <w:color w:val="000000"/>
          <w:sz w:val="24"/>
          <w:szCs w:val="24"/>
          <w:shd w:val="clear" w:color="auto" w:fill="FFFFFF"/>
        </w:rPr>
        <w:t>Ossieur</w:t>
      </w:r>
      <w:proofErr w:type="spellEnd"/>
      <w:r w:rsidRPr="00B52430">
        <w:rPr>
          <w:rFonts w:cstheme="minorHAnsi"/>
          <w:color w:val="000000"/>
          <w:sz w:val="24"/>
          <w:szCs w:val="24"/>
          <w:shd w:val="clear" w:color="auto" w:fill="FFFFFF"/>
        </w:rPr>
        <w:t xml:space="preserve">, F., </w:t>
      </w:r>
      <w:proofErr w:type="spellStart"/>
      <w:r w:rsidRPr="00B52430">
        <w:rPr>
          <w:rFonts w:cstheme="minorHAnsi"/>
          <w:color w:val="000000"/>
          <w:sz w:val="24"/>
          <w:szCs w:val="24"/>
          <w:shd w:val="clear" w:color="auto" w:fill="FFFFFF"/>
        </w:rPr>
        <w:t>Vandermeulen</w:t>
      </w:r>
      <w:proofErr w:type="spellEnd"/>
      <w:r w:rsidRPr="00B52430">
        <w:rPr>
          <w:rFonts w:cstheme="minorHAnsi"/>
          <w:color w:val="000000"/>
          <w:sz w:val="24"/>
          <w:szCs w:val="24"/>
          <w:shd w:val="clear" w:color="auto" w:fill="FFFFFF"/>
        </w:rPr>
        <w:t xml:space="preserve">, B., </w:t>
      </w:r>
      <w:proofErr w:type="spellStart"/>
      <w:r w:rsidRPr="00B52430">
        <w:rPr>
          <w:rFonts w:cstheme="minorHAnsi"/>
          <w:color w:val="000000"/>
          <w:sz w:val="24"/>
          <w:szCs w:val="24"/>
          <w:shd w:val="clear" w:color="auto" w:fill="FFFFFF"/>
        </w:rPr>
        <w:t>Proesmans</w:t>
      </w:r>
      <w:proofErr w:type="spellEnd"/>
      <w:r w:rsidRPr="00B52430">
        <w:rPr>
          <w:rFonts w:cstheme="minorHAnsi"/>
          <w:color w:val="000000"/>
          <w:sz w:val="24"/>
          <w:szCs w:val="24"/>
          <w:shd w:val="clear" w:color="auto" w:fill="FFFFFF"/>
        </w:rPr>
        <w:t xml:space="preserve">, M. and </w:t>
      </w:r>
      <w:proofErr w:type="spellStart"/>
      <w:r w:rsidRPr="00B52430">
        <w:rPr>
          <w:rFonts w:cstheme="minorHAnsi"/>
          <w:color w:val="000000"/>
          <w:sz w:val="24"/>
          <w:szCs w:val="24"/>
          <w:shd w:val="clear" w:color="auto" w:fill="FFFFFF"/>
        </w:rPr>
        <w:t>Braekmans</w:t>
      </w:r>
      <w:proofErr w:type="spellEnd"/>
      <w:r w:rsidRPr="00B52430">
        <w:rPr>
          <w:rFonts w:cstheme="minorHAnsi"/>
          <w:color w:val="000000"/>
          <w:sz w:val="24"/>
          <w:szCs w:val="24"/>
          <w:shd w:val="clear" w:color="auto" w:fill="FFFFFF"/>
        </w:rPr>
        <w:t>, D., 2017. </w:t>
      </w:r>
      <w:r w:rsidRPr="00B52430">
        <w:rPr>
          <w:rFonts w:cstheme="minorHAnsi"/>
          <w:i/>
          <w:iCs/>
          <w:color w:val="000000"/>
          <w:sz w:val="24"/>
          <w:szCs w:val="24"/>
          <w:shd w:val="clear" w:color="auto" w:fill="FFFFFF"/>
        </w:rPr>
        <w:t>CONSERVATION, IR, UV AND 3D-IMAGING: THE EGYPTIAN EXECRATION STATUETTES PROJECT (EES)</w:t>
      </w:r>
      <w:r w:rsidRPr="00B52430">
        <w:rPr>
          <w:rFonts w:cstheme="minorHAnsi"/>
          <w:color w:val="000000"/>
          <w:sz w:val="24"/>
          <w:szCs w:val="24"/>
          <w:shd w:val="clear" w:color="auto" w:fill="FFFFFF"/>
        </w:rPr>
        <w:t>. [online] Brussels: Belgian Science Policy. Available at: &lt;https://www.researchgate.net/publication/322665165_Final_report_Brainbe_Pioneer_Project_BR121PIEES_CONSERVATION_IR_UV_AND_3D-IMAGING_THE_EGYPTIAN_EXECRATION_STATUETTES_PROJECT_EES&gt; [Accessed 1 February 2021].</w:t>
      </w:r>
    </w:p>
    <w:p w14:paraId="677474E9" w14:textId="633A44AF" w:rsidR="00B645F3" w:rsidRPr="00B645F3" w:rsidRDefault="00B645F3" w:rsidP="00003992">
      <w:pPr>
        <w:spacing w:line="360" w:lineRule="auto"/>
        <w:jc w:val="both"/>
        <w:rPr>
          <w:rFonts w:cstheme="minorHAnsi"/>
          <w:sz w:val="32"/>
          <w:szCs w:val="32"/>
        </w:rPr>
      </w:pPr>
      <w:r w:rsidRPr="00B645F3">
        <w:rPr>
          <w:rFonts w:cstheme="minorHAnsi"/>
          <w:color w:val="000000"/>
          <w:sz w:val="24"/>
          <w:szCs w:val="24"/>
          <w:shd w:val="clear" w:color="auto" w:fill="FFFFFF"/>
        </w:rPr>
        <w:t>Harrington, N., 2021. </w:t>
      </w:r>
      <w:r w:rsidRPr="00B645F3">
        <w:rPr>
          <w:rFonts w:cstheme="minorHAnsi"/>
          <w:i/>
          <w:iCs/>
          <w:color w:val="000000"/>
          <w:sz w:val="24"/>
          <w:szCs w:val="24"/>
          <w:shd w:val="clear" w:color="auto" w:fill="FFFFFF"/>
        </w:rPr>
        <w:t>Living With the Dead</w:t>
      </w:r>
      <w:r w:rsidRPr="00B645F3">
        <w:rPr>
          <w:rFonts w:cstheme="minorHAnsi"/>
          <w:color w:val="000000"/>
          <w:sz w:val="24"/>
          <w:szCs w:val="24"/>
          <w:shd w:val="clear" w:color="auto" w:fill="FFFFFF"/>
        </w:rPr>
        <w:t>. Oxford: Oxbow Books.</w:t>
      </w:r>
    </w:p>
    <w:p w14:paraId="56E3CDE2" w14:textId="34A2DFE7" w:rsidR="00003992" w:rsidRPr="00003992" w:rsidRDefault="00003992" w:rsidP="00003992">
      <w:pPr>
        <w:spacing w:line="360" w:lineRule="auto"/>
        <w:jc w:val="both"/>
        <w:rPr>
          <w:rFonts w:cstheme="minorHAnsi"/>
          <w:sz w:val="24"/>
          <w:szCs w:val="24"/>
        </w:rPr>
      </w:pPr>
      <w:r w:rsidRPr="00003992">
        <w:rPr>
          <w:rFonts w:cstheme="minorHAnsi"/>
          <w:sz w:val="24"/>
          <w:szCs w:val="24"/>
        </w:rPr>
        <w:t>Hayes, W., 1978. </w:t>
      </w:r>
      <w:r w:rsidRPr="00003992">
        <w:rPr>
          <w:rFonts w:cstheme="minorHAnsi"/>
          <w:i/>
          <w:iCs/>
          <w:sz w:val="24"/>
          <w:szCs w:val="24"/>
        </w:rPr>
        <w:t>The Scepter Of Egypt Vol. 1</w:t>
      </w:r>
      <w:r w:rsidRPr="00003992">
        <w:rPr>
          <w:rFonts w:cstheme="minorHAnsi"/>
          <w:sz w:val="24"/>
          <w:szCs w:val="24"/>
        </w:rPr>
        <w:t>. Metropolitan Museum of Art.</w:t>
      </w:r>
    </w:p>
    <w:p w14:paraId="7C5E3E80" w14:textId="77777777" w:rsidR="00003992" w:rsidRPr="00003992" w:rsidRDefault="00003992" w:rsidP="00003992">
      <w:pPr>
        <w:spacing w:line="360" w:lineRule="auto"/>
        <w:jc w:val="both"/>
        <w:rPr>
          <w:rFonts w:cstheme="minorHAnsi"/>
          <w:sz w:val="24"/>
          <w:szCs w:val="24"/>
        </w:rPr>
      </w:pPr>
      <w:r w:rsidRPr="00003992">
        <w:rPr>
          <w:rFonts w:cstheme="minorHAnsi"/>
          <w:sz w:val="24"/>
          <w:szCs w:val="24"/>
        </w:rPr>
        <w:t>Metmuseum.org. n.d. </w:t>
      </w:r>
      <w:r w:rsidRPr="00003992">
        <w:rPr>
          <w:rFonts w:cstheme="minorHAnsi"/>
          <w:i/>
          <w:iCs/>
          <w:sz w:val="24"/>
          <w:szCs w:val="24"/>
        </w:rPr>
        <w:t>Female Figure</w:t>
      </w:r>
      <w:r w:rsidRPr="00003992">
        <w:rPr>
          <w:rFonts w:cstheme="minorHAnsi"/>
          <w:sz w:val="24"/>
          <w:szCs w:val="24"/>
        </w:rPr>
        <w:t>. [online] Available at: &lt;https://www.metmuseum.org/art/collection/search/544222?pos=3&gt; [Accessed 24 January 2021].</w:t>
      </w:r>
    </w:p>
    <w:p w14:paraId="4690A7D1" w14:textId="77777777" w:rsidR="00003992" w:rsidRPr="00003992" w:rsidRDefault="00003992" w:rsidP="00003992">
      <w:pPr>
        <w:spacing w:line="360" w:lineRule="auto"/>
        <w:jc w:val="both"/>
        <w:rPr>
          <w:rFonts w:cstheme="minorHAnsi"/>
          <w:sz w:val="24"/>
          <w:szCs w:val="24"/>
        </w:rPr>
      </w:pPr>
      <w:r w:rsidRPr="00003992">
        <w:rPr>
          <w:rFonts w:cstheme="minorHAnsi"/>
          <w:sz w:val="24"/>
          <w:szCs w:val="24"/>
        </w:rPr>
        <w:t>Redpath, T., 2018. </w:t>
      </w:r>
      <w:r w:rsidRPr="00003992">
        <w:rPr>
          <w:rFonts w:cstheme="minorHAnsi"/>
          <w:i/>
          <w:iCs/>
          <w:sz w:val="24"/>
          <w:szCs w:val="24"/>
        </w:rPr>
        <w:t>Object in Focus: A Female Figurine from Ancient Egypt</w:t>
      </w:r>
      <w:r w:rsidRPr="00003992">
        <w:rPr>
          <w:rFonts w:cstheme="minorHAnsi"/>
          <w:sz w:val="24"/>
          <w:szCs w:val="24"/>
        </w:rPr>
        <w:t>. [online] Garstang Museum. Available at: &lt;https://garstangmuseum.wordpress.com/2018/08/29/object-in-focus-a-female-figurine-from-ancient-egypt/&gt; [Accessed 25 January 2021].</w:t>
      </w:r>
    </w:p>
    <w:p w14:paraId="3682C562" w14:textId="77777777" w:rsidR="00003992" w:rsidRPr="00003992" w:rsidRDefault="00003992" w:rsidP="00003992">
      <w:pPr>
        <w:spacing w:line="360" w:lineRule="auto"/>
        <w:jc w:val="both"/>
        <w:rPr>
          <w:rFonts w:cstheme="minorHAnsi"/>
          <w:sz w:val="24"/>
          <w:szCs w:val="24"/>
        </w:rPr>
      </w:pPr>
      <w:r w:rsidRPr="00003992">
        <w:rPr>
          <w:rFonts w:cstheme="minorHAnsi"/>
          <w:sz w:val="24"/>
          <w:szCs w:val="24"/>
        </w:rPr>
        <w:t>Taylor, J., 2001. </w:t>
      </w:r>
      <w:r w:rsidRPr="00003992">
        <w:rPr>
          <w:rFonts w:cstheme="minorHAnsi"/>
          <w:i/>
          <w:iCs/>
          <w:sz w:val="24"/>
          <w:szCs w:val="24"/>
        </w:rPr>
        <w:t>Death &amp; The Afterlife In Ancient Egypt</w:t>
      </w:r>
      <w:r w:rsidRPr="00003992">
        <w:rPr>
          <w:rFonts w:cstheme="minorHAnsi"/>
          <w:sz w:val="24"/>
          <w:szCs w:val="24"/>
        </w:rPr>
        <w:t>. 1st ed. London: British Museum Press.</w:t>
      </w:r>
    </w:p>
    <w:p w14:paraId="51DB0CE1" w14:textId="77777777" w:rsidR="00003992" w:rsidRPr="00003992" w:rsidRDefault="00003992" w:rsidP="00003992">
      <w:pPr>
        <w:spacing w:line="360" w:lineRule="auto"/>
        <w:jc w:val="both"/>
        <w:rPr>
          <w:rFonts w:cstheme="minorHAnsi"/>
          <w:sz w:val="24"/>
          <w:szCs w:val="24"/>
        </w:rPr>
      </w:pPr>
      <w:r w:rsidRPr="00003992">
        <w:rPr>
          <w:rFonts w:cstheme="minorHAnsi"/>
          <w:sz w:val="24"/>
          <w:szCs w:val="24"/>
        </w:rPr>
        <w:lastRenderedPageBreak/>
        <w:t>The British Museum. n.d. </w:t>
      </w:r>
      <w:r w:rsidRPr="00003992">
        <w:rPr>
          <w:rFonts w:cstheme="minorHAnsi"/>
          <w:i/>
          <w:iCs/>
          <w:sz w:val="24"/>
          <w:szCs w:val="24"/>
        </w:rPr>
        <w:t>Shabti</w:t>
      </w:r>
      <w:r w:rsidRPr="00003992">
        <w:rPr>
          <w:rFonts w:cstheme="minorHAnsi"/>
          <w:sz w:val="24"/>
          <w:szCs w:val="24"/>
        </w:rPr>
        <w:t>. [online] Available at: &lt;https://www.britishmuseum.org/collection/object/Y_EA41548&gt; [Accessed 25 January 2021].</w:t>
      </w:r>
    </w:p>
    <w:p w14:paraId="5B89EA21" w14:textId="77777777" w:rsidR="00003992" w:rsidRPr="00003992" w:rsidRDefault="00003992" w:rsidP="00003992">
      <w:pPr>
        <w:spacing w:line="360" w:lineRule="auto"/>
        <w:jc w:val="both"/>
        <w:rPr>
          <w:rFonts w:cstheme="minorHAnsi"/>
          <w:sz w:val="24"/>
          <w:szCs w:val="24"/>
        </w:rPr>
      </w:pPr>
      <w:r w:rsidRPr="00003992">
        <w:rPr>
          <w:rFonts w:cstheme="minorHAnsi"/>
          <w:sz w:val="24"/>
          <w:szCs w:val="24"/>
        </w:rPr>
        <w:t>Waraksa, E., 2009. </w:t>
      </w:r>
      <w:r w:rsidRPr="00003992">
        <w:rPr>
          <w:rFonts w:cstheme="minorHAnsi"/>
          <w:i/>
          <w:iCs/>
          <w:sz w:val="24"/>
          <w:szCs w:val="24"/>
        </w:rPr>
        <w:t>Female Figurines From The Mut Precinct</w:t>
      </w:r>
      <w:r w:rsidRPr="00003992">
        <w:rPr>
          <w:rFonts w:cstheme="minorHAnsi"/>
          <w:sz w:val="24"/>
          <w:szCs w:val="24"/>
        </w:rPr>
        <w:t>. 1st ed. Switzerland: Academic Press Fribourg.</w:t>
      </w:r>
    </w:p>
    <w:p w14:paraId="5961BD6A" w14:textId="77777777" w:rsidR="00B21A7D" w:rsidRPr="000B5D4C" w:rsidRDefault="00B21A7D" w:rsidP="00B30013">
      <w:pPr>
        <w:spacing w:line="360" w:lineRule="auto"/>
        <w:jc w:val="both"/>
        <w:rPr>
          <w:rFonts w:cstheme="minorHAnsi"/>
          <w:sz w:val="24"/>
          <w:szCs w:val="24"/>
        </w:rPr>
      </w:pPr>
    </w:p>
    <w:p w14:paraId="2A26B73C" w14:textId="77777777" w:rsidR="00746B14" w:rsidRPr="000B5D4C" w:rsidRDefault="00746B14" w:rsidP="00B30013">
      <w:pPr>
        <w:spacing w:after="0" w:line="360" w:lineRule="auto"/>
        <w:jc w:val="both"/>
        <w:rPr>
          <w:rFonts w:cstheme="minorHAnsi"/>
          <w:sz w:val="24"/>
          <w:szCs w:val="24"/>
          <w:u w:val="single"/>
        </w:rPr>
      </w:pPr>
    </w:p>
    <w:p w14:paraId="60369032" w14:textId="77777777" w:rsidR="00B157A5" w:rsidRPr="000B5D4C" w:rsidRDefault="00B157A5" w:rsidP="00B30013">
      <w:pPr>
        <w:spacing w:after="0" w:line="360" w:lineRule="auto"/>
        <w:jc w:val="both"/>
        <w:rPr>
          <w:rFonts w:cstheme="minorHAnsi"/>
          <w:sz w:val="24"/>
          <w:szCs w:val="24"/>
        </w:rPr>
      </w:pPr>
    </w:p>
    <w:sectPr w:rsidR="00B157A5" w:rsidRPr="000B5D4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66B90585"/>
    <w:multiLevelType w:val="hybridMultilevel"/>
    <w:tmpl w:val="CA28F264"/>
    <w:lvl w:ilvl="0" w:tplc="98AA5194">
      <w:start w:val="1"/>
      <w:numFmt w:val="bullet"/>
      <w:lvlText w:val="•"/>
      <w:lvlJc w:val="left"/>
      <w:pPr>
        <w:tabs>
          <w:tab w:val="num" w:pos="720"/>
        </w:tabs>
        <w:ind w:left="720" w:hanging="360"/>
      </w:pPr>
      <w:rPr>
        <w:rFonts w:ascii="Arial" w:hAnsi="Arial" w:hint="default"/>
      </w:rPr>
    </w:lvl>
    <w:lvl w:ilvl="1" w:tplc="1A50E1EA" w:tentative="1">
      <w:start w:val="1"/>
      <w:numFmt w:val="bullet"/>
      <w:lvlText w:val="•"/>
      <w:lvlJc w:val="left"/>
      <w:pPr>
        <w:tabs>
          <w:tab w:val="num" w:pos="1440"/>
        </w:tabs>
        <w:ind w:left="1440" w:hanging="360"/>
      </w:pPr>
      <w:rPr>
        <w:rFonts w:ascii="Arial" w:hAnsi="Arial" w:hint="default"/>
      </w:rPr>
    </w:lvl>
    <w:lvl w:ilvl="2" w:tplc="8D5ECD04" w:tentative="1">
      <w:start w:val="1"/>
      <w:numFmt w:val="bullet"/>
      <w:lvlText w:val="•"/>
      <w:lvlJc w:val="left"/>
      <w:pPr>
        <w:tabs>
          <w:tab w:val="num" w:pos="2160"/>
        </w:tabs>
        <w:ind w:left="2160" w:hanging="360"/>
      </w:pPr>
      <w:rPr>
        <w:rFonts w:ascii="Arial" w:hAnsi="Arial" w:hint="default"/>
      </w:rPr>
    </w:lvl>
    <w:lvl w:ilvl="3" w:tplc="B104579E" w:tentative="1">
      <w:start w:val="1"/>
      <w:numFmt w:val="bullet"/>
      <w:lvlText w:val="•"/>
      <w:lvlJc w:val="left"/>
      <w:pPr>
        <w:tabs>
          <w:tab w:val="num" w:pos="2880"/>
        </w:tabs>
        <w:ind w:left="2880" w:hanging="360"/>
      </w:pPr>
      <w:rPr>
        <w:rFonts w:ascii="Arial" w:hAnsi="Arial" w:hint="default"/>
      </w:rPr>
    </w:lvl>
    <w:lvl w:ilvl="4" w:tplc="D4DC9D14" w:tentative="1">
      <w:start w:val="1"/>
      <w:numFmt w:val="bullet"/>
      <w:lvlText w:val="•"/>
      <w:lvlJc w:val="left"/>
      <w:pPr>
        <w:tabs>
          <w:tab w:val="num" w:pos="3600"/>
        </w:tabs>
        <w:ind w:left="3600" w:hanging="360"/>
      </w:pPr>
      <w:rPr>
        <w:rFonts w:ascii="Arial" w:hAnsi="Arial" w:hint="default"/>
      </w:rPr>
    </w:lvl>
    <w:lvl w:ilvl="5" w:tplc="858237EC" w:tentative="1">
      <w:start w:val="1"/>
      <w:numFmt w:val="bullet"/>
      <w:lvlText w:val="•"/>
      <w:lvlJc w:val="left"/>
      <w:pPr>
        <w:tabs>
          <w:tab w:val="num" w:pos="4320"/>
        </w:tabs>
        <w:ind w:left="4320" w:hanging="360"/>
      </w:pPr>
      <w:rPr>
        <w:rFonts w:ascii="Arial" w:hAnsi="Arial" w:hint="default"/>
      </w:rPr>
    </w:lvl>
    <w:lvl w:ilvl="6" w:tplc="E4AAD890" w:tentative="1">
      <w:start w:val="1"/>
      <w:numFmt w:val="bullet"/>
      <w:lvlText w:val="•"/>
      <w:lvlJc w:val="left"/>
      <w:pPr>
        <w:tabs>
          <w:tab w:val="num" w:pos="5040"/>
        </w:tabs>
        <w:ind w:left="5040" w:hanging="360"/>
      </w:pPr>
      <w:rPr>
        <w:rFonts w:ascii="Arial" w:hAnsi="Arial" w:hint="default"/>
      </w:rPr>
    </w:lvl>
    <w:lvl w:ilvl="7" w:tplc="A5F8CE6A" w:tentative="1">
      <w:start w:val="1"/>
      <w:numFmt w:val="bullet"/>
      <w:lvlText w:val="•"/>
      <w:lvlJc w:val="left"/>
      <w:pPr>
        <w:tabs>
          <w:tab w:val="num" w:pos="5760"/>
        </w:tabs>
        <w:ind w:left="5760" w:hanging="360"/>
      </w:pPr>
      <w:rPr>
        <w:rFonts w:ascii="Arial" w:hAnsi="Arial" w:hint="default"/>
      </w:rPr>
    </w:lvl>
    <w:lvl w:ilvl="8" w:tplc="5CEC1CDC" w:tentative="1">
      <w:start w:val="1"/>
      <w:numFmt w:val="bullet"/>
      <w:lvlText w:val="•"/>
      <w:lvlJc w:val="left"/>
      <w:pPr>
        <w:tabs>
          <w:tab w:val="num" w:pos="6480"/>
        </w:tabs>
        <w:ind w:left="6480" w:hanging="360"/>
      </w:pPr>
      <w:rPr>
        <w:rFonts w:ascii="Arial" w:hAnsi="Arial"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2811"/>
    <w:rsid w:val="00002B43"/>
    <w:rsid w:val="00003992"/>
    <w:rsid w:val="000073AC"/>
    <w:rsid w:val="00032344"/>
    <w:rsid w:val="000833B4"/>
    <w:rsid w:val="000A2470"/>
    <w:rsid w:val="000A3042"/>
    <w:rsid w:val="000B5D4C"/>
    <w:rsid w:val="001061FD"/>
    <w:rsid w:val="001642E9"/>
    <w:rsid w:val="001C75EA"/>
    <w:rsid w:val="001E3E5B"/>
    <w:rsid w:val="001F29C1"/>
    <w:rsid w:val="001F56A0"/>
    <w:rsid w:val="002263F5"/>
    <w:rsid w:val="00262F92"/>
    <w:rsid w:val="0026458F"/>
    <w:rsid w:val="00270EBE"/>
    <w:rsid w:val="0027736B"/>
    <w:rsid w:val="00284753"/>
    <w:rsid w:val="003502FE"/>
    <w:rsid w:val="003B3D36"/>
    <w:rsid w:val="003C4669"/>
    <w:rsid w:val="003D1B2E"/>
    <w:rsid w:val="00426C7C"/>
    <w:rsid w:val="004A2D18"/>
    <w:rsid w:val="004B614E"/>
    <w:rsid w:val="004C1D1C"/>
    <w:rsid w:val="004D5842"/>
    <w:rsid w:val="005123D4"/>
    <w:rsid w:val="005832EC"/>
    <w:rsid w:val="005833A4"/>
    <w:rsid w:val="005B5DD1"/>
    <w:rsid w:val="005E0162"/>
    <w:rsid w:val="005F6394"/>
    <w:rsid w:val="00600E8D"/>
    <w:rsid w:val="00632023"/>
    <w:rsid w:val="00632D9A"/>
    <w:rsid w:val="006473DD"/>
    <w:rsid w:val="006776E3"/>
    <w:rsid w:val="00681FD7"/>
    <w:rsid w:val="00683B27"/>
    <w:rsid w:val="006869EF"/>
    <w:rsid w:val="006912A3"/>
    <w:rsid w:val="006B1C86"/>
    <w:rsid w:val="006B1CAE"/>
    <w:rsid w:val="006B7147"/>
    <w:rsid w:val="006D005B"/>
    <w:rsid w:val="006D2811"/>
    <w:rsid w:val="006D7B21"/>
    <w:rsid w:val="00746B14"/>
    <w:rsid w:val="007557A3"/>
    <w:rsid w:val="007769A6"/>
    <w:rsid w:val="00782AC9"/>
    <w:rsid w:val="00825FEC"/>
    <w:rsid w:val="0086404C"/>
    <w:rsid w:val="008824BD"/>
    <w:rsid w:val="008926C5"/>
    <w:rsid w:val="00893326"/>
    <w:rsid w:val="008B245B"/>
    <w:rsid w:val="008D7732"/>
    <w:rsid w:val="009455BE"/>
    <w:rsid w:val="00950FFA"/>
    <w:rsid w:val="00A324CC"/>
    <w:rsid w:val="00A32A7E"/>
    <w:rsid w:val="00AB0627"/>
    <w:rsid w:val="00AD44A8"/>
    <w:rsid w:val="00AE05FD"/>
    <w:rsid w:val="00B01D86"/>
    <w:rsid w:val="00B07020"/>
    <w:rsid w:val="00B157A5"/>
    <w:rsid w:val="00B21A7D"/>
    <w:rsid w:val="00B30013"/>
    <w:rsid w:val="00B31DA6"/>
    <w:rsid w:val="00B346AF"/>
    <w:rsid w:val="00B52430"/>
    <w:rsid w:val="00B645F3"/>
    <w:rsid w:val="00B96B0B"/>
    <w:rsid w:val="00BD13C5"/>
    <w:rsid w:val="00C33F48"/>
    <w:rsid w:val="00C502EA"/>
    <w:rsid w:val="00C57B84"/>
    <w:rsid w:val="00C616BF"/>
    <w:rsid w:val="00C809DB"/>
    <w:rsid w:val="00C914F4"/>
    <w:rsid w:val="00C96D9A"/>
    <w:rsid w:val="00CA3179"/>
    <w:rsid w:val="00CC4CCA"/>
    <w:rsid w:val="00CE3883"/>
    <w:rsid w:val="00D2082B"/>
    <w:rsid w:val="00D21CFB"/>
    <w:rsid w:val="00D3078F"/>
    <w:rsid w:val="00D35133"/>
    <w:rsid w:val="00D558A8"/>
    <w:rsid w:val="00D826C1"/>
    <w:rsid w:val="00D829E6"/>
    <w:rsid w:val="00D849DD"/>
    <w:rsid w:val="00DA310B"/>
    <w:rsid w:val="00DC5E9A"/>
    <w:rsid w:val="00DD5672"/>
    <w:rsid w:val="00DF398E"/>
    <w:rsid w:val="00E14E14"/>
    <w:rsid w:val="00E21A89"/>
    <w:rsid w:val="00E43B24"/>
    <w:rsid w:val="00E7394F"/>
    <w:rsid w:val="00E922C2"/>
    <w:rsid w:val="00EB0C32"/>
    <w:rsid w:val="00EC3FDC"/>
    <w:rsid w:val="00EE4D53"/>
    <w:rsid w:val="00EF1806"/>
    <w:rsid w:val="00F07C09"/>
    <w:rsid w:val="00F10C34"/>
    <w:rsid w:val="00F17DE8"/>
    <w:rsid w:val="00F2332B"/>
    <w:rsid w:val="00F505A1"/>
    <w:rsid w:val="00F56FF9"/>
    <w:rsid w:val="00F84E0D"/>
    <w:rsid w:val="00F97745"/>
    <w:rsid w:val="00FB249E"/>
    <w:rsid w:val="00FE19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49B7BA"/>
  <w15:chartTrackingRefBased/>
  <w15:docId w15:val="{AA4C9441-951B-4916-8189-6F0B45FF6B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43B24"/>
    <w:pPr>
      <w:spacing w:after="200" w:line="276" w:lineRule="auto"/>
      <w:ind w:left="720"/>
      <w:contextualSpacing/>
    </w:pPr>
    <w:rPr>
      <w:rFonts w:ascii="Calibri" w:eastAsia="Times New Roman" w:hAnsi="Calibri" w:cs="Times New Roman"/>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716928906">
      <w:bodyDiv w:val="1"/>
      <w:marLeft w:val="0"/>
      <w:marRight w:val="0"/>
      <w:marTop w:val="0"/>
      <w:marBottom w:val="0"/>
      <w:divBdr>
        <w:top w:val="none" w:sz="0" w:space="0" w:color="auto"/>
        <w:left w:val="none" w:sz="0" w:space="0" w:color="auto"/>
        <w:bottom w:val="none" w:sz="0" w:space="0" w:color="auto"/>
        <w:right w:val="none" w:sz="0" w:space="0" w:color="auto"/>
      </w:divBdr>
      <w:divsChild>
        <w:div w:id="446698829">
          <w:marLeft w:val="360"/>
          <w:marRight w:val="0"/>
          <w:marTop w:val="200"/>
          <w:marBottom w:val="0"/>
          <w:divBdr>
            <w:top w:val="none" w:sz="0" w:space="0" w:color="auto"/>
            <w:left w:val="none" w:sz="0" w:space="0" w:color="auto"/>
            <w:bottom w:val="none" w:sz="0" w:space="0" w:color="auto"/>
            <w:right w:val="none" w:sz="0" w:space="0" w:color="auto"/>
          </w:divBdr>
        </w:div>
        <w:div w:id="1773626427">
          <w:marLeft w:val="360"/>
          <w:marRight w:val="0"/>
          <w:marTop w:val="200"/>
          <w:marBottom w:val="0"/>
          <w:divBdr>
            <w:top w:val="none" w:sz="0" w:space="0" w:color="auto"/>
            <w:left w:val="none" w:sz="0" w:space="0" w:color="auto"/>
            <w:bottom w:val="none" w:sz="0" w:space="0" w:color="auto"/>
            <w:right w:val="none" w:sz="0" w:space="0" w:color="auto"/>
          </w:divBdr>
        </w:div>
        <w:div w:id="744110081">
          <w:marLeft w:val="360"/>
          <w:marRight w:val="0"/>
          <w:marTop w:val="200"/>
          <w:marBottom w:val="0"/>
          <w:divBdr>
            <w:top w:val="none" w:sz="0" w:space="0" w:color="auto"/>
            <w:left w:val="none" w:sz="0" w:space="0" w:color="auto"/>
            <w:bottom w:val="none" w:sz="0" w:space="0" w:color="auto"/>
            <w:right w:val="none" w:sz="0" w:space="0" w:color="auto"/>
          </w:divBdr>
        </w:div>
        <w:div w:id="1717120855">
          <w:marLeft w:val="360"/>
          <w:marRight w:val="0"/>
          <w:marTop w:val="200"/>
          <w:marBottom w:val="0"/>
          <w:divBdr>
            <w:top w:val="none" w:sz="0" w:space="0" w:color="auto"/>
            <w:left w:val="none" w:sz="0" w:space="0" w:color="auto"/>
            <w:bottom w:val="none" w:sz="0" w:space="0" w:color="auto"/>
            <w:right w:val="none" w:sz="0" w:space="0" w:color="auto"/>
          </w:divBdr>
        </w:div>
        <w:div w:id="52852753">
          <w:marLeft w:val="360"/>
          <w:marRight w:val="0"/>
          <w:marTop w:val="200"/>
          <w:marBottom w:val="0"/>
          <w:divBdr>
            <w:top w:val="none" w:sz="0" w:space="0" w:color="auto"/>
            <w:left w:val="none" w:sz="0" w:space="0" w:color="auto"/>
            <w:bottom w:val="none" w:sz="0" w:space="0" w:color="auto"/>
            <w:right w:val="none" w:sz="0" w:space="0" w:color="auto"/>
          </w:divBdr>
        </w:div>
        <w:div w:id="1895578771">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image" Target="media/image3.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theme" Target="theme/theme1.xml"/><Relationship Id="rId5" Type="http://schemas.openxmlformats.org/officeDocument/2006/relationships/image" Target="media/image1.jpe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5.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1620</TotalTime>
  <Pages>6</Pages>
  <Words>1110</Words>
  <Characters>6333</Characters>
  <Application>Microsoft Office Word</Application>
  <DocSecurity>0</DocSecurity>
  <Lines>52</Lines>
  <Paragraphs>14</Paragraphs>
  <ScaleCrop>false</ScaleCrop>
  <Company/>
  <LinksUpToDate>false</LinksUpToDate>
  <CharactersWithSpaces>7429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Imogen Rawlinson</dc:creator>
  <cp:keywords/>
  <dc:description/>
  <cp:lastModifiedBy>Imogen Rawlinson</cp:lastModifiedBy>
  <cp:revision>118</cp:revision>
  <dcterms:created xsi:type="dcterms:W3CDTF">2021-02-03T01:06:00Z</dcterms:created>
  <dcterms:modified xsi:type="dcterms:W3CDTF">2021-02-04T09:56:00Z</dcterms:modified>
</cp:coreProperties>
</file>