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A4533" w14:textId="22C2D447" w:rsidR="00A621CA" w:rsidRPr="00FE49A1" w:rsidRDefault="00A621CA" w:rsidP="00BB2EDA">
      <w:pPr>
        <w:rPr>
          <w:rFonts w:ascii="Calibri" w:hAnsi="Calibri" w:cs="Arial"/>
          <w:color w:val="000000"/>
          <w:sz w:val="22"/>
          <w:szCs w:val="22"/>
        </w:rPr>
      </w:pPr>
      <w:r w:rsidRPr="00FE49A1">
        <w:rPr>
          <w:rFonts w:ascii="Calibri" w:hAnsi="Calibri"/>
          <w:color w:val="215E99" w:themeColor="text2" w:themeTint="BF"/>
          <w:sz w:val="22"/>
          <w:szCs w:val="22"/>
        </w:rPr>
        <w:t>1.Ex</w:t>
      </w:r>
      <w:r w:rsidRPr="00FE49A1">
        <w:rPr>
          <w:rFonts w:ascii="Calibri" w:hAnsi="Calibri" w:cs="Arial"/>
          <w:color w:val="215E99" w:themeColor="text2" w:themeTint="BF"/>
          <w:sz w:val="22"/>
          <w:szCs w:val="22"/>
        </w:rPr>
        <w:t>plain the principles of reward and its importance to organisational culture and performance management. (AC 1.1)</w:t>
      </w:r>
    </w:p>
    <w:p w14:paraId="1E27A4A7" w14:textId="1FAEF233" w:rsidR="009B4A04" w:rsidRPr="00C9227A" w:rsidRDefault="008E2C2E" w:rsidP="00BB2EDA">
      <w:pPr>
        <w:rPr>
          <w:rFonts w:ascii="Calibri" w:eastAsia="Times New Roman" w:hAnsi="Calibri" w:cs="Arial"/>
          <w:color w:val="000000" w:themeColor="text1"/>
          <w:sz w:val="22"/>
          <w:szCs w:val="22"/>
        </w:rPr>
      </w:pPr>
      <w:r w:rsidRPr="00C9227A">
        <w:rPr>
          <w:rFonts w:ascii="Calibri" w:eastAsia="Times New Roman" w:hAnsi="Calibri"/>
          <w:color w:val="000000" w:themeColor="text1"/>
          <w:sz w:val="22"/>
          <w:szCs w:val="22"/>
        </w:rPr>
        <w:t>Reward management involves rewarding employees based on performance, contribution, competence, skill, or service, including both financial and non-financial rewards, such as job-based pay.</w:t>
      </w:r>
      <w:r w:rsidR="00AF46CB" w:rsidRPr="00C9227A">
        <w:rPr>
          <w:rFonts w:ascii="Calibri" w:eastAsia="Times New Roman" w:hAnsi="Calibri" w:cs="Arial"/>
          <w:color w:val="000000" w:themeColor="text1"/>
          <w:sz w:val="22"/>
          <w:szCs w:val="22"/>
        </w:rPr>
        <w:t xml:space="preserve">while non-financial rewards include recognition and praise. Total reward </w:t>
      </w:r>
      <w:r w:rsidR="00F76E51" w:rsidRPr="00C9227A">
        <w:rPr>
          <w:rFonts w:ascii="Calibri" w:eastAsia="Times New Roman" w:hAnsi="Calibri" w:cs="Arial"/>
          <w:color w:val="000000" w:themeColor="text1"/>
          <w:sz w:val="22"/>
          <w:szCs w:val="22"/>
        </w:rPr>
        <w:t>emphasises</w:t>
      </w:r>
      <w:r w:rsidR="00AF46CB" w:rsidRPr="00C9227A">
        <w:rPr>
          <w:rFonts w:ascii="Calibri" w:eastAsia="Times New Roman" w:hAnsi="Calibri" w:cs="Arial"/>
          <w:color w:val="000000" w:themeColor="text1"/>
          <w:sz w:val="22"/>
          <w:szCs w:val="22"/>
        </w:rPr>
        <w:t xml:space="preserve"> considering both types of rewards. The aims of reward management include recruiting, retaining, and motivating employees. The 'holy trinity' of reward principles includes aligning with the </w:t>
      </w:r>
      <w:r w:rsidR="00B76746" w:rsidRPr="00C9227A">
        <w:rPr>
          <w:rFonts w:ascii="Calibri" w:eastAsia="Times New Roman" w:hAnsi="Calibri" w:cs="Arial"/>
          <w:color w:val="000000" w:themeColor="text1"/>
          <w:sz w:val="22"/>
          <w:szCs w:val="22"/>
        </w:rPr>
        <w:t>organisation’s</w:t>
      </w:r>
      <w:r w:rsidR="00AF46CB" w:rsidRPr="00C9227A">
        <w:rPr>
          <w:rFonts w:ascii="Calibri" w:eastAsia="Times New Roman" w:hAnsi="Calibri" w:cs="Arial"/>
          <w:color w:val="000000" w:themeColor="text1"/>
          <w:sz w:val="22"/>
          <w:szCs w:val="22"/>
        </w:rPr>
        <w:t xml:space="preserve"> goals, maintaining competitiveness, motivating diverse workforces, and adopting an equitable, fair, collective, and compassionate approach, considering ESG framework criteria.</w:t>
      </w:r>
      <w:r w:rsidR="00F76E51" w:rsidRPr="00C9227A">
        <w:rPr>
          <w:rFonts w:ascii="Calibri" w:eastAsia="Times New Roman" w:hAnsi="Calibri" w:cs="Arial"/>
          <w:color w:val="000000" w:themeColor="text1"/>
          <w:sz w:val="22"/>
          <w:szCs w:val="22"/>
        </w:rPr>
        <w:t xml:space="preserve"> Armstrong and Brown (2024)</w:t>
      </w:r>
    </w:p>
    <w:p w14:paraId="6F594A6F" w14:textId="600E4C34" w:rsidR="00604857" w:rsidRPr="00C9227A" w:rsidRDefault="00664B19" w:rsidP="00BB2EDA">
      <w:pPr>
        <w:rPr>
          <w:rFonts w:ascii="Calibri" w:eastAsia="Times New Roman" w:hAnsi="Calibri" w:cs="Arial"/>
          <w:color w:val="000000" w:themeColor="text1"/>
          <w:sz w:val="22"/>
          <w:szCs w:val="22"/>
        </w:rPr>
      </w:pPr>
      <w:r w:rsidRPr="00C9227A">
        <w:rPr>
          <w:rFonts w:ascii="Calibri" w:eastAsia="Times New Roman" w:hAnsi="Calibri" w:cs="Arial"/>
          <w:color w:val="000000" w:themeColor="text1"/>
          <w:sz w:val="22"/>
          <w:szCs w:val="22"/>
        </w:rPr>
        <w:t>Organisational</w:t>
      </w:r>
      <w:r w:rsidR="00604857" w:rsidRPr="00C9227A">
        <w:rPr>
          <w:rFonts w:ascii="Calibri" w:eastAsia="Times New Roman" w:hAnsi="Calibri" w:cs="Arial"/>
          <w:color w:val="000000" w:themeColor="text1"/>
          <w:sz w:val="22"/>
          <w:szCs w:val="22"/>
        </w:rPr>
        <w:t xml:space="preserve"> culture significantly impacts reward management policy and practice. </w:t>
      </w:r>
      <w:r w:rsidR="00C11470" w:rsidRPr="00C9227A">
        <w:rPr>
          <w:rFonts w:ascii="Calibri" w:eastAsia="Times New Roman" w:hAnsi="Calibri"/>
          <w:color w:val="000000" w:themeColor="text1"/>
          <w:sz w:val="22"/>
          <w:szCs w:val="22"/>
        </w:rPr>
        <w:t xml:space="preserve">The shared values, norms, attitudes, and assumptions that influence </w:t>
      </w:r>
      <w:r w:rsidR="005635E2" w:rsidRPr="00C9227A">
        <w:rPr>
          <w:rFonts w:ascii="Calibri" w:eastAsia="Times New Roman" w:hAnsi="Calibri"/>
          <w:color w:val="000000" w:themeColor="text1"/>
          <w:sz w:val="22"/>
          <w:szCs w:val="22"/>
        </w:rPr>
        <w:t>behaviour</w:t>
      </w:r>
      <w:r w:rsidR="00C11470" w:rsidRPr="00C9227A">
        <w:rPr>
          <w:rFonts w:ascii="Calibri" w:eastAsia="Times New Roman" w:hAnsi="Calibri"/>
          <w:color w:val="000000" w:themeColor="text1"/>
          <w:sz w:val="22"/>
          <w:szCs w:val="22"/>
        </w:rPr>
        <w:t xml:space="preserve"> and performance are a crucial component of </w:t>
      </w:r>
      <w:r w:rsidR="005635E2" w:rsidRPr="00C9227A">
        <w:rPr>
          <w:rFonts w:ascii="Calibri" w:eastAsia="Times New Roman" w:hAnsi="Calibri"/>
          <w:color w:val="000000" w:themeColor="text1"/>
          <w:sz w:val="22"/>
          <w:szCs w:val="22"/>
        </w:rPr>
        <w:t>organisational</w:t>
      </w:r>
      <w:r w:rsidR="00C11470" w:rsidRPr="00C9227A">
        <w:rPr>
          <w:rFonts w:ascii="Calibri" w:eastAsia="Times New Roman" w:hAnsi="Calibri"/>
          <w:color w:val="000000" w:themeColor="text1"/>
          <w:sz w:val="22"/>
          <w:szCs w:val="22"/>
        </w:rPr>
        <w:t xml:space="preserve"> culture.</w:t>
      </w:r>
      <w:r w:rsidR="00604857" w:rsidRPr="00C9227A">
        <w:rPr>
          <w:rFonts w:ascii="Calibri" w:eastAsia="Times New Roman" w:hAnsi="Calibri" w:cs="Arial"/>
          <w:color w:val="000000" w:themeColor="text1"/>
          <w:sz w:val="22"/>
          <w:szCs w:val="22"/>
        </w:rPr>
        <w:t xml:space="preserve"> A positive culture fosters performance improvement, change management, and a sense of purpose. Core values, such as care, consideration, and equity, influence performance management, pay for contribution, and employee involvement in reward processes.</w:t>
      </w:r>
      <w:r w:rsidR="00E34100" w:rsidRPr="00C9227A">
        <w:rPr>
          <w:rFonts w:ascii="Calibri" w:eastAsia="Times New Roman" w:hAnsi="Calibri" w:cs="Arial"/>
          <w:color w:val="000000" w:themeColor="text1"/>
          <w:sz w:val="22"/>
          <w:szCs w:val="22"/>
        </w:rPr>
        <w:t xml:space="preserve"> Armstrong (2007a)</w:t>
      </w:r>
    </w:p>
    <w:p w14:paraId="63E2D5C8" w14:textId="5B0B7E01" w:rsidR="00CC30AD" w:rsidRPr="00C9227A" w:rsidRDefault="001D7277" w:rsidP="00BB2EDA">
      <w:pPr>
        <w:rPr>
          <w:rFonts w:ascii="Calibri" w:eastAsia="Times New Roman" w:hAnsi="Calibri" w:cs="Arial"/>
          <w:color w:val="000000" w:themeColor="text1"/>
          <w:sz w:val="22"/>
          <w:szCs w:val="22"/>
        </w:rPr>
      </w:pPr>
      <w:r w:rsidRPr="00C9227A">
        <w:rPr>
          <w:rFonts w:ascii="Calibri" w:eastAsia="Times New Roman" w:hAnsi="Calibri"/>
          <w:color w:val="000000" w:themeColor="text1"/>
          <w:sz w:val="22"/>
          <w:szCs w:val="22"/>
        </w:rPr>
        <w:t>A high-performance culture fosters employee commitment, impacting productivity, quality, customer service, growth, profits, and shareholder value. It requires clear expectations, skills, rewards, supportive managers, a talent pool, and trust. This culture can be developed through integrated processes.</w:t>
      </w:r>
      <w:r w:rsidR="003144B7" w:rsidRPr="00C9227A">
        <w:rPr>
          <w:rFonts w:ascii="Calibri" w:eastAsia="Times New Roman" w:hAnsi="Calibri" w:cs="Arial"/>
          <w:color w:val="000000" w:themeColor="text1"/>
          <w:sz w:val="22"/>
          <w:szCs w:val="22"/>
        </w:rPr>
        <w:t>Armstrong (2007b)</w:t>
      </w:r>
    </w:p>
    <w:p w14:paraId="20DB6E61" w14:textId="0760D752" w:rsidR="003144B7" w:rsidRPr="00C9227A" w:rsidRDefault="00CB7CEF" w:rsidP="00BB2EDA">
      <w:pPr>
        <w:rPr>
          <w:rFonts w:ascii="Calibri" w:eastAsia="Times New Roman" w:hAnsi="Calibri" w:cs="Arial"/>
          <w:color w:val="000000" w:themeColor="text1"/>
          <w:sz w:val="22"/>
          <w:szCs w:val="22"/>
        </w:rPr>
      </w:pPr>
      <w:r w:rsidRPr="00C9227A">
        <w:rPr>
          <w:rFonts w:ascii="Calibri" w:eastAsia="Times New Roman" w:hAnsi="Calibri" w:cs="Arial"/>
          <w:color w:val="000000" w:themeColor="text1"/>
          <w:sz w:val="22"/>
          <w:szCs w:val="22"/>
        </w:rPr>
        <w:t xml:space="preserve">Performance management processes provide relational rewards, establish positive psychological contracts, and encourage self-managed learning through feedback and personal development planning, supporting both managers and </w:t>
      </w:r>
      <w:r w:rsidR="00FD5D37" w:rsidRPr="00C9227A">
        <w:rPr>
          <w:rFonts w:ascii="Calibri" w:eastAsia="Times New Roman" w:hAnsi="Calibri" w:cs="Arial"/>
          <w:color w:val="000000" w:themeColor="text1"/>
          <w:sz w:val="22"/>
          <w:szCs w:val="22"/>
        </w:rPr>
        <w:t>organisations</w:t>
      </w:r>
      <w:r w:rsidRPr="00C9227A">
        <w:rPr>
          <w:rFonts w:ascii="Calibri" w:eastAsia="Times New Roman" w:hAnsi="Calibri" w:cs="Arial"/>
          <w:color w:val="000000" w:themeColor="text1"/>
          <w:sz w:val="22"/>
          <w:szCs w:val="22"/>
        </w:rPr>
        <w:t>.</w:t>
      </w:r>
      <w:r w:rsidR="00277E89" w:rsidRPr="00C9227A">
        <w:rPr>
          <w:rFonts w:ascii="Calibri" w:eastAsia="Times New Roman" w:hAnsi="Calibri" w:cs="Arial"/>
          <w:color w:val="000000" w:themeColor="text1"/>
          <w:sz w:val="22"/>
          <w:szCs w:val="22"/>
        </w:rPr>
        <w:t xml:space="preserve"> Armstrong (2007c)</w:t>
      </w:r>
    </w:p>
    <w:p w14:paraId="444C0AD6" w14:textId="759534F8" w:rsidR="00A436D8" w:rsidRPr="00C9227A" w:rsidRDefault="00846F7B" w:rsidP="00BB2EDA">
      <w:pPr>
        <w:rPr>
          <w:rFonts w:ascii="Calibri" w:eastAsia="Times New Roman" w:hAnsi="Calibri" w:cs="Arial"/>
          <w:color w:val="000000" w:themeColor="text1"/>
          <w:sz w:val="22"/>
          <w:szCs w:val="22"/>
        </w:rPr>
      </w:pPr>
      <w:r w:rsidRPr="00C9227A">
        <w:rPr>
          <w:rFonts w:ascii="Calibri" w:eastAsia="Times New Roman" w:hAnsi="Calibri" w:cs="Arial"/>
          <w:color w:val="000000" w:themeColor="text1"/>
          <w:sz w:val="22"/>
          <w:szCs w:val="22"/>
        </w:rPr>
        <w:t>Distributive justice and procedural justice are crucial principles in ensuring fairness in reward systems. Distributive justice involves distributing rewards fairly to employees, while procedural justice involves making managerial decisions and implementing reward policies. Factors affecting perceptions of procedural justice include considering employees' viewpoints, suppressing personal bias, consistent decision criteria, early feedback, and explanations of decision-making. Fairness in reward systems is achieved by adhering to distributive and procedural justice principles, and the 'felt-fair' principle by Eliot Jaques. Transparency and strategic alignment are essential for aligning reward initiatives with business strategy requirements and supporting business goals.</w:t>
      </w:r>
      <w:r w:rsidR="00321B33" w:rsidRPr="00C9227A">
        <w:rPr>
          <w:rFonts w:ascii="Calibri" w:eastAsia="Times New Roman" w:hAnsi="Calibri"/>
          <w:color w:val="000000" w:themeColor="text1"/>
          <w:sz w:val="22"/>
          <w:szCs w:val="22"/>
        </w:rPr>
        <w:t xml:space="preserve"> (Armstrong, 2007d)</w:t>
      </w:r>
    </w:p>
    <w:p w14:paraId="4AB2CB69" w14:textId="77777777" w:rsidR="00815B7D" w:rsidRPr="00C9227A" w:rsidRDefault="00815B7D" w:rsidP="00BB2EDA">
      <w:pPr>
        <w:pStyle w:val="Nornal"/>
        <w:spacing w:after="0" w:line="240" w:lineRule="auto"/>
        <w:divId w:val="996688301"/>
        <w:rPr>
          <w:rFonts w:ascii="Calibri" w:hAnsi="Calibri"/>
          <w:color w:val="000000" w:themeColor="text1"/>
        </w:rPr>
      </w:pPr>
    </w:p>
    <w:p w14:paraId="6F1FAB58" w14:textId="44E29185" w:rsidR="00FC30E1" w:rsidRPr="004B1FDE" w:rsidRDefault="00FC30E1" w:rsidP="00BB2EDA">
      <w:pPr>
        <w:pStyle w:val="Nornal"/>
        <w:numPr>
          <w:ilvl w:val="0"/>
          <w:numId w:val="2"/>
        </w:numPr>
        <w:spacing w:after="0" w:line="240" w:lineRule="auto"/>
        <w:divId w:val="996688301"/>
        <w:rPr>
          <w:rFonts w:ascii="Calibri" w:hAnsi="Calibri"/>
          <w:color w:val="215E99" w:themeColor="text2" w:themeTint="BF"/>
          <w:kern w:val="0"/>
          <w14:ligatures w14:val="none"/>
        </w:rPr>
      </w:pPr>
      <w:r w:rsidRPr="00815B7D">
        <w:rPr>
          <w:rFonts w:ascii="Calibri" w:hAnsi="Calibri"/>
          <w:color w:val="215E99" w:themeColor="text2" w:themeTint="BF"/>
        </w:rPr>
        <w:t>Assess the contribution of extrinsic and intrinsic rewards to improving employee contribution and sustained organisational performance. (AC 1.2)</w:t>
      </w:r>
    </w:p>
    <w:p w14:paraId="24A835C9" w14:textId="77777777" w:rsidR="004B1FDE" w:rsidRPr="004B4812" w:rsidRDefault="004B1FDE" w:rsidP="00BB2EDA">
      <w:pPr>
        <w:pStyle w:val="Nornal"/>
        <w:spacing w:after="0" w:line="240" w:lineRule="auto"/>
        <w:ind w:left="360"/>
        <w:divId w:val="996688301"/>
        <w:rPr>
          <w:rFonts w:ascii="Calibri" w:hAnsi="Calibri"/>
          <w:color w:val="215E99" w:themeColor="text2" w:themeTint="BF"/>
          <w:kern w:val="0"/>
          <w14:ligatures w14:val="none"/>
        </w:rPr>
      </w:pPr>
    </w:p>
    <w:p w14:paraId="4446D974" w14:textId="6A0520A9" w:rsidR="008A12B9" w:rsidRDefault="004B53EB" w:rsidP="00BB2EDA">
      <w:pPr>
        <w:pStyle w:val="Nornal"/>
        <w:spacing w:after="0" w:line="240" w:lineRule="auto"/>
        <w:divId w:val="996688301"/>
        <w:rPr>
          <w:rFonts w:ascii="Calibri" w:eastAsia="Times New Roman" w:hAnsi="Calibri"/>
          <w:color w:val="000000"/>
        </w:rPr>
      </w:pPr>
      <w:r w:rsidRPr="007E1560">
        <w:rPr>
          <w:rFonts w:ascii="Calibri" w:eastAsia="Times New Roman" w:hAnsi="Calibri"/>
          <w:color w:val="000000"/>
        </w:rPr>
        <w:t xml:space="preserve">Reward management involves using intrinsic and extrinsic rewards to motivate employees. Intrinsic rewards, such as meaning, challenge, and advancement opportunities, come from work itself. Extrinsic rewards, such as pay, status, non-essential training, and a comfortable working environment, are external factors. The effectiveness of these strategies depends on the organisation's context and culture. Understanding the business context is crucial for a better </w:t>
      </w:r>
      <w:r w:rsidRPr="00D15E9A">
        <w:rPr>
          <w:rFonts w:ascii="Calibri" w:eastAsia="Times New Roman" w:hAnsi="Calibri"/>
          <w:color w:val="000000"/>
        </w:rPr>
        <w:t xml:space="preserve">understanding of where reward management fits within an </w:t>
      </w:r>
      <w:r w:rsidR="007E1560" w:rsidRPr="00D15E9A">
        <w:rPr>
          <w:rFonts w:ascii="Calibri" w:eastAsia="Times New Roman" w:hAnsi="Calibri"/>
          <w:color w:val="000000"/>
        </w:rPr>
        <w:t>organisation</w:t>
      </w:r>
      <w:r w:rsidRPr="00D15E9A">
        <w:rPr>
          <w:rFonts w:ascii="Calibri" w:eastAsia="Times New Roman" w:hAnsi="Calibri"/>
          <w:color w:val="000000"/>
        </w:rPr>
        <w:t>.</w:t>
      </w:r>
      <w:r w:rsidR="007E1560" w:rsidRPr="00D15E9A">
        <w:rPr>
          <w:rFonts w:ascii="Calibri" w:eastAsia="Times New Roman" w:hAnsi="Calibri"/>
          <w:color w:val="000000"/>
        </w:rPr>
        <w:t xml:space="preserve"> Taylor and </w:t>
      </w:r>
      <w:proofErr w:type="spellStart"/>
      <w:r w:rsidR="007E1560" w:rsidRPr="00D15E9A">
        <w:rPr>
          <w:rFonts w:ascii="Calibri" w:eastAsia="Times New Roman" w:hAnsi="Calibri"/>
          <w:color w:val="000000"/>
        </w:rPr>
        <w:t>Woodhams</w:t>
      </w:r>
      <w:proofErr w:type="spellEnd"/>
      <w:r w:rsidR="007E1560" w:rsidRPr="00D15E9A">
        <w:rPr>
          <w:rFonts w:ascii="Calibri" w:eastAsia="Times New Roman" w:hAnsi="Calibri"/>
          <w:color w:val="000000"/>
        </w:rPr>
        <w:t xml:space="preserve"> (2016)</w:t>
      </w:r>
    </w:p>
    <w:p w14:paraId="3BB7D403" w14:textId="77777777" w:rsidR="00312100" w:rsidRPr="00D15E9A" w:rsidRDefault="00312100" w:rsidP="00BB2EDA">
      <w:pPr>
        <w:pStyle w:val="Nornal"/>
        <w:spacing w:after="0" w:line="240" w:lineRule="auto"/>
        <w:divId w:val="996688301"/>
        <w:rPr>
          <w:rFonts w:ascii="Calibri" w:eastAsia="Times New Roman" w:hAnsi="Calibri"/>
          <w:color w:val="000000"/>
        </w:rPr>
      </w:pPr>
    </w:p>
    <w:p w14:paraId="2E754306" w14:textId="1B48CD4A" w:rsidR="0036516D" w:rsidRPr="00535582" w:rsidRDefault="00312100" w:rsidP="00BB2EDA">
      <w:pPr>
        <w:pStyle w:val="Nornal"/>
        <w:spacing w:after="0" w:line="240" w:lineRule="auto"/>
        <w:divId w:val="996688301"/>
        <w:rPr>
          <w:rFonts w:ascii="Calibri" w:eastAsia="Times New Roman" w:hAnsi="Calibri"/>
          <w:color w:val="000000"/>
        </w:rPr>
      </w:pPr>
      <w:r w:rsidRPr="00535582">
        <w:rPr>
          <w:rFonts w:ascii="Calibri" w:eastAsia="Times New Roman" w:hAnsi="Calibri"/>
          <w:color w:val="000000"/>
        </w:rPr>
        <w:lastRenderedPageBreak/>
        <w:t xml:space="preserve">Maslow and </w:t>
      </w:r>
      <w:proofErr w:type="spellStart"/>
      <w:r w:rsidRPr="00535582">
        <w:rPr>
          <w:rFonts w:ascii="Calibri" w:eastAsia="Times New Roman" w:hAnsi="Calibri"/>
          <w:color w:val="000000"/>
        </w:rPr>
        <w:t>Herzberg's</w:t>
      </w:r>
      <w:proofErr w:type="spellEnd"/>
      <w:r w:rsidRPr="00535582">
        <w:rPr>
          <w:rFonts w:ascii="Calibri" w:eastAsia="Times New Roman" w:hAnsi="Calibri"/>
          <w:color w:val="000000"/>
        </w:rPr>
        <w:t xml:space="preserve"> common needs headings are not universally present in all populations, including employees. </w:t>
      </w:r>
      <w:proofErr w:type="spellStart"/>
      <w:r w:rsidRPr="00535582">
        <w:rPr>
          <w:rFonts w:ascii="Calibri" w:eastAsia="Times New Roman" w:hAnsi="Calibri"/>
          <w:color w:val="000000"/>
        </w:rPr>
        <w:t>Herzberg</w:t>
      </w:r>
      <w:proofErr w:type="spellEnd"/>
      <w:r w:rsidRPr="00535582">
        <w:rPr>
          <w:rFonts w:ascii="Calibri" w:eastAsia="Times New Roman" w:hAnsi="Calibri"/>
          <w:color w:val="000000"/>
        </w:rPr>
        <w:t xml:space="preserve"> et al. identified two types of motivation: intrinsic motivation, which is intrinsically interesting and challenging, and extrinsic motivation, which is imposed externally. Intrinsic motivations have a deeper, longer-term effect.</w:t>
      </w:r>
    </w:p>
    <w:p w14:paraId="7EA85F70" w14:textId="77777777" w:rsidR="0036516D" w:rsidRDefault="0036516D" w:rsidP="00BB2EDA">
      <w:pPr>
        <w:pStyle w:val="Nornal"/>
        <w:spacing w:after="0" w:line="240" w:lineRule="auto"/>
        <w:divId w:val="996688301"/>
        <w:rPr>
          <w:rFonts w:ascii="Calibri" w:eastAsia="Times New Roman" w:hAnsi="Calibri"/>
          <w:color w:val="000000"/>
        </w:rPr>
      </w:pPr>
    </w:p>
    <w:p w14:paraId="19DF08B9" w14:textId="7F4BB5EE" w:rsidR="007E1560" w:rsidRPr="004A71E1" w:rsidRDefault="004A71E1" w:rsidP="00BB2EDA">
      <w:pPr>
        <w:pStyle w:val="Nornal"/>
        <w:spacing w:after="0" w:line="240" w:lineRule="auto"/>
        <w:divId w:val="996688301"/>
        <w:rPr>
          <w:rFonts w:ascii="Calibri" w:eastAsia="Times New Roman" w:hAnsi="Calibri"/>
          <w:color w:val="000000"/>
        </w:rPr>
      </w:pPr>
      <w:proofErr w:type="spellStart"/>
      <w:r w:rsidRPr="004A71E1">
        <w:rPr>
          <w:rFonts w:ascii="Calibri" w:eastAsia="Times New Roman" w:hAnsi="Calibri"/>
          <w:color w:val="000000"/>
        </w:rPr>
        <w:t>Herzberg's</w:t>
      </w:r>
      <w:proofErr w:type="spellEnd"/>
      <w:r w:rsidRPr="004A71E1">
        <w:rPr>
          <w:rFonts w:ascii="Calibri" w:eastAsia="Times New Roman" w:hAnsi="Calibri"/>
          <w:color w:val="000000"/>
        </w:rPr>
        <w:t xml:space="preserve"> two-factor model theory identifies intrinsic and extrinsic motivators for job satisfaction and motivation. While his claim that pay increases don't persist in job satisfaction has some validity, his research has been </w:t>
      </w:r>
      <w:r w:rsidR="00287AB8">
        <w:rPr>
          <w:rFonts w:ascii="Calibri" w:eastAsia="Times New Roman" w:hAnsi="Calibri"/>
          <w:color w:val="000000"/>
        </w:rPr>
        <w:t xml:space="preserve">criticised </w:t>
      </w:r>
      <w:r w:rsidRPr="004A71E1">
        <w:rPr>
          <w:rFonts w:ascii="Calibri" w:eastAsia="Times New Roman" w:hAnsi="Calibri"/>
          <w:color w:val="000000"/>
        </w:rPr>
        <w:t>for flaws and lack of measurement of satisfaction and performance.</w:t>
      </w:r>
      <w:r w:rsidR="00EB58A0" w:rsidRPr="004A71E1">
        <w:rPr>
          <w:rFonts w:ascii="Calibri" w:eastAsia="Times New Roman" w:hAnsi="Calibri"/>
          <w:color w:val="000000"/>
        </w:rPr>
        <w:t xml:space="preserve"> Armstrong (2007e)</w:t>
      </w:r>
    </w:p>
    <w:p w14:paraId="50F7FE7C" w14:textId="3F08BC36" w:rsidR="00B47E50" w:rsidRDefault="00B47E50">
      <w:pPr>
        <w:pStyle w:val="p1"/>
        <w:divId w:val="1753307389"/>
        <w:rPr>
          <w:rStyle w:val="s1"/>
        </w:rPr>
      </w:pPr>
    </w:p>
    <w:p w14:paraId="30FE510D" w14:textId="197BB177" w:rsidR="00305A09" w:rsidRPr="004C0FB5" w:rsidRDefault="004C0FB5" w:rsidP="00305A09">
      <w:pPr>
        <w:spacing w:after="0" w:line="240" w:lineRule="auto"/>
        <w:divId w:val="1817646211"/>
        <w:rPr>
          <w:rFonts w:ascii="Calibri" w:eastAsia="Times New Roman" w:hAnsi="Calibri" w:cs="Times New Roman"/>
          <w:kern w:val="0"/>
          <w:sz w:val="22"/>
          <w:szCs w:val="22"/>
          <w14:ligatures w14:val="none"/>
        </w:rPr>
      </w:pPr>
      <w:r w:rsidRPr="004C0FB5">
        <w:rPr>
          <w:rFonts w:ascii="Calibri" w:eastAsia="Times New Roman" w:hAnsi="Calibri"/>
          <w:color w:val="000000"/>
          <w:sz w:val="22"/>
          <w:szCs w:val="22"/>
        </w:rPr>
        <w:t>Organisations should incorporate a mix of intrinsic and extrinsic benefits in reward schemes to attract and retain employees, while also addressing employee dissatisfaction through long-term motivation and responsibility. Armstrong</w:t>
      </w:r>
      <w:r w:rsidR="00B3190E" w:rsidRPr="004C0FB5">
        <w:rPr>
          <w:rFonts w:ascii="Calibri" w:eastAsia="Times New Roman" w:hAnsi="Calibri"/>
          <w:color w:val="000000"/>
          <w:sz w:val="22"/>
          <w:szCs w:val="22"/>
        </w:rPr>
        <w:t xml:space="preserve"> (2007f)</w:t>
      </w:r>
    </w:p>
    <w:p w14:paraId="24172403" w14:textId="51D1A152" w:rsidR="0069222B" w:rsidRDefault="0069222B">
      <w:pPr>
        <w:pStyle w:val="Nornal"/>
        <w:spacing w:after="0" w:line="240" w:lineRule="auto"/>
        <w:divId w:val="996688301"/>
        <w:rPr>
          <w:rFonts w:ascii="Trebuchet MS" w:hAnsi="Trebuchet MS"/>
          <w:color w:val="000000"/>
        </w:rPr>
      </w:pPr>
    </w:p>
    <w:p w14:paraId="00FD5DBB" w14:textId="77777777" w:rsidR="00070385" w:rsidRDefault="00070385">
      <w:pPr>
        <w:pStyle w:val="Nornal"/>
        <w:spacing w:after="0" w:line="240" w:lineRule="auto"/>
        <w:divId w:val="996688301"/>
        <w:rPr>
          <w:rFonts w:ascii="Trebuchet MS" w:hAnsi="Trebuchet MS"/>
          <w:color w:val="000000"/>
        </w:rPr>
      </w:pPr>
    </w:p>
    <w:p w14:paraId="335E0FD2" w14:textId="77777777" w:rsidR="004850CC" w:rsidRDefault="004850CC">
      <w:pPr>
        <w:pStyle w:val="Nornal"/>
        <w:spacing w:after="0" w:line="240" w:lineRule="auto"/>
        <w:divId w:val="996688301"/>
        <w:rPr>
          <w:rFonts w:ascii="Trebuchet MS" w:hAnsi="Trebuchet MS"/>
          <w:color w:val="000000"/>
        </w:rPr>
      </w:pPr>
    </w:p>
    <w:p w14:paraId="2CF2FFD4" w14:textId="77777777" w:rsidR="0069222B" w:rsidRDefault="0069222B">
      <w:pPr>
        <w:pStyle w:val="Nornal"/>
        <w:spacing w:after="0" w:line="240" w:lineRule="auto"/>
        <w:divId w:val="996688301"/>
        <w:rPr>
          <w:rFonts w:ascii="Trebuchet MS" w:hAnsi="Trebuchet MS"/>
          <w:color w:val="000000"/>
        </w:rPr>
      </w:pPr>
    </w:p>
    <w:p w14:paraId="20F1A103" w14:textId="02E93CF7" w:rsidR="00E672A1" w:rsidRDefault="00E672A1" w:rsidP="00E672A1">
      <w:pPr>
        <w:spacing w:after="0" w:line="240" w:lineRule="auto"/>
        <w:ind w:left="720"/>
        <w:divId w:val="1588688842"/>
        <w:rPr>
          <w:rFonts w:ascii="Calibri" w:eastAsiaTheme="minorHAnsi" w:hAnsi="Calibri" w:cs="Arial"/>
          <w:color w:val="215E99" w:themeColor="text2" w:themeTint="BF"/>
          <w:kern w:val="0"/>
          <w:sz w:val="22"/>
          <w:szCs w:val="22"/>
          <w:lang w:eastAsia="en-US"/>
          <w14:ligatures w14:val="none"/>
        </w:rPr>
      </w:pPr>
      <w:r>
        <w:rPr>
          <w:rFonts w:ascii="Calibri" w:eastAsiaTheme="minorHAnsi" w:hAnsi="Calibri" w:cs="Arial"/>
          <w:color w:val="215E99" w:themeColor="text2" w:themeTint="BF"/>
          <w:kern w:val="0"/>
          <w:sz w:val="22"/>
          <w:szCs w:val="22"/>
          <w:lang w:eastAsia="en-US"/>
          <w14:ligatures w14:val="none"/>
        </w:rPr>
        <w:t>3.</w:t>
      </w:r>
      <w:r w:rsidRPr="00E672A1">
        <w:rPr>
          <w:rFonts w:ascii="Calibri" w:eastAsiaTheme="minorHAnsi" w:hAnsi="Calibri" w:cs="Arial"/>
          <w:color w:val="215E99" w:themeColor="text2" w:themeTint="BF"/>
          <w:kern w:val="0"/>
          <w:sz w:val="22"/>
          <w:szCs w:val="22"/>
          <w:lang w:eastAsia="en-US"/>
          <w14:ligatures w14:val="none"/>
        </w:rPr>
        <w:t>Explain the differences between types of grade and pay structures. (AC 2.1)</w:t>
      </w:r>
    </w:p>
    <w:p w14:paraId="443955A0" w14:textId="77777777" w:rsidR="00E8784A" w:rsidRPr="00E672A1" w:rsidRDefault="00E8784A" w:rsidP="00E672A1">
      <w:pPr>
        <w:spacing w:after="0" w:line="240" w:lineRule="auto"/>
        <w:ind w:left="720"/>
        <w:divId w:val="1588688842"/>
        <w:rPr>
          <w:rFonts w:ascii="Calibri" w:eastAsiaTheme="minorHAnsi" w:hAnsi="Calibri" w:cs="Arial"/>
          <w:color w:val="000000"/>
          <w:kern w:val="0"/>
          <w:sz w:val="22"/>
          <w:szCs w:val="22"/>
          <w:lang w:eastAsia="en-US"/>
          <w14:ligatures w14:val="none"/>
        </w:rPr>
      </w:pPr>
    </w:p>
    <w:p w14:paraId="549044FA" w14:textId="3F03386D" w:rsidR="0092597A" w:rsidRPr="002A5AB6" w:rsidRDefault="002A5AB6">
      <w:pPr>
        <w:rPr>
          <w:rFonts w:ascii="Calibri" w:eastAsia="Times New Roman" w:hAnsi="Calibri"/>
          <w:color w:val="000000"/>
          <w:sz w:val="22"/>
          <w:szCs w:val="22"/>
        </w:rPr>
      </w:pPr>
      <w:r w:rsidRPr="002A5AB6">
        <w:rPr>
          <w:rFonts w:ascii="Calibri" w:eastAsia="Times New Roman" w:hAnsi="Calibri"/>
          <w:color w:val="000000"/>
          <w:sz w:val="22"/>
          <w:szCs w:val="22"/>
        </w:rPr>
        <w:t>A pay structure is a hierarchy of pay grades or bands, based on an organisation’s structure and job levels. A formal job evaluation scheme assigns pay brackets, allowing flexibility in pay rates. A 'job-based' approach manages individual jobs without a pay structure, determining spot rates aligned with market rates. A 2015 survey found 46% of respondents used a 'job-based' approach.</w:t>
      </w:r>
      <w:r w:rsidR="009E3FDD" w:rsidRPr="002A5AB6">
        <w:rPr>
          <w:rFonts w:ascii="Calibri" w:eastAsia="Times New Roman" w:hAnsi="Calibri"/>
          <w:color w:val="000000"/>
          <w:sz w:val="22"/>
          <w:szCs w:val="22"/>
        </w:rPr>
        <w:t xml:space="preserve"> Armstrong and Brown (2024b)</w:t>
      </w:r>
    </w:p>
    <w:p w14:paraId="20E41779" w14:textId="1FD31946" w:rsidR="00546AD7" w:rsidRPr="00BB3964" w:rsidRDefault="00546AD7">
      <w:pPr>
        <w:rPr>
          <w:rFonts w:ascii="Calibri" w:eastAsia="Times New Roman" w:hAnsi="Calibri"/>
          <w:color w:val="000000"/>
          <w:sz w:val="22"/>
          <w:szCs w:val="22"/>
        </w:rPr>
      </w:pPr>
      <w:r w:rsidRPr="00BB3964">
        <w:rPr>
          <w:rFonts w:ascii="Calibri" w:eastAsia="Times New Roman" w:hAnsi="Calibri"/>
          <w:color w:val="000000"/>
          <w:sz w:val="22"/>
          <w:szCs w:val="22"/>
        </w:rPr>
        <w:t xml:space="preserve">Graded pay structures help </w:t>
      </w:r>
      <w:r w:rsidR="00AC3B3C" w:rsidRPr="00BB3964">
        <w:rPr>
          <w:rFonts w:ascii="Calibri" w:eastAsia="Times New Roman" w:hAnsi="Calibri"/>
          <w:color w:val="000000"/>
          <w:sz w:val="22"/>
          <w:szCs w:val="22"/>
        </w:rPr>
        <w:t>organisation’s</w:t>
      </w:r>
      <w:r w:rsidRPr="00BB3964">
        <w:rPr>
          <w:rFonts w:ascii="Calibri" w:eastAsia="Times New Roman" w:hAnsi="Calibri"/>
          <w:color w:val="000000"/>
          <w:sz w:val="22"/>
          <w:szCs w:val="22"/>
        </w:rPr>
        <w:t xml:space="preserve"> make rational decisions on job worth, manage relativities, provide pay progression, ensure equal pay for equal value jobs, and manage the reward system. They </w:t>
      </w:r>
      <w:r w:rsidR="00AC3B3C" w:rsidRPr="00BB3964">
        <w:rPr>
          <w:rFonts w:ascii="Calibri" w:eastAsia="Times New Roman" w:hAnsi="Calibri"/>
          <w:color w:val="000000"/>
          <w:sz w:val="22"/>
          <w:szCs w:val="22"/>
        </w:rPr>
        <w:t>organise</w:t>
      </w:r>
      <w:r w:rsidRPr="00BB3964">
        <w:rPr>
          <w:rFonts w:ascii="Calibri" w:eastAsia="Times New Roman" w:hAnsi="Calibri"/>
          <w:color w:val="000000"/>
          <w:sz w:val="22"/>
          <w:szCs w:val="22"/>
        </w:rPr>
        <w:t xml:space="preserve"> pay management, structure the relationship between internal and external worth, simplify pay levels, provide internal equity, and guide employee benefits allocation and budget control.</w:t>
      </w:r>
      <w:r w:rsidR="00D748CE" w:rsidRPr="00BB3964">
        <w:rPr>
          <w:rFonts w:ascii="Calibri" w:eastAsia="Times New Roman" w:hAnsi="Calibri"/>
          <w:color w:val="000000"/>
          <w:sz w:val="22"/>
          <w:szCs w:val="22"/>
        </w:rPr>
        <w:t xml:space="preserve"> (Armstrong and Brown, 2024c)</w:t>
      </w:r>
    </w:p>
    <w:p w14:paraId="60F85D91" w14:textId="2C2672B3" w:rsidR="00AC3B3C" w:rsidRPr="00921742" w:rsidRDefault="00D15404">
      <w:pPr>
        <w:rPr>
          <w:rFonts w:ascii="Calibri" w:eastAsia="Times New Roman" w:hAnsi="Calibri"/>
          <w:color w:val="000000"/>
          <w:sz w:val="22"/>
          <w:szCs w:val="22"/>
        </w:rPr>
      </w:pPr>
      <w:r w:rsidRPr="00BB3964">
        <w:rPr>
          <w:rFonts w:ascii="Calibri" w:eastAsia="Times New Roman" w:hAnsi="Calibri"/>
          <w:color w:val="000000"/>
          <w:sz w:val="22"/>
          <w:szCs w:val="22"/>
        </w:rPr>
        <w:t xml:space="preserve">A multi-graded structure is a sequence of job grades, with pay ranges attached to each grade for base pay progression. These ranges can be defined by job evaluation points or level definitions. The mid-point, which is the </w:t>
      </w:r>
      <w:r w:rsidR="00C2366A" w:rsidRPr="00BB3964">
        <w:rPr>
          <w:rFonts w:ascii="Calibri" w:eastAsia="Times New Roman" w:hAnsi="Calibri"/>
          <w:color w:val="000000"/>
          <w:sz w:val="22"/>
          <w:szCs w:val="22"/>
        </w:rPr>
        <w:t>centre</w:t>
      </w:r>
      <w:r w:rsidRPr="00BB3964">
        <w:rPr>
          <w:rFonts w:ascii="Calibri" w:eastAsia="Times New Roman" w:hAnsi="Calibri"/>
          <w:color w:val="000000"/>
          <w:sz w:val="22"/>
          <w:szCs w:val="22"/>
        </w:rPr>
        <w:t xml:space="preserve"> of the range, can be aligned with market rates. Mid-point management techniques use comparison ratios to control the structure's operation. Differences between pay ranges are typically between 5% and 15%, with overlaps allowing flexibility. In the public sector and </w:t>
      </w:r>
      <w:r w:rsidRPr="00921742">
        <w:rPr>
          <w:rFonts w:ascii="Calibri" w:eastAsia="Times New Roman" w:hAnsi="Calibri"/>
          <w:color w:val="000000"/>
          <w:sz w:val="22"/>
          <w:szCs w:val="22"/>
        </w:rPr>
        <w:t xml:space="preserve">some not-for-profit </w:t>
      </w:r>
      <w:r w:rsidR="00C2366A" w:rsidRPr="00921742">
        <w:rPr>
          <w:rFonts w:ascii="Calibri" w:eastAsia="Times New Roman" w:hAnsi="Calibri"/>
          <w:color w:val="000000"/>
          <w:sz w:val="22"/>
          <w:szCs w:val="22"/>
        </w:rPr>
        <w:t>organisations</w:t>
      </w:r>
      <w:r w:rsidRPr="00921742">
        <w:rPr>
          <w:rFonts w:ascii="Calibri" w:eastAsia="Times New Roman" w:hAnsi="Calibri"/>
          <w:color w:val="000000"/>
          <w:sz w:val="22"/>
          <w:szCs w:val="22"/>
        </w:rPr>
        <w:t>, multi-grade structures can take the form of pay spines.</w:t>
      </w:r>
      <w:r w:rsidR="00696F62" w:rsidRPr="00921742">
        <w:rPr>
          <w:rFonts w:ascii="Calibri" w:eastAsia="Times New Roman" w:hAnsi="Calibri"/>
          <w:color w:val="000000"/>
          <w:sz w:val="22"/>
          <w:szCs w:val="22"/>
        </w:rPr>
        <w:t xml:space="preserve"> (Armstrong and Brown, 2024d)</w:t>
      </w:r>
    </w:p>
    <w:p w14:paraId="736E175D" w14:textId="0C108994" w:rsidR="00696F62" w:rsidRPr="00921742" w:rsidRDefault="00191F1B">
      <w:pPr>
        <w:rPr>
          <w:rFonts w:ascii="Calibri" w:eastAsia="Times New Roman" w:hAnsi="Calibri"/>
          <w:color w:val="000000"/>
          <w:sz w:val="22"/>
          <w:szCs w:val="22"/>
        </w:rPr>
      </w:pPr>
      <w:r w:rsidRPr="00921742">
        <w:rPr>
          <w:rFonts w:ascii="Calibri" w:eastAsia="Times New Roman" w:hAnsi="Calibri"/>
          <w:color w:val="000000"/>
          <w:sz w:val="22"/>
          <w:szCs w:val="22"/>
        </w:rPr>
        <w:t>Broad-graded pay structures reduce grades from 12 to seven, reducing range spreads from 30-60%. They help overcome grade drift issues and are cost-effective. However, they require annual adjustments to market medians, making it difficult to pay midpoint for full competence. With inflation increasing, many employers are reconsidering base pay management.</w:t>
      </w:r>
      <w:r w:rsidR="00BB3964" w:rsidRPr="00921742">
        <w:rPr>
          <w:rFonts w:ascii="Calibri" w:eastAsia="Times New Roman" w:hAnsi="Calibri"/>
          <w:color w:val="000000"/>
          <w:sz w:val="22"/>
          <w:szCs w:val="22"/>
        </w:rPr>
        <w:t xml:space="preserve"> (Armstrong and Brown, 2024e)</w:t>
      </w:r>
    </w:p>
    <w:p w14:paraId="4B4271C2" w14:textId="05C1B569" w:rsidR="00683248" w:rsidRPr="00BF5974" w:rsidRDefault="00921742">
      <w:pPr>
        <w:rPr>
          <w:rFonts w:ascii="Calibri" w:eastAsia="Times New Roman" w:hAnsi="Calibri"/>
          <w:color w:val="000000"/>
          <w:sz w:val="22"/>
          <w:szCs w:val="22"/>
        </w:rPr>
      </w:pPr>
      <w:r w:rsidRPr="00921742">
        <w:rPr>
          <w:rFonts w:ascii="Calibri" w:eastAsia="Times New Roman" w:hAnsi="Calibri"/>
          <w:color w:val="000000"/>
          <w:sz w:val="22"/>
          <w:szCs w:val="22"/>
        </w:rPr>
        <w:t xml:space="preserve">Broad-banded structures combine grade-based and job-based approaches, dividing a structure into bands for job-to-grade evaluations. They offer flexibility, align pay structures, and provide a framework for job evaluation. They cater to broader roles and are easier to control. However, broad-banding lacks clarity, depends on market rate data, and ensures equal pay for work of equal value. It </w:t>
      </w:r>
      <w:r w:rsidRPr="00921742">
        <w:rPr>
          <w:rFonts w:ascii="Calibri" w:eastAsia="Times New Roman" w:hAnsi="Calibri"/>
          <w:color w:val="000000"/>
          <w:sz w:val="22"/>
          <w:szCs w:val="22"/>
        </w:rPr>
        <w:lastRenderedPageBreak/>
        <w:t xml:space="preserve">can be difficult to manage in large organisations and requires effort to build trust. </w:t>
      </w:r>
      <w:r w:rsidR="00BB2196" w:rsidRPr="00921742">
        <w:rPr>
          <w:rFonts w:ascii="Calibri" w:eastAsia="Times New Roman" w:hAnsi="Calibri"/>
          <w:color w:val="000000"/>
          <w:sz w:val="22"/>
          <w:szCs w:val="22"/>
        </w:rPr>
        <w:t>(Armstrong and Brown, 2024f)</w:t>
      </w:r>
    </w:p>
    <w:p w14:paraId="11C6BE53" w14:textId="5B16C4B2" w:rsidR="00BE5221" w:rsidRPr="001A5A06" w:rsidRDefault="00460F8C">
      <w:pPr>
        <w:rPr>
          <w:rFonts w:ascii="Calibri" w:eastAsia="Times New Roman" w:hAnsi="Calibri"/>
          <w:color w:val="000000"/>
          <w:sz w:val="22"/>
          <w:szCs w:val="22"/>
        </w:rPr>
      </w:pPr>
      <w:r w:rsidRPr="001A5A06">
        <w:rPr>
          <w:rFonts w:ascii="Calibri" w:eastAsia="Times New Roman" w:hAnsi="Calibri"/>
          <w:color w:val="000000"/>
          <w:sz w:val="22"/>
          <w:szCs w:val="22"/>
        </w:rPr>
        <w:t xml:space="preserve">Job family structures are flexible alternatives to single structures, dividing jobs into functional groups or broader divisions. They define career paths and allow </w:t>
      </w:r>
      <w:r w:rsidR="001A5A06" w:rsidRPr="001A5A06">
        <w:rPr>
          <w:rFonts w:ascii="Calibri" w:eastAsia="Times New Roman" w:hAnsi="Calibri"/>
          <w:color w:val="000000"/>
          <w:sz w:val="22"/>
          <w:szCs w:val="22"/>
        </w:rPr>
        <w:t>organisations</w:t>
      </w:r>
      <w:r w:rsidRPr="001A5A06">
        <w:rPr>
          <w:rFonts w:ascii="Calibri" w:eastAsia="Times New Roman" w:hAnsi="Calibri"/>
          <w:color w:val="000000"/>
          <w:sz w:val="22"/>
          <w:szCs w:val="22"/>
        </w:rPr>
        <w:t xml:space="preserve"> to treat occupational groups differently. Job families can act as vertical or horizontal integration, depending on business unit structure. Some job families may be found in one business unit, division, or department. Some may have a single graded pay structure, potentially causing recruitment or retention issues.</w:t>
      </w:r>
      <w:r w:rsidR="00BF5974" w:rsidRPr="001A5A06">
        <w:rPr>
          <w:rFonts w:ascii="Calibri" w:eastAsia="Times New Roman" w:hAnsi="Calibri"/>
          <w:color w:val="000000"/>
          <w:sz w:val="22"/>
          <w:szCs w:val="22"/>
        </w:rPr>
        <w:t xml:space="preserve"> (Armstrong and Brown, 2024g)</w:t>
      </w:r>
    </w:p>
    <w:p w14:paraId="390176CB" w14:textId="5018AFC5" w:rsidR="002E7311" w:rsidRPr="00AD7E2A" w:rsidRDefault="00A331FB">
      <w:pPr>
        <w:rPr>
          <w:rFonts w:ascii="Calibri" w:eastAsia="Times New Roman" w:hAnsi="Calibri"/>
          <w:color w:val="000000"/>
          <w:sz w:val="22"/>
          <w:szCs w:val="22"/>
        </w:rPr>
      </w:pPr>
      <w:r w:rsidRPr="00DF7DD1">
        <w:rPr>
          <w:rFonts w:ascii="Calibri" w:eastAsia="Times New Roman" w:hAnsi="Calibri"/>
          <w:color w:val="000000"/>
          <w:sz w:val="22"/>
          <w:szCs w:val="22"/>
        </w:rPr>
        <w:t>Job family structures offer advantages such as considering occupational or functional group features, making appropriate decisions on pay, progression, career paths, and development needs. They support flexible working, multi-skilling, and market flexibility. They produce level definitions and career paths more accurately than conventional structures and can gain credibility with line managers and employees. However, they are more complex than single grade structures, can be expensive to maintain, and may lead to siloed advancement routes. Additionally, pay rates may vary based on market rates, posing equal pay risks.</w:t>
      </w:r>
      <w:r w:rsidR="00A31C9F" w:rsidRPr="00DF7DD1">
        <w:rPr>
          <w:rFonts w:ascii="Calibri" w:eastAsia="Times New Roman" w:hAnsi="Calibri"/>
          <w:color w:val="000000"/>
          <w:sz w:val="22"/>
          <w:szCs w:val="22"/>
        </w:rPr>
        <w:t xml:space="preserve"> Armstrong and Brown (2024h)</w:t>
      </w:r>
    </w:p>
    <w:p w14:paraId="68BCB4B8" w14:textId="14B54F86" w:rsidR="00D01231" w:rsidRDefault="00AD7E2A">
      <w:pPr>
        <w:rPr>
          <w:rFonts w:ascii="Calibri" w:eastAsia="Times New Roman" w:hAnsi="Calibri"/>
          <w:color w:val="000000"/>
          <w:sz w:val="22"/>
          <w:szCs w:val="22"/>
        </w:rPr>
      </w:pPr>
      <w:r w:rsidRPr="0034607E">
        <w:rPr>
          <w:rFonts w:ascii="Calibri" w:eastAsia="Times New Roman" w:hAnsi="Calibri"/>
          <w:color w:val="000000"/>
          <w:sz w:val="22"/>
          <w:szCs w:val="22"/>
        </w:rPr>
        <w:t xml:space="preserve">Pay structures can be graded, broad-banded, or unstructured. A conventional grade-based structure is preferred for flexibility and internal equity. An unstructured job-based approach is preferred for small or flexible </w:t>
      </w:r>
      <w:r w:rsidR="0034607E" w:rsidRPr="0034607E">
        <w:rPr>
          <w:rFonts w:ascii="Calibri" w:eastAsia="Times New Roman" w:hAnsi="Calibri"/>
          <w:color w:val="000000"/>
          <w:sz w:val="22"/>
          <w:szCs w:val="22"/>
        </w:rPr>
        <w:t>organisations</w:t>
      </w:r>
      <w:r w:rsidRPr="0034607E">
        <w:rPr>
          <w:rFonts w:ascii="Calibri" w:eastAsia="Times New Roman" w:hAnsi="Calibri"/>
          <w:color w:val="000000"/>
          <w:sz w:val="22"/>
          <w:szCs w:val="22"/>
        </w:rPr>
        <w:t xml:space="preserve">. Grading should fit the employer's culture and reward philosophy. The choice depends on the </w:t>
      </w:r>
      <w:r w:rsidR="00CA2CCD" w:rsidRPr="0034607E">
        <w:rPr>
          <w:rFonts w:ascii="Calibri" w:eastAsia="Times New Roman" w:hAnsi="Calibri"/>
          <w:color w:val="000000"/>
          <w:sz w:val="22"/>
          <w:szCs w:val="22"/>
        </w:rPr>
        <w:t>organisation's</w:t>
      </w:r>
      <w:r w:rsidRPr="0034607E">
        <w:rPr>
          <w:rFonts w:ascii="Calibri" w:eastAsia="Times New Roman" w:hAnsi="Calibri"/>
          <w:color w:val="000000"/>
          <w:sz w:val="22"/>
          <w:szCs w:val="22"/>
        </w:rPr>
        <w:t xml:space="preserve"> characteristics, employees, and external environment.</w:t>
      </w:r>
      <w:r w:rsidR="0034607E" w:rsidRPr="0034607E">
        <w:rPr>
          <w:rFonts w:ascii="Calibri" w:eastAsia="Times New Roman" w:hAnsi="Calibri"/>
          <w:color w:val="000000"/>
          <w:sz w:val="22"/>
          <w:szCs w:val="22"/>
        </w:rPr>
        <w:t xml:space="preserve"> Armstrong and Brown (2024i)</w:t>
      </w:r>
    </w:p>
    <w:p w14:paraId="5BCAA8E4" w14:textId="7B03983A" w:rsidR="00F75CA9" w:rsidRPr="008C5571" w:rsidRDefault="007C65CB" w:rsidP="007C65CB">
      <w:pPr>
        <w:rPr>
          <w:rFonts w:ascii="Calibri" w:hAnsi="Calibri"/>
          <w:color w:val="215E99" w:themeColor="text2" w:themeTint="BF"/>
          <w:sz w:val="22"/>
          <w:szCs w:val="22"/>
        </w:rPr>
      </w:pPr>
      <w:r>
        <w:rPr>
          <w:rFonts w:ascii="Calibri" w:hAnsi="Calibri"/>
          <w:color w:val="215E99" w:themeColor="text2" w:themeTint="BF"/>
          <w:sz w:val="22"/>
          <w:szCs w:val="22"/>
        </w:rPr>
        <w:t>4.</w:t>
      </w:r>
      <w:r w:rsidRPr="007C65CB">
        <w:rPr>
          <w:rFonts w:ascii="Calibri" w:hAnsi="Calibri"/>
          <w:color w:val="215E99" w:themeColor="text2" w:themeTint="BF"/>
          <w:sz w:val="22"/>
          <w:szCs w:val="22"/>
        </w:rPr>
        <w:t>Explain how contingent rewards can impact individual, team and organisational performance. (AC 2.2)</w:t>
      </w:r>
    </w:p>
    <w:p w14:paraId="07D9D5F7" w14:textId="4697EA23" w:rsidR="00CB6120" w:rsidRPr="00084D57" w:rsidRDefault="00084D57" w:rsidP="007C65CB">
      <w:pPr>
        <w:rPr>
          <w:rFonts w:ascii="Calibri" w:hAnsi="Calibri"/>
          <w:color w:val="215E99" w:themeColor="text2" w:themeTint="BF"/>
          <w:sz w:val="22"/>
          <w:szCs w:val="22"/>
        </w:rPr>
      </w:pPr>
      <w:r w:rsidRPr="00084D57">
        <w:rPr>
          <w:rFonts w:ascii="Calibri" w:eastAsia="Times New Roman" w:hAnsi="Calibri"/>
          <w:color w:val="000000"/>
          <w:sz w:val="22"/>
          <w:szCs w:val="22"/>
        </w:rPr>
        <w:t>I</w:t>
      </w:r>
      <w:r w:rsidR="0041251C" w:rsidRPr="00084D57">
        <w:rPr>
          <w:rFonts w:ascii="Calibri" w:eastAsia="Times New Roman" w:hAnsi="Calibri"/>
          <w:color w:val="000000"/>
          <w:sz w:val="22"/>
          <w:szCs w:val="22"/>
        </w:rPr>
        <w:t xml:space="preserve">ndividual contingent pay, which offers financial rewards based on individual performance, competency, contribution, or skill. It covers various types of pay, including performance-related pay, competency-related pay, contribution-related pay, skill-based pay, and service-related pay, as well as the development and implementation of contingent </w:t>
      </w:r>
      <w:r w:rsidR="00736478" w:rsidRPr="00084D57">
        <w:rPr>
          <w:rFonts w:ascii="Calibri" w:eastAsia="Times New Roman" w:hAnsi="Calibri"/>
          <w:color w:val="000000"/>
          <w:sz w:val="22"/>
          <w:szCs w:val="22"/>
        </w:rPr>
        <w:t>pay. Armstrong</w:t>
      </w:r>
      <w:r w:rsidR="0019717A" w:rsidRPr="00084D57">
        <w:rPr>
          <w:rFonts w:ascii="Calibri" w:eastAsia="Times New Roman" w:hAnsi="Calibri"/>
          <w:color w:val="000000"/>
          <w:sz w:val="22"/>
          <w:szCs w:val="22"/>
        </w:rPr>
        <w:t xml:space="preserve"> (2007</w:t>
      </w:r>
      <w:r w:rsidR="008C5571" w:rsidRPr="00084D57">
        <w:rPr>
          <w:rFonts w:ascii="Calibri" w:eastAsia="Times New Roman" w:hAnsi="Calibri"/>
          <w:color w:val="000000"/>
          <w:sz w:val="22"/>
          <w:szCs w:val="22"/>
        </w:rPr>
        <w:t>g</w:t>
      </w:r>
      <w:r w:rsidR="0019717A" w:rsidRPr="00084D57">
        <w:rPr>
          <w:rFonts w:ascii="Calibri" w:eastAsia="Times New Roman" w:hAnsi="Calibri"/>
          <w:color w:val="000000"/>
          <w:sz w:val="22"/>
          <w:szCs w:val="22"/>
        </w:rPr>
        <w:t>)</w:t>
      </w:r>
    </w:p>
    <w:p w14:paraId="03699C92" w14:textId="13A681C0" w:rsidR="007C65CB" w:rsidRPr="00736478" w:rsidRDefault="00736478" w:rsidP="007C65CB">
      <w:pPr>
        <w:rPr>
          <w:rFonts w:ascii="Calibri" w:eastAsia="Times New Roman" w:hAnsi="Calibri"/>
          <w:color w:val="000000"/>
          <w:sz w:val="22"/>
          <w:szCs w:val="22"/>
        </w:rPr>
      </w:pPr>
      <w:r w:rsidRPr="00736478">
        <w:rPr>
          <w:rFonts w:ascii="Calibri" w:eastAsia="Times New Roman" w:hAnsi="Calibri"/>
          <w:color w:val="000000"/>
          <w:sz w:val="22"/>
          <w:szCs w:val="22"/>
        </w:rPr>
        <w:t xml:space="preserve">PRP is a pay management strategy that links salary progression to individual performance assessment, aiming to motivate staff and improve organisational performance, fostering an entrepreneurial culture and fairness. </w:t>
      </w:r>
      <w:r w:rsidR="00D732C7" w:rsidRPr="00736478">
        <w:rPr>
          <w:rFonts w:ascii="Calibri" w:eastAsia="Times New Roman" w:hAnsi="Calibri"/>
          <w:color w:val="000000"/>
          <w:sz w:val="22"/>
          <w:szCs w:val="22"/>
        </w:rPr>
        <w:t>(CIPD, 2023)</w:t>
      </w:r>
    </w:p>
    <w:p w14:paraId="44D383BE" w14:textId="07273CF4" w:rsidR="000F693F" w:rsidRPr="00B3432D" w:rsidRDefault="00B3432D" w:rsidP="007C65CB">
      <w:pPr>
        <w:rPr>
          <w:rFonts w:ascii="Calibri" w:eastAsia="Times New Roman" w:hAnsi="Calibri"/>
          <w:color w:val="000000"/>
          <w:sz w:val="22"/>
          <w:szCs w:val="22"/>
        </w:rPr>
      </w:pPr>
      <w:r w:rsidRPr="00B3432D">
        <w:rPr>
          <w:rFonts w:ascii="Calibri" w:eastAsia="Times New Roman" w:hAnsi="Calibri"/>
          <w:color w:val="000000"/>
          <w:sz w:val="22"/>
          <w:szCs w:val="22"/>
        </w:rPr>
        <w:t xml:space="preserve">Team-based incentives drive performance more than individual ones, but fair distribution within teams is more effective. Employees appreciate recognition for collective achievements and positive team behaviours. Procedural and interactional justice emphasises collective achievements and positive team behaviours over distributive justice. </w:t>
      </w:r>
      <w:r w:rsidR="008C7791" w:rsidRPr="00B3432D">
        <w:rPr>
          <w:rFonts w:ascii="Calibri" w:eastAsia="Times New Roman" w:hAnsi="Calibri"/>
          <w:color w:val="000000"/>
          <w:sz w:val="22"/>
          <w:szCs w:val="22"/>
        </w:rPr>
        <w:t>(CIPD, 2022)</w:t>
      </w:r>
    </w:p>
    <w:p w14:paraId="71E73245" w14:textId="54F284C3" w:rsidR="0020797D" w:rsidRPr="0009438E" w:rsidRDefault="00596723" w:rsidP="007C65CB">
      <w:pPr>
        <w:rPr>
          <w:rFonts w:ascii="Calibri" w:eastAsia="Times New Roman" w:hAnsi="Calibri"/>
          <w:color w:val="000000"/>
          <w:sz w:val="22"/>
          <w:szCs w:val="22"/>
        </w:rPr>
      </w:pPr>
      <w:r w:rsidRPr="003B1253">
        <w:rPr>
          <w:rFonts w:ascii="Calibri" w:eastAsia="Times New Roman" w:hAnsi="Calibri"/>
          <w:color w:val="000000"/>
          <w:sz w:val="22"/>
          <w:szCs w:val="22"/>
        </w:rPr>
        <w:t xml:space="preserve">Competence-based pay is a payment system that links salary progression or bonuses to individual employees' 'competencies'. These competencies include team management, </w:t>
      </w:r>
      <w:r w:rsidR="00913CF4" w:rsidRPr="003B1253">
        <w:rPr>
          <w:rFonts w:ascii="Calibri" w:eastAsia="Times New Roman" w:hAnsi="Calibri"/>
          <w:color w:val="000000"/>
          <w:sz w:val="22"/>
          <w:szCs w:val="22"/>
        </w:rPr>
        <w:t>prioritisation</w:t>
      </w:r>
      <w:r w:rsidRPr="003B1253">
        <w:rPr>
          <w:rFonts w:ascii="Calibri" w:eastAsia="Times New Roman" w:hAnsi="Calibri"/>
          <w:color w:val="000000"/>
          <w:sz w:val="22"/>
          <w:szCs w:val="22"/>
        </w:rPr>
        <w:t xml:space="preserve">, networking, customer service orientation, and more. Appraisals rate employees against these competencies, which determine bonuses or progression. Interest in this system has grown due to </w:t>
      </w:r>
      <w:r w:rsidRPr="0009438E">
        <w:rPr>
          <w:rFonts w:ascii="Calibri" w:eastAsia="Times New Roman" w:hAnsi="Calibri"/>
          <w:color w:val="000000"/>
          <w:sz w:val="22"/>
          <w:szCs w:val="22"/>
        </w:rPr>
        <w:t>competency frameworks in human resource management. However, it can be costly and subject to bias.</w:t>
      </w:r>
      <w:r w:rsidR="003B1253" w:rsidRPr="0009438E">
        <w:rPr>
          <w:rFonts w:ascii="Calibri" w:eastAsia="Times New Roman" w:hAnsi="Calibri"/>
          <w:color w:val="000000"/>
          <w:sz w:val="22"/>
          <w:szCs w:val="22"/>
        </w:rPr>
        <w:t xml:space="preserve"> (</w:t>
      </w:r>
      <w:proofErr w:type="spellStart"/>
      <w:r w:rsidR="003B1253" w:rsidRPr="0009438E">
        <w:rPr>
          <w:rFonts w:ascii="Calibri" w:eastAsia="Times New Roman" w:hAnsi="Calibri"/>
          <w:color w:val="000000"/>
          <w:sz w:val="22"/>
          <w:szCs w:val="22"/>
        </w:rPr>
        <w:t>Heery</w:t>
      </w:r>
      <w:proofErr w:type="spellEnd"/>
      <w:r w:rsidR="003B1253" w:rsidRPr="0009438E">
        <w:rPr>
          <w:rFonts w:ascii="Calibri" w:eastAsia="Times New Roman" w:hAnsi="Calibri"/>
          <w:color w:val="000000"/>
          <w:sz w:val="22"/>
          <w:szCs w:val="22"/>
        </w:rPr>
        <w:t xml:space="preserve"> and Noon, 2017)</w:t>
      </w:r>
    </w:p>
    <w:p w14:paraId="34F8B613" w14:textId="320BDC9B" w:rsidR="00F4419E" w:rsidRPr="005E774F" w:rsidRDefault="005E774F" w:rsidP="007C65CB">
      <w:pPr>
        <w:rPr>
          <w:rFonts w:ascii="Calibri" w:eastAsia="Times New Roman" w:hAnsi="Calibri"/>
          <w:color w:val="215E99" w:themeColor="text2" w:themeTint="BF"/>
          <w:sz w:val="22"/>
          <w:szCs w:val="22"/>
        </w:rPr>
      </w:pPr>
      <w:r w:rsidRPr="005E774F">
        <w:rPr>
          <w:rFonts w:ascii="Calibri" w:eastAsia="Times New Roman" w:hAnsi="Calibri"/>
          <w:color w:val="000000"/>
          <w:sz w:val="22"/>
          <w:szCs w:val="22"/>
        </w:rPr>
        <w:lastRenderedPageBreak/>
        <w:t xml:space="preserve">Money can motivate people by satisfying needs like survival, self-esteem, and acquisitiveness, and can influence employee retention. However, it alone isn't enough to motivate high performance; non-financial rewards, particularly intrinsic ones, are also crucial. Core job dimensions like skill variety, task identity, task significance, autonomy, and feedback also contribute to motivation. </w:t>
      </w:r>
      <w:proofErr w:type="spellStart"/>
      <w:r w:rsidRPr="005E774F">
        <w:rPr>
          <w:rFonts w:ascii="Calibri" w:eastAsia="Times New Roman" w:hAnsi="Calibri"/>
          <w:color w:val="000000"/>
          <w:sz w:val="22"/>
          <w:szCs w:val="22"/>
        </w:rPr>
        <w:t>Herzberg</w:t>
      </w:r>
      <w:proofErr w:type="spellEnd"/>
      <w:r w:rsidRPr="005E774F">
        <w:rPr>
          <w:rFonts w:ascii="Calibri" w:eastAsia="Times New Roman" w:hAnsi="Calibri"/>
          <w:color w:val="000000"/>
          <w:sz w:val="22"/>
          <w:szCs w:val="22"/>
        </w:rPr>
        <w:t xml:space="preserve"> (1966) argues that money doesn't guarantee lasting satisfaction due to different needs and motivations. Organisations should consider a mix of financial and non-financial rewards for effective motivation.</w:t>
      </w:r>
      <w:r w:rsidR="0009438E" w:rsidRPr="005E774F">
        <w:rPr>
          <w:rFonts w:ascii="Calibri" w:eastAsia="Times New Roman" w:hAnsi="Calibri"/>
          <w:color w:val="215E99" w:themeColor="text2" w:themeTint="BF"/>
          <w:sz w:val="22"/>
          <w:szCs w:val="22"/>
        </w:rPr>
        <w:t xml:space="preserve"> Armstrong and Brown (2024j)</w:t>
      </w:r>
    </w:p>
    <w:p w14:paraId="1977EF51" w14:textId="2FD1BD4A" w:rsidR="00184EE5" w:rsidRPr="003B1253" w:rsidRDefault="003D022F" w:rsidP="007C65CB">
      <w:pPr>
        <w:rPr>
          <w:rFonts w:ascii="Calibri" w:eastAsia="Times New Roman" w:hAnsi="Calibri"/>
          <w:color w:val="000000"/>
          <w:sz w:val="22"/>
          <w:szCs w:val="22"/>
        </w:rPr>
      </w:pPr>
      <w:r w:rsidRPr="003D022F">
        <w:rPr>
          <w:rFonts w:ascii="Calibri" w:hAnsi="Calibri"/>
          <w:color w:val="215E99" w:themeColor="text2" w:themeTint="BF"/>
          <w:sz w:val="22"/>
          <w:szCs w:val="22"/>
        </w:rPr>
        <w:t>5.</w:t>
      </w:r>
      <w:r w:rsidR="00184EE5" w:rsidRPr="003D022F">
        <w:rPr>
          <w:rFonts w:ascii="Calibri" w:hAnsi="Calibri"/>
          <w:color w:val="215E99" w:themeColor="text2" w:themeTint="BF"/>
          <w:sz w:val="22"/>
          <w:szCs w:val="22"/>
        </w:rPr>
        <w:t>Explain the merits of different types of benefits offered by organisations. (AC 2.3)</w:t>
      </w:r>
    </w:p>
    <w:p w14:paraId="5CC22FD5" w14:textId="1AEDB043" w:rsidR="0034607E" w:rsidRPr="00C033D9" w:rsidRDefault="00C033D9">
      <w:pPr>
        <w:rPr>
          <w:rFonts w:ascii="Calibri" w:eastAsia="Times New Roman" w:hAnsi="Calibri"/>
          <w:color w:val="000000"/>
          <w:sz w:val="22"/>
          <w:szCs w:val="22"/>
        </w:rPr>
      </w:pPr>
      <w:r w:rsidRPr="00C033D9">
        <w:rPr>
          <w:rFonts w:ascii="Calibri" w:eastAsia="Times New Roman" w:hAnsi="Calibri"/>
          <w:color w:val="000000"/>
          <w:sz w:val="22"/>
          <w:szCs w:val="22"/>
        </w:rPr>
        <w:t>Bonuses and financial incentives are variable pay based on individual, collective, or organisational performance, often paid in cash or company shares. They aim to influence future employee behaviour or performance, with bonuses being discretionary or non-discretionary, and non-cash incentives awarding prizes or gifts.</w:t>
      </w:r>
      <w:r w:rsidR="00AC6BCC" w:rsidRPr="00C033D9">
        <w:rPr>
          <w:rFonts w:ascii="Calibri" w:eastAsia="Times New Roman" w:hAnsi="Calibri"/>
          <w:color w:val="000000"/>
          <w:sz w:val="22"/>
          <w:szCs w:val="22"/>
        </w:rPr>
        <w:t xml:space="preserve"> Cotton (2023)</w:t>
      </w:r>
    </w:p>
    <w:p w14:paraId="4D1CAFA7" w14:textId="643035EB" w:rsidR="00D27739" w:rsidRPr="006527FD" w:rsidRDefault="006527FD">
      <w:pPr>
        <w:rPr>
          <w:rFonts w:ascii="Calibri" w:eastAsia="Times New Roman" w:hAnsi="Calibri"/>
          <w:color w:val="000000"/>
          <w:sz w:val="22"/>
          <w:szCs w:val="22"/>
        </w:rPr>
      </w:pPr>
      <w:r w:rsidRPr="006527FD">
        <w:rPr>
          <w:rFonts w:ascii="Calibri" w:eastAsia="Times New Roman" w:hAnsi="Calibri"/>
          <w:color w:val="000000"/>
          <w:sz w:val="22"/>
          <w:szCs w:val="22"/>
        </w:rPr>
        <w:t>The 'new pay' philosophy suggests reducing guaranteed remuneration to a smaller part of the overall reward package, focusing on strategic rewards that align employee performance and pay with business strategy. Market-based pay allows for pay increases based on market rates, offering benefits like greater control, potential for more money, and one-time bonuses. Employers benefit from ongoing motivation, reduced employment costs, market competitiveness, and flexibility.</w:t>
      </w:r>
      <w:r w:rsidR="00C862C4" w:rsidRPr="006527FD">
        <w:rPr>
          <w:rFonts w:ascii="Calibri" w:eastAsia="Times New Roman" w:hAnsi="Calibri"/>
          <w:color w:val="000000"/>
          <w:sz w:val="22"/>
          <w:szCs w:val="22"/>
        </w:rPr>
        <w:t xml:space="preserve"> (Cotton, 2023b)</w:t>
      </w:r>
    </w:p>
    <w:p w14:paraId="3BF7EF23" w14:textId="21BD8EA6" w:rsidR="002F0D80" w:rsidRPr="00122F82" w:rsidRDefault="00122F82">
      <w:pPr>
        <w:rPr>
          <w:rFonts w:ascii="Calibri" w:hAnsi="Calibri"/>
          <w:sz w:val="22"/>
          <w:szCs w:val="22"/>
        </w:rPr>
      </w:pPr>
      <w:r w:rsidRPr="00122F82">
        <w:rPr>
          <w:rFonts w:ascii="Calibri" w:eastAsia="Times New Roman" w:hAnsi="Calibri"/>
          <w:color w:val="000000"/>
          <w:sz w:val="22"/>
          <w:szCs w:val="22"/>
        </w:rPr>
        <w:t>Bonuses, re-earned based on corporate or team performance, can boost commitment and teamwork, but may be perceived as arbitrary and not pensionable if unconsolidated, leading many to opt for base pay. Armstrong</w:t>
      </w:r>
      <w:r w:rsidR="00EA4614" w:rsidRPr="00122F82">
        <w:rPr>
          <w:rFonts w:ascii="Calibri" w:eastAsia="Times New Roman" w:hAnsi="Calibri"/>
          <w:color w:val="000000"/>
          <w:sz w:val="22"/>
          <w:szCs w:val="22"/>
        </w:rPr>
        <w:t xml:space="preserve"> (2007i)</w:t>
      </w:r>
    </w:p>
    <w:p w14:paraId="16481A7D" w14:textId="47FD18EE" w:rsidR="00E5580F" w:rsidRPr="00A2332D" w:rsidRDefault="007A582D">
      <w:pPr>
        <w:rPr>
          <w:rFonts w:ascii="Calibri" w:eastAsia="Times New Roman" w:hAnsi="Calibri"/>
          <w:color w:val="000000"/>
          <w:sz w:val="22"/>
          <w:szCs w:val="22"/>
        </w:rPr>
      </w:pPr>
      <w:r w:rsidRPr="007A582D">
        <w:rPr>
          <w:rFonts w:ascii="Calibri" w:eastAsia="Times New Roman" w:hAnsi="Calibri"/>
          <w:color w:val="000000"/>
          <w:sz w:val="22"/>
          <w:szCs w:val="22"/>
        </w:rPr>
        <w:t xml:space="preserve">Flexible working is a flexible arrangement that allows employees to choose their work hours, locations, and times. It includes part-time, term-time, job-sharing, flexible time, compressed hours, annual hours, remote work, hybrid working, career breaks, commissioned outcomes, and zero-hours contracts. Some arrangements are formal or informal, with some organisations amending their employment contracts or including policies in handbooks. As the flexible working rules have been extended, employers should review their contracts and policies to ensure compliance. Other flexible </w:t>
      </w:r>
      <w:r w:rsidRPr="00A2332D">
        <w:rPr>
          <w:rFonts w:ascii="Calibri" w:eastAsia="Times New Roman" w:hAnsi="Calibri"/>
          <w:color w:val="000000"/>
          <w:sz w:val="22"/>
          <w:szCs w:val="22"/>
        </w:rPr>
        <w:t>working practices include self-rostering, shift-swapping, and training time off.</w:t>
      </w:r>
      <w:r w:rsidR="00901C0D" w:rsidRPr="00A2332D">
        <w:rPr>
          <w:rFonts w:ascii="Calibri" w:eastAsia="Times New Roman" w:hAnsi="Calibri"/>
          <w:color w:val="000000"/>
          <w:sz w:val="22"/>
          <w:szCs w:val="22"/>
        </w:rPr>
        <w:t xml:space="preserve"> CIPD (2023a)</w:t>
      </w:r>
    </w:p>
    <w:p w14:paraId="172E269A" w14:textId="48D7B0CB" w:rsidR="00CE4603" w:rsidRDefault="00A2332D">
      <w:pPr>
        <w:rPr>
          <w:rFonts w:ascii="Calibri" w:eastAsia="Times New Roman" w:hAnsi="Calibri"/>
          <w:color w:val="000000"/>
          <w:sz w:val="22"/>
          <w:szCs w:val="22"/>
        </w:rPr>
      </w:pPr>
      <w:r w:rsidRPr="00A2332D">
        <w:rPr>
          <w:rFonts w:ascii="Calibri" w:eastAsia="Times New Roman" w:hAnsi="Calibri"/>
          <w:color w:val="000000"/>
          <w:sz w:val="22"/>
          <w:szCs w:val="22"/>
        </w:rPr>
        <w:t>Flexible working offers cost savings, improved resource matching, increased job satisfaction, reduced absence rates, and mental health support. It also appeals to employees and new recruits, as expectations and demographics evolve, making it more suitable for carer-friendly workplaces.</w:t>
      </w:r>
      <w:r w:rsidR="004364E2" w:rsidRPr="00A2332D">
        <w:rPr>
          <w:rFonts w:ascii="Calibri" w:eastAsia="Times New Roman" w:hAnsi="Calibri"/>
          <w:color w:val="000000"/>
          <w:sz w:val="22"/>
          <w:szCs w:val="22"/>
        </w:rPr>
        <w:t xml:space="preserve"> CIPD </w:t>
      </w:r>
      <w:r w:rsidR="004364E2" w:rsidRPr="001275F0">
        <w:rPr>
          <w:rFonts w:ascii="Calibri" w:eastAsia="Times New Roman" w:hAnsi="Calibri"/>
          <w:color w:val="000000"/>
          <w:sz w:val="22"/>
          <w:szCs w:val="22"/>
        </w:rPr>
        <w:t>(2023b)</w:t>
      </w:r>
    </w:p>
    <w:p w14:paraId="21C1606E" w14:textId="27B89D49" w:rsidR="001275F0" w:rsidRPr="005D0DCC" w:rsidRDefault="00742024">
      <w:pPr>
        <w:rPr>
          <w:rFonts w:ascii="Calibri" w:hAnsi="Calibri"/>
          <w:color w:val="215E99" w:themeColor="text2" w:themeTint="BF"/>
          <w:sz w:val="22"/>
          <w:szCs w:val="22"/>
        </w:rPr>
      </w:pPr>
      <w:r w:rsidRPr="005D0DCC">
        <w:rPr>
          <w:rFonts w:ascii="Calibri" w:hAnsi="Calibri"/>
          <w:color w:val="215E99" w:themeColor="text2" w:themeTint="BF"/>
          <w:sz w:val="22"/>
          <w:szCs w:val="22"/>
        </w:rPr>
        <w:t>6.</w:t>
      </w:r>
      <w:r w:rsidR="008827CB" w:rsidRPr="005D0DCC">
        <w:rPr>
          <w:rFonts w:ascii="Calibri" w:hAnsi="Calibri"/>
          <w:color w:val="215E99" w:themeColor="text2" w:themeTint="BF"/>
          <w:sz w:val="22"/>
          <w:szCs w:val="22"/>
        </w:rPr>
        <w:t>Explain the merits of different types of recognition schemes offered by organisations. (AC 2.4)</w:t>
      </w:r>
    </w:p>
    <w:p w14:paraId="12023660" w14:textId="797D1583" w:rsidR="00386EFB" w:rsidRPr="00D5418C" w:rsidRDefault="00D5418C">
      <w:pPr>
        <w:rPr>
          <w:rFonts w:ascii="Calibri" w:eastAsia="Times New Roman" w:hAnsi="Calibri"/>
          <w:color w:val="000000"/>
          <w:sz w:val="22"/>
          <w:szCs w:val="22"/>
        </w:rPr>
      </w:pPr>
      <w:r w:rsidRPr="00D5418C">
        <w:rPr>
          <w:rFonts w:ascii="Calibri" w:eastAsia="Times New Roman" w:hAnsi="Calibri"/>
          <w:color w:val="000000"/>
          <w:sz w:val="22"/>
          <w:szCs w:val="22"/>
        </w:rPr>
        <w:t xml:space="preserve">Formal recognition schemes provide tangible rewards like gifts, vouchers, holidays, or cash awards to individuals and their partners. These schemes can be centrally driven and nominated by managers and employees. Levels of recognition and rewards can range from small awards to approval from senior managers. External providers can administer these schemes, but personal dimension is crucial for maximising perceived </w:t>
      </w:r>
      <w:r w:rsidR="00303537" w:rsidRPr="00D5418C">
        <w:rPr>
          <w:rFonts w:ascii="Calibri" w:eastAsia="Times New Roman" w:hAnsi="Calibri"/>
          <w:color w:val="000000"/>
          <w:sz w:val="22"/>
          <w:szCs w:val="22"/>
        </w:rPr>
        <w:t>value. Armstrong</w:t>
      </w:r>
      <w:r w:rsidR="00BF72CD" w:rsidRPr="00D5418C">
        <w:rPr>
          <w:rFonts w:ascii="Calibri" w:eastAsia="Times New Roman" w:hAnsi="Calibri"/>
          <w:color w:val="000000"/>
          <w:sz w:val="22"/>
          <w:szCs w:val="22"/>
        </w:rPr>
        <w:t xml:space="preserve"> and Brown (2024k)</w:t>
      </w:r>
    </w:p>
    <w:p w14:paraId="56656AF7" w14:textId="2790761C" w:rsidR="00A76E44" w:rsidRPr="00303537" w:rsidRDefault="001873DB">
      <w:pPr>
        <w:rPr>
          <w:rFonts w:ascii="Calibri" w:eastAsia="Times New Roman" w:hAnsi="Calibri"/>
          <w:color w:val="000000"/>
          <w:sz w:val="22"/>
          <w:szCs w:val="22"/>
        </w:rPr>
      </w:pPr>
      <w:r w:rsidRPr="00303537">
        <w:rPr>
          <w:rFonts w:ascii="Calibri" w:eastAsia="Times New Roman" w:hAnsi="Calibri"/>
          <w:color w:val="000000"/>
          <w:sz w:val="22"/>
          <w:szCs w:val="22"/>
        </w:rPr>
        <w:t xml:space="preserve">Day-to-day recognition is the most effective form of recognition, provided by managers to staff on a daily basis. It should be genuine and a natural part of the routine. An </w:t>
      </w:r>
      <w:r w:rsidR="00303537" w:rsidRPr="00303537">
        <w:rPr>
          <w:rFonts w:ascii="Calibri" w:eastAsia="Times New Roman" w:hAnsi="Calibri"/>
          <w:color w:val="000000"/>
          <w:sz w:val="22"/>
          <w:szCs w:val="22"/>
        </w:rPr>
        <w:t>organisation</w:t>
      </w:r>
      <w:r w:rsidRPr="00303537">
        <w:rPr>
          <w:rFonts w:ascii="Calibri" w:eastAsia="Times New Roman" w:hAnsi="Calibri"/>
          <w:color w:val="000000"/>
          <w:sz w:val="22"/>
          <w:szCs w:val="22"/>
        </w:rPr>
        <w:t xml:space="preserve"> should develop a </w:t>
      </w:r>
      <w:r w:rsidRPr="00303537">
        <w:rPr>
          <w:rFonts w:ascii="Calibri" w:eastAsia="Times New Roman" w:hAnsi="Calibri"/>
          <w:color w:val="000000"/>
          <w:sz w:val="22"/>
          <w:szCs w:val="22"/>
        </w:rPr>
        <w:lastRenderedPageBreak/>
        <w:t xml:space="preserve">recognition culture nurtured by senior managers and permeate every level of management. Effective recognition practice is often covered in general management training programs, with support from HR to line managers. Public recognition, such as 'employee of the month schemes', can enhance recognition and increase its perceived </w:t>
      </w:r>
      <w:r w:rsidR="00303537">
        <w:rPr>
          <w:rFonts w:ascii="Calibri" w:eastAsia="Times New Roman" w:hAnsi="Calibri"/>
          <w:color w:val="000000"/>
          <w:sz w:val="22"/>
          <w:szCs w:val="22"/>
        </w:rPr>
        <w:t>value. Armstrong</w:t>
      </w:r>
      <w:r w:rsidR="002D4001" w:rsidRPr="00303537">
        <w:rPr>
          <w:rFonts w:ascii="Calibri" w:eastAsia="Times New Roman" w:hAnsi="Calibri"/>
          <w:color w:val="000000"/>
          <w:sz w:val="22"/>
          <w:szCs w:val="22"/>
        </w:rPr>
        <w:t xml:space="preserve"> and Brown (2024l)</w:t>
      </w:r>
    </w:p>
    <w:p w14:paraId="7BABC95B" w14:textId="1715516D" w:rsidR="005D0DCC" w:rsidRPr="003A2D2A" w:rsidRDefault="003A2D2A">
      <w:pPr>
        <w:rPr>
          <w:rFonts w:ascii="Calibri" w:eastAsia="Times New Roman" w:hAnsi="Calibri"/>
          <w:color w:val="000000"/>
          <w:sz w:val="22"/>
          <w:szCs w:val="22"/>
        </w:rPr>
      </w:pPr>
      <w:r w:rsidRPr="003A2D2A">
        <w:rPr>
          <w:rFonts w:ascii="Calibri" w:eastAsia="Times New Roman" w:hAnsi="Calibri"/>
          <w:color w:val="000000"/>
          <w:sz w:val="22"/>
          <w:szCs w:val="22"/>
        </w:rPr>
        <w:t>Research indicates that employee recognition and non-financial rewards positively impact intrinsic motivation and performance, affecting employee interest, work enjoyment, attendance, retention, commitment, and engagement. Recognition can enhance both an employee's and their colleagues' performance. However, the effectiveness of incentives depends on various factors, and caution should be exercised when designing incentives, as they can backfire and harm motivation and performance.</w:t>
      </w:r>
      <w:r w:rsidR="007A4442" w:rsidRPr="003A2D2A">
        <w:rPr>
          <w:rFonts w:ascii="Calibri" w:eastAsia="Times New Roman" w:hAnsi="Calibri"/>
          <w:color w:val="000000"/>
          <w:sz w:val="22"/>
          <w:szCs w:val="22"/>
        </w:rPr>
        <w:t xml:space="preserve"> (CIPD, 2022b)</w:t>
      </w:r>
    </w:p>
    <w:p w14:paraId="1A3D75AA" w14:textId="2B5F61C9" w:rsidR="00D04789" w:rsidRPr="009473FA" w:rsidRDefault="006B41C7">
      <w:pPr>
        <w:rPr>
          <w:rFonts w:ascii="Calibri" w:hAnsi="Calibri"/>
          <w:color w:val="215E99" w:themeColor="text2" w:themeTint="BF"/>
          <w:sz w:val="22"/>
          <w:szCs w:val="22"/>
        </w:rPr>
      </w:pPr>
      <w:r w:rsidRPr="009473FA">
        <w:rPr>
          <w:rFonts w:ascii="Calibri" w:hAnsi="Calibri"/>
          <w:color w:val="215E99" w:themeColor="text2" w:themeTint="BF"/>
          <w:sz w:val="22"/>
          <w:szCs w:val="22"/>
        </w:rPr>
        <w:t>7.</w:t>
      </w:r>
      <w:r w:rsidR="00D04789" w:rsidRPr="009473FA">
        <w:rPr>
          <w:rFonts w:ascii="Calibri" w:hAnsi="Calibri"/>
          <w:color w:val="215E99" w:themeColor="text2" w:themeTint="BF"/>
          <w:sz w:val="22"/>
          <w:szCs w:val="22"/>
        </w:rPr>
        <w:t>Assess the business context of the reward environment. (AC 3.1)</w:t>
      </w:r>
    </w:p>
    <w:p w14:paraId="20EFB5AE" w14:textId="642856FA" w:rsidR="006812DE" w:rsidRPr="00154FFA" w:rsidRDefault="00154FFA">
      <w:pPr>
        <w:rPr>
          <w:rFonts w:ascii="Calibri" w:eastAsia="Times New Roman" w:hAnsi="Calibri"/>
          <w:color w:val="000000"/>
          <w:sz w:val="22"/>
          <w:szCs w:val="22"/>
        </w:rPr>
      </w:pPr>
      <w:r w:rsidRPr="00154FFA">
        <w:rPr>
          <w:rFonts w:ascii="Calibri" w:eastAsia="Times New Roman" w:hAnsi="Calibri"/>
          <w:color w:val="000000"/>
          <w:sz w:val="22"/>
          <w:szCs w:val="22"/>
        </w:rPr>
        <w:t>Reward management is crucial in international, national, and corporate business contexts. In the international context, organisations must adapt to global competition, cost-cutting pressure, individualism, flexible employment arrangements, and diverse workforces. HR professionals must adapt to these trends to ensure effective reward management, as outdated models may compromise firms' competitiveness. Flexibility is essential in addressing the impact of globalisation on employee rewards.</w:t>
      </w:r>
      <w:r w:rsidR="00E82B27" w:rsidRPr="00154FFA">
        <w:rPr>
          <w:rFonts w:ascii="Calibri" w:eastAsia="Times New Roman" w:hAnsi="Calibri"/>
          <w:color w:val="000000"/>
          <w:sz w:val="22"/>
          <w:szCs w:val="22"/>
        </w:rPr>
        <w:t xml:space="preserve"> Taylor and </w:t>
      </w:r>
      <w:proofErr w:type="spellStart"/>
      <w:r w:rsidR="00E82B27" w:rsidRPr="00154FFA">
        <w:rPr>
          <w:rFonts w:ascii="Calibri" w:eastAsia="Times New Roman" w:hAnsi="Calibri"/>
          <w:color w:val="000000"/>
          <w:sz w:val="22"/>
          <w:szCs w:val="22"/>
        </w:rPr>
        <w:t>Woodhams</w:t>
      </w:r>
      <w:proofErr w:type="spellEnd"/>
      <w:r w:rsidR="00E82B27" w:rsidRPr="00154FFA">
        <w:rPr>
          <w:rFonts w:ascii="Calibri" w:eastAsia="Times New Roman" w:hAnsi="Calibri"/>
          <w:color w:val="000000"/>
          <w:sz w:val="22"/>
          <w:szCs w:val="22"/>
        </w:rPr>
        <w:t xml:space="preserve"> (2016b)</w:t>
      </w:r>
    </w:p>
    <w:p w14:paraId="5023C48F" w14:textId="5AE777FE" w:rsidR="008F0AE0" w:rsidRPr="00C7013D" w:rsidRDefault="00C7013D">
      <w:pPr>
        <w:rPr>
          <w:rFonts w:ascii="Calibri" w:eastAsia="Times New Roman" w:hAnsi="Calibri"/>
          <w:color w:val="000000"/>
          <w:sz w:val="22"/>
          <w:szCs w:val="22"/>
        </w:rPr>
      </w:pPr>
      <w:r w:rsidRPr="00C7013D">
        <w:rPr>
          <w:rFonts w:ascii="Calibri" w:eastAsia="Times New Roman" w:hAnsi="Calibri"/>
          <w:color w:val="000000"/>
          <w:sz w:val="22"/>
          <w:szCs w:val="22"/>
        </w:rPr>
        <w:t xml:space="preserve">The UK's labour market has transformed into an 'hourglass', dividing it into highly paid and skilled roles and low skill and poorly paid jobs. This shift is largely due to the replacement of manual or administrative roles by technology or off shored to developing countries. The industry structure has also changed, moving from manufacturing to service and knowledge. The introduction of the national minimum wage in 1999 affected the pay of around two million workers. Reward management strategies have adapted, with more individuals working part-time or having flexible contractual arrangements. </w:t>
      </w:r>
      <w:r w:rsidR="0079594D" w:rsidRPr="00C7013D">
        <w:rPr>
          <w:rFonts w:ascii="Calibri" w:eastAsia="Times New Roman" w:hAnsi="Calibri"/>
          <w:color w:val="000000"/>
          <w:sz w:val="22"/>
          <w:szCs w:val="22"/>
        </w:rPr>
        <w:t xml:space="preserve">Taylor and </w:t>
      </w:r>
      <w:proofErr w:type="spellStart"/>
      <w:r w:rsidR="0079594D" w:rsidRPr="00C7013D">
        <w:rPr>
          <w:rFonts w:ascii="Calibri" w:eastAsia="Times New Roman" w:hAnsi="Calibri"/>
          <w:color w:val="000000"/>
          <w:sz w:val="22"/>
          <w:szCs w:val="22"/>
        </w:rPr>
        <w:t>Woodhams</w:t>
      </w:r>
      <w:proofErr w:type="spellEnd"/>
      <w:r w:rsidR="0079594D" w:rsidRPr="00C7013D">
        <w:rPr>
          <w:rFonts w:ascii="Calibri" w:eastAsia="Times New Roman" w:hAnsi="Calibri"/>
          <w:color w:val="000000"/>
          <w:sz w:val="22"/>
          <w:szCs w:val="22"/>
        </w:rPr>
        <w:t xml:space="preserve"> (2016c)</w:t>
      </w:r>
    </w:p>
    <w:p w14:paraId="0E2A71B5" w14:textId="5DF793D3" w:rsidR="00C6614B" w:rsidRPr="00063C86" w:rsidRDefault="00063C86">
      <w:pPr>
        <w:rPr>
          <w:rFonts w:ascii="Calibri" w:eastAsia="Times New Roman" w:hAnsi="Calibri"/>
          <w:color w:val="000000"/>
          <w:sz w:val="22"/>
          <w:szCs w:val="22"/>
        </w:rPr>
      </w:pPr>
      <w:r w:rsidRPr="00063C86">
        <w:rPr>
          <w:rFonts w:ascii="Calibri" w:eastAsia="Times New Roman" w:hAnsi="Calibri"/>
          <w:color w:val="000000"/>
          <w:sz w:val="22"/>
          <w:szCs w:val="22"/>
        </w:rPr>
        <w:t>The UK's CIPD's Reward Management survey revealed that nearly half of organisations prioritise pay levels based on performance, favour pay confidentiality over transparency, and position total cash earnings close to the market median. The survey also highlighted issues of organisational justice and individualisation of salaries in the private sector. Internal and external factors influence reward management decisions.</w:t>
      </w:r>
      <w:r w:rsidR="00A673E9" w:rsidRPr="00063C86">
        <w:rPr>
          <w:rFonts w:ascii="Calibri" w:eastAsia="Times New Roman" w:hAnsi="Calibri"/>
          <w:color w:val="000000"/>
          <w:sz w:val="22"/>
          <w:szCs w:val="22"/>
        </w:rPr>
        <w:t xml:space="preserve">Taylor and </w:t>
      </w:r>
      <w:proofErr w:type="spellStart"/>
      <w:r w:rsidR="00A673E9" w:rsidRPr="00063C86">
        <w:rPr>
          <w:rFonts w:ascii="Calibri" w:eastAsia="Times New Roman" w:hAnsi="Calibri"/>
          <w:color w:val="000000"/>
          <w:sz w:val="22"/>
          <w:szCs w:val="22"/>
        </w:rPr>
        <w:t>Woodhams</w:t>
      </w:r>
      <w:proofErr w:type="spellEnd"/>
      <w:r w:rsidR="00A673E9" w:rsidRPr="00063C86">
        <w:rPr>
          <w:rFonts w:ascii="Calibri" w:eastAsia="Times New Roman" w:hAnsi="Calibri"/>
          <w:color w:val="000000"/>
          <w:sz w:val="22"/>
          <w:szCs w:val="22"/>
        </w:rPr>
        <w:t xml:space="preserve"> (2016d)</w:t>
      </w:r>
    </w:p>
    <w:p w14:paraId="62F234BD" w14:textId="5A6C53E1" w:rsidR="00321A22" w:rsidRPr="00A13D90" w:rsidRDefault="00D5713A">
      <w:pPr>
        <w:rPr>
          <w:rFonts w:ascii="Calibri" w:hAnsi="Calibri"/>
          <w:color w:val="215E99" w:themeColor="text2" w:themeTint="BF"/>
          <w:sz w:val="22"/>
          <w:szCs w:val="22"/>
        </w:rPr>
      </w:pPr>
      <w:r w:rsidRPr="00A13D90">
        <w:rPr>
          <w:rFonts w:ascii="Calibri" w:eastAsia="Times New Roman" w:hAnsi="Calibri"/>
          <w:color w:val="000000"/>
          <w:sz w:val="22"/>
          <w:szCs w:val="22"/>
        </w:rPr>
        <w:t xml:space="preserve">Reward management in </w:t>
      </w:r>
      <w:r w:rsidR="00A13D90" w:rsidRPr="00A13D90">
        <w:rPr>
          <w:rFonts w:ascii="Calibri" w:eastAsia="Times New Roman" w:hAnsi="Calibri"/>
          <w:color w:val="000000"/>
          <w:sz w:val="22"/>
          <w:szCs w:val="22"/>
        </w:rPr>
        <w:t>organisations</w:t>
      </w:r>
      <w:r w:rsidRPr="00A13D90">
        <w:rPr>
          <w:rFonts w:ascii="Calibri" w:eastAsia="Times New Roman" w:hAnsi="Calibri"/>
          <w:color w:val="000000"/>
          <w:sz w:val="22"/>
          <w:szCs w:val="22"/>
        </w:rPr>
        <w:t xml:space="preserve"> is influenced by factors like inflation, economic growth, labour market issues, and domestic expenditure. HR professionals must consider factors like purchasing power, talent management, transparency, equal pay, and market comparisons when setting reward strategies. Employers establish job and grading systems, such as job evaluation systems and internal labour markets, to attach pay structures. The external labour market can create problems for </w:t>
      </w:r>
      <w:r w:rsidR="00A13D90" w:rsidRPr="00A13D90">
        <w:rPr>
          <w:rFonts w:ascii="Calibri" w:eastAsia="Times New Roman" w:hAnsi="Calibri"/>
          <w:color w:val="000000"/>
          <w:sz w:val="22"/>
          <w:szCs w:val="22"/>
        </w:rPr>
        <w:t>standardising</w:t>
      </w:r>
      <w:r w:rsidRPr="00A13D90">
        <w:rPr>
          <w:rFonts w:ascii="Calibri" w:eastAsia="Times New Roman" w:hAnsi="Calibri"/>
          <w:color w:val="000000"/>
          <w:sz w:val="22"/>
          <w:szCs w:val="22"/>
        </w:rPr>
        <w:t xml:space="preserve"> internal systems, especially when applied at a national level. Factors like living costs, wage expectations, and skills shortages can impact pay determination. The National Minimum Wage Act and equal pay legislation also impact reward decisions, with the Equal Pay Act 1970 addressing gender pay discrimination.</w:t>
      </w:r>
      <w:r w:rsidR="009473FA" w:rsidRPr="00A13D90">
        <w:rPr>
          <w:rFonts w:ascii="Calibri" w:eastAsia="Times New Roman" w:hAnsi="Calibri"/>
          <w:color w:val="000000"/>
          <w:sz w:val="22"/>
          <w:szCs w:val="22"/>
        </w:rPr>
        <w:t xml:space="preserve"> Taylor and </w:t>
      </w:r>
      <w:proofErr w:type="spellStart"/>
      <w:r w:rsidR="009473FA" w:rsidRPr="00A13D90">
        <w:rPr>
          <w:rFonts w:ascii="Calibri" w:eastAsia="Times New Roman" w:hAnsi="Calibri"/>
          <w:color w:val="000000"/>
          <w:sz w:val="22"/>
          <w:szCs w:val="22"/>
        </w:rPr>
        <w:t>Woodhams</w:t>
      </w:r>
      <w:proofErr w:type="spellEnd"/>
      <w:r w:rsidR="009473FA" w:rsidRPr="00A13D90">
        <w:rPr>
          <w:rFonts w:ascii="Calibri" w:eastAsia="Times New Roman" w:hAnsi="Calibri"/>
          <w:color w:val="000000"/>
          <w:sz w:val="22"/>
          <w:szCs w:val="22"/>
        </w:rPr>
        <w:t xml:space="preserve"> (2</w:t>
      </w:r>
      <w:r w:rsidR="009473FA" w:rsidRPr="00A13D90">
        <w:rPr>
          <w:rFonts w:ascii="Calibri" w:eastAsia="Times New Roman" w:hAnsi="Calibri"/>
          <w:color w:val="215E99" w:themeColor="text2" w:themeTint="BF"/>
          <w:sz w:val="22"/>
          <w:szCs w:val="22"/>
        </w:rPr>
        <w:t>016e)</w:t>
      </w:r>
    </w:p>
    <w:p w14:paraId="3AD8A8DD" w14:textId="77777777" w:rsidR="00B93EB1" w:rsidRPr="00B93EB1" w:rsidRDefault="00B93EB1" w:rsidP="00B93EB1">
      <w:pPr>
        <w:spacing w:after="0" w:line="240" w:lineRule="auto"/>
        <w:ind w:left="720"/>
        <w:divId w:val="128089105"/>
        <w:rPr>
          <w:rFonts w:ascii="Calibri" w:eastAsiaTheme="minorHAnsi" w:hAnsi="Calibri" w:cs="Arial"/>
          <w:color w:val="215E99" w:themeColor="text2" w:themeTint="BF"/>
          <w:kern w:val="0"/>
          <w:sz w:val="22"/>
          <w:szCs w:val="22"/>
          <w:lang w:eastAsia="en-US"/>
          <w14:ligatures w14:val="none"/>
        </w:rPr>
      </w:pPr>
    </w:p>
    <w:p w14:paraId="1376B995" w14:textId="40678766" w:rsidR="0098559A" w:rsidRDefault="002E5B6E">
      <w:pPr>
        <w:rPr>
          <w:rFonts w:ascii="Calibri" w:hAnsi="Calibri"/>
          <w:color w:val="215E99" w:themeColor="text2" w:themeTint="BF"/>
          <w:sz w:val="22"/>
          <w:szCs w:val="22"/>
        </w:rPr>
      </w:pPr>
      <w:r>
        <w:rPr>
          <w:rFonts w:ascii="Calibri" w:eastAsiaTheme="minorHAnsi" w:hAnsi="Calibri"/>
          <w:color w:val="215E99" w:themeColor="text2" w:themeTint="BF"/>
          <w:kern w:val="0"/>
          <w:sz w:val="22"/>
          <w:lang w:eastAsia="en-US"/>
          <w14:ligatures w14:val="none"/>
        </w:rPr>
        <w:t>8.</w:t>
      </w:r>
      <w:r w:rsidR="00B93EB1" w:rsidRPr="0034620A">
        <w:rPr>
          <w:rFonts w:ascii="Calibri" w:eastAsiaTheme="minorHAnsi" w:hAnsi="Calibri"/>
          <w:color w:val="215E99" w:themeColor="text2" w:themeTint="BF"/>
          <w:kern w:val="0"/>
          <w:sz w:val="22"/>
          <w:lang w:eastAsia="en-US"/>
          <w14:ligatures w14:val="none"/>
        </w:rPr>
        <w:t>Evaluate the most appropriate ways in which benchmarking data can be gathered and</w:t>
      </w:r>
      <w:r w:rsidR="00A32FE1">
        <w:rPr>
          <w:rFonts w:ascii="Calibri" w:eastAsiaTheme="minorHAnsi" w:hAnsi="Calibri"/>
          <w:color w:val="215E99" w:themeColor="text2" w:themeTint="BF"/>
          <w:kern w:val="0"/>
          <w:sz w:val="22"/>
          <w:lang w:eastAsia="en-US"/>
          <w14:ligatures w14:val="none"/>
        </w:rPr>
        <w:t xml:space="preserve"> </w:t>
      </w:r>
      <w:r w:rsidR="00B93EB1" w:rsidRPr="0034620A">
        <w:rPr>
          <w:rFonts w:ascii="Calibri" w:eastAsiaTheme="minorHAnsi" w:hAnsi="Calibri"/>
          <w:color w:val="215E99" w:themeColor="text2" w:themeTint="BF"/>
          <w:kern w:val="0"/>
          <w:sz w:val="22"/>
          <w:lang w:eastAsia="en-US"/>
          <w14:ligatures w14:val="none"/>
        </w:rPr>
        <w:t>measured to develop insight. (AC 3.2)</w:t>
      </w:r>
      <w:r w:rsidR="00F82242" w:rsidRPr="0034620A">
        <w:rPr>
          <w:rFonts w:ascii="Calibri" w:hAnsi="Calibri"/>
          <w:color w:val="215E99" w:themeColor="text2" w:themeTint="BF"/>
          <w:sz w:val="22"/>
          <w:szCs w:val="22"/>
        </w:rPr>
        <w:t xml:space="preserve"> </w:t>
      </w:r>
    </w:p>
    <w:p w14:paraId="10285BCF" w14:textId="38C2AA9F" w:rsidR="000F75D3" w:rsidRPr="005D504E" w:rsidRDefault="00267983">
      <w:pPr>
        <w:rPr>
          <w:rFonts w:ascii="Calibri" w:eastAsia="Times New Roman" w:hAnsi="Calibri"/>
          <w:color w:val="000000"/>
          <w:sz w:val="22"/>
          <w:szCs w:val="22"/>
        </w:rPr>
      </w:pPr>
      <w:r w:rsidRPr="005D504E">
        <w:rPr>
          <w:rFonts w:ascii="Calibri" w:eastAsia="Times New Roman" w:hAnsi="Calibri"/>
          <w:color w:val="000000"/>
          <w:sz w:val="22"/>
          <w:szCs w:val="22"/>
        </w:rPr>
        <w:lastRenderedPageBreak/>
        <w:t xml:space="preserve">Pay clubs are groups of members who exchange information on pay and benefits for specific jobs, established by employers to improve job matching. They should have 10 or more members to ensure a good spread of information. Companies can form clubs or invite interested parties to meetings for job discussions, data collection, and presentation. Up-to-date pay data can be obtained from various sources, including Incomes Data Services, IRS Employment Review, the government's Labour Force Survey, and business news sections of newspapers. Recruitment consultants and agencies can also obtain data from employers and applications, with executive search consultants being particularly knowledgeable about senior management job market rates. Job advertisements in the press and specialist journals can provide some indication of pay levels, but should be treated with caution. Informal contacts or networks can also provide data on market </w:t>
      </w:r>
      <w:r w:rsidR="00F930BD" w:rsidRPr="005D504E">
        <w:rPr>
          <w:rFonts w:ascii="Calibri" w:eastAsia="Times New Roman" w:hAnsi="Calibri"/>
          <w:color w:val="000000"/>
          <w:sz w:val="22"/>
          <w:szCs w:val="22"/>
        </w:rPr>
        <w:t>rates. Armstrong</w:t>
      </w:r>
      <w:r w:rsidR="00F20CC3" w:rsidRPr="005D504E">
        <w:rPr>
          <w:rFonts w:ascii="Calibri" w:eastAsia="Times New Roman" w:hAnsi="Calibri"/>
          <w:color w:val="000000"/>
          <w:sz w:val="22"/>
          <w:szCs w:val="22"/>
        </w:rPr>
        <w:t xml:space="preserve"> (2007j)</w:t>
      </w:r>
    </w:p>
    <w:p w14:paraId="533D01C8" w14:textId="1FBB031B" w:rsidR="00F20CC3" w:rsidRDefault="0025412C">
      <w:pPr>
        <w:rPr>
          <w:rFonts w:ascii="Calibri" w:eastAsia="Arial" w:hAnsi="Calibri"/>
          <w:color w:val="215E99" w:themeColor="text2" w:themeTint="BF"/>
          <w:sz w:val="22"/>
          <w:szCs w:val="22"/>
        </w:rPr>
      </w:pPr>
      <w:r w:rsidRPr="0025412C">
        <w:rPr>
          <w:rFonts w:ascii="Calibri" w:eastAsia="Times New Roman" w:hAnsi="Calibri"/>
          <w:color w:val="215E99" w:themeColor="text2" w:themeTint="BF"/>
          <w:sz w:val="22"/>
          <w:szCs w:val="22"/>
        </w:rPr>
        <w:t>9.</w:t>
      </w:r>
      <w:r w:rsidRPr="0025412C">
        <w:rPr>
          <w:rFonts w:ascii="Calibri" w:eastAsia="Arial" w:hAnsi="Calibri"/>
          <w:color w:val="215E99" w:themeColor="text2" w:themeTint="BF"/>
          <w:sz w:val="22"/>
          <w:szCs w:val="22"/>
        </w:rPr>
        <w:t xml:space="preserve"> Explain approaches to job evaluation.</w:t>
      </w:r>
    </w:p>
    <w:p w14:paraId="281A1796" w14:textId="54FBF2B0" w:rsidR="0025412C" w:rsidRPr="00377842" w:rsidRDefault="00377842">
      <w:pPr>
        <w:rPr>
          <w:rFonts w:ascii="Calibri" w:eastAsia="Times New Roman" w:hAnsi="Calibri"/>
          <w:color w:val="000000"/>
          <w:sz w:val="22"/>
          <w:szCs w:val="22"/>
        </w:rPr>
      </w:pPr>
      <w:r w:rsidRPr="00377842">
        <w:rPr>
          <w:rFonts w:ascii="Calibri" w:eastAsia="Times New Roman" w:hAnsi="Calibri"/>
          <w:color w:val="000000"/>
          <w:sz w:val="22"/>
          <w:szCs w:val="22"/>
        </w:rPr>
        <w:t>Job evaluation is a systematic process that objectively assesses the importance of different jobs within an organisation without bias or discrimination. It's complex due to human factors and doesn't determine grades or pay levels, but it creates a hierarchy of jobs that may not reflect everyone's perceptions.</w:t>
      </w:r>
      <w:r w:rsidR="00002EDD" w:rsidRPr="00377842">
        <w:rPr>
          <w:rFonts w:ascii="Calibri" w:eastAsia="Times New Roman" w:hAnsi="Calibri"/>
          <w:color w:val="000000"/>
          <w:sz w:val="22"/>
          <w:szCs w:val="22"/>
        </w:rPr>
        <w:t xml:space="preserve"> (ACAS, 2024)</w:t>
      </w:r>
    </w:p>
    <w:p w14:paraId="722CE47B" w14:textId="62134000" w:rsidR="00486928" w:rsidRDefault="002A3C0E">
      <w:pPr>
        <w:rPr>
          <w:rFonts w:ascii="Calibri" w:eastAsia="Times New Roman" w:hAnsi="Calibri"/>
          <w:color w:val="000000"/>
          <w:sz w:val="22"/>
          <w:szCs w:val="22"/>
        </w:rPr>
      </w:pPr>
      <w:r w:rsidRPr="00EC011F">
        <w:rPr>
          <w:rFonts w:ascii="Calibri" w:eastAsia="Times New Roman" w:hAnsi="Calibri"/>
          <w:color w:val="000000"/>
          <w:sz w:val="22"/>
          <w:szCs w:val="22"/>
        </w:rPr>
        <w:t xml:space="preserve">Job evaluation is divided into analytical and non-analytical schemes. Analytical schemes provide objectivity through points rating and factor comparison, while non-analytical schemes are simpler, cheaper, and quicker. Analytical schemes rank jobs based on importance, difficulty, or value to the </w:t>
      </w:r>
      <w:r w:rsidR="00EC011F" w:rsidRPr="00EC011F">
        <w:rPr>
          <w:rFonts w:ascii="Calibri" w:eastAsia="Times New Roman" w:hAnsi="Calibri"/>
          <w:color w:val="000000"/>
          <w:sz w:val="22"/>
          <w:szCs w:val="22"/>
        </w:rPr>
        <w:t>organisation</w:t>
      </w:r>
      <w:r w:rsidRPr="00EC011F">
        <w:rPr>
          <w:rFonts w:ascii="Calibri" w:eastAsia="Times New Roman" w:hAnsi="Calibri"/>
          <w:color w:val="000000"/>
          <w:sz w:val="22"/>
          <w:szCs w:val="22"/>
        </w:rPr>
        <w:t>, assigning clear distinctions between grades based on tasks, skills, competencies, experience, initiative, and responsibility.</w:t>
      </w:r>
      <w:r w:rsidR="007F659B" w:rsidRPr="00EC011F">
        <w:rPr>
          <w:rFonts w:ascii="Calibri" w:eastAsia="Times New Roman" w:hAnsi="Calibri"/>
          <w:color w:val="000000"/>
          <w:sz w:val="22"/>
          <w:szCs w:val="22"/>
        </w:rPr>
        <w:t xml:space="preserve"> C</w:t>
      </w:r>
      <w:r w:rsidR="007F659B" w:rsidRPr="007F659B">
        <w:rPr>
          <w:rFonts w:ascii="Calibri" w:eastAsia="Times New Roman" w:hAnsi="Calibri"/>
          <w:color w:val="000000"/>
          <w:sz w:val="22"/>
          <w:szCs w:val="22"/>
        </w:rPr>
        <w:t>otton (2023c)</w:t>
      </w:r>
    </w:p>
    <w:p w14:paraId="7D17527F" w14:textId="700AA04D" w:rsidR="00486928" w:rsidRDefault="00321E74">
      <w:pPr>
        <w:rPr>
          <w:rFonts w:ascii="Calibri" w:eastAsia="Arial" w:hAnsi="Calibri"/>
          <w:color w:val="215E99" w:themeColor="text2" w:themeTint="BF"/>
          <w:sz w:val="22"/>
          <w:szCs w:val="22"/>
        </w:rPr>
      </w:pPr>
      <w:r w:rsidRPr="00321E74">
        <w:rPr>
          <w:rFonts w:ascii="Calibri" w:eastAsia="Arial" w:hAnsi="Calibri"/>
          <w:color w:val="215E99" w:themeColor="text2" w:themeTint="BF"/>
          <w:sz w:val="22"/>
          <w:szCs w:val="22"/>
        </w:rPr>
        <w:t>10.Explain the legislative requirements that impact reward practice</w:t>
      </w:r>
    </w:p>
    <w:p w14:paraId="47813710" w14:textId="039ED227" w:rsidR="00321E74" w:rsidRPr="009068B7" w:rsidRDefault="00F2117A">
      <w:pPr>
        <w:rPr>
          <w:rFonts w:ascii="Calibri" w:eastAsia="Times New Roman" w:hAnsi="Calibri"/>
          <w:color w:val="000000"/>
          <w:sz w:val="22"/>
          <w:szCs w:val="22"/>
        </w:rPr>
      </w:pPr>
      <w:r w:rsidRPr="009068B7">
        <w:rPr>
          <w:rFonts w:ascii="Calibri" w:eastAsia="Times New Roman" w:hAnsi="Calibri"/>
          <w:color w:val="000000"/>
          <w:sz w:val="22"/>
          <w:szCs w:val="22"/>
        </w:rPr>
        <w:t xml:space="preserve">The gender pay gap is a disparity in the labor market between men and women, influenced by factors such as economic, cultural, societal, and educational factors. Key factors include unpaid caring responsibilities, part-time work, human capital differences, occupational segregation, undervaluing women's work, and pay discrimination. Closing the gap is crucial for equal access to work and progression opportunities. The government is committed to promoting pay transparency to address structural drivers of inequality and encourage employers to address barriers that create a 'glass ceiling' preventing women from progressing to senior roles. Equal pay legislation and gender pay gap reporting can help identify and address these </w:t>
      </w:r>
      <w:r w:rsidR="009068B7" w:rsidRPr="009068B7">
        <w:rPr>
          <w:rFonts w:ascii="Calibri" w:eastAsia="Times New Roman" w:hAnsi="Calibri"/>
          <w:color w:val="000000"/>
          <w:sz w:val="22"/>
          <w:szCs w:val="22"/>
        </w:rPr>
        <w:t>issues. CIPD</w:t>
      </w:r>
      <w:r w:rsidR="00197B29" w:rsidRPr="009068B7">
        <w:rPr>
          <w:rFonts w:ascii="Calibri" w:eastAsia="Times New Roman" w:hAnsi="Calibri"/>
          <w:color w:val="000000"/>
          <w:sz w:val="22"/>
          <w:szCs w:val="22"/>
        </w:rPr>
        <w:t xml:space="preserve"> (2024)</w:t>
      </w:r>
    </w:p>
    <w:p w14:paraId="234E9E7D" w14:textId="3B66206D" w:rsidR="00644F52" w:rsidRPr="00695969" w:rsidRDefault="00695969">
      <w:pPr>
        <w:rPr>
          <w:rFonts w:ascii="Calibri" w:eastAsia="Times New Roman" w:hAnsi="Calibri"/>
          <w:color w:val="000000"/>
          <w:sz w:val="22"/>
          <w:szCs w:val="22"/>
        </w:rPr>
      </w:pPr>
      <w:r w:rsidRPr="00695969">
        <w:rPr>
          <w:rFonts w:ascii="Calibri" w:eastAsia="Times New Roman" w:hAnsi="Calibri"/>
          <w:color w:val="000000"/>
          <w:sz w:val="22"/>
          <w:szCs w:val="22"/>
        </w:rPr>
        <w:t>The Equality Act 2010 safeguards individuals from workplace discrimination, including those with protected characteristics like age, disability, gender reassignment, pregnancy, race, religion, sex, and sexual orientation. Employers are obligated to prevent and ensure employee wellbeing. Discrimination can be direct, indirect, harassment, or victimisation, and vicarious liability can arise from discrimination complaints and employment tribunal claims.</w:t>
      </w:r>
      <w:r w:rsidR="00644F52" w:rsidRPr="00695969">
        <w:rPr>
          <w:rFonts w:ascii="Calibri" w:eastAsia="Times New Roman" w:hAnsi="Calibri"/>
          <w:color w:val="000000"/>
          <w:sz w:val="22"/>
          <w:szCs w:val="22"/>
        </w:rPr>
        <w:t xml:space="preserve"> ACAS (2024a)</w:t>
      </w:r>
    </w:p>
    <w:p w14:paraId="4631E7BC" w14:textId="7B83CD0B" w:rsidR="00946480" w:rsidRPr="00644F52" w:rsidRDefault="00BC0A87">
      <w:pPr>
        <w:rPr>
          <w:rFonts w:ascii="Calibri" w:eastAsia="Times New Roman" w:hAnsi="Calibri"/>
          <w:color w:val="000000"/>
          <w:sz w:val="22"/>
          <w:szCs w:val="22"/>
        </w:rPr>
      </w:pPr>
      <w:r w:rsidRPr="00BC0A87">
        <w:rPr>
          <w:rFonts w:ascii="Calibri" w:eastAsia="Times New Roman" w:hAnsi="Calibri"/>
          <w:color w:val="000000"/>
          <w:sz w:val="22"/>
          <w:szCs w:val="22"/>
        </w:rPr>
        <w:t xml:space="preserve">The Working Time Regulations 1998 governs employees' working hours, rest periods, maximum working hours for young workers, night work, emergency arrangements, and holiday entitlement. It applies to all employees, including agency workers, apprentices, casual and seasonal workers, doctors in training, and zero-hours workers. Employers must keep records of working hours for 2 years to prove compliance. If an employer fails to comply, employees can resolve issues by informing their employer, raising a grievance, or reporting the issue to the Health and Safety Executive or local </w:t>
      </w:r>
      <w:r w:rsidR="00D474A8" w:rsidRPr="00BC0A87">
        <w:rPr>
          <w:rFonts w:ascii="Calibri" w:eastAsia="Times New Roman" w:hAnsi="Calibri"/>
          <w:color w:val="000000"/>
          <w:sz w:val="22"/>
          <w:szCs w:val="22"/>
        </w:rPr>
        <w:t>authority. ACAS</w:t>
      </w:r>
      <w:r w:rsidR="00CA4671" w:rsidRPr="00BC0A87">
        <w:rPr>
          <w:rFonts w:ascii="Calibri" w:eastAsia="Times New Roman" w:hAnsi="Calibri"/>
          <w:color w:val="000000"/>
          <w:sz w:val="22"/>
          <w:szCs w:val="22"/>
        </w:rPr>
        <w:t xml:space="preserve"> (2024c)</w:t>
      </w:r>
    </w:p>
    <w:sectPr w:rsidR="00946480" w:rsidRPr="00644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83283"/>
    <w:multiLevelType w:val="hybridMultilevel"/>
    <w:tmpl w:val="0DAA7344"/>
    <w:lvl w:ilvl="0" w:tplc="08090011">
      <w:start w:val="1"/>
      <w:numFmt w:val="decimal"/>
      <w:lvlText w:val="%1)"/>
      <w:lvlJc w:val="left"/>
      <w:pPr>
        <w:ind w:left="720" w:hanging="360"/>
      </w:pPr>
      <w:rPr>
        <w:b/>
        <w:i w:val="0"/>
        <w:color w:val="80340D"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78E658C1"/>
    <w:multiLevelType w:val="hybridMultilevel"/>
    <w:tmpl w:val="2544FEA4"/>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78395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1250238">
    <w:abstractNumId w:val="1"/>
  </w:num>
  <w:num w:numId="3" w16cid:durableId="1680037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CA"/>
    <w:rsid w:val="00002EDD"/>
    <w:rsid w:val="00011B07"/>
    <w:rsid w:val="00042690"/>
    <w:rsid w:val="00045398"/>
    <w:rsid w:val="00051D9A"/>
    <w:rsid w:val="00063C86"/>
    <w:rsid w:val="00070385"/>
    <w:rsid w:val="00072DFF"/>
    <w:rsid w:val="00084D57"/>
    <w:rsid w:val="0009438E"/>
    <w:rsid w:val="000B349D"/>
    <w:rsid w:val="000C0B0F"/>
    <w:rsid w:val="000F693F"/>
    <w:rsid w:val="000F75D3"/>
    <w:rsid w:val="000F7DE9"/>
    <w:rsid w:val="00122F82"/>
    <w:rsid w:val="001275F0"/>
    <w:rsid w:val="001377B4"/>
    <w:rsid w:val="00140E85"/>
    <w:rsid w:val="00152DBD"/>
    <w:rsid w:val="00154FFA"/>
    <w:rsid w:val="00184EE5"/>
    <w:rsid w:val="001873DB"/>
    <w:rsid w:val="00190192"/>
    <w:rsid w:val="00191F1B"/>
    <w:rsid w:val="0019717A"/>
    <w:rsid w:val="00197B29"/>
    <w:rsid w:val="001A5A06"/>
    <w:rsid w:val="001D2937"/>
    <w:rsid w:val="001D7277"/>
    <w:rsid w:val="001F6E38"/>
    <w:rsid w:val="00205735"/>
    <w:rsid w:val="0020797D"/>
    <w:rsid w:val="00210F1E"/>
    <w:rsid w:val="0025412C"/>
    <w:rsid w:val="002572CD"/>
    <w:rsid w:val="00267983"/>
    <w:rsid w:val="00271E22"/>
    <w:rsid w:val="00277E89"/>
    <w:rsid w:val="00287AB8"/>
    <w:rsid w:val="002A3C0E"/>
    <w:rsid w:val="002A5AB6"/>
    <w:rsid w:val="002C7F8E"/>
    <w:rsid w:val="002D4001"/>
    <w:rsid w:val="002E5B6E"/>
    <w:rsid w:val="002E7311"/>
    <w:rsid w:val="002F0D80"/>
    <w:rsid w:val="002F7812"/>
    <w:rsid w:val="00303537"/>
    <w:rsid w:val="00305A09"/>
    <w:rsid w:val="00305F93"/>
    <w:rsid w:val="00312100"/>
    <w:rsid w:val="003144B7"/>
    <w:rsid w:val="00315BBD"/>
    <w:rsid w:val="00321A22"/>
    <w:rsid w:val="00321B33"/>
    <w:rsid w:val="00321E74"/>
    <w:rsid w:val="0034607E"/>
    <w:rsid w:val="0034620A"/>
    <w:rsid w:val="0036516D"/>
    <w:rsid w:val="00377842"/>
    <w:rsid w:val="00386EFB"/>
    <w:rsid w:val="003A2D2A"/>
    <w:rsid w:val="003A55B4"/>
    <w:rsid w:val="003B1253"/>
    <w:rsid w:val="003B52C0"/>
    <w:rsid w:val="003C6C7D"/>
    <w:rsid w:val="003D022F"/>
    <w:rsid w:val="003D08C3"/>
    <w:rsid w:val="003E02EF"/>
    <w:rsid w:val="0041251C"/>
    <w:rsid w:val="004364E2"/>
    <w:rsid w:val="00460F8C"/>
    <w:rsid w:val="004850CC"/>
    <w:rsid w:val="00485FD1"/>
    <w:rsid w:val="00486928"/>
    <w:rsid w:val="00491509"/>
    <w:rsid w:val="00492C96"/>
    <w:rsid w:val="004A68C4"/>
    <w:rsid w:val="004A71E1"/>
    <w:rsid w:val="004B1FDE"/>
    <w:rsid w:val="004B4812"/>
    <w:rsid w:val="004B53EB"/>
    <w:rsid w:val="004B675D"/>
    <w:rsid w:val="004C0FB5"/>
    <w:rsid w:val="004F3D62"/>
    <w:rsid w:val="00507493"/>
    <w:rsid w:val="0051752C"/>
    <w:rsid w:val="00520BA7"/>
    <w:rsid w:val="00535582"/>
    <w:rsid w:val="00546AD7"/>
    <w:rsid w:val="0055364D"/>
    <w:rsid w:val="005545AD"/>
    <w:rsid w:val="00560D24"/>
    <w:rsid w:val="005635E2"/>
    <w:rsid w:val="00596723"/>
    <w:rsid w:val="005A56FE"/>
    <w:rsid w:val="005B0833"/>
    <w:rsid w:val="005B145C"/>
    <w:rsid w:val="005D0DCC"/>
    <w:rsid w:val="005D504E"/>
    <w:rsid w:val="005E746F"/>
    <w:rsid w:val="005E774F"/>
    <w:rsid w:val="00604857"/>
    <w:rsid w:val="0061104E"/>
    <w:rsid w:val="00644F52"/>
    <w:rsid w:val="006527FD"/>
    <w:rsid w:val="00663331"/>
    <w:rsid w:val="00664B19"/>
    <w:rsid w:val="006767CC"/>
    <w:rsid w:val="006812DE"/>
    <w:rsid w:val="00683248"/>
    <w:rsid w:val="00685263"/>
    <w:rsid w:val="00685B6A"/>
    <w:rsid w:val="0069222B"/>
    <w:rsid w:val="00695969"/>
    <w:rsid w:val="00696F62"/>
    <w:rsid w:val="006B41C7"/>
    <w:rsid w:val="00730EC2"/>
    <w:rsid w:val="00736478"/>
    <w:rsid w:val="00740DA0"/>
    <w:rsid w:val="00742024"/>
    <w:rsid w:val="00767DE4"/>
    <w:rsid w:val="0079594D"/>
    <w:rsid w:val="007A4442"/>
    <w:rsid w:val="007A582D"/>
    <w:rsid w:val="007C65CB"/>
    <w:rsid w:val="007C7A9F"/>
    <w:rsid w:val="007E1560"/>
    <w:rsid w:val="007F659B"/>
    <w:rsid w:val="00815B7D"/>
    <w:rsid w:val="00846F7B"/>
    <w:rsid w:val="008827CB"/>
    <w:rsid w:val="008919EA"/>
    <w:rsid w:val="00893856"/>
    <w:rsid w:val="008A12B9"/>
    <w:rsid w:val="008C5571"/>
    <w:rsid w:val="008C7791"/>
    <w:rsid w:val="008D63B7"/>
    <w:rsid w:val="008E2C2E"/>
    <w:rsid w:val="008F0AE0"/>
    <w:rsid w:val="00901C0D"/>
    <w:rsid w:val="009068B7"/>
    <w:rsid w:val="00913CF4"/>
    <w:rsid w:val="00921742"/>
    <w:rsid w:val="0092597A"/>
    <w:rsid w:val="00946480"/>
    <w:rsid w:val="009473FA"/>
    <w:rsid w:val="0098559A"/>
    <w:rsid w:val="00991F47"/>
    <w:rsid w:val="009A11EA"/>
    <w:rsid w:val="009B4A04"/>
    <w:rsid w:val="009D7A54"/>
    <w:rsid w:val="009E3FDD"/>
    <w:rsid w:val="00A13D90"/>
    <w:rsid w:val="00A2332D"/>
    <w:rsid w:val="00A31C9F"/>
    <w:rsid w:val="00A32FE1"/>
    <w:rsid w:val="00A331FB"/>
    <w:rsid w:val="00A409F3"/>
    <w:rsid w:val="00A41608"/>
    <w:rsid w:val="00A436D8"/>
    <w:rsid w:val="00A621CA"/>
    <w:rsid w:val="00A673E9"/>
    <w:rsid w:val="00A76E44"/>
    <w:rsid w:val="00A85067"/>
    <w:rsid w:val="00AC3178"/>
    <w:rsid w:val="00AC3B3C"/>
    <w:rsid w:val="00AC6BCC"/>
    <w:rsid w:val="00AD7E2A"/>
    <w:rsid w:val="00AF46CB"/>
    <w:rsid w:val="00B039DE"/>
    <w:rsid w:val="00B3190E"/>
    <w:rsid w:val="00B3432D"/>
    <w:rsid w:val="00B47E50"/>
    <w:rsid w:val="00B76746"/>
    <w:rsid w:val="00B8310E"/>
    <w:rsid w:val="00B93EB1"/>
    <w:rsid w:val="00BA7DA7"/>
    <w:rsid w:val="00BB2196"/>
    <w:rsid w:val="00BB2EDA"/>
    <w:rsid w:val="00BB3964"/>
    <w:rsid w:val="00BC0A87"/>
    <w:rsid w:val="00BE5221"/>
    <w:rsid w:val="00BF4757"/>
    <w:rsid w:val="00BF5974"/>
    <w:rsid w:val="00BF72CD"/>
    <w:rsid w:val="00C033D9"/>
    <w:rsid w:val="00C03688"/>
    <w:rsid w:val="00C10B58"/>
    <w:rsid w:val="00C11470"/>
    <w:rsid w:val="00C2366A"/>
    <w:rsid w:val="00C263C3"/>
    <w:rsid w:val="00C52AF9"/>
    <w:rsid w:val="00C6614B"/>
    <w:rsid w:val="00C7013D"/>
    <w:rsid w:val="00C862C4"/>
    <w:rsid w:val="00C9227A"/>
    <w:rsid w:val="00CA2CCD"/>
    <w:rsid w:val="00CA4671"/>
    <w:rsid w:val="00CB6043"/>
    <w:rsid w:val="00CB6120"/>
    <w:rsid w:val="00CB7CEF"/>
    <w:rsid w:val="00CC30AD"/>
    <w:rsid w:val="00CE4603"/>
    <w:rsid w:val="00CF5407"/>
    <w:rsid w:val="00D01231"/>
    <w:rsid w:val="00D04789"/>
    <w:rsid w:val="00D15404"/>
    <w:rsid w:val="00D15E9A"/>
    <w:rsid w:val="00D27739"/>
    <w:rsid w:val="00D30C74"/>
    <w:rsid w:val="00D474A8"/>
    <w:rsid w:val="00D50A2D"/>
    <w:rsid w:val="00D5418C"/>
    <w:rsid w:val="00D5713A"/>
    <w:rsid w:val="00D732C7"/>
    <w:rsid w:val="00D748CE"/>
    <w:rsid w:val="00D83E92"/>
    <w:rsid w:val="00DF7DD1"/>
    <w:rsid w:val="00E016ED"/>
    <w:rsid w:val="00E12DD0"/>
    <w:rsid w:val="00E34100"/>
    <w:rsid w:val="00E42E80"/>
    <w:rsid w:val="00E43E3F"/>
    <w:rsid w:val="00E5580F"/>
    <w:rsid w:val="00E672A1"/>
    <w:rsid w:val="00E82B27"/>
    <w:rsid w:val="00E83E9D"/>
    <w:rsid w:val="00E8784A"/>
    <w:rsid w:val="00E91FE4"/>
    <w:rsid w:val="00EA4614"/>
    <w:rsid w:val="00EB0015"/>
    <w:rsid w:val="00EB2396"/>
    <w:rsid w:val="00EB58A0"/>
    <w:rsid w:val="00EC011F"/>
    <w:rsid w:val="00ED066F"/>
    <w:rsid w:val="00ED340F"/>
    <w:rsid w:val="00F20CC3"/>
    <w:rsid w:val="00F2117A"/>
    <w:rsid w:val="00F4419E"/>
    <w:rsid w:val="00F47CE7"/>
    <w:rsid w:val="00F5305C"/>
    <w:rsid w:val="00F61ABC"/>
    <w:rsid w:val="00F75CA9"/>
    <w:rsid w:val="00F76E51"/>
    <w:rsid w:val="00F82242"/>
    <w:rsid w:val="00F930BD"/>
    <w:rsid w:val="00FC30E1"/>
    <w:rsid w:val="00FD5D37"/>
    <w:rsid w:val="00FE49A1"/>
    <w:rsid w:val="00FF5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5CAB44"/>
  <w15:chartTrackingRefBased/>
  <w15:docId w15:val="{932184E3-FB3D-6249-B432-62CAF08A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CA"/>
    <w:rPr>
      <w:rFonts w:eastAsiaTheme="majorEastAsia" w:cstheme="majorBidi"/>
      <w:color w:val="272727" w:themeColor="text1" w:themeTint="D8"/>
    </w:rPr>
  </w:style>
  <w:style w:type="paragraph" w:styleId="Title">
    <w:name w:val="Title"/>
    <w:basedOn w:val="Normal"/>
    <w:next w:val="Normal"/>
    <w:link w:val="TitleChar"/>
    <w:uiPriority w:val="10"/>
    <w:qFormat/>
    <w:rsid w:val="00A62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CA"/>
    <w:pPr>
      <w:spacing w:before="160"/>
      <w:jc w:val="center"/>
    </w:pPr>
    <w:rPr>
      <w:i/>
      <w:iCs/>
      <w:color w:val="404040" w:themeColor="text1" w:themeTint="BF"/>
    </w:rPr>
  </w:style>
  <w:style w:type="character" w:customStyle="1" w:styleId="QuoteChar">
    <w:name w:val="Quote Char"/>
    <w:basedOn w:val="DefaultParagraphFont"/>
    <w:link w:val="Quote"/>
    <w:uiPriority w:val="29"/>
    <w:rsid w:val="00A621CA"/>
    <w:rPr>
      <w:i/>
      <w:iCs/>
      <w:color w:val="404040" w:themeColor="text1" w:themeTint="BF"/>
    </w:rPr>
  </w:style>
  <w:style w:type="paragraph" w:styleId="ListParagraph">
    <w:name w:val="List Paragraph"/>
    <w:basedOn w:val="Normal"/>
    <w:uiPriority w:val="34"/>
    <w:qFormat/>
    <w:rsid w:val="00A621CA"/>
    <w:pPr>
      <w:ind w:left="720"/>
      <w:contextualSpacing/>
    </w:pPr>
  </w:style>
  <w:style w:type="character" w:styleId="IntenseEmphasis">
    <w:name w:val="Intense Emphasis"/>
    <w:basedOn w:val="DefaultParagraphFont"/>
    <w:uiPriority w:val="21"/>
    <w:qFormat/>
    <w:rsid w:val="00A621CA"/>
    <w:rPr>
      <w:i/>
      <w:iCs/>
      <w:color w:val="0F4761" w:themeColor="accent1" w:themeShade="BF"/>
    </w:rPr>
  </w:style>
  <w:style w:type="paragraph" w:styleId="IntenseQuote">
    <w:name w:val="Intense Quote"/>
    <w:basedOn w:val="Normal"/>
    <w:next w:val="Normal"/>
    <w:link w:val="IntenseQuoteChar"/>
    <w:uiPriority w:val="30"/>
    <w:qFormat/>
    <w:rsid w:val="00A62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1CA"/>
    <w:rPr>
      <w:i/>
      <w:iCs/>
      <w:color w:val="0F4761" w:themeColor="accent1" w:themeShade="BF"/>
    </w:rPr>
  </w:style>
  <w:style w:type="character" w:styleId="IntenseReference">
    <w:name w:val="Intense Reference"/>
    <w:basedOn w:val="DefaultParagraphFont"/>
    <w:uiPriority w:val="32"/>
    <w:qFormat/>
    <w:rsid w:val="00A621CA"/>
    <w:rPr>
      <w:b/>
      <w:bCs/>
      <w:smallCaps/>
      <w:color w:val="0F4761" w:themeColor="accent1" w:themeShade="BF"/>
      <w:spacing w:val="5"/>
    </w:rPr>
  </w:style>
  <w:style w:type="character" w:customStyle="1" w:styleId="NornalChar">
    <w:name w:val="Nornal Char"/>
    <w:basedOn w:val="DefaultParagraphFont"/>
    <w:link w:val="Nornal"/>
    <w:locked/>
    <w:rsid w:val="00FC30E1"/>
    <w:rPr>
      <w:rFonts w:ascii="Arial" w:hAnsi="Arial" w:cs="Arial"/>
      <w:sz w:val="22"/>
      <w:szCs w:val="22"/>
    </w:rPr>
  </w:style>
  <w:style w:type="paragraph" w:customStyle="1" w:styleId="Nornal">
    <w:name w:val="Nornal"/>
    <w:basedOn w:val="Normal"/>
    <w:link w:val="NornalChar"/>
    <w:qFormat/>
    <w:rsid w:val="00FC30E1"/>
    <w:pPr>
      <w:spacing w:line="264" w:lineRule="auto"/>
    </w:pPr>
    <w:rPr>
      <w:rFonts w:ascii="Arial" w:hAnsi="Arial" w:cs="Arial"/>
      <w:sz w:val="22"/>
      <w:szCs w:val="22"/>
    </w:rPr>
  </w:style>
  <w:style w:type="paragraph" w:customStyle="1" w:styleId="p1">
    <w:name w:val="p1"/>
    <w:basedOn w:val="Normal"/>
    <w:rsid w:val="00B47E50"/>
    <w:pPr>
      <w:spacing w:after="0" w:line="240" w:lineRule="auto"/>
    </w:pPr>
    <w:rPr>
      <w:rFonts w:ascii=".AppleSystemUIFont" w:hAnsi=".AppleSystemUIFont" w:cs="Times New Roman"/>
      <w:kern w:val="0"/>
      <w:sz w:val="25"/>
      <w:szCs w:val="25"/>
      <w14:ligatures w14:val="none"/>
    </w:rPr>
  </w:style>
  <w:style w:type="character" w:customStyle="1" w:styleId="s1">
    <w:name w:val="s1"/>
    <w:basedOn w:val="DefaultParagraphFont"/>
    <w:rsid w:val="00B47E50"/>
    <w:rPr>
      <w:rFonts w:ascii="UICTFontTextStyleBody" w:hAnsi="UICTFontTextStyleBody" w:hint="default"/>
      <w:b w:val="0"/>
      <w:bCs w:val="0"/>
      <w:i w:val="0"/>
      <w:iCs w:val="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89105">
      <w:bodyDiv w:val="1"/>
      <w:marLeft w:val="0"/>
      <w:marRight w:val="0"/>
      <w:marTop w:val="0"/>
      <w:marBottom w:val="0"/>
      <w:divBdr>
        <w:top w:val="none" w:sz="0" w:space="0" w:color="auto"/>
        <w:left w:val="none" w:sz="0" w:space="0" w:color="auto"/>
        <w:bottom w:val="none" w:sz="0" w:space="0" w:color="auto"/>
        <w:right w:val="none" w:sz="0" w:space="0" w:color="auto"/>
      </w:divBdr>
    </w:div>
    <w:div w:id="996688301">
      <w:bodyDiv w:val="1"/>
      <w:marLeft w:val="0"/>
      <w:marRight w:val="0"/>
      <w:marTop w:val="0"/>
      <w:marBottom w:val="0"/>
      <w:divBdr>
        <w:top w:val="none" w:sz="0" w:space="0" w:color="auto"/>
        <w:left w:val="none" w:sz="0" w:space="0" w:color="auto"/>
        <w:bottom w:val="none" w:sz="0" w:space="0" w:color="auto"/>
        <w:right w:val="none" w:sz="0" w:space="0" w:color="auto"/>
      </w:divBdr>
      <w:divsChild>
        <w:div w:id="1520849614">
          <w:marLeft w:val="0"/>
          <w:marRight w:val="0"/>
          <w:marTop w:val="0"/>
          <w:marBottom w:val="0"/>
          <w:divBdr>
            <w:top w:val="none" w:sz="0" w:space="0" w:color="auto"/>
            <w:left w:val="none" w:sz="0" w:space="0" w:color="auto"/>
            <w:bottom w:val="none" w:sz="0" w:space="0" w:color="auto"/>
            <w:right w:val="none" w:sz="0" w:space="0" w:color="auto"/>
          </w:divBdr>
        </w:div>
        <w:div w:id="1753307389">
          <w:marLeft w:val="0"/>
          <w:marRight w:val="0"/>
          <w:marTop w:val="0"/>
          <w:marBottom w:val="0"/>
          <w:divBdr>
            <w:top w:val="none" w:sz="0" w:space="0" w:color="auto"/>
            <w:left w:val="none" w:sz="0" w:space="0" w:color="auto"/>
            <w:bottom w:val="none" w:sz="0" w:space="0" w:color="auto"/>
            <w:right w:val="none" w:sz="0" w:space="0" w:color="auto"/>
          </w:divBdr>
          <w:divsChild>
            <w:div w:id="181764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8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7544</TotalTime>
  <Pages>6</Pages>
  <Words>3061</Words>
  <Characters>17451</Characters>
  <Application>Microsoft Office Word</Application>
  <DocSecurity>0</DocSecurity>
  <Lines>145</Lines>
  <Paragraphs>40</Paragraphs>
  <ScaleCrop>false</ScaleCrop>
  <Company/>
  <LinksUpToDate>false</LinksUpToDate>
  <CharactersWithSpaces>20472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naish</dc:creator>
  <cp:keywords/>
  <dc:description/>
  <cp:lastModifiedBy>Will Naish (2309072)</cp:lastModifiedBy>
  <cp:revision>221</cp:revision>
  <dcterms:created xsi:type="dcterms:W3CDTF">2025-01-08T12:18:00Z</dcterms:created>
  <dcterms:modified xsi:type="dcterms:W3CDTF">2025-01-17T14:59:00Z</dcterms:modified>
</cp:coreProperties>
</file>