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780443" w14:textId="00486B11" w:rsidR="00A50BFC" w:rsidRPr="00A50BFC" w:rsidRDefault="00A50BFC" w:rsidP="00A50BFC">
      <w:pPr>
        <w:pStyle w:val="NormalWeb"/>
        <w:jc w:val="center"/>
        <w:rPr>
          <w:rFonts w:ascii="Arial" w:hAnsi="Arial" w:cs="Arial"/>
          <w:sz w:val="40"/>
          <w:szCs w:val="40"/>
          <w:u w:val="single"/>
        </w:rPr>
      </w:pPr>
      <w:r w:rsidRPr="00A50BFC">
        <w:rPr>
          <w:rFonts w:ascii="Arial" w:hAnsi="Arial" w:cs="Arial"/>
          <w:b/>
          <w:bCs/>
          <w:sz w:val="40"/>
          <w:szCs w:val="40"/>
          <w:u w:val="single"/>
        </w:rPr>
        <w:t>A critical evaluation and the identification of next teaching and learning steps focusing on a case study of an individual learner or a group of learners, based on an observed critical incident.</w:t>
      </w:r>
    </w:p>
    <w:p w14:paraId="7944F472" w14:textId="75400DDD" w:rsidR="005E71CA" w:rsidRDefault="005E71CA">
      <w:pPr>
        <w:rPr>
          <w:rFonts w:ascii="Arial" w:hAnsi="Arial" w:cs="Arial"/>
        </w:rPr>
      </w:pPr>
    </w:p>
    <w:p w14:paraId="3560DB50" w14:textId="5FCA4FDF" w:rsidR="00A50BFC" w:rsidRDefault="00A50BFC">
      <w:pPr>
        <w:rPr>
          <w:rFonts w:ascii="Arial" w:hAnsi="Arial" w:cs="Arial"/>
        </w:rPr>
      </w:pPr>
    </w:p>
    <w:p w14:paraId="1D922C41" w14:textId="5A9B25FC" w:rsidR="00AB5D0C" w:rsidRDefault="00CB1D96" w:rsidP="00A50BFC">
      <w:pPr>
        <w:jc w:val="center"/>
        <w:rPr>
          <w:rFonts w:ascii="Arial" w:hAnsi="Arial" w:cs="Arial"/>
          <w:b/>
          <w:bCs/>
          <w:sz w:val="36"/>
          <w:szCs w:val="36"/>
        </w:rPr>
      </w:pPr>
      <w:proofErr w:type="spellStart"/>
      <w:r>
        <w:rPr>
          <w:rFonts w:ascii="Arial" w:hAnsi="Arial" w:cs="Arial"/>
          <w:b/>
          <w:bCs/>
          <w:sz w:val="36"/>
          <w:szCs w:val="36"/>
        </w:rPr>
        <w:t>Pwy</w:t>
      </w:r>
      <w:proofErr w:type="spellEnd"/>
      <w:r>
        <w:rPr>
          <w:rFonts w:ascii="Arial" w:hAnsi="Arial" w:cs="Arial"/>
          <w:b/>
          <w:bCs/>
          <w:sz w:val="36"/>
          <w:szCs w:val="36"/>
        </w:rPr>
        <w:t xml:space="preserve"> </w:t>
      </w:r>
      <w:proofErr w:type="spellStart"/>
      <w:r>
        <w:rPr>
          <w:rFonts w:ascii="Arial" w:hAnsi="Arial" w:cs="Arial"/>
          <w:b/>
          <w:bCs/>
          <w:sz w:val="36"/>
          <w:szCs w:val="36"/>
        </w:rPr>
        <w:t>ydw</w:t>
      </w:r>
      <w:proofErr w:type="spellEnd"/>
      <w:r>
        <w:rPr>
          <w:rFonts w:ascii="Arial" w:hAnsi="Arial" w:cs="Arial"/>
          <w:b/>
          <w:bCs/>
          <w:sz w:val="36"/>
          <w:szCs w:val="36"/>
        </w:rPr>
        <w:t xml:space="preserve"> </w:t>
      </w:r>
      <w:proofErr w:type="spellStart"/>
      <w:r>
        <w:rPr>
          <w:rFonts w:ascii="Arial" w:hAnsi="Arial" w:cs="Arial"/>
          <w:b/>
          <w:bCs/>
          <w:sz w:val="36"/>
          <w:szCs w:val="36"/>
        </w:rPr>
        <w:t>i’n</w:t>
      </w:r>
      <w:proofErr w:type="spellEnd"/>
      <w:r>
        <w:rPr>
          <w:rFonts w:ascii="Arial" w:hAnsi="Arial" w:cs="Arial"/>
          <w:b/>
          <w:bCs/>
          <w:sz w:val="36"/>
          <w:szCs w:val="36"/>
        </w:rPr>
        <w:t xml:space="preserve"> </w:t>
      </w:r>
      <w:proofErr w:type="spellStart"/>
      <w:r>
        <w:rPr>
          <w:rFonts w:ascii="Arial" w:hAnsi="Arial" w:cs="Arial"/>
          <w:b/>
          <w:bCs/>
          <w:sz w:val="36"/>
          <w:szCs w:val="36"/>
        </w:rPr>
        <w:t>ei</w:t>
      </w:r>
      <w:proofErr w:type="spellEnd"/>
      <w:r>
        <w:rPr>
          <w:rFonts w:ascii="Arial" w:hAnsi="Arial" w:cs="Arial"/>
          <w:b/>
          <w:bCs/>
          <w:sz w:val="36"/>
          <w:szCs w:val="36"/>
        </w:rPr>
        <w:t xml:space="preserve"> </w:t>
      </w:r>
      <w:proofErr w:type="spellStart"/>
      <w:r>
        <w:rPr>
          <w:rFonts w:ascii="Arial" w:hAnsi="Arial" w:cs="Arial"/>
          <w:b/>
          <w:bCs/>
          <w:sz w:val="36"/>
          <w:szCs w:val="36"/>
        </w:rPr>
        <w:t>addysgu</w:t>
      </w:r>
      <w:proofErr w:type="spellEnd"/>
      <w:r w:rsidR="00C11E2D">
        <w:rPr>
          <w:rFonts w:ascii="Arial" w:hAnsi="Arial" w:cs="Arial"/>
          <w:b/>
          <w:bCs/>
          <w:sz w:val="36"/>
          <w:szCs w:val="36"/>
        </w:rPr>
        <w:t>? / Who am I teaching? (EDAC</w:t>
      </w:r>
      <w:r w:rsidR="00AB5D0C">
        <w:rPr>
          <w:rFonts w:ascii="Arial" w:hAnsi="Arial" w:cs="Arial"/>
          <w:b/>
          <w:bCs/>
          <w:sz w:val="36"/>
          <w:szCs w:val="36"/>
        </w:rPr>
        <w:t>6007</w:t>
      </w:r>
      <w:r w:rsidR="00C11E2D">
        <w:rPr>
          <w:rFonts w:ascii="Arial" w:hAnsi="Arial" w:cs="Arial"/>
          <w:b/>
          <w:bCs/>
          <w:sz w:val="36"/>
          <w:szCs w:val="36"/>
        </w:rPr>
        <w:t>)</w:t>
      </w:r>
    </w:p>
    <w:p w14:paraId="0DF1F09E" w14:textId="77777777" w:rsidR="00CB1D96" w:rsidRDefault="00CB1D96" w:rsidP="00A50BFC">
      <w:pPr>
        <w:jc w:val="center"/>
        <w:rPr>
          <w:rFonts w:ascii="Arial" w:hAnsi="Arial" w:cs="Arial"/>
          <w:b/>
          <w:bCs/>
          <w:sz w:val="36"/>
          <w:szCs w:val="36"/>
        </w:rPr>
      </w:pPr>
    </w:p>
    <w:p w14:paraId="5C00DAC0" w14:textId="019DCB70" w:rsidR="00D41F85" w:rsidRDefault="00A50BFC" w:rsidP="00A50BFC">
      <w:pPr>
        <w:jc w:val="center"/>
        <w:rPr>
          <w:rFonts w:ascii="Arial" w:hAnsi="Arial" w:cs="Arial"/>
          <w:b/>
          <w:bCs/>
          <w:sz w:val="36"/>
          <w:szCs w:val="36"/>
        </w:rPr>
      </w:pPr>
      <w:r w:rsidRPr="00A50BFC">
        <w:rPr>
          <w:rFonts w:ascii="Arial" w:hAnsi="Arial" w:cs="Arial"/>
          <w:b/>
          <w:bCs/>
          <w:sz w:val="36"/>
          <w:szCs w:val="36"/>
        </w:rPr>
        <w:t>WORD COUNT:</w:t>
      </w:r>
      <w:r w:rsidR="00392DDC">
        <w:rPr>
          <w:rFonts w:ascii="Arial" w:hAnsi="Arial" w:cs="Arial"/>
          <w:b/>
          <w:bCs/>
          <w:sz w:val="36"/>
          <w:szCs w:val="36"/>
        </w:rPr>
        <w:t xml:space="preserve"> </w:t>
      </w:r>
      <w:r w:rsidR="00D41F85">
        <w:rPr>
          <w:rFonts w:ascii="Arial" w:hAnsi="Arial" w:cs="Arial"/>
          <w:b/>
          <w:bCs/>
          <w:sz w:val="36"/>
          <w:szCs w:val="36"/>
        </w:rPr>
        <w:t xml:space="preserve">4,899 </w:t>
      </w:r>
    </w:p>
    <w:p w14:paraId="6F67069C" w14:textId="5447A7E5" w:rsidR="00A50BFC" w:rsidRPr="00A50BFC" w:rsidRDefault="00D41F85" w:rsidP="00A50BFC">
      <w:pPr>
        <w:jc w:val="center"/>
        <w:rPr>
          <w:rFonts w:ascii="Arial" w:hAnsi="Arial" w:cs="Arial"/>
          <w:b/>
          <w:bCs/>
          <w:sz w:val="36"/>
          <w:szCs w:val="36"/>
        </w:rPr>
      </w:pPr>
      <w:r>
        <w:rPr>
          <w:rFonts w:ascii="Arial" w:hAnsi="Arial" w:cs="Arial"/>
          <w:b/>
          <w:bCs/>
          <w:sz w:val="36"/>
          <w:szCs w:val="36"/>
        </w:rPr>
        <w:t>(3,899 &amp; 1,000 appendices)</w:t>
      </w:r>
    </w:p>
    <w:p w14:paraId="0B026B12" w14:textId="76D251C0" w:rsidR="00A50BFC" w:rsidRPr="00A50BFC" w:rsidRDefault="00A50BFC" w:rsidP="00A50BFC">
      <w:pPr>
        <w:jc w:val="center"/>
        <w:rPr>
          <w:rFonts w:ascii="Arial" w:hAnsi="Arial" w:cs="Arial"/>
          <w:b/>
          <w:bCs/>
          <w:sz w:val="36"/>
          <w:szCs w:val="36"/>
        </w:rPr>
      </w:pPr>
    </w:p>
    <w:p w14:paraId="7D972623" w14:textId="6587DF2C" w:rsidR="00A50BFC" w:rsidRDefault="00A50BFC" w:rsidP="00A50BFC">
      <w:pPr>
        <w:jc w:val="center"/>
        <w:rPr>
          <w:rFonts w:ascii="Arial" w:hAnsi="Arial" w:cs="Arial"/>
          <w:b/>
          <w:bCs/>
          <w:sz w:val="36"/>
          <w:szCs w:val="36"/>
        </w:rPr>
      </w:pPr>
      <w:r w:rsidRPr="00A50BFC">
        <w:rPr>
          <w:rFonts w:ascii="Arial" w:hAnsi="Arial" w:cs="Arial"/>
          <w:b/>
          <w:bCs/>
          <w:sz w:val="36"/>
          <w:szCs w:val="36"/>
        </w:rPr>
        <w:t>STEFFAN RHYS LLOYD, 2204862</w:t>
      </w:r>
    </w:p>
    <w:p w14:paraId="288990D9" w14:textId="4086A3F5" w:rsidR="00A50BFC" w:rsidRPr="00A50BFC" w:rsidRDefault="00A50BFC" w:rsidP="00A50BFC">
      <w:pPr>
        <w:rPr>
          <w:rFonts w:ascii="Arial" w:hAnsi="Arial" w:cs="Arial"/>
          <w:sz w:val="36"/>
          <w:szCs w:val="36"/>
        </w:rPr>
      </w:pPr>
    </w:p>
    <w:p w14:paraId="084CC0A7" w14:textId="0387878F" w:rsidR="00A50BFC" w:rsidRPr="00A50BFC" w:rsidRDefault="00A50BFC" w:rsidP="00A50BFC">
      <w:pPr>
        <w:rPr>
          <w:rFonts w:ascii="Arial" w:hAnsi="Arial" w:cs="Arial"/>
          <w:sz w:val="36"/>
          <w:szCs w:val="36"/>
        </w:rPr>
      </w:pPr>
    </w:p>
    <w:p w14:paraId="016837F8" w14:textId="1637CF5B" w:rsidR="00A50BFC" w:rsidRPr="00A50BFC" w:rsidRDefault="00A50BFC" w:rsidP="00A50BFC">
      <w:pPr>
        <w:rPr>
          <w:rFonts w:ascii="Arial" w:hAnsi="Arial" w:cs="Arial"/>
          <w:sz w:val="36"/>
          <w:szCs w:val="36"/>
        </w:rPr>
      </w:pPr>
    </w:p>
    <w:p w14:paraId="761A9A9E" w14:textId="75AA8C74" w:rsidR="00A50BFC" w:rsidRPr="00A50BFC" w:rsidRDefault="00A50BFC" w:rsidP="00A50BFC">
      <w:pPr>
        <w:rPr>
          <w:rFonts w:ascii="Arial" w:hAnsi="Arial" w:cs="Arial"/>
          <w:sz w:val="36"/>
          <w:szCs w:val="36"/>
        </w:rPr>
      </w:pPr>
    </w:p>
    <w:p w14:paraId="2ADB39B3" w14:textId="37414FBC" w:rsidR="00A50BFC" w:rsidRPr="00A50BFC" w:rsidRDefault="00A50BFC" w:rsidP="00A50BFC">
      <w:pPr>
        <w:rPr>
          <w:rFonts w:ascii="Arial" w:hAnsi="Arial" w:cs="Arial"/>
          <w:sz w:val="36"/>
          <w:szCs w:val="36"/>
        </w:rPr>
      </w:pPr>
    </w:p>
    <w:p w14:paraId="5F9CB29E" w14:textId="197D30A4" w:rsidR="00A50BFC" w:rsidRPr="00A50BFC" w:rsidRDefault="00A50BFC" w:rsidP="00A50BFC">
      <w:pPr>
        <w:rPr>
          <w:rFonts w:ascii="Arial" w:hAnsi="Arial" w:cs="Arial"/>
          <w:sz w:val="36"/>
          <w:szCs w:val="36"/>
        </w:rPr>
      </w:pPr>
    </w:p>
    <w:p w14:paraId="72BFC3DD" w14:textId="41C9EFA5" w:rsidR="00A50BFC" w:rsidRPr="00A50BFC" w:rsidRDefault="00A50BFC" w:rsidP="00A50BFC">
      <w:pPr>
        <w:rPr>
          <w:rFonts w:ascii="Arial" w:hAnsi="Arial" w:cs="Arial"/>
          <w:sz w:val="36"/>
          <w:szCs w:val="36"/>
        </w:rPr>
      </w:pPr>
    </w:p>
    <w:p w14:paraId="7AFB583E" w14:textId="1775316C" w:rsidR="00A50BFC" w:rsidRPr="00A50BFC" w:rsidRDefault="00A50BFC" w:rsidP="00A50BFC">
      <w:pPr>
        <w:rPr>
          <w:rFonts w:ascii="Arial" w:hAnsi="Arial" w:cs="Arial"/>
          <w:sz w:val="36"/>
          <w:szCs w:val="36"/>
        </w:rPr>
      </w:pPr>
    </w:p>
    <w:p w14:paraId="05F5A91F" w14:textId="3C65B62C" w:rsidR="00A50BFC" w:rsidRPr="00A50BFC" w:rsidRDefault="00A50BFC" w:rsidP="00A50BFC">
      <w:pPr>
        <w:rPr>
          <w:rFonts w:ascii="Arial" w:hAnsi="Arial" w:cs="Arial"/>
          <w:sz w:val="36"/>
          <w:szCs w:val="36"/>
        </w:rPr>
      </w:pPr>
    </w:p>
    <w:p w14:paraId="250A7A65" w14:textId="1E064850" w:rsidR="00A50BFC" w:rsidRPr="00A50BFC" w:rsidRDefault="00A50BFC" w:rsidP="00A50BFC">
      <w:pPr>
        <w:rPr>
          <w:rFonts w:ascii="Arial" w:hAnsi="Arial" w:cs="Arial"/>
          <w:sz w:val="36"/>
          <w:szCs w:val="36"/>
        </w:rPr>
      </w:pPr>
    </w:p>
    <w:p w14:paraId="7210F3CF" w14:textId="0F6648BC" w:rsidR="00A50BFC" w:rsidRPr="00A50BFC" w:rsidRDefault="00A50BFC" w:rsidP="00A50BFC">
      <w:pPr>
        <w:rPr>
          <w:rFonts w:ascii="Arial" w:hAnsi="Arial" w:cs="Arial"/>
          <w:sz w:val="36"/>
          <w:szCs w:val="36"/>
        </w:rPr>
      </w:pPr>
    </w:p>
    <w:p w14:paraId="62010393" w14:textId="5BF30FD8" w:rsidR="00A50BFC" w:rsidRPr="00A50BFC" w:rsidRDefault="00A50BFC" w:rsidP="00A50BFC">
      <w:pPr>
        <w:rPr>
          <w:rFonts w:ascii="Arial" w:hAnsi="Arial" w:cs="Arial"/>
          <w:sz w:val="36"/>
          <w:szCs w:val="36"/>
        </w:rPr>
      </w:pPr>
    </w:p>
    <w:p w14:paraId="16B3AB76" w14:textId="05C5871E" w:rsidR="00A50BFC" w:rsidRPr="00A50BFC" w:rsidRDefault="00A50BFC" w:rsidP="00A50BFC">
      <w:pPr>
        <w:rPr>
          <w:rFonts w:ascii="Arial" w:hAnsi="Arial" w:cs="Arial"/>
          <w:sz w:val="36"/>
          <w:szCs w:val="36"/>
        </w:rPr>
      </w:pPr>
    </w:p>
    <w:p w14:paraId="05DD34B0" w14:textId="123AEC8D" w:rsidR="00A50BFC" w:rsidRPr="00A50BFC" w:rsidRDefault="00A50BFC" w:rsidP="00A50BFC">
      <w:pPr>
        <w:rPr>
          <w:rFonts w:ascii="Arial" w:hAnsi="Arial" w:cs="Arial"/>
          <w:sz w:val="36"/>
          <w:szCs w:val="36"/>
        </w:rPr>
      </w:pPr>
    </w:p>
    <w:p w14:paraId="7991A1EE" w14:textId="62FE16F4" w:rsidR="00A50BFC" w:rsidRPr="00A50BFC" w:rsidRDefault="00A50BFC" w:rsidP="00A50BFC">
      <w:pPr>
        <w:rPr>
          <w:rFonts w:ascii="Arial" w:hAnsi="Arial" w:cs="Arial"/>
          <w:sz w:val="36"/>
          <w:szCs w:val="36"/>
        </w:rPr>
      </w:pPr>
    </w:p>
    <w:p w14:paraId="48C37345" w14:textId="0D29F5BC" w:rsidR="00A50BFC" w:rsidRPr="00A50BFC" w:rsidRDefault="00A50BFC" w:rsidP="00A50BFC">
      <w:pPr>
        <w:rPr>
          <w:rFonts w:ascii="Arial" w:hAnsi="Arial" w:cs="Arial"/>
          <w:sz w:val="36"/>
          <w:szCs w:val="36"/>
        </w:rPr>
      </w:pPr>
    </w:p>
    <w:p w14:paraId="1DC4F4B5" w14:textId="27EC7B34" w:rsidR="00A50BFC" w:rsidRPr="00A50BFC" w:rsidRDefault="00A50BFC" w:rsidP="00A50BFC">
      <w:pPr>
        <w:rPr>
          <w:rFonts w:ascii="Arial" w:hAnsi="Arial" w:cs="Arial"/>
          <w:sz w:val="36"/>
          <w:szCs w:val="36"/>
        </w:rPr>
      </w:pPr>
    </w:p>
    <w:p w14:paraId="363F3D41" w14:textId="331DA568" w:rsidR="00A50BFC" w:rsidRPr="00A50BFC" w:rsidRDefault="00A50BFC" w:rsidP="00A50BFC">
      <w:pPr>
        <w:rPr>
          <w:rFonts w:ascii="Arial" w:hAnsi="Arial" w:cs="Arial"/>
          <w:sz w:val="36"/>
          <w:szCs w:val="36"/>
        </w:rPr>
      </w:pPr>
    </w:p>
    <w:p w14:paraId="135F4281" w14:textId="4886F96C" w:rsidR="00A50BFC" w:rsidRPr="00A50BFC" w:rsidRDefault="00A50BFC" w:rsidP="00A50BFC">
      <w:pPr>
        <w:rPr>
          <w:rFonts w:ascii="Arial" w:hAnsi="Arial" w:cs="Arial"/>
          <w:sz w:val="36"/>
          <w:szCs w:val="36"/>
        </w:rPr>
      </w:pPr>
    </w:p>
    <w:p w14:paraId="1E5C60B7" w14:textId="4BFA4A98" w:rsidR="00A50BFC" w:rsidRPr="00C11E2D" w:rsidRDefault="00A50BFC" w:rsidP="00C11E2D">
      <w:pPr>
        <w:tabs>
          <w:tab w:val="left" w:pos="6087"/>
        </w:tabs>
        <w:jc w:val="center"/>
        <w:rPr>
          <w:rFonts w:ascii="Arial" w:hAnsi="Arial" w:cs="Arial"/>
          <w:sz w:val="36"/>
          <w:szCs w:val="36"/>
        </w:rPr>
      </w:pPr>
      <w:r w:rsidRPr="00A50BFC">
        <w:rPr>
          <w:rFonts w:ascii="Arial" w:hAnsi="Arial" w:cs="Arial"/>
          <w:b/>
          <w:bCs/>
          <w:sz w:val="32"/>
          <w:szCs w:val="32"/>
          <w:u w:val="single"/>
        </w:rPr>
        <w:lastRenderedPageBreak/>
        <w:t>A critical evaluation and the identification of next teaching and learning steps focusing on a case study of an individual learner or a group of learners, based on an observed critical incident.</w:t>
      </w:r>
    </w:p>
    <w:p w14:paraId="3524CFA3" w14:textId="432937A5" w:rsidR="00A50BFC" w:rsidRDefault="00A50BFC" w:rsidP="00A50BFC">
      <w:pPr>
        <w:tabs>
          <w:tab w:val="left" w:pos="6087"/>
        </w:tabs>
        <w:rPr>
          <w:rFonts w:ascii="Arial" w:hAnsi="Arial" w:cs="Arial"/>
          <w:sz w:val="36"/>
          <w:szCs w:val="36"/>
        </w:rPr>
      </w:pPr>
    </w:p>
    <w:p w14:paraId="35EDC77F" w14:textId="5CD74881" w:rsidR="00A50BFC" w:rsidRDefault="00A50BFC" w:rsidP="00A50BFC">
      <w:pPr>
        <w:tabs>
          <w:tab w:val="left" w:pos="6087"/>
        </w:tabs>
        <w:spacing w:line="360" w:lineRule="auto"/>
        <w:rPr>
          <w:rFonts w:ascii="Arial" w:hAnsi="Arial" w:cs="Arial"/>
          <w:b/>
          <w:bCs/>
          <w:sz w:val="28"/>
          <w:szCs w:val="28"/>
        </w:rPr>
      </w:pPr>
      <w:r>
        <w:rPr>
          <w:rFonts w:ascii="Arial" w:hAnsi="Arial" w:cs="Arial"/>
          <w:b/>
          <w:bCs/>
          <w:sz w:val="28"/>
          <w:szCs w:val="28"/>
        </w:rPr>
        <w:t>Introduction</w:t>
      </w:r>
    </w:p>
    <w:p w14:paraId="5671B462" w14:textId="66C1EFD1" w:rsidR="009F57DA" w:rsidRPr="009F57DA" w:rsidRDefault="009F57DA" w:rsidP="009F57DA">
      <w:pPr>
        <w:spacing w:line="360" w:lineRule="auto"/>
        <w:rPr>
          <w:rFonts w:ascii="Arial" w:hAnsi="Arial" w:cs="Arial"/>
          <w:sz w:val="22"/>
          <w:szCs w:val="22"/>
        </w:rPr>
      </w:pPr>
      <w:r w:rsidRPr="009F57DA">
        <w:rPr>
          <w:rFonts w:ascii="Arial" w:hAnsi="Arial" w:cs="Arial"/>
          <w:sz w:val="22"/>
          <w:szCs w:val="22"/>
        </w:rPr>
        <w:t>When discussing the idea of Critical Incidents and how they allow us to reflect and learn as student teachers, it is impossible to not discuss the work of David Tripp. Tripp discusses how Critical Incidents are not ‘things’ which exist ‘independently of an observer’ and are waiting to be found as ‘golden nuggets’ are (2011, p.8). Tripp describes critical incident as ‘some event or situation which marked a significant turning point or change in the life of a person or an institution’ (</w:t>
      </w:r>
      <w:r w:rsidR="004B6964">
        <w:rPr>
          <w:rFonts w:ascii="Arial" w:hAnsi="Arial" w:cs="Arial"/>
          <w:sz w:val="22"/>
          <w:szCs w:val="22"/>
        </w:rPr>
        <w:t xml:space="preserve">2011, </w:t>
      </w:r>
      <w:r w:rsidRPr="009F57DA">
        <w:rPr>
          <w:rFonts w:ascii="Arial" w:hAnsi="Arial" w:cs="Arial"/>
          <w:sz w:val="22"/>
          <w:szCs w:val="22"/>
        </w:rPr>
        <w:t xml:space="preserve">p.24). However extreme this may sound, critical incidents need not be a major event, or even anything negative, they could be very minor and positive reactions from students. In his book, </w:t>
      </w:r>
      <w:r w:rsidRPr="009F57DA">
        <w:rPr>
          <w:rFonts w:ascii="Arial" w:hAnsi="Arial" w:cs="Arial"/>
          <w:i/>
          <w:iCs/>
          <w:sz w:val="22"/>
          <w:szCs w:val="22"/>
        </w:rPr>
        <w:t>Critical Incidents in Teaching</w:t>
      </w:r>
      <w:r w:rsidRPr="009F57DA">
        <w:rPr>
          <w:rFonts w:ascii="Arial" w:hAnsi="Arial" w:cs="Arial"/>
          <w:sz w:val="22"/>
          <w:szCs w:val="22"/>
        </w:rPr>
        <w:t>, Tripp has suggested the following:</w:t>
      </w:r>
    </w:p>
    <w:p w14:paraId="6321F42F" w14:textId="77777777" w:rsidR="009F57DA" w:rsidRPr="009F57DA" w:rsidRDefault="009F57DA" w:rsidP="009F57DA">
      <w:pPr>
        <w:spacing w:line="360" w:lineRule="auto"/>
        <w:rPr>
          <w:rFonts w:ascii="Arial" w:hAnsi="Arial" w:cs="Arial"/>
          <w:sz w:val="22"/>
          <w:szCs w:val="22"/>
        </w:rPr>
      </w:pPr>
      <w:r w:rsidRPr="009F57DA">
        <w:rPr>
          <w:rFonts w:ascii="Arial" w:hAnsi="Arial" w:cs="Arial"/>
          <w:sz w:val="22"/>
          <w:szCs w:val="22"/>
        </w:rPr>
        <w:tab/>
      </w:r>
    </w:p>
    <w:p w14:paraId="28A18E16" w14:textId="2C7C5C5C" w:rsidR="009F57DA" w:rsidRPr="009F57DA" w:rsidRDefault="009F57DA" w:rsidP="009F57DA">
      <w:pPr>
        <w:spacing w:line="360" w:lineRule="auto"/>
        <w:ind w:left="720"/>
        <w:rPr>
          <w:rFonts w:ascii="Arial" w:hAnsi="Arial" w:cs="Arial"/>
          <w:sz w:val="22"/>
          <w:szCs w:val="22"/>
        </w:rPr>
      </w:pPr>
      <w:r w:rsidRPr="009F57DA">
        <w:rPr>
          <w:rFonts w:ascii="Arial" w:hAnsi="Arial" w:cs="Arial"/>
          <w:color w:val="000000" w:themeColor="text1"/>
          <w:sz w:val="22"/>
          <w:szCs w:val="22"/>
        </w:rPr>
        <w:t xml:space="preserve">“The vast majority of critical incidents, however, are not at all dramatic or obvious: they are mostly straightforward accounts of very commonplace events that occur in routine professional practice which are critical in the rather different sense that they are indicative of underlying trends, </w:t>
      </w:r>
      <w:proofErr w:type="gramStart"/>
      <w:r w:rsidRPr="009F57DA">
        <w:rPr>
          <w:rFonts w:ascii="Arial" w:hAnsi="Arial" w:cs="Arial"/>
          <w:color w:val="000000" w:themeColor="text1"/>
          <w:sz w:val="22"/>
          <w:szCs w:val="22"/>
        </w:rPr>
        <w:t>motives</w:t>
      </w:r>
      <w:proofErr w:type="gramEnd"/>
      <w:r w:rsidRPr="009F57DA">
        <w:rPr>
          <w:rFonts w:ascii="Arial" w:hAnsi="Arial" w:cs="Arial"/>
          <w:color w:val="000000" w:themeColor="text1"/>
          <w:sz w:val="22"/>
          <w:szCs w:val="22"/>
        </w:rPr>
        <w:t xml:space="preserve"> and structures. These incidents appear to be ‘typical’ rather than ‘critical’ at first </w:t>
      </w:r>
      <w:proofErr w:type="gramStart"/>
      <w:r w:rsidR="00C83AB8" w:rsidRPr="009F57DA">
        <w:rPr>
          <w:rFonts w:ascii="Arial" w:hAnsi="Arial" w:cs="Arial"/>
          <w:color w:val="000000" w:themeColor="text1"/>
          <w:sz w:val="22"/>
          <w:szCs w:val="22"/>
        </w:rPr>
        <w:t>sight</w:t>
      </w:r>
      <w:r w:rsidR="00C83AB8">
        <w:rPr>
          <w:rFonts w:ascii="Arial" w:hAnsi="Arial" w:cs="Arial"/>
          <w:color w:val="000000" w:themeColor="text1"/>
          <w:sz w:val="22"/>
          <w:szCs w:val="22"/>
        </w:rPr>
        <w:t>,</w:t>
      </w:r>
      <w:r w:rsidR="00C83AB8" w:rsidRPr="009F57DA">
        <w:rPr>
          <w:rFonts w:ascii="Arial" w:hAnsi="Arial" w:cs="Arial"/>
          <w:color w:val="000000" w:themeColor="text1"/>
          <w:sz w:val="22"/>
          <w:szCs w:val="22"/>
        </w:rPr>
        <w:t xml:space="preserve"> but</w:t>
      </w:r>
      <w:proofErr w:type="gramEnd"/>
      <w:r w:rsidRPr="009F57DA">
        <w:rPr>
          <w:rFonts w:ascii="Arial" w:hAnsi="Arial" w:cs="Arial"/>
          <w:color w:val="000000" w:themeColor="text1"/>
          <w:sz w:val="22"/>
          <w:szCs w:val="22"/>
        </w:rPr>
        <w:t xml:space="preserve"> are rendered critical through analysis.” (Tripp, </w:t>
      </w:r>
      <w:r w:rsidR="004B6964">
        <w:rPr>
          <w:rFonts w:ascii="Arial" w:hAnsi="Arial" w:cs="Arial"/>
          <w:color w:val="000000" w:themeColor="text1"/>
          <w:sz w:val="22"/>
          <w:szCs w:val="22"/>
        </w:rPr>
        <w:t xml:space="preserve">2011, pp. </w:t>
      </w:r>
      <w:r w:rsidRPr="009F57DA">
        <w:rPr>
          <w:rFonts w:ascii="Arial" w:hAnsi="Arial" w:cs="Arial"/>
          <w:color w:val="000000" w:themeColor="text1"/>
          <w:sz w:val="22"/>
          <w:szCs w:val="22"/>
        </w:rPr>
        <w:t>24-25)</w:t>
      </w:r>
    </w:p>
    <w:p w14:paraId="58D4A1C1" w14:textId="77777777" w:rsidR="009F57DA" w:rsidRPr="009F57DA" w:rsidRDefault="009F57DA" w:rsidP="009F57DA">
      <w:pPr>
        <w:spacing w:line="360" w:lineRule="auto"/>
        <w:rPr>
          <w:rFonts w:ascii="Arial" w:hAnsi="Arial" w:cs="Arial"/>
          <w:sz w:val="22"/>
          <w:szCs w:val="22"/>
        </w:rPr>
      </w:pPr>
    </w:p>
    <w:p w14:paraId="704E590E" w14:textId="77777777" w:rsidR="009F57DA" w:rsidRPr="009F57DA" w:rsidRDefault="009F57DA" w:rsidP="009F57DA">
      <w:pPr>
        <w:spacing w:line="360" w:lineRule="auto"/>
        <w:rPr>
          <w:rFonts w:ascii="Arial" w:hAnsi="Arial" w:cs="Arial"/>
          <w:sz w:val="22"/>
          <w:szCs w:val="22"/>
        </w:rPr>
      </w:pPr>
      <w:r w:rsidRPr="009F57DA">
        <w:rPr>
          <w:rFonts w:ascii="Arial" w:hAnsi="Arial" w:cs="Arial"/>
          <w:sz w:val="22"/>
          <w:szCs w:val="22"/>
        </w:rPr>
        <w:t xml:space="preserve">By using Tripp’s Critical Incident methodology, this essay will discuss and evaluate the next steps of learning and teaching in the classroom. In doing so, it will focus on a case study based on a critical incident observed in a classroom environment in a school. </w:t>
      </w:r>
    </w:p>
    <w:p w14:paraId="4A057739" w14:textId="0C7B7EA6" w:rsidR="00A50BFC" w:rsidRDefault="00A50BFC" w:rsidP="00A50BFC">
      <w:pPr>
        <w:tabs>
          <w:tab w:val="left" w:pos="6087"/>
        </w:tabs>
        <w:spacing w:line="360" w:lineRule="auto"/>
        <w:rPr>
          <w:rFonts w:ascii="Arial" w:hAnsi="Arial" w:cs="Arial"/>
          <w:sz w:val="22"/>
          <w:szCs w:val="22"/>
        </w:rPr>
      </w:pPr>
    </w:p>
    <w:p w14:paraId="0C8520E1" w14:textId="35872FB2" w:rsidR="00E90E9A" w:rsidRDefault="00E90E9A" w:rsidP="00E90E9A">
      <w:pPr>
        <w:tabs>
          <w:tab w:val="left" w:pos="6087"/>
        </w:tabs>
        <w:spacing w:line="360" w:lineRule="auto"/>
        <w:rPr>
          <w:rFonts w:ascii="Arial" w:hAnsi="Arial" w:cs="Arial"/>
          <w:b/>
          <w:bCs/>
          <w:sz w:val="28"/>
          <w:szCs w:val="28"/>
        </w:rPr>
      </w:pPr>
      <w:r>
        <w:rPr>
          <w:rFonts w:ascii="Arial" w:hAnsi="Arial" w:cs="Arial"/>
          <w:b/>
          <w:bCs/>
          <w:sz w:val="28"/>
          <w:szCs w:val="28"/>
        </w:rPr>
        <w:t>The Role of Critical Reflection</w:t>
      </w:r>
    </w:p>
    <w:p w14:paraId="6FD036B7" w14:textId="264DB63B" w:rsidR="009E3EF2" w:rsidRPr="009E3EF2" w:rsidRDefault="009E3EF2" w:rsidP="009E3EF2">
      <w:pPr>
        <w:spacing w:line="360" w:lineRule="auto"/>
        <w:rPr>
          <w:rFonts w:ascii="Arial" w:hAnsi="Arial" w:cs="Arial"/>
          <w:sz w:val="22"/>
          <w:szCs w:val="22"/>
        </w:rPr>
      </w:pPr>
      <w:r w:rsidRPr="009E3EF2">
        <w:rPr>
          <w:rFonts w:ascii="Arial" w:hAnsi="Arial" w:cs="Arial"/>
          <w:sz w:val="22"/>
          <w:szCs w:val="22"/>
        </w:rPr>
        <w:t>Critical reflection is essential when discussing critical incidents in a classroom as critical incidents are deemed as ‘issues in teachers’ work’ that require ‘ethical reflection’ (</w:t>
      </w:r>
      <w:proofErr w:type="spellStart"/>
      <w:r w:rsidRPr="009E3EF2">
        <w:rPr>
          <w:rFonts w:ascii="Arial" w:hAnsi="Arial" w:cs="Arial"/>
          <w:sz w:val="22"/>
          <w:szCs w:val="22"/>
        </w:rPr>
        <w:t>Hanhimäkl</w:t>
      </w:r>
      <w:proofErr w:type="spellEnd"/>
      <w:r w:rsidRPr="009E3EF2">
        <w:rPr>
          <w:rFonts w:ascii="Arial" w:hAnsi="Arial" w:cs="Arial"/>
          <w:sz w:val="22"/>
          <w:szCs w:val="22"/>
        </w:rPr>
        <w:t xml:space="preserve"> &amp; </w:t>
      </w:r>
      <w:proofErr w:type="spellStart"/>
      <w:r w:rsidRPr="009E3EF2">
        <w:rPr>
          <w:rFonts w:ascii="Arial" w:hAnsi="Arial" w:cs="Arial"/>
          <w:sz w:val="22"/>
          <w:szCs w:val="22"/>
        </w:rPr>
        <w:t>Tirri</w:t>
      </w:r>
      <w:proofErr w:type="spellEnd"/>
      <w:r w:rsidRPr="009E3EF2">
        <w:rPr>
          <w:rFonts w:ascii="Arial" w:hAnsi="Arial" w:cs="Arial"/>
          <w:sz w:val="22"/>
          <w:szCs w:val="22"/>
        </w:rPr>
        <w:t xml:space="preserve"> 2009, </w:t>
      </w:r>
      <w:r w:rsidR="00EC3863">
        <w:rPr>
          <w:rFonts w:ascii="Arial" w:hAnsi="Arial" w:cs="Arial"/>
          <w:sz w:val="22"/>
          <w:szCs w:val="22"/>
        </w:rPr>
        <w:t xml:space="preserve">p. </w:t>
      </w:r>
      <w:r w:rsidRPr="009E3EF2">
        <w:rPr>
          <w:rFonts w:ascii="Arial" w:hAnsi="Arial" w:cs="Arial"/>
          <w:sz w:val="22"/>
          <w:szCs w:val="22"/>
        </w:rPr>
        <w:t xml:space="preserve">111). Critical incidents are produced by how we interpret situations, hence why reflection is such a crucial component in the discussion of critical incidents (Tripp, 2011, </w:t>
      </w:r>
      <w:r w:rsidR="004B6964">
        <w:rPr>
          <w:rFonts w:ascii="Arial" w:hAnsi="Arial" w:cs="Arial"/>
          <w:sz w:val="22"/>
          <w:szCs w:val="22"/>
        </w:rPr>
        <w:t xml:space="preserve">p. </w:t>
      </w:r>
      <w:r w:rsidRPr="009E3EF2">
        <w:rPr>
          <w:rFonts w:ascii="Arial" w:hAnsi="Arial" w:cs="Arial"/>
          <w:sz w:val="22"/>
          <w:szCs w:val="22"/>
        </w:rPr>
        <w:t xml:space="preserve">8). David Tripp’s work is highly significant when discussing the concept of critical incidents in the classroom, with his studies from the early 1990s, revisited in 2011, having a profound effect on those studying education and teaching. He outlines the requirements needed to make an incident ‘critical’ and emphasises that these incidents need not be major events, they are ‘mostly straightforward accounts’ of events which happen every day (Tripp, </w:t>
      </w:r>
      <w:r w:rsidR="004B6964">
        <w:rPr>
          <w:rFonts w:ascii="Arial" w:hAnsi="Arial" w:cs="Arial"/>
          <w:sz w:val="22"/>
          <w:szCs w:val="22"/>
        </w:rPr>
        <w:t xml:space="preserve">2011, </w:t>
      </w:r>
      <w:r w:rsidR="004B6964">
        <w:rPr>
          <w:rFonts w:ascii="Arial" w:hAnsi="Arial" w:cs="Arial"/>
          <w:sz w:val="22"/>
          <w:szCs w:val="22"/>
        </w:rPr>
        <w:lastRenderedPageBreak/>
        <w:t xml:space="preserve">pp. </w:t>
      </w:r>
      <w:r w:rsidRPr="009E3EF2">
        <w:rPr>
          <w:rFonts w:ascii="Arial" w:hAnsi="Arial" w:cs="Arial"/>
          <w:sz w:val="22"/>
          <w:szCs w:val="22"/>
        </w:rPr>
        <w:t xml:space="preserve">24-25). He continues this by stating that these incidents ‘appear ‘typical’ rather than ‘critical’’ but are made critical through teachers’ analysis (Tripp, </w:t>
      </w:r>
      <w:r w:rsidR="004B6964">
        <w:rPr>
          <w:rFonts w:ascii="Arial" w:hAnsi="Arial" w:cs="Arial"/>
          <w:sz w:val="22"/>
          <w:szCs w:val="22"/>
        </w:rPr>
        <w:t xml:space="preserve">2011, pp. </w:t>
      </w:r>
      <w:r w:rsidRPr="009E3EF2">
        <w:rPr>
          <w:rFonts w:ascii="Arial" w:hAnsi="Arial" w:cs="Arial"/>
          <w:sz w:val="22"/>
          <w:szCs w:val="22"/>
        </w:rPr>
        <w:t xml:space="preserve">24-25), an idea reinforced by R. Mohammed, who stated that a critical incident is just an incident ‘that makes you stop and think’ (2016, </w:t>
      </w:r>
      <w:r w:rsidR="004B6964">
        <w:rPr>
          <w:rFonts w:ascii="Arial" w:hAnsi="Arial" w:cs="Arial"/>
          <w:sz w:val="22"/>
          <w:szCs w:val="22"/>
        </w:rPr>
        <w:t xml:space="preserve">p. </w:t>
      </w:r>
      <w:r w:rsidRPr="009E3EF2">
        <w:rPr>
          <w:rFonts w:ascii="Arial" w:hAnsi="Arial" w:cs="Arial"/>
          <w:sz w:val="22"/>
          <w:szCs w:val="22"/>
        </w:rPr>
        <w:t>25), where you focus on ‘observable measurable events’ (</w:t>
      </w:r>
      <w:proofErr w:type="spellStart"/>
      <w:r w:rsidRPr="009E3EF2">
        <w:rPr>
          <w:rFonts w:ascii="Arial" w:hAnsi="Arial" w:cs="Arial"/>
          <w:sz w:val="22"/>
          <w:szCs w:val="22"/>
        </w:rPr>
        <w:t>Andreou</w:t>
      </w:r>
      <w:proofErr w:type="spellEnd"/>
      <w:r w:rsidR="00DA546D">
        <w:rPr>
          <w:rFonts w:ascii="Arial" w:hAnsi="Arial" w:cs="Arial"/>
          <w:sz w:val="22"/>
          <w:szCs w:val="22"/>
        </w:rPr>
        <w:t xml:space="preserve"> </w:t>
      </w:r>
      <w:r w:rsidR="00DA546D" w:rsidRPr="00DA546D">
        <w:rPr>
          <w:rFonts w:ascii="Arial" w:hAnsi="Arial" w:cs="Arial"/>
          <w:i/>
          <w:iCs/>
          <w:sz w:val="22"/>
          <w:szCs w:val="22"/>
        </w:rPr>
        <w:t>et al</w:t>
      </w:r>
      <w:r w:rsidR="00DA546D">
        <w:rPr>
          <w:rFonts w:ascii="Arial" w:hAnsi="Arial" w:cs="Arial"/>
          <w:sz w:val="22"/>
          <w:szCs w:val="22"/>
        </w:rPr>
        <w:t>.</w:t>
      </w:r>
      <w:r w:rsidRPr="009E3EF2">
        <w:rPr>
          <w:rFonts w:ascii="Arial" w:hAnsi="Arial" w:cs="Arial"/>
          <w:sz w:val="22"/>
          <w:szCs w:val="22"/>
        </w:rPr>
        <w:t xml:space="preserve">, 2015, </w:t>
      </w:r>
      <w:r w:rsidR="00DA546D">
        <w:rPr>
          <w:rFonts w:ascii="Arial" w:hAnsi="Arial" w:cs="Arial"/>
          <w:sz w:val="22"/>
          <w:szCs w:val="22"/>
        </w:rPr>
        <w:t xml:space="preserve">p. </w:t>
      </w:r>
      <w:r w:rsidRPr="009E3EF2">
        <w:rPr>
          <w:rFonts w:ascii="Arial" w:hAnsi="Arial" w:cs="Arial"/>
          <w:sz w:val="22"/>
          <w:szCs w:val="22"/>
        </w:rPr>
        <w:t xml:space="preserve">159). </w:t>
      </w:r>
    </w:p>
    <w:p w14:paraId="21D00A9C" w14:textId="2B305983" w:rsidR="009E3EF2" w:rsidRPr="009E3EF2" w:rsidRDefault="009E3EF2" w:rsidP="009E3EF2">
      <w:pPr>
        <w:spacing w:line="360" w:lineRule="auto"/>
        <w:rPr>
          <w:rFonts w:ascii="Arial" w:hAnsi="Arial" w:cs="Arial"/>
          <w:sz w:val="22"/>
          <w:szCs w:val="22"/>
        </w:rPr>
      </w:pPr>
      <w:r w:rsidRPr="009E3EF2">
        <w:rPr>
          <w:rFonts w:ascii="Arial" w:hAnsi="Arial" w:cs="Arial"/>
          <w:sz w:val="22"/>
          <w:szCs w:val="22"/>
        </w:rPr>
        <w:tab/>
        <w:t>Tripp describes critical incidents as an excellent way to ‘develop an increasing understanding of and control over professional judgement’ (</w:t>
      </w:r>
      <w:r w:rsidR="00126EED">
        <w:rPr>
          <w:rFonts w:ascii="Arial" w:hAnsi="Arial" w:cs="Arial"/>
          <w:sz w:val="22"/>
          <w:szCs w:val="22"/>
        </w:rPr>
        <w:t>2011, p.</w:t>
      </w:r>
      <w:r w:rsidRPr="009E3EF2">
        <w:rPr>
          <w:rFonts w:ascii="Arial" w:hAnsi="Arial" w:cs="Arial"/>
          <w:sz w:val="22"/>
          <w:szCs w:val="22"/>
        </w:rPr>
        <w:t xml:space="preserve"> 24). </w:t>
      </w:r>
      <w:proofErr w:type="gramStart"/>
      <w:r w:rsidRPr="009E3EF2">
        <w:rPr>
          <w:rFonts w:ascii="Arial" w:hAnsi="Arial" w:cs="Arial"/>
          <w:sz w:val="22"/>
          <w:szCs w:val="22"/>
        </w:rPr>
        <w:t>In order to</w:t>
      </w:r>
      <w:proofErr w:type="gramEnd"/>
      <w:r w:rsidRPr="009E3EF2">
        <w:rPr>
          <w:rFonts w:ascii="Arial" w:hAnsi="Arial" w:cs="Arial"/>
          <w:sz w:val="22"/>
          <w:szCs w:val="22"/>
        </w:rPr>
        <w:t xml:space="preserve"> use critical incidents effectively, reflection is essential, reflection on the lesson, the incident, the child’s behaviour and also, your actions. Dewey defined reflective thinking as ‘turning a subject over in the mind, and giving it consecutive consideration’ (1993, </w:t>
      </w:r>
      <w:r w:rsidR="00126EED">
        <w:rPr>
          <w:rFonts w:ascii="Arial" w:hAnsi="Arial" w:cs="Arial"/>
          <w:sz w:val="22"/>
          <w:szCs w:val="22"/>
        </w:rPr>
        <w:t xml:space="preserve">p. </w:t>
      </w:r>
      <w:r w:rsidRPr="009E3EF2">
        <w:rPr>
          <w:rFonts w:ascii="Arial" w:hAnsi="Arial" w:cs="Arial"/>
          <w:sz w:val="22"/>
          <w:szCs w:val="22"/>
        </w:rPr>
        <w:t>3). Many have discussed Dewey’s work alongside Tripp’s and discussed how they recognised the importance of reflection in teaching, not only in the context of critical incidents, but in the classroom generally, as it led to greater learn</w:t>
      </w:r>
      <w:r w:rsidR="00AE68F9">
        <w:rPr>
          <w:rFonts w:ascii="Arial" w:hAnsi="Arial" w:cs="Arial"/>
          <w:sz w:val="22"/>
          <w:szCs w:val="22"/>
        </w:rPr>
        <w:t>ing as a teacher</w:t>
      </w:r>
      <w:r w:rsidRPr="009E3EF2">
        <w:rPr>
          <w:rFonts w:ascii="Arial" w:hAnsi="Arial" w:cs="Arial"/>
          <w:sz w:val="22"/>
          <w:szCs w:val="22"/>
        </w:rPr>
        <w:t xml:space="preserve"> ‘when compared to teaching experience alone’ (</w:t>
      </w:r>
      <w:proofErr w:type="spellStart"/>
      <w:r w:rsidRPr="009E3EF2">
        <w:rPr>
          <w:rFonts w:ascii="Arial" w:hAnsi="Arial" w:cs="Arial"/>
          <w:sz w:val="22"/>
          <w:szCs w:val="22"/>
        </w:rPr>
        <w:t>Mckinney</w:t>
      </w:r>
      <w:proofErr w:type="spellEnd"/>
      <w:r w:rsidRPr="009E3EF2">
        <w:rPr>
          <w:rFonts w:ascii="Arial" w:hAnsi="Arial" w:cs="Arial"/>
          <w:sz w:val="22"/>
          <w:szCs w:val="22"/>
        </w:rPr>
        <w:t>, Campbell-</w:t>
      </w:r>
      <w:proofErr w:type="spellStart"/>
      <w:r w:rsidRPr="009E3EF2">
        <w:rPr>
          <w:rFonts w:ascii="Arial" w:hAnsi="Arial" w:cs="Arial"/>
          <w:sz w:val="22"/>
          <w:szCs w:val="22"/>
        </w:rPr>
        <w:t>Whately</w:t>
      </w:r>
      <w:proofErr w:type="spellEnd"/>
      <w:r w:rsidRPr="009E3EF2">
        <w:rPr>
          <w:rFonts w:ascii="Arial" w:hAnsi="Arial" w:cs="Arial"/>
          <w:sz w:val="22"/>
          <w:szCs w:val="22"/>
        </w:rPr>
        <w:t xml:space="preserve"> &amp; Kea</w:t>
      </w:r>
      <w:r w:rsidR="00126EED">
        <w:rPr>
          <w:rFonts w:ascii="Arial" w:hAnsi="Arial" w:cs="Arial"/>
          <w:sz w:val="22"/>
          <w:szCs w:val="22"/>
        </w:rPr>
        <w:t>,</w:t>
      </w:r>
      <w:r w:rsidRPr="009E3EF2">
        <w:rPr>
          <w:rFonts w:ascii="Arial" w:hAnsi="Arial" w:cs="Arial"/>
          <w:sz w:val="22"/>
          <w:szCs w:val="22"/>
        </w:rPr>
        <w:t xml:space="preserve"> 2005, </w:t>
      </w:r>
      <w:r w:rsidR="00126EED">
        <w:rPr>
          <w:rFonts w:ascii="Arial" w:hAnsi="Arial" w:cs="Arial"/>
          <w:sz w:val="22"/>
          <w:szCs w:val="22"/>
        </w:rPr>
        <w:t xml:space="preserve">p. </w:t>
      </w:r>
      <w:r w:rsidRPr="009E3EF2">
        <w:rPr>
          <w:rFonts w:ascii="Arial" w:hAnsi="Arial" w:cs="Arial"/>
          <w:sz w:val="22"/>
          <w:szCs w:val="22"/>
        </w:rPr>
        <w:t>18). Reflective teachers should ‘constantly think’ about their work, allowing them to pave a way for ‘professional work’ (</w:t>
      </w:r>
      <w:proofErr w:type="spellStart"/>
      <w:r w:rsidRPr="009E3EF2">
        <w:rPr>
          <w:rFonts w:ascii="Arial" w:hAnsi="Arial" w:cs="Arial"/>
          <w:sz w:val="22"/>
          <w:szCs w:val="22"/>
        </w:rPr>
        <w:t>Mckinney</w:t>
      </w:r>
      <w:proofErr w:type="spellEnd"/>
      <w:r w:rsidRPr="009E3EF2">
        <w:rPr>
          <w:rFonts w:ascii="Arial" w:hAnsi="Arial" w:cs="Arial"/>
          <w:sz w:val="22"/>
          <w:szCs w:val="22"/>
        </w:rPr>
        <w:t>, Campbell-</w:t>
      </w:r>
      <w:proofErr w:type="spellStart"/>
      <w:r w:rsidRPr="009E3EF2">
        <w:rPr>
          <w:rFonts w:ascii="Arial" w:hAnsi="Arial" w:cs="Arial"/>
          <w:sz w:val="22"/>
          <w:szCs w:val="22"/>
        </w:rPr>
        <w:t>Whately</w:t>
      </w:r>
      <w:proofErr w:type="spellEnd"/>
      <w:r w:rsidRPr="009E3EF2">
        <w:rPr>
          <w:rFonts w:ascii="Arial" w:hAnsi="Arial" w:cs="Arial"/>
          <w:sz w:val="22"/>
          <w:szCs w:val="22"/>
        </w:rPr>
        <w:t xml:space="preserve"> &amp; Kea</w:t>
      </w:r>
      <w:r w:rsidR="00126EED">
        <w:rPr>
          <w:rFonts w:ascii="Arial" w:hAnsi="Arial" w:cs="Arial"/>
          <w:sz w:val="22"/>
          <w:szCs w:val="22"/>
        </w:rPr>
        <w:t>,</w:t>
      </w:r>
      <w:r w:rsidRPr="009E3EF2">
        <w:rPr>
          <w:rFonts w:ascii="Arial" w:hAnsi="Arial" w:cs="Arial"/>
          <w:sz w:val="22"/>
          <w:szCs w:val="22"/>
        </w:rPr>
        <w:t xml:space="preserve"> 2005, </w:t>
      </w:r>
      <w:r w:rsidR="00126EED">
        <w:rPr>
          <w:rFonts w:ascii="Arial" w:hAnsi="Arial" w:cs="Arial"/>
          <w:sz w:val="22"/>
          <w:szCs w:val="22"/>
        </w:rPr>
        <w:t xml:space="preserve">p. </w:t>
      </w:r>
      <w:r w:rsidRPr="009E3EF2">
        <w:rPr>
          <w:rFonts w:ascii="Arial" w:hAnsi="Arial" w:cs="Arial"/>
          <w:sz w:val="22"/>
          <w:szCs w:val="22"/>
        </w:rPr>
        <w:t xml:space="preserve">18). These arguments of reflection supporting teacher development is supported and summarised in a recent study by </w:t>
      </w:r>
      <w:proofErr w:type="spellStart"/>
      <w:r w:rsidRPr="009E3EF2">
        <w:rPr>
          <w:rFonts w:ascii="Arial" w:hAnsi="Arial" w:cs="Arial"/>
          <w:sz w:val="22"/>
          <w:szCs w:val="22"/>
        </w:rPr>
        <w:t>Badia</w:t>
      </w:r>
      <w:proofErr w:type="spellEnd"/>
      <w:r w:rsidRPr="009E3EF2">
        <w:rPr>
          <w:rFonts w:ascii="Arial" w:hAnsi="Arial" w:cs="Arial"/>
          <w:sz w:val="22"/>
          <w:szCs w:val="22"/>
        </w:rPr>
        <w:t xml:space="preserve">, </w:t>
      </w:r>
      <w:proofErr w:type="spellStart"/>
      <w:r w:rsidRPr="009E3EF2">
        <w:rPr>
          <w:rFonts w:ascii="Arial" w:hAnsi="Arial" w:cs="Arial"/>
          <w:sz w:val="22"/>
          <w:szCs w:val="22"/>
        </w:rPr>
        <w:t>Becerril</w:t>
      </w:r>
      <w:proofErr w:type="spellEnd"/>
      <w:r w:rsidRPr="009E3EF2">
        <w:rPr>
          <w:rFonts w:ascii="Arial" w:hAnsi="Arial" w:cs="Arial"/>
          <w:sz w:val="22"/>
          <w:szCs w:val="22"/>
        </w:rPr>
        <w:t xml:space="preserve"> and Gómez, where they put it simply that teachers’ reflection has been ‘successfully used to promote teachers’ learning about teaching’ (</w:t>
      </w:r>
      <w:proofErr w:type="spellStart"/>
      <w:r w:rsidRPr="009E3EF2">
        <w:rPr>
          <w:rFonts w:ascii="Arial" w:hAnsi="Arial" w:cs="Arial"/>
          <w:sz w:val="22"/>
          <w:szCs w:val="22"/>
        </w:rPr>
        <w:t>Badia</w:t>
      </w:r>
      <w:proofErr w:type="spellEnd"/>
      <w:r w:rsidRPr="009E3EF2">
        <w:rPr>
          <w:rFonts w:ascii="Arial" w:hAnsi="Arial" w:cs="Arial"/>
          <w:sz w:val="22"/>
          <w:szCs w:val="22"/>
        </w:rPr>
        <w:t xml:space="preserve">, </w:t>
      </w:r>
      <w:proofErr w:type="spellStart"/>
      <w:r w:rsidRPr="009E3EF2">
        <w:rPr>
          <w:rFonts w:ascii="Arial" w:hAnsi="Arial" w:cs="Arial"/>
          <w:sz w:val="22"/>
          <w:szCs w:val="22"/>
        </w:rPr>
        <w:t>Becerril</w:t>
      </w:r>
      <w:proofErr w:type="spellEnd"/>
      <w:r w:rsidRPr="009E3EF2">
        <w:rPr>
          <w:rFonts w:ascii="Arial" w:hAnsi="Arial" w:cs="Arial"/>
          <w:sz w:val="22"/>
          <w:szCs w:val="22"/>
        </w:rPr>
        <w:t xml:space="preserve"> &amp; Gómez</w:t>
      </w:r>
      <w:r w:rsidR="00126EED">
        <w:rPr>
          <w:rFonts w:ascii="Arial" w:hAnsi="Arial" w:cs="Arial"/>
          <w:sz w:val="22"/>
          <w:szCs w:val="22"/>
        </w:rPr>
        <w:t>,</w:t>
      </w:r>
      <w:r w:rsidRPr="009E3EF2">
        <w:rPr>
          <w:rFonts w:ascii="Arial" w:hAnsi="Arial" w:cs="Arial"/>
          <w:sz w:val="22"/>
          <w:szCs w:val="22"/>
        </w:rPr>
        <w:t xml:space="preserve"> 2021, </w:t>
      </w:r>
      <w:r w:rsidR="00126EED">
        <w:rPr>
          <w:rFonts w:ascii="Arial" w:hAnsi="Arial" w:cs="Arial"/>
          <w:sz w:val="22"/>
          <w:szCs w:val="22"/>
        </w:rPr>
        <w:t xml:space="preserve">p. </w:t>
      </w:r>
      <w:r w:rsidRPr="009E3EF2">
        <w:rPr>
          <w:rFonts w:ascii="Arial" w:hAnsi="Arial" w:cs="Arial"/>
          <w:sz w:val="22"/>
          <w:szCs w:val="22"/>
        </w:rPr>
        <w:t>120).</w:t>
      </w:r>
    </w:p>
    <w:p w14:paraId="4533CD86" w14:textId="3F6A41E6" w:rsidR="009E3EF2" w:rsidRPr="009E3EF2" w:rsidRDefault="009E3EF2" w:rsidP="009E3EF2">
      <w:pPr>
        <w:spacing w:line="360" w:lineRule="auto"/>
        <w:rPr>
          <w:rFonts w:ascii="Arial" w:hAnsi="Arial" w:cs="Arial"/>
          <w:sz w:val="22"/>
          <w:szCs w:val="22"/>
        </w:rPr>
      </w:pPr>
      <w:r w:rsidRPr="009E3EF2">
        <w:rPr>
          <w:rFonts w:ascii="Arial" w:hAnsi="Arial" w:cs="Arial"/>
          <w:sz w:val="22"/>
          <w:szCs w:val="22"/>
        </w:rPr>
        <w:tab/>
        <w:t xml:space="preserve">When reflecting, Tripp suggests to his readers that a ‘written account is important’ as it encourages us to analyse the incident deeper in our process of reflection (1994, </w:t>
      </w:r>
      <w:r w:rsidR="00126EED">
        <w:rPr>
          <w:rFonts w:ascii="Arial" w:hAnsi="Arial" w:cs="Arial"/>
          <w:sz w:val="22"/>
          <w:szCs w:val="22"/>
        </w:rPr>
        <w:t xml:space="preserve">p. </w:t>
      </w:r>
      <w:r w:rsidRPr="009E3EF2">
        <w:rPr>
          <w:rFonts w:ascii="Arial" w:hAnsi="Arial" w:cs="Arial"/>
          <w:sz w:val="22"/>
          <w:szCs w:val="22"/>
        </w:rPr>
        <w:t>72). Something we would not do when purely recalling past events from memory, a written account helps us reflect and be as detailed as possible when interpreting our critical incidents (Tripp</w:t>
      </w:r>
      <w:r w:rsidR="00126EED">
        <w:rPr>
          <w:rFonts w:ascii="Arial" w:hAnsi="Arial" w:cs="Arial"/>
          <w:sz w:val="22"/>
          <w:szCs w:val="22"/>
        </w:rPr>
        <w:t>,</w:t>
      </w:r>
      <w:r w:rsidRPr="009E3EF2">
        <w:rPr>
          <w:rFonts w:ascii="Arial" w:hAnsi="Arial" w:cs="Arial"/>
          <w:sz w:val="22"/>
          <w:szCs w:val="22"/>
        </w:rPr>
        <w:t xml:space="preserve"> 1994, </w:t>
      </w:r>
      <w:r w:rsidR="00126EED">
        <w:rPr>
          <w:rFonts w:ascii="Arial" w:hAnsi="Arial" w:cs="Arial"/>
          <w:sz w:val="22"/>
          <w:szCs w:val="22"/>
        </w:rPr>
        <w:t xml:space="preserve">p. </w:t>
      </w:r>
      <w:r w:rsidRPr="009E3EF2">
        <w:rPr>
          <w:rFonts w:ascii="Arial" w:hAnsi="Arial" w:cs="Arial"/>
          <w:sz w:val="22"/>
          <w:szCs w:val="22"/>
        </w:rPr>
        <w:t xml:space="preserve">72). Critical reflection, therefore, is essential in the discussion and study of critical incidents as it is what makes the incident critical, by reflecting we can analyse the behaviour and outcomes of the incident. Therefore, those studying critical incidents such as Stephen Brookfield, for example, deem the reflective process so important as it is a ‘distinguishing feature of good practice’ (1998, </w:t>
      </w:r>
      <w:r w:rsidR="00294031">
        <w:rPr>
          <w:rFonts w:ascii="Arial" w:hAnsi="Arial" w:cs="Arial"/>
          <w:sz w:val="22"/>
          <w:szCs w:val="22"/>
        </w:rPr>
        <w:t xml:space="preserve">p. </w:t>
      </w:r>
      <w:r w:rsidRPr="009E3EF2">
        <w:rPr>
          <w:rFonts w:ascii="Arial" w:hAnsi="Arial" w:cs="Arial"/>
          <w:sz w:val="22"/>
          <w:szCs w:val="22"/>
        </w:rPr>
        <w:t>197). Self-reflection, therefore, especially in the context of critical incidents can help teacher to ‘know themselves, improve communication, and avoid misunderstanding’ (Yamamoto, Gardiner &amp; Tenuto</w:t>
      </w:r>
      <w:r w:rsidR="00294031">
        <w:rPr>
          <w:rFonts w:ascii="Arial" w:hAnsi="Arial" w:cs="Arial"/>
          <w:sz w:val="22"/>
          <w:szCs w:val="22"/>
        </w:rPr>
        <w:t>,</w:t>
      </w:r>
      <w:r w:rsidRPr="009E3EF2">
        <w:rPr>
          <w:rFonts w:ascii="Arial" w:hAnsi="Arial" w:cs="Arial"/>
          <w:sz w:val="22"/>
          <w:szCs w:val="22"/>
        </w:rPr>
        <w:t xml:space="preserve"> 2013, </w:t>
      </w:r>
      <w:r w:rsidR="00294031">
        <w:rPr>
          <w:rFonts w:ascii="Arial" w:hAnsi="Arial" w:cs="Arial"/>
          <w:sz w:val="22"/>
          <w:szCs w:val="22"/>
        </w:rPr>
        <w:t xml:space="preserve">p. </w:t>
      </w:r>
      <w:r w:rsidRPr="009E3EF2">
        <w:rPr>
          <w:rFonts w:ascii="Arial" w:hAnsi="Arial" w:cs="Arial"/>
          <w:sz w:val="22"/>
          <w:szCs w:val="22"/>
        </w:rPr>
        <w:t>165).</w:t>
      </w:r>
    </w:p>
    <w:p w14:paraId="7C14B626" w14:textId="77777777" w:rsidR="009E3EF2" w:rsidRPr="00C11E2D" w:rsidRDefault="009E3EF2" w:rsidP="00A50BFC">
      <w:pPr>
        <w:tabs>
          <w:tab w:val="left" w:pos="6087"/>
        </w:tabs>
        <w:spacing w:line="360" w:lineRule="auto"/>
        <w:rPr>
          <w:rFonts w:ascii="Arial" w:hAnsi="Arial" w:cs="Arial"/>
          <w:b/>
          <w:bCs/>
          <w:sz w:val="28"/>
          <w:szCs w:val="28"/>
        </w:rPr>
      </w:pPr>
    </w:p>
    <w:p w14:paraId="27B2D3AD" w14:textId="419CC9B7" w:rsidR="009F57DA" w:rsidRDefault="009F57DA" w:rsidP="00A50BFC">
      <w:pPr>
        <w:tabs>
          <w:tab w:val="left" w:pos="6087"/>
        </w:tabs>
        <w:spacing w:line="360" w:lineRule="auto"/>
        <w:rPr>
          <w:rFonts w:ascii="Arial" w:hAnsi="Arial" w:cs="Arial"/>
          <w:b/>
          <w:bCs/>
          <w:sz w:val="28"/>
          <w:szCs w:val="28"/>
        </w:rPr>
      </w:pPr>
      <w:r w:rsidRPr="009F57DA">
        <w:rPr>
          <w:rFonts w:ascii="Arial" w:hAnsi="Arial" w:cs="Arial"/>
          <w:b/>
          <w:bCs/>
          <w:sz w:val="28"/>
          <w:szCs w:val="28"/>
        </w:rPr>
        <w:t>Observation</w:t>
      </w:r>
    </w:p>
    <w:p w14:paraId="1C549ABA" w14:textId="739A87D9" w:rsidR="00817ABE" w:rsidRPr="00817ABE" w:rsidRDefault="00817ABE" w:rsidP="00817ABE">
      <w:pPr>
        <w:spacing w:line="360" w:lineRule="auto"/>
        <w:rPr>
          <w:rFonts w:ascii="Arial" w:hAnsi="Arial" w:cs="Arial"/>
          <w:sz w:val="22"/>
          <w:szCs w:val="22"/>
        </w:rPr>
      </w:pPr>
      <w:r w:rsidRPr="00817ABE">
        <w:rPr>
          <w:rFonts w:ascii="Arial" w:hAnsi="Arial" w:cs="Arial"/>
          <w:sz w:val="22"/>
          <w:szCs w:val="22"/>
        </w:rPr>
        <w:t xml:space="preserve">The critical incident in question took place in a primary school situated in a suburban district of Swansea, </w:t>
      </w:r>
      <w:r w:rsidR="0012051E">
        <w:rPr>
          <w:rFonts w:ascii="Arial" w:hAnsi="Arial" w:cs="Arial"/>
          <w:sz w:val="22"/>
          <w:szCs w:val="22"/>
        </w:rPr>
        <w:t>S</w:t>
      </w:r>
      <w:r w:rsidRPr="00817ABE">
        <w:rPr>
          <w:rFonts w:ascii="Arial" w:hAnsi="Arial" w:cs="Arial"/>
          <w:sz w:val="22"/>
          <w:szCs w:val="22"/>
        </w:rPr>
        <w:t>outh Wales and is a designated Welsh medium school for children aged 3-11. This primary school has circa 500 pupils and in 2017 opened a brand new, state of the art, two-storey building on the original site of the school (</w:t>
      </w:r>
      <w:r w:rsidR="00A06C94">
        <w:rPr>
          <w:rFonts w:ascii="Arial" w:hAnsi="Arial" w:cs="Arial"/>
          <w:sz w:val="22"/>
          <w:szCs w:val="22"/>
        </w:rPr>
        <w:t>S</w:t>
      </w:r>
      <w:r w:rsidRPr="00817ABE">
        <w:rPr>
          <w:rFonts w:ascii="Arial" w:hAnsi="Arial" w:cs="Arial"/>
          <w:sz w:val="22"/>
          <w:szCs w:val="22"/>
        </w:rPr>
        <w:t xml:space="preserve">chool </w:t>
      </w:r>
      <w:r w:rsidR="00A06C94">
        <w:rPr>
          <w:rFonts w:ascii="Arial" w:hAnsi="Arial" w:cs="Arial"/>
          <w:sz w:val="22"/>
          <w:szCs w:val="22"/>
        </w:rPr>
        <w:t>P</w:t>
      </w:r>
      <w:r w:rsidRPr="00817ABE">
        <w:rPr>
          <w:rFonts w:ascii="Arial" w:hAnsi="Arial" w:cs="Arial"/>
          <w:sz w:val="22"/>
          <w:szCs w:val="22"/>
        </w:rPr>
        <w:t>rospectus).</w:t>
      </w:r>
    </w:p>
    <w:p w14:paraId="74C0A45D" w14:textId="57D87D2F" w:rsidR="00817ABE" w:rsidRPr="00817ABE" w:rsidRDefault="00817ABE" w:rsidP="00817ABE">
      <w:pPr>
        <w:spacing w:line="360" w:lineRule="auto"/>
        <w:rPr>
          <w:rFonts w:ascii="Arial" w:hAnsi="Arial" w:cs="Arial"/>
          <w:sz w:val="22"/>
          <w:szCs w:val="22"/>
        </w:rPr>
      </w:pPr>
      <w:r w:rsidRPr="00817ABE">
        <w:rPr>
          <w:rFonts w:ascii="Arial" w:hAnsi="Arial" w:cs="Arial"/>
          <w:sz w:val="22"/>
          <w:szCs w:val="22"/>
        </w:rPr>
        <w:lastRenderedPageBreak/>
        <w:tab/>
        <w:t xml:space="preserve">The </w:t>
      </w:r>
      <w:r w:rsidR="00AB7EE9">
        <w:rPr>
          <w:rFonts w:ascii="Arial" w:hAnsi="Arial" w:cs="Arial"/>
          <w:sz w:val="22"/>
          <w:szCs w:val="22"/>
        </w:rPr>
        <w:t xml:space="preserve">school’s </w:t>
      </w:r>
      <w:r w:rsidRPr="00817ABE">
        <w:rPr>
          <w:rFonts w:ascii="Arial" w:hAnsi="Arial" w:cs="Arial"/>
          <w:sz w:val="22"/>
          <w:szCs w:val="22"/>
        </w:rPr>
        <w:t>Estyn report in 2018 highlights how the school’s percentage of students eligible for free school meals (7%), is much lower than the national percentage (18%). It also reports how only 10% of students at the time came from Welsh-speaking homes and very few were from ethnic minority backgrounds (Estyn</w:t>
      </w:r>
      <w:r w:rsidR="007726B3">
        <w:rPr>
          <w:rFonts w:ascii="Arial" w:hAnsi="Arial" w:cs="Arial"/>
          <w:sz w:val="22"/>
          <w:szCs w:val="22"/>
        </w:rPr>
        <w:t>,</w:t>
      </w:r>
      <w:r w:rsidRPr="00817ABE">
        <w:rPr>
          <w:rFonts w:ascii="Arial" w:hAnsi="Arial" w:cs="Arial"/>
          <w:sz w:val="22"/>
          <w:szCs w:val="22"/>
        </w:rPr>
        <w:t xml:space="preserve"> 2018). The percentage of students with Additional Learning Needs (ALN) (21%), was very similar to the national percentage of 22% (Estyn</w:t>
      </w:r>
      <w:r w:rsidR="0077619C">
        <w:rPr>
          <w:rFonts w:ascii="Arial" w:hAnsi="Arial" w:cs="Arial"/>
          <w:sz w:val="22"/>
          <w:szCs w:val="22"/>
        </w:rPr>
        <w:t>,</w:t>
      </w:r>
      <w:r w:rsidRPr="00817ABE">
        <w:rPr>
          <w:rFonts w:ascii="Arial" w:hAnsi="Arial" w:cs="Arial"/>
          <w:sz w:val="22"/>
          <w:szCs w:val="22"/>
        </w:rPr>
        <w:t xml:space="preserve"> 2018). Three main points to note from the Estyn report is how pupils at this school take pride in the Welsh language and that there is a ‘good working relationship between pupils and staff and this is a strong feature of the school’s life and work (Estyn 2018)</w:t>
      </w:r>
    </w:p>
    <w:p w14:paraId="1D6E78FA" w14:textId="79F75260" w:rsidR="00817ABE" w:rsidRPr="00817ABE" w:rsidRDefault="00817ABE" w:rsidP="00817ABE">
      <w:pPr>
        <w:spacing w:line="360" w:lineRule="auto"/>
        <w:ind w:firstLine="720"/>
        <w:rPr>
          <w:rFonts w:ascii="Arial" w:hAnsi="Arial" w:cs="Arial"/>
          <w:sz w:val="22"/>
          <w:szCs w:val="22"/>
        </w:rPr>
      </w:pPr>
      <w:r w:rsidRPr="00817ABE">
        <w:rPr>
          <w:rFonts w:ascii="Arial" w:hAnsi="Arial" w:cs="Arial"/>
          <w:sz w:val="22"/>
          <w:szCs w:val="22"/>
        </w:rPr>
        <w:t>As a pioneer school for the new Welsh Curriculum, the school is at the forefront of the Curriculum, as outlined in the school’s prospectus. The school has co-worked with many other Pioneer Schools in Wales and the Welsh Government to promote the purposes of the new Welsh Curriculum (</w:t>
      </w:r>
      <w:r w:rsidR="00A06C94">
        <w:rPr>
          <w:rFonts w:ascii="Arial" w:hAnsi="Arial" w:cs="Arial"/>
          <w:sz w:val="22"/>
          <w:szCs w:val="22"/>
        </w:rPr>
        <w:t>S</w:t>
      </w:r>
      <w:r w:rsidRPr="00817ABE">
        <w:rPr>
          <w:rFonts w:ascii="Arial" w:hAnsi="Arial" w:cs="Arial"/>
          <w:sz w:val="22"/>
          <w:szCs w:val="22"/>
        </w:rPr>
        <w:t xml:space="preserve">chool </w:t>
      </w:r>
      <w:r w:rsidR="00A06C94">
        <w:rPr>
          <w:rFonts w:ascii="Arial" w:hAnsi="Arial" w:cs="Arial"/>
          <w:sz w:val="22"/>
          <w:szCs w:val="22"/>
        </w:rPr>
        <w:t>P</w:t>
      </w:r>
      <w:r w:rsidRPr="00817ABE">
        <w:rPr>
          <w:rFonts w:ascii="Arial" w:hAnsi="Arial" w:cs="Arial"/>
          <w:sz w:val="22"/>
          <w:szCs w:val="22"/>
        </w:rPr>
        <w:t>rospectus).</w:t>
      </w:r>
    </w:p>
    <w:p w14:paraId="3223C598" w14:textId="77777777" w:rsidR="00817ABE" w:rsidRPr="00C11E2D" w:rsidRDefault="00817ABE" w:rsidP="00C11E2D">
      <w:pPr>
        <w:rPr>
          <w:rFonts w:ascii="Arial" w:hAnsi="Arial" w:cs="Arial"/>
          <w:sz w:val="28"/>
          <w:szCs w:val="28"/>
        </w:rPr>
      </w:pPr>
    </w:p>
    <w:p w14:paraId="38E7FDC8" w14:textId="7052A672" w:rsidR="009F57DA" w:rsidRDefault="00942AD5" w:rsidP="00A50BFC">
      <w:pPr>
        <w:tabs>
          <w:tab w:val="left" w:pos="6087"/>
        </w:tabs>
        <w:spacing w:line="360" w:lineRule="auto"/>
        <w:rPr>
          <w:rFonts w:ascii="Arial" w:hAnsi="Arial" w:cs="Arial"/>
          <w:b/>
          <w:bCs/>
          <w:sz w:val="28"/>
          <w:szCs w:val="28"/>
        </w:rPr>
      </w:pPr>
      <w:r>
        <w:rPr>
          <w:rFonts w:ascii="Arial" w:hAnsi="Arial" w:cs="Arial"/>
          <w:b/>
          <w:bCs/>
          <w:sz w:val="28"/>
          <w:szCs w:val="28"/>
        </w:rPr>
        <w:t>Critical Incident</w:t>
      </w:r>
      <w:r w:rsidR="009A7063">
        <w:rPr>
          <w:rFonts w:ascii="Arial" w:hAnsi="Arial" w:cs="Arial"/>
          <w:b/>
          <w:bCs/>
          <w:sz w:val="28"/>
          <w:szCs w:val="28"/>
        </w:rPr>
        <w:t xml:space="preserve"> linked to Donaldson’s Four Purposes</w:t>
      </w:r>
    </w:p>
    <w:p w14:paraId="7A6084A0" w14:textId="716D6031" w:rsidR="00FC4225" w:rsidRPr="00FC4225" w:rsidRDefault="00FC4225" w:rsidP="00FC4225">
      <w:pPr>
        <w:spacing w:line="360" w:lineRule="auto"/>
        <w:rPr>
          <w:rFonts w:ascii="Arial" w:hAnsi="Arial" w:cs="Arial"/>
          <w:sz w:val="22"/>
          <w:szCs w:val="22"/>
        </w:rPr>
      </w:pPr>
      <w:r w:rsidRPr="00FC4225">
        <w:rPr>
          <w:rFonts w:ascii="Arial" w:hAnsi="Arial" w:cs="Arial"/>
          <w:sz w:val="22"/>
          <w:szCs w:val="22"/>
        </w:rPr>
        <w:t>Prior to reflection, this essay will discuss the critical incident observed, as Tripp argues that most critical incidents start with a description of the incident (2011, p. 32). The critical incident in question place on the 27</w:t>
      </w:r>
      <w:r w:rsidRPr="00FC4225">
        <w:rPr>
          <w:rFonts w:ascii="Arial" w:hAnsi="Arial" w:cs="Arial"/>
          <w:sz w:val="22"/>
          <w:szCs w:val="22"/>
          <w:vertAlign w:val="superscript"/>
        </w:rPr>
        <w:t>th</w:t>
      </w:r>
      <w:r w:rsidRPr="00FC4225">
        <w:rPr>
          <w:rFonts w:ascii="Arial" w:hAnsi="Arial" w:cs="Arial"/>
          <w:sz w:val="22"/>
          <w:szCs w:val="22"/>
        </w:rPr>
        <w:t xml:space="preserve"> of September 2022 Between 9:00am and 10:00am in a year 5 class. The incident took place when the pupils were revisiting work from the previous day on the Welsh </w:t>
      </w:r>
      <w:proofErr w:type="spellStart"/>
      <w:r w:rsidRPr="00FC4225">
        <w:rPr>
          <w:rFonts w:ascii="Arial" w:hAnsi="Arial" w:cs="Arial"/>
          <w:sz w:val="22"/>
          <w:szCs w:val="22"/>
        </w:rPr>
        <w:t>Mabinogion</w:t>
      </w:r>
      <w:proofErr w:type="spellEnd"/>
      <w:r w:rsidRPr="00FC4225">
        <w:rPr>
          <w:rFonts w:ascii="Arial" w:hAnsi="Arial" w:cs="Arial"/>
          <w:sz w:val="22"/>
          <w:szCs w:val="22"/>
        </w:rPr>
        <w:t xml:space="preserve"> tale, </w:t>
      </w:r>
      <w:proofErr w:type="spellStart"/>
      <w:r w:rsidRPr="00FC4225">
        <w:rPr>
          <w:rFonts w:ascii="Arial" w:hAnsi="Arial" w:cs="Arial"/>
          <w:sz w:val="22"/>
          <w:szCs w:val="22"/>
        </w:rPr>
        <w:t>Branwen</w:t>
      </w:r>
      <w:proofErr w:type="spellEnd"/>
      <w:r w:rsidRPr="00FC4225">
        <w:rPr>
          <w:rFonts w:ascii="Arial" w:hAnsi="Arial" w:cs="Arial"/>
          <w:sz w:val="22"/>
          <w:szCs w:val="22"/>
        </w:rPr>
        <w:t>. The aim of this lesson was to enrich their Welsh language and literary skills whilst teaching them about Welsh tales, a lesson driven by one of Donaldson’s four purposes</w:t>
      </w:r>
      <w:r w:rsidR="00A06C94">
        <w:rPr>
          <w:rFonts w:ascii="Arial" w:hAnsi="Arial" w:cs="Arial"/>
          <w:sz w:val="22"/>
          <w:szCs w:val="22"/>
        </w:rPr>
        <w:t xml:space="preserve">: </w:t>
      </w:r>
      <w:r w:rsidRPr="00FC4225">
        <w:rPr>
          <w:rFonts w:ascii="Arial" w:hAnsi="Arial" w:cs="Arial"/>
          <w:sz w:val="22"/>
          <w:szCs w:val="22"/>
        </w:rPr>
        <w:t>ethical, informed citizens who are ready to be citizens of Wales and the world</w:t>
      </w:r>
      <w:r w:rsidR="00A06C94">
        <w:rPr>
          <w:rFonts w:ascii="Arial" w:hAnsi="Arial" w:cs="Arial"/>
          <w:sz w:val="22"/>
          <w:szCs w:val="22"/>
        </w:rPr>
        <w:t xml:space="preserve"> </w:t>
      </w:r>
      <w:r w:rsidRPr="00FC4225">
        <w:rPr>
          <w:rFonts w:ascii="Arial" w:hAnsi="Arial" w:cs="Arial"/>
          <w:sz w:val="22"/>
          <w:szCs w:val="22"/>
        </w:rPr>
        <w:t>(</w:t>
      </w:r>
      <w:r w:rsidR="001A38A6">
        <w:rPr>
          <w:rFonts w:ascii="Arial" w:hAnsi="Arial" w:cs="Arial"/>
          <w:sz w:val="22"/>
          <w:szCs w:val="22"/>
        </w:rPr>
        <w:t>Developing a vision for curriculum design - H</w:t>
      </w:r>
      <w:r w:rsidRPr="00FC4225">
        <w:rPr>
          <w:rFonts w:ascii="Arial" w:hAnsi="Arial" w:cs="Arial"/>
          <w:sz w:val="22"/>
          <w:szCs w:val="22"/>
        </w:rPr>
        <w:t>wb</w:t>
      </w:r>
      <w:r w:rsidR="001A38A6">
        <w:rPr>
          <w:rFonts w:ascii="Arial" w:hAnsi="Arial" w:cs="Arial"/>
          <w:sz w:val="22"/>
          <w:szCs w:val="22"/>
        </w:rPr>
        <w:t>, 2020</w:t>
      </w:r>
      <w:r w:rsidRPr="00FC4225">
        <w:rPr>
          <w:rFonts w:ascii="Arial" w:hAnsi="Arial" w:cs="Arial"/>
          <w:sz w:val="22"/>
          <w:szCs w:val="22"/>
        </w:rPr>
        <w:t>).</w:t>
      </w:r>
    </w:p>
    <w:p w14:paraId="63CCF60B" w14:textId="77777777" w:rsidR="00FC4225" w:rsidRPr="00FC4225" w:rsidRDefault="00FC4225" w:rsidP="00FC4225">
      <w:pPr>
        <w:spacing w:line="360" w:lineRule="auto"/>
        <w:rPr>
          <w:rFonts w:ascii="Arial" w:hAnsi="Arial" w:cs="Arial"/>
          <w:sz w:val="22"/>
          <w:szCs w:val="22"/>
        </w:rPr>
      </w:pPr>
      <w:r w:rsidRPr="00FC4225">
        <w:rPr>
          <w:rFonts w:ascii="Arial" w:hAnsi="Arial" w:cs="Arial"/>
          <w:sz w:val="22"/>
          <w:szCs w:val="22"/>
        </w:rPr>
        <w:tab/>
        <w:t>During the lesson, the teacher explained the task to the children, however, there was one child sat on their own table, separate from the other pupils. As the teacher was explaining the task, the pupil was not engaged and was not listening to anything the teacher had to say. The pupil was much more focused on their iPad and the game they were playing on there. The teacher was also stood in front of the pupils table and did not direct any of the work to the pupil in question.</w:t>
      </w:r>
    </w:p>
    <w:p w14:paraId="4907F104" w14:textId="6287A3D1" w:rsidR="00FC4225" w:rsidRPr="00FC4225" w:rsidRDefault="00FC4225" w:rsidP="00FC4225">
      <w:pPr>
        <w:spacing w:line="360" w:lineRule="auto"/>
        <w:rPr>
          <w:rFonts w:ascii="Arial" w:hAnsi="Arial" w:cs="Arial"/>
          <w:sz w:val="22"/>
          <w:szCs w:val="22"/>
        </w:rPr>
      </w:pPr>
      <w:r w:rsidRPr="00FC4225">
        <w:rPr>
          <w:rFonts w:ascii="Arial" w:hAnsi="Arial" w:cs="Arial"/>
          <w:sz w:val="22"/>
          <w:szCs w:val="22"/>
        </w:rPr>
        <w:tab/>
        <w:t xml:space="preserve">The incident and the child’s engagement did not improve as the morning session went on. </w:t>
      </w:r>
      <w:proofErr w:type="gramStart"/>
      <w:r w:rsidRPr="00FC4225">
        <w:rPr>
          <w:rFonts w:ascii="Arial" w:hAnsi="Arial" w:cs="Arial"/>
          <w:sz w:val="22"/>
          <w:szCs w:val="22"/>
        </w:rPr>
        <w:t>In order to</w:t>
      </w:r>
      <w:proofErr w:type="gramEnd"/>
      <w:r w:rsidRPr="00FC4225">
        <w:rPr>
          <w:rFonts w:ascii="Arial" w:hAnsi="Arial" w:cs="Arial"/>
          <w:sz w:val="22"/>
          <w:szCs w:val="22"/>
        </w:rPr>
        <w:t xml:space="preserve"> engage the pupil and get them involved, the teacher asked them to be their helper and hand out pieces of paper to their classmates. Despite the teacher’s effort to engage the pupil somewhat, the pupil returns to their table and proceeds to play Minecraft on the iPad. However, to stop this, the teacher tasks the pupil with a writing task about their cats to do on the laptop. The idea that the teacher felt that the need to provide a different task to what the rest of the class were doing </w:t>
      </w:r>
      <w:proofErr w:type="gramStart"/>
      <w:r w:rsidRPr="00FC4225">
        <w:rPr>
          <w:rFonts w:ascii="Arial" w:hAnsi="Arial" w:cs="Arial"/>
          <w:sz w:val="22"/>
          <w:szCs w:val="22"/>
        </w:rPr>
        <w:t>in order to</w:t>
      </w:r>
      <w:proofErr w:type="gramEnd"/>
      <w:r w:rsidRPr="00FC4225">
        <w:rPr>
          <w:rFonts w:ascii="Arial" w:hAnsi="Arial" w:cs="Arial"/>
          <w:sz w:val="22"/>
          <w:szCs w:val="22"/>
        </w:rPr>
        <w:t xml:space="preserve"> engage the pupil is interesting and something this essay will reflect upon later. Providing the pupil with a separate task hampers </w:t>
      </w:r>
      <w:r w:rsidRPr="00FC4225">
        <w:rPr>
          <w:rFonts w:ascii="Arial" w:hAnsi="Arial" w:cs="Arial"/>
          <w:sz w:val="22"/>
          <w:szCs w:val="22"/>
        </w:rPr>
        <w:lastRenderedPageBreak/>
        <w:t>their learning and therefore, the child does not benefit from the idea of Donaldson’s four purposes (</w:t>
      </w:r>
      <w:r w:rsidR="0019333B">
        <w:rPr>
          <w:rFonts w:ascii="Arial" w:hAnsi="Arial" w:cs="Arial"/>
          <w:sz w:val="22"/>
          <w:szCs w:val="22"/>
        </w:rPr>
        <w:t>Developing a vision for curriculum design - H</w:t>
      </w:r>
      <w:r w:rsidR="0019333B" w:rsidRPr="00FC4225">
        <w:rPr>
          <w:rFonts w:ascii="Arial" w:hAnsi="Arial" w:cs="Arial"/>
          <w:sz w:val="22"/>
          <w:szCs w:val="22"/>
        </w:rPr>
        <w:t>wb</w:t>
      </w:r>
      <w:r w:rsidR="0019333B">
        <w:rPr>
          <w:rFonts w:ascii="Arial" w:hAnsi="Arial" w:cs="Arial"/>
          <w:sz w:val="22"/>
          <w:szCs w:val="22"/>
        </w:rPr>
        <w:t>, 2020</w:t>
      </w:r>
      <w:r w:rsidRPr="00FC4225">
        <w:rPr>
          <w:rFonts w:ascii="Arial" w:hAnsi="Arial" w:cs="Arial"/>
          <w:sz w:val="22"/>
          <w:szCs w:val="22"/>
        </w:rPr>
        <w:t>).</w:t>
      </w:r>
    </w:p>
    <w:p w14:paraId="50B60B4E" w14:textId="77777777" w:rsidR="00FC4225" w:rsidRPr="00FC4225" w:rsidRDefault="00FC4225" w:rsidP="00FC4225">
      <w:pPr>
        <w:spacing w:line="360" w:lineRule="auto"/>
        <w:rPr>
          <w:rFonts w:ascii="Arial" w:hAnsi="Arial" w:cs="Arial"/>
          <w:sz w:val="22"/>
          <w:szCs w:val="22"/>
        </w:rPr>
      </w:pPr>
      <w:r w:rsidRPr="00FC4225">
        <w:rPr>
          <w:rFonts w:ascii="Arial" w:hAnsi="Arial" w:cs="Arial"/>
          <w:sz w:val="22"/>
          <w:szCs w:val="22"/>
        </w:rPr>
        <w:tab/>
        <w:t>After much convincing, the pupil finally came around and started their sentences. Whilst doing the sentences, the pupil was more than happy to show us (the PGCE students observing), their previous written work on their cats. This was interesting to see as it showed that the pupil had previously done tasks different to the rest of the class. The teacher explained this by describing how they must adapt the pupil in question’s work to keep the pupil happy and on task without interfering with the other pupils’ learning.</w:t>
      </w:r>
    </w:p>
    <w:p w14:paraId="72DC9BE7" w14:textId="21D78DBE" w:rsidR="00FC4225" w:rsidRPr="00FC4225" w:rsidRDefault="00FC4225" w:rsidP="00FC4225">
      <w:pPr>
        <w:spacing w:line="360" w:lineRule="auto"/>
        <w:rPr>
          <w:rFonts w:ascii="Arial" w:hAnsi="Arial" w:cs="Arial"/>
          <w:sz w:val="22"/>
          <w:szCs w:val="22"/>
        </w:rPr>
      </w:pPr>
      <w:r w:rsidRPr="00FC4225">
        <w:rPr>
          <w:rFonts w:ascii="Arial" w:hAnsi="Arial" w:cs="Arial"/>
          <w:sz w:val="22"/>
          <w:szCs w:val="22"/>
        </w:rPr>
        <w:tab/>
        <w:t xml:space="preserve">After many reminders, the pupil had written their sentences, however, like before, the work was in English, despite being encouraged by the teacher and the PGCE students to write them in Welsh. This raised the question of whether the pupil also </w:t>
      </w:r>
      <w:r w:rsidR="00E70AB9">
        <w:rPr>
          <w:rFonts w:ascii="Arial" w:hAnsi="Arial" w:cs="Arial"/>
          <w:sz w:val="22"/>
          <w:szCs w:val="22"/>
        </w:rPr>
        <w:t>struggled</w:t>
      </w:r>
      <w:r w:rsidR="000B1110">
        <w:rPr>
          <w:rFonts w:ascii="Arial" w:hAnsi="Arial" w:cs="Arial"/>
          <w:sz w:val="22"/>
          <w:szCs w:val="22"/>
        </w:rPr>
        <w:t xml:space="preserve"> </w:t>
      </w:r>
      <w:r w:rsidRPr="00FC4225">
        <w:rPr>
          <w:rFonts w:ascii="Arial" w:hAnsi="Arial" w:cs="Arial"/>
          <w:sz w:val="22"/>
          <w:szCs w:val="22"/>
        </w:rPr>
        <w:t>understanding the Welsh language.</w:t>
      </w:r>
    </w:p>
    <w:p w14:paraId="2DC85B3A" w14:textId="77777777" w:rsidR="00FC4225" w:rsidRDefault="00FC4225" w:rsidP="00A50BFC">
      <w:pPr>
        <w:tabs>
          <w:tab w:val="left" w:pos="6087"/>
        </w:tabs>
        <w:spacing w:line="360" w:lineRule="auto"/>
        <w:rPr>
          <w:rFonts w:ascii="Arial" w:hAnsi="Arial" w:cs="Arial"/>
          <w:b/>
          <w:bCs/>
          <w:sz w:val="28"/>
          <w:szCs w:val="28"/>
        </w:rPr>
      </w:pPr>
    </w:p>
    <w:p w14:paraId="3422132A" w14:textId="0EDD13D3" w:rsidR="009A7063" w:rsidRDefault="009A7063" w:rsidP="00A50BFC">
      <w:pPr>
        <w:tabs>
          <w:tab w:val="left" w:pos="6087"/>
        </w:tabs>
        <w:spacing w:line="360" w:lineRule="auto"/>
        <w:rPr>
          <w:rFonts w:ascii="Arial" w:hAnsi="Arial" w:cs="Arial"/>
          <w:b/>
          <w:bCs/>
          <w:sz w:val="28"/>
          <w:szCs w:val="28"/>
        </w:rPr>
      </w:pPr>
      <w:r>
        <w:rPr>
          <w:rFonts w:ascii="Arial" w:hAnsi="Arial" w:cs="Arial"/>
          <w:b/>
          <w:bCs/>
          <w:sz w:val="28"/>
          <w:szCs w:val="28"/>
        </w:rPr>
        <w:t>Literature Review</w:t>
      </w:r>
    </w:p>
    <w:p w14:paraId="1DBBDB1F" w14:textId="16BEB886" w:rsidR="00EB7338" w:rsidRPr="00D45976" w:rsidRDefault="00EB7338" w:rsidP="00D45976">
      <w:pPr>
        <w:spacing w:line="360" w:lineRule="auto"/>
        <w:rPr>
          <w:rFonts w:ascii="Arial" w:hAnsi="Arial" w:cs="Arial"/>
          <w:sz w:val="22"/>
          <w:szCs w:val="22"/>
        </w:rPr>
      </w:pPr>
      <w:r w:rsidRPr="00D45976">
        <w:rPr>
          <w:rFonts w:ascii="Arial" w:hAnsi="Arial" w:cs="Arial"/>
          <w:sz w:val="22"/>
          <w:szCs w:val="22"/>
        </w:rPr>
        <w:t>As Brookfield argues, ‘theory can help us “name” our practice’ (</w:t>
      </w:r>
      <w:r w:rsidR="0019333B">
        <w:rPr>
          <w:rFonts w:ascii="Arial" w:hAnsi="Arial" w:cs="Arial"/>
          <w:sz w:val="22"/>
          <w:szCs w:val="22"/>
        </w:rPr>
        <w:t>1998</w:t>
      </w:r>
      <w:r w:rsidRPr="00D45976">
        <w:rPr>
          <w:rFonts w:ascii="Arial" w:hAnsi="Arial" w:cs="Arial"/>
          <w:sz w:val="22"/>
          <w:szCs w:val="22"/>
        </w:rPr>
        <w:t>, p.</w:t>
      </w:r>
      <w:r w:rsidR="0019333B">
        <w:rPr>
          <w:rFonts w:ascii="Arial" w:hAnsi="Arial" w:cs="Arial"/>
          <w:sz w:val="22"/>
          <w:szCs w:val="22"/>
        </w:rPr>
        <w:t xml:space="preserve"> </w:t>
      </w:r>
      <w:r w:rsidRPr="00D45976">
        <w:rPr>
          <w:rFonts w:ascii="Arial" w:hAnsi="Arial" w:cs="Arial"/>
          <w:sz w:val="22"/>
          <w:szCs w:val="22"/>
        </w:rPr>
        <w:t>200). Therefore, this essay will now review the literature in line with the critical incident in question. Reviewing this literature will allow us to critically reflect on our critical incident later in this essay and come to a judgement on what steps should be taken next in response to the critical incident. Our first area of literature will discuss the ideas surrounding Additional Learning Needs within the classroom. Cathryn Knight and Tom Crick have discussed over the last year the strategies imposed in Wales to meet the needs of students with Additional Learning Needs (ALN), they argue that inclusive education is now a ‘key aim of education research, policy and practice’, and that every learner matters (Knight &amp; Crick</w:t>
      </w:r>
      <w:r w:rsidR="0019333B">
        <w:rPr>
          <w:rFonts w:ascii="Arial" w:hAnsi="Arial" w:cs="Arial"/>
          <w:sz w:val="22"/>
          <w:szCs w:val="22"/>
        </w:rPr>
        <w:t>,</w:t>
      </w:r>
      <w:r w:rsidRPr="00D45976">
        <w:rPr>
          <w:rFonts w:ascii="Arial" w:hAnsi="Arial" w:cs="Arial"/>
          <w:sz w:val="22"/>
          <w:szCs w:val="22"/>
        </w:rPr>
        <w:t xml:space="preserve"> 2022, p.</w:t>
      </w:r>
      <w:r w:rsidR="0019333B">
        <w:rPr>
          <w:rFonts w:ascii="Arial" w:hAnsi="Arial" w:cs="Arial"/>
          <w:sz w:val="22"/>
          <w:szCs w:val="22"/>
        </w:rPr>
        <w:t xml:space="preserve"> </w:t>
      </w:r>
      <w:r w:rsidRPr="00D45976">
        <w:rPr>
          <w:rFonts w:ascii="Arial" w:hAnsi="Arial" w:cs="Arial"/>
          <w:sz w:val="22"/>
          <w:szCs w:val="22"/>
        </w:rPr>
        <w:t xml:space="preserve">259). </w:t>
      </w:r>
    </w:p>
    <w:p w14:paraId="4AD1E8DC" w14:textId="365B5286" w:rsidR="00EB7338" w:rsidRPr="00D45976" w:rsidRDefault="00EB7338" w:rsidP="00D45976">
      <w:pPr>
        <w:spacing w:line="360" w:lineRule="auto"/>
        <w:rPr>
          <w:rFonts w:ascii="Arial" w:hAnsi="Arial" w:cs="Arial"/>
          <w:sz w:val="22"/>
          <w:szCs w:val="22"/>
        </w:rPr>
      </w:pPr>
      <w:r w:rsidRPr="00D45976">
        <w:rPr>
          <w:rFonts w:ascii="Arial" w:hAnsi="Arial" w:cs="Arial"/>
          <w:sz w:val="22"/>
          <w:szCs w:val="22"/>
        </w:rPr>
        <w:tab/>
        <w:t>Throughout the twenty-first century, there has been much progression in the discussion of ALN in Wales. Paul Chaney has discussed how Wales has possibly seen the greatest change as it has moved from a more England and Wales-based policy to a more independent view on ALN since 1999, as it has ‘moved away’ from the more ‘centralised’ Special Educational Needs policy, which was based on the 1996 Education Act (Chaney</w:t>
      </w:r>
      <w:r w:rsidR="0019333B">
        <w:rPr>
          <w:rFonts w:ascii="Arial" w:hAnsi="Arial" w:cs="Arial"/>
          <w:sz w:val="22"/>
          <w:szCs w:val="22"/>
        </w:rPr>
        <w:t>,</w:t>
      </w:r>
      <w:r w:rsidRPr="00D45976">
        <w:rPr>
          <w:rFonts w:ascii="Arial" w:hAnsi="Arial" w:cs="Arial"/>
          <w:sz w:val="22"/>
          <w:szCs w:val="22"/>
        </w:rPr>
        <w:t xml:space="preserve"> 2012, p. 34). The discussion within the literature surrounding Wales and ALN has changed massively over the years as curriculums have developed, and much of this change has come in recent years. Knight and Crick have discussed how as the new ‘Curriculum for </w:t>
      </w:r>
      <w:proofErr w:type="spellStart"/>
      <w:r w:rsidRPr="00D45976">
        <w:rPr>
          <w:rFonts w:ascii="Arial" w:hAnsi="Arial" w:cs="Arial"/>
          <w:sz w:val="22"/>
          <w:szCs w:val="22"/>
        </w:rPr>
        <w:t>Wales’</w:t>
      </w:r>
      <w:proofErr w:type="spellEnd"/>
      <w:r w:rsidRPr="00D45976">
        <w:rPr>
          <w:rFonts w:ascii="Arial" w:hAnsi="Arial" w:cs="Arial"/>
          <w:sz w:val="22"/>
          <w:szCs w:val="22"/>
        </w:rPr>
        <w:t xml:space="preserve"> has been developed, there has also been a development within the ALN system with a ‘new statutory support system for children and young people aged 0-25 with a learning disability’ (Knight &amp; Crick,</w:t>
      </w:r>
      <w:r w:rsidR="0019333B">
        <w:rPr>
          <w:rFonts w:ascii="Arial" w:hAnsi="Arial" w:cs="Arial"/>
          <w:sz w:val="22"/>
          <w:szCs w:val="22"/>
        </w:rPr>
        <w:t xml:space="preserve"> 2022,</w:t>
      </w:r>
      <w:r w:rsidRPr="00D45976">
        <w:rPr>
          <w:rFonts w:ascii="Arial" w:hAnsi="Arial" w:cs="Arial"/>
          <w:sz w:val="22"/>
          <w:szCs w:val="22"/>
        </w:rPr>
        <w:t xml:space="preserve"> p. 259). Despite this new system being rolled out from September 2021, it has been the discussion of </w:t>
      </w:r>
      <w:proofErr w:type="gramStart"/>
      <w:r w:rsidRPr="00D45976">
        <w:rPr>
          <w:rFonts w:ascii="Arial" w:hAnsi="Arial" w:cs="Arial"/>
          <w:sz w:val="22"/>
          <w:szCs w:val="22"/>
        </w:rPr>
        <w:t>many</w:t>
      </w:r>
      <w:proofErr w:type="gramEnd"/>
      <w:r w:rsidRPr="00D45976">
        <w:rPr>
          <w:rFonts w:ascii="Arial" w:hAnsi="Arial" w:cs="Arial"/>
          <w:sz w:val="22"/>
          <w:szCs w:val="22"/>
        </w:rPr>
        <w:t xml:space="preserve"> professional’s research, such as Carmel Conn and Matt Hutt, who’ve discussed ALN within </w:t>
      </w:r>
      <w:proofErr w:type="spellStart"/>
      <w:r w:rsidRPr="00D45976">
        <w:rPr>
          <w:rFonts w:ascii="Arial" w:hAnsi="Arial" w:cs="Arial"/>
          <w:sz w:val="22"/>
          <w:szCs w:val="22"/>
        </w:rPr>
        <w:t>Wales’</w:t>
      </w:r>
      <w:proofErr w:type="spellEnd"/>
      <w:r w:rsidRPr="00D45976">
        <w:rPr>
          <w:rFonts w:ascii="Arial" w:hAnsi="Arial" w:cs="Arial"/>
          <w:sz w:val="22"/>
          <w:szCs w:val="22"/>
        </w:rPr>
        <w:t xml:space="preserve"> new curriculum. They </w:t>
      </w:r>
      <w:r w:rsidRPr="00D45976">
        <w:rPr>
          <w:rFonts w:ascii="Arial" w:hAnsi="Arial" w:cs="Arial"/>
          <w:sz w:val="22"/>
          <w:szCs w:val="22"/>
        </w:rPr>
        <w:lastRenderedPageBreak/>
        <w:t>discuss how the new curriculum is transforming the system for supporting learners with ALN (Conn &amp; Hutt</w:t>
      </w:r>
      <w:r w:rsidR="0019333B">
        <w:rPr>
          <w:rFonts w:ascii="Arial" w:hAnsi="Arial" w:cs="Arial"/>
          <w:sz w:val="22"/>
          <w:szCs w:val="22"/>
        </w:rPr>
        <w:t>,</w:t>
      </w:r>
      <w:r w:rsidRPr="00D45976">
        <w:rPr>
          <w:rFonts w:ascii="Arial" w:hAnsi="Arial" w:cs="Arial"/>
          <w:sz w:val="22"/>
          <w:szCs w:val="22"/>
        </w:rPr>
        <w:t xml:space="preserve"> 2020, p. 152). They continue to state how the transformation programme for ALN was set out in the Additional Learning Needs and Educational Tribunal (Wales) Act 2018, and how it introduces a ‘unified legislative framework for children and young people’ in Wales (Conn &amp; Hutt,</w:t>
      </w:r>
      <w:r w:rsidR="0019333B">
        <w:rPr>
          <w:rFonts w:ascii="Arial" w:hAnsi="Arial" w:cs="Arial"/>
          <w:sz w:val="22"/>
          <w:szCs w:val="22"/>
        </w:rPr>
        <w:t xml:space="preserve"> 2020,</w:t>
      </w:r>
      <w:r w:rsidRPr="00D45976">
        <w:rPr>
          <w:rFonts w:ascii="Arial" w:hAnsi="Arial" w:cs="Arial"/>
          <w:sz w:val="22"/>
          <w:szCs w:val="22"/>
        </w:rPr>
        <w:t xml:space="preserve"> p. 153). The new ALN framework within the new curriculum has been discussed to be a way of establishing ‘fairer, integrated and more efficient systems’ for aspects of learning such as assessing (whether assessment of learning or assessment for learning), planning and ‘monitoring provisions’ for those with ALN (Conn &amp; Hutt,</w:t>
      </w:r>
      <w:r w:rsidR="0019333B">
        <w:rPr>
          <w:rFonts w:ascii="Arial" w:hAnsi="Arial" w:cs="Arial"/>
          <w:sz w:val="22"/>
          <w:szCs w:val="22"/>
        </w:rPr>
        <w:t xml:space="preserve"> 2020,</w:t>
      </w:r>
      <w:r w:rsidRPr="00D45976">
        <w:rPr>
          <w:rFonts w:ascii="Arial" w:hAnsi="Arial" w:cs="Arial"/>
          <w:sz w:val="22"/>
          <w:szCs w:val="22"/>
        </w:rPr>
        <w:t xml:space="preserve"> p. 153), and it has more of a focus on the ‘stage not age’ of the learner in the context of their progression in education, which some have argued to be useful for those with ALN as they may be slower at progressing (Conn &amp; Hutt, </w:t>
      </w:r>
      <w:r w:rsidR="0019333B">
        <w:rPr>
          <w:rFonts w:ascii="Arial" w:hAnsi="Arial" w:cs="Arial"/>
          <w:sz w:val="22"/>
          <w:szCs w:val="22"/>
        </w:rPr>
        <w:t xml:space="preserve">2020, </w:t>
      </w:r>
      <w:r w:rsidRPr="00D45976">
        <w:rPr>
          <w:rFonts w:ascii="Arial" w:hAnsi="Arial" w:cs="Arial"/>
          <w:sz w:val="22"/>
          <w:szCs w:val="22"/>
        </w:rPr>
        <w:t>p.</w:t>
      </w:r>
      <w:r w:rsidR="0019333B">
        <w:rPr>
          <w:rFonts w:ascii="Arial" w:hAnsi="Arial" w:cs="Arial"/>
          <w:sz w:val="22"/>
          <w:szCs w:val="22"/>
        </w:rPr>
        <w:t xml:space="preserve"> </w:t>
      </w:r>
      <w:r w:rsidRPr="00D45976">
        <w:rPr>
          <w:rFonts w:ascii="Arial" w:hAnsi="Arial" w:cs="Arial"/>
          <w:sz w:val="22"/>
          <w:szCs w:val="22"/>
        </w:rPr>
        <w:t>157-158).</w:t>
      </w:r>
    </w:p>
    <w:p w14:paraId="71DF2D64" w14:textId="59B95884" w:rsidR="00EB7338" w:rsidRPr="00D45976" w:rsidRDefault="00EB7338" w:rsidP="00D45976">
      <w:pPr>
        <w:spacing w:line="360" w:lineRule="auto"/>
        <w:rPr>
          <w:rFonts w:ascii="Arial" w:hAnsi="Arial" w:cs="Arial"/>
          <w:sz w:val="22"/>
          <w:szCs w:val="22"/>
        </w:rPr>
      </w:pPr>
      <w:r w:rsidRPr="00D45976">
        <w:rPr>
          <w:rFonts w:ascii="Arial" w:hAnsi="Arial" w:cs="Arial"/>
          <w:sz w:val="22"/>
          <w:szCs w:val="22"/>
        </w:rPr>
        <w:tab/>
        <w:t xml:space="preserve">Despite much discussion surrounding the benefits of the new curriculum for ALN learners, some have criticised its approach and the theory behind it, mainly that written by Donaldson. Knight &amp; Crick have discussed how the new curriculum focuses its support for ‘individuals with identified ALNs’ and how it does not place its focus on every child (Knight &amp; Crick, </w:t>
      </w:r>
      <w:r w:rsidR="0019333B">
        <w:rPr>
          <w:rFonts w:ascii="Arial" w:hAnsi="Arial" w:cs="Arial"/>
          <w:sz w:val="22"/>
          <w:szCs w:val="22"/>
        </w:rPr>
        <w:t xml:space="preserve">2022, </w:t>
      </w:r>
      <w:r w:rsidRPr="00D45976">
        <w:rPr>
          <w:rFonts w:ascii="Arial" w:hAnsi="Arial" w:cs="Arial"/>
          <w:sz w:val="22"/>
          <w:szCs w:val="22"/>
        </w:rPr>
        <w:t>p. 264), some would argue that this restricts children as not every child is able to fully reap the benefits of the new curriculum, and stops them from becoming ‘Ambitious capable learners’, one of the four purposes of the new curriculum (</w:t>
      </w:r>
      <w:r w:rsidR="0019333B">
        <w:rPr>
          <w:rFonts w:ascii="Arial" w:hAnsi="Arial" w:cs="Arial"/>
          <w:sz w:val="22"/>
          <w:szCs w:val="22"/>
        </w:rPr>
        <w:t>Developing a vision for curriculum design - H</w:t>
      </w:r>
      <w:r w:rsidR="0019333B" w:rsidRPr="00FC4225">
        <w:rPr>
          <w:rFonts w:ascii="Arial" w:hAnsi="Arial" w:cs="Arial"/>
          <w:sz w:val="22"/>
          <w:szCs w:val="22"/>
        </w:rPr>
        <w:t>wb</w:t>
      </w:r>
      <w:r w:rsidR="0019333B">
        <w:rPr>
          <w:rFonts w:ascii="Arial" w:hAnsi="Arial" w:cs="Arial"/>
          <w:sz w:val="22"/>
          <w:szCs w:val="22"/>
        </w:rPr>
        <w:t>, 2020</w:t>
      </w:r>
      <w:r w:rsidRPr="00D45976">
        <w:rPr>
          <w:rFonts w:ascii="Arial" w:hAnsi="Arial" w:cs="Arial"/>
          <w:sz w:val="22"/>
          <w:szCs w:val="22"/>
        </w:rPr>
        <w:t>). This area of literary discussion can be applied to our critical incident as because the pupil has not been officially diagnosed with ALN, they fall in the bracket of needing this additional help, but not getting it as they are not a child with ‘identified ALNs’.</w:t>
      </w:r>
    </w:p>
    <w:p w14:paraId="19DD3DA2" w14:textId="1673F9C4" w:rsidR="00EB7338" w:rsidRPr="00D45976" w:rsidRDefault="00EB7338" w:rsidP="00D45976">
      <w:pPr>
        <w:spacing w:line="360" w:lineRule="auto"/>
        <w:rPr>
          <w:rFonts w:ascii="Arial" w:hAnsi="Arial" w:cs="Arial"/>
          <w:sz w:val="22"/>
          <w:szCs w:val="22"/>
        </w:rPr>
      </w:pPr>
      <w:r w:rsidRPr="00D45976">
        <w:rPr>
          <w:rFonts w:ascii="Arial" w:hAnsi="Arial" w:cs="Arial"/>
          <w:sz w:val="22"/>
          <w:szCs w:val="22"/>
        </w:rPr>
        <w:tab/>
        <w:t>This criticism seen within the literature surrounding ALN students and the new curriculum can be justified as Conn and Hutt have discussed, as Donaldson’s report, ‘Successful Futures’, the report that has heavily influenced the new curriculum, has little mention of ALN learners (</w:t>
      </w:r>
      <w:r w:rsidR="001065E5">
        <w:rPr>
          <w:rFonts w:ascii="Arial" w:hAnsi="Arial" w:cs="Arial"/>
          <w:sz w:val="22"/>
          <w:szCs w:val="22"/>
        </w:rPr>
        <w:t>2020</w:t>
      </w:r>
      <w:r w:rsidRPr="00D45976">
        <w:rPr>
          <w:rFonts w:ascii="Arial" w:hAnsi="Arial" w:cs="Arial"/>
          <w:sz w:val="22"/>
          <w:szCs w:val="22"/>
        </w:rPr>
        <w:t>, p.155). They proceed to discuss how the discussion of inclusion is primarily mentioned in the context of teaching and the support and fairness surrounding teaching practice, not the students, and most importantly in this discussion, not ALN students. Conn &amp; Hutt therefore conclude this criticism by stating: ‘Questions are raised about whether curriculum reform will lead to more effective pedagogy, higher expectations and improved outcomes for learners with ALN if practices are not significantly changed’ (</w:t>
      </w:r>
      <w:r w:rsidR="001065E5">
        <w:rPr>
          <w:rFonts w:ascii="Arial" w:hAnsi="Arial" w:cs="Arial"/>
          <w:sz w:val="22"/>
          <w:szCs w:val="22"/>
        </w:rPr>
        <w:t>2020</w:t>
      </w:r>
      <w:r w:rsidRPr="00D45976">
        <w:rPr>
          <w:rFonts w:ascii="Arial" w:hAnsi="Arial" w:cs="Arial"/>
          <w:sz w:val="22"/>
          <w:szCs w:val="22"/>
        </w:rPr>
        <w:t>, p.166).</w:t>
      </w:r>
    </w:p>
    <w:p w14:paraId="57921D55" w14:textId="31100BD6" w:rsidR="00EB7338" w:rsidRPr="00D45976" w:rsidRDefault="00EB7338" w:rsidP="00D45976">
      <w:pPr>
        <w:spacing w:line="360" w:lineRule="auto"/>
        <w:rPr>
          <w:rFonts w:ascii="Arial" w:hAnsi="Arial" w:cs="Arial"/>
          <w:sz w:val="22"/>
          <w:szCs w:val="22"/>
        </w:rPr>
      </w:pPr>
      <w:r w:rsidRPr="00D45976">
        <w:rPr>
          <w:rFonts w:ascii="Arial" w:hAnsi="Arial" w:cs="Arial"/>
          <w:sz w:val="22"/>
          <w:szCs w:val="22"/>
        </w:rPr>
        <w:tab/>
        <w:t xml:space="preserve">A major issue discussed within the literature surrounding ALN is the issue of labelling. Labelling, some say results in neglect towards some children as with the focus being on diagnosis and labelling, it implies that ‘students with the same diagnosis will have the same learning needs (Knight &amp; Crick, </w:t>
      </w:r>
      <w:r w:rsidR="001065E5">
        <w:rPr>
          <w:rFonts w:ascii="Arial" w:hAnsi="Arial" w:cs="Arial"/>
          <w:sz w:val="22"/>
          <w:szCs w:val="22"/>
        </w:rPr>
        <w:t xml:space="preserve">2022, </w:t>
      </w:r>
      <w:r w:rsidRPr="00D45976">
        <w:rPr>
          <w:rFonts w:ascii="Arial" w:hAnsi="Arial" w:cs="Arial"/>
          <w:sz w:val="22"/>
          <w:szCs w:val="22"/>
        </w:rPr>
        <w:t xml:space="preserve">p.267). This is also highlighted in Barbara Riddick’s work on learning needs where she discusses the advantages and disadvantages </w:t>
      </w:r>
      <w:r w:rsidRPr="00D45976">
        <w:rPr>
          <w:rFonts w:ascii="Arial" w:hAnsi="Arial" w:cs="Arial"/>
          <w:sz w:val="22"/>
          <w:szCs w:val="22"/>
        </w:rPr>
        <w:lastRenderedPageBreak/>
        <w:t>of labelling, in a similar vein, she argues that labelling can lead to inappropriate interventions (Riddick</w:t>
      </w:r>
      <w:r w:rsidR="001065E5">
        <w:rPr>
          <w:rFonts w:ascii="Arial" w:hAnsi="Arial" w:cs="Arial"/>
          <w:sz w:val="22"/>
          <w:szCs w:val="22"/>
        </w:rPr>
        <w:t>,</w:t>
      </w:r>
      <w:r w:rsidRPr="00D45976">
        <w:rPr>
          <w:rFonts w:ascii="Arial" w:hAnsi="Arial" w:cs="Arial"/>
          <w:sz w:val="22"/>
          <w:szCs w:val="22"/>
        </w:rPr>
        <w:t xml:space="preserve"> 2012, p.</w:t>
      </w:r>
      <w:r w:rsidR="001065E5">
        <w:rPr>
          <w:rFonts w:ascii="Arial" w:hAnsi="Arial" w:cs="Arial"/>
          <w:sz w:val="22"/>
          <w:szCs w:val="22"/>
        </w:rPr>
        <w:t xml:space="preserve"> </w:t>
      </w:r>
      <w:r w:rsidRPr="00D45976">
        <w:rPr>
          <w:rFonts w:ascii="Arial" w:hAnsi="Arial" w:cs="Arial"/>
          <w:sz w:val="22"/>
          <w:szCs w:val="22"/>
        </w:rPr>
        <w:t>27).</w:t>
      </w:r>
    </w:p>
    <w:p w14:paraId="1B7C2989" w14:textId="4F895A5C" w:rsidR="00EB7338" w:rsidRPr="00D45976" w:rsidRDefault="00EB7338" w:rsidP="00D45976">
      <w:pPr>
        <w:spacing w:line="360" w:lineRule="auto"/>
        <w:rPr>
          <w:rFonts w:ascii="Arial" w:hAnsi="Arial" w:cs="Arial"/>
          <w:sz w:val="22"/>
          <w:szCs w:val="22"/>
        </w:rPr>
      </w:pPr>
      <w:r w:rsidRPr="00D45976">
        <w:rPr>
          <w:rFonts w:ascii="Arial" w:hAnsi="Arial" w:cs="Arial"/>
          <w:sz w:val="22"/>
          <w:szCs w:val="22"/>
        </w:rPr>
        <w:tab/>
        <w:t xml:space="preserve">Lastly, the idea of teacher application and training is another major area of discussion within the literature surrounding ALN. For example, Peter </w:t>
      </w:r>
      <w:proofErr w:type="spellStart"/>
      <w:r w:rsidRPr="00D45976">
        <w:rPr>
          <w:rFonts w:ascii="Arial" w:hAnsi="Arial" w:cs="Arial"/>
          <w:sz w:val="22"/>
          <w:szCs w:val="22"/>
        </w:rPr>
        <w:t>Farell</w:t>
      </w:r>
      <w:proofErr w:type="spellEnd"/>
      <w:r w:rsidRPr="00D45976">
        <w:rPr>
          <w:rFonts w:ascii="Arial" w:hAnsi="Arial" w:cs="Arial"/>
          <w:sz w:val="22"/>
          <w:szCs w:val="22"/>
        </w:rPr>
        <w:t xml:space="preserve"> highlights how the increasing number of teaching assistants alongside systems to support reflects how more attention is being paid to those children with ALN (2012, p. 45). However, despite there being more Learning Support Assistants, many have been poorly equipped to deal with their roles (McLachlan &amp; Davis</w:t>
      </w:r>
      <w:r w:rsidR="00E8391A">
        <w:rPr>
          <w:rFonts w:ascii="Arial" w:hAnsi="Arial" w:cs="Arial"/>
          <w:sz w:val="22"/>
          <w:szCs w:val="22"/>
        </w:rPr>
        <w:t>,</w:t>
      </w:r>
      <w:r w:rsidRPr="00D45976">
        <w:rPr>
          <w:rFonts w:ascii="Arial" w:hAnsi="Arial" w:cs="Arial"/>
          <w:sz w:val="22"/>
          <w:szCs w:val="22"/>
        </w:rPr>
        <w:t xml:space="preserve"> 2013, p. 173). As well as LSAs being poorly equipped, Chaney has highlighted the problems teachers face, stating that governments have acknowledged the fact that more work is needed to ‘ensure all teachers have the necessary skills’ when working with children with ALN (</w:t>
      </w:r>
      <w:r w:rsidR="00E8391A">
        <w:rPr>
          <w:rFonts w:ascii="Arial" w:hAnsi="Arial" w:cs="Arial"/>
          <w:sz w:val="22"/>
          <w:szCs w:val="22"/>
        </w:rPr>
        <w:t>2012</w:t>
      </w:r>
      <w:r w:rsidRPr="00D45976">
        <w:rPr>
          <w:rFonts w:ascii="Arial" w:hAnsi="Arial" w:cs="Arial"/>
          <w:sz w:val="22"/>
          <w:szCs w:val="22"/>
        </w:rPr>
        <w:t xml:space="preserve">, p. 32). The literature surrounding ALN students, and their teachers therefore argues that, with the correct training, inclusive teachers will ‘assess students and try to make sound judgements about individual learning needs based on their assessment’ and are always questioning what can be done within the classroom to include those with ALN (Conn &amp; Hutt, </w:t>
      </w:r>
      <w:r w:rsidR="007B401A">
        <w:rPr>
          <w:rFonts w:ascii="Arial" w:hAnsi="Arial" w:cs="Arial"/>
          <w:sz w:val="22"/>
          <w:szCs w:val="22"/>
        </w:rPr>
        <w:t xml:space="preserve">2020, </w:t>
      </w:r>
      <w:r w:rsidRPr="00D45976">
        <w:rPr>
          <w:rFonts w:ascii="Arial" w:hAnsi="Arial" w:cs="Arial"/>
          <w:sz w:val="22"/>
          <w:szCs w:val="22"/>
        </w:rPr>
        <w:t>p.154). However, this was not the case in our critical incidents as the teacher did not assess the student nor question what they could do to include the student.</w:t>
      </w:r>
    </w:p>
    <w:p w14:paraId="05523694" w14:textId="6AF7692D" w:rsidR="00EB7338" w:rsidRPr="00D45976" w:rsidRDefault="00EB7338" w:rsidP="00D45976">
      <w:pPr>
        <w:spacing w:line="360" w:lineRule="auto"/>
        <w:rPr>
          <w:rFonts w:ascii="Arial" w:hAnsi="Arial" w:cs="Arial"/>
          <w:sz w:val="22"/>
          <w:szCs w:val="22"/>
        </w:rPr>
      </w:pPr>
      <w:r w:rsidRPr="00D45976">
        <w:rPr>
          <w:rFonts w:ascii="Arial" w:hAnsi="Arial" w:cs="Arial"/>
          <w:sz w:val="22"/>
          <w:szCs w:val="22"/>
        </w:rPr>
        <w:tab/>
        <w:t xml:space="preserve">Therefore, </w:t>
      </w:r>
      <w:proofErr w:type="gramStart"/>
      <w:r w:rsidRPr="00D45976">
        <w:rPr>
          <w:rFonts w:ascii="Arial" w:hAnsi="Arial" w:cs="Arial"/>
          <w:sz w:val="22"/>
          <w:szCs w:val="22"/>
        </w:rPr>
        <w:t>it is clear that the</w:t>
      </w:r>
      <w:proofErr w:type="gramEnd"/>
      <w:r w:rsidRPr="00D45976">
        <w:rPr>
          <w:rFonts w:ascii="Arial" w:hAnsi="Arial" w:cs="Arial"/>
          <w:sz w:val="22"/>
          <w:szCs w:val="22"/>
        </w:rPr>
        <w:t xml:space="preserve"> literature surrounding ALN pupils has many strands to discuss, especially in Wales as we implement the new curriculum based on Donaldson’s four purposes. What we can see, however, is that what is most important in this discussion is the pupil and how we can include them effectively in our classroom discussions. Despite the advantages and disadvantages of the curriculum and the strategies written about in the literature, it is ultimately down to the school to ‘demonstrate progress and attainment’ for children with ALNs (Maxwell, Doughty &amp; Slater</w:t>
      </w:r>
      <w:r w:rsidR="007B401A">
        <w:rPr>
          <w:rFonts w:ascii="Arial" w:hAnsi="Arial" w:cs="Arial"/>
          <w:sz w:val="22"/>
          <w:szCs w:val="22"/>
        </w:rPr>
        <w:t>,</w:t>
      </w:r>
      <w:r w:rsidRPr="00D45976">
        <w:rPr>
          <w:rFonts w:ascii="Arial" w:hAnsi="Arial" w:cs="Arial"/>
          <w:sz w:val="22"/>
          <w:szCs w:val="22"/>
        </w:rPr>
        <w:t xml:space="preserve"> 2020, p.</w:t>
      </w:r>
      <w:r w:rsidR="007B401A">
        <w:rPr>
          <w:rFonts w:ascii="Arial" w:hAnsi="Arial" w:cs="Arial"/>
          <w:sz w:val="22"/>
          <w:szCs w:val="22"/>
        </w:rPr>
        <w:t xml:space="preserve"> </w:t>
      </w:r>
      <w:r w:rsidRPr="00D45976">
        <w:rPr>
          <w:rFonts w:ascii="Arial" w:hAnsi="Arial" w:cs="Arial"/>
          <w:sz w:val="22"/>
          <w:szCs w:val="22"/>
        </w:rPr>
        <w:t>438-439).</w:t>
      </w:r>
    </w:p>
    <w:p w14:paraId="3E047C05" w14:textId="670A7E14" w:rsidR="00EB7338" w:rsidRPr="00D45976" w:rsidRDefault="00EB7338" w:rsidP="00D45976">
      <w:pPr>
        <w:spacing w:line="360" w:lineRule="auto"/>
        <w:ind w:firstLine="720"/>
        <w:rPr>
          <w:rFonts w:ascii="Arial" w:hAnsi="Arial" w:cs="Arial"/>
          <w:sz w:val="22"/>
          <w:szCs w:val="22"/>
        </w:rPr>
      </w:pPr>
      <w:r w:rsidRPr="00D45976">
        <w:rPr>
          <w:rFonts w:ascii="Arial" w:hAnsi="Arial" w:cs="Arial"/>
          <w:sz w:val="22"/>
          <w:szCs w:val="22"/>
        </w:rPr>
        <w:t>Our next area of literary discussion is the idea of classroom management. Classroom management and ALN discussions tend to go hand in hand as how a teacher may manage a class differs if they have ALN pupils in the class, for example, students with ALN are often seated away from the rest of their class, decreasing the amount of interaction they have with their classmates (Bock</w:t>
      </w:r>
      <w:r w:rsidR="007B401A">
        <w:rPr>
          <w:rFonts w:ascii="Arial" w:hAnsi="Arial" w:cs="Arial"/>
          <w:sz w:val="22"/>
          <w:szCs w:val="22"/>
        </w:rPr>
        <w:t xml:space="preserve"> </w:t>
      </w:r>
      <w:r w:rsidR="007B401A" w:rsidRPr="007B401A">
        <w:rPr>
          <w:rFonts w:ascii="Arial" w:hAnsi="Arial" w:cs="Arial"/>
          <w:i/>
          <w:iCs/>
          <w:sz w:val="22"/>
          <w:szCs w:val="22"/>
        </w:rPr>
        <w:t>et al</w:t>
      </w:r>
      <w:r w:rsidR="007B401A">
        <w:rPr>
          <w:rFonts w:ascii="Arial" w:hAnsi="Arial" w:cs="Arial"/>
          <w:sz w:val="22"/>
          <w:szCs w:val="22"/>
        </w:rPr>
        <w:t xml:space="preserve">., </w:t>
      </w:r>
      <w:r w:rsidRPr="00D45976">
        <w:rPr>
          <w:rFonts w:ascii="Arial" w:hAnsi="Arial" w:cs="Arial"/>
          <w:sz w:val="22"/>
          <w:szCs w:val="22"/>
        </w:rPr>
        <w:t>2016, p. 221), a problem we can see clearly in our critical incident. This tends to lead to uncertainty from other students on how to interact with those with ALN (Bock</w:t>
      </w:r>
      <w:r w:rsidR="007B401A">
        <w:rPr>
          <w:rFonts w:ascii="Arial" w:hAnsi="Arial" w:cs="Arial"/>
          <w:sz w:val="22"/>
          <w:szCs w:val="22"/>
        </w:rPr>
        <w:t xml:space="preserve"> </w:t>
      </w:r>
      <w:r w:rsidR="007B401A">
        <w:rPr>
          <w:rFonts w:ascii="Arial" w:hAnsi="Arial" w:cs="Arial"/>
          <w:i/>
          <w:iCs/>
          <w:sz w:val="22"/>
          <w:szCs w:val="22"/>
        </w:rPr>
        <w:t>et al</w:t>
      </w:r>
      <w:r w:rsidR="007B401A">
        <w:rPr>
          <w:rFonts w:ascii="Arial" w:hAnsi="Arial" w:cs="Arial"/>
          <w:sz w:val="22"/>
          <w:szCs w:val="22"/>
        </w:rPr>
        <w:t>.,</w:t>
      </w:r>
      <w:r w:rsidRPr="00D45976">
        <w:rPr>
          <w:rFonts w:ascii="Arial" w:hAnsi="Arial" w:cs="Arial"/>
          <w:sz w:val="22"/>
          <w:szCs w:val="22"/>
        </w:rPr>
        <w:t xml:space="preserve"> 2016, p. 221), something we also see in our critical incident as many pupils were intrigued with the one pupil sat on their own and the separate work they were doing. </w:t>
      </w:r>
    </w:p>
    <w:p w14:paraId="4D16A4C1" w14:textId="676E2E51" w:rsidR="00EB7338" w:rsidRPr="00D45976" w:rsidRDefault="00EB7338" w:rsidP="00D45976">
      <w:pPr>
        <w:spacing w:line="360" w:lineRule="auto"/>
        <w:ind w:firstLine="720"/>
        <w:rPr>
          <w:rFonts w:ascii="Arial" w:hAnsi="Arial" w:cs="Arial"/>
          <w:sz w:val="22"/>
          <w:szCs w:val="22"/>
        </w:rPr>
      </w:pPr>
      <w:r w:rsidRPr="00D45976">
        <w:rPr>
          <w:rFonts w:ascii="Arial" w:hAnsi="Arial" w:cs="Arial"/>
          <w:sz w:val="22"/>
          <w:szCs w:val="22"/>
        </w:rPr>
        <w:t xml:space="preserve">The primary literature discussing classroom management that this essay will review is the collaborative work by Lampert, Burnett, Comber, Ferguson &amp; Barnes on critical incidents in high poverty schools. Within their article, they discuss how behaviour management can sometimes become the focus of school and can sometimes get included in </w:t>
      </w:r>
      <w:r w:rsidRPr="00D45976">
        <w:rPr>
          <w:rFonts w:ascii="Arial" w:hAnsi="Arial" w:cs="Arial"/>
          <w:sz w:val="22"/>
          <w:szCs w:val="22"/>
        </w:rPr>
        <w:lastRenderedPageBreak/>
        <w:t>the classroom management discussion (Lampert</w:t>
      </w:r>
      <w:r w:rsidR="00730FF6">
        <w:rPr>
          <w:rFonts w:ascii="Arial" w:hAnsi="Arial" w:cs="Arial"/>
          <w:sz w:val="22"/>
          <w:szCs w:val="22"/>
        </w:rPr>
        <w:t xml:space="preserve"> </w:t>
      </w:r>
      <w:r w:rsidR="00730FF6">
        <w:rPr>
          <w:rFonts w:ascii="Arial" w:hAnsi="Arial" w:cs="Arial"/>
          <w:i/>
          <w:iCs/>
          <w:sz w:val="22"/>
          <w:szCs w:val="22"/>
        </w:rPr>
        <w:t>et al</w:t>
      </w:r>
      <w:r w:rsidR="00730FF6">
        <w:rPr>
          <w:rFonts w:ascii="Arial" w:hAnsi="Arial" w:cs="Arial"/>
          <w:sz w:val="22"/>
          <w:szCs w:val="22"/>
        </w:rPr>
        <w:t>.,</w:t>
      </w:r>
      <w:r w:rsidRPr="00D45976">
        <w:rPr>
          <w:rFonts w:ascii="Arial" w:hAnsi="Arial" w:cs="Arial"/>
          <w:sz w:val="22"/>
          <w:szCs w:val="22"/>
        </w:rPr>
        <w:t xml:space="preserve"> 2020, p. 152). They also discuss how the relationship between pupil and teacher may vary according to behaviour and how when some pupils’ behaviour is ‘unruly’, it is down to their need for attention from the teacher (Lampert</w:t>
      </w:r>
      <w:r w:rsidR="00730FF6">
        <w:rPr>
          <w:rFonts w:ascii="Arial" w:hAnsi="Arial" w:cs="Arial"/>
          <w:sz w:val="22"/>
          <w:szCs w:val="22"/>
        </w:rPr>
        <w:t xml:space="preserve"> </w:t>
      </w:r>
      <w:r w:rsidR="00730FF6">
        <w:rPr>
          <w:rFonts w:ascii="Arial" w:hAnsi="Arial" w:cs="Arial"/>
          <w:i/>
          <w:iCs/>
          <w:sz w:val="22"/>
          <w:szCs w:val="22"/>
        </w:rPr>
        <w:t>et al.</w:t>
      </w:r>
      <w:r w:rsidRPr="00D45976">
        <w:rPr>
          <w:rFonts w:ascii="Arial" w:hAnsi="Arial" w:cs="Arial"/>
          <w:sz w:val="22"/>
          <w:szCs w:val="22"/>
        </w:rPr>
        <w:t>, 2020, p. 153). This can be applied to our critical incident as we can question whether the pupil was not willing to do the same task as the others as they wanted attention from the teacher. The relationship between the pupil and teacher seemed positive as the pupil drew them a poster at the start of the lesson, therefore, this is most likely. Lastly, the teacher’s view on whether the child is misbehaving could be misinterpreted. Instead of looking into why the child is ‘misbehaving’, they could just look at is on the surface as the child being naughty, but usually, as this article argues, ‘there’s an underlying reason that’s much deeper’ (Lampert</w:t>
      </w:r>
      <w:r w:rsidR="00730FF6">
        <w:rPr>
          <w:rFonts w:ascii="Arial" w:hAnsi="Arial" w:cs="Arial"/>
          <w:sz w:val="22"/>
          <w:szCs w:val="22"/>
        </w:rPr>
        <w:t xml:space="preserve"> </w:t>
      </w:r>
      <w:r w:rsidR="00730FF6">
        <w:rPr>
          <w:rFonts w:ascii="Arial" w:hAnsi="Arial" w:cs="Arial"/>
          <w:i/>
          <w:iCs/>
          <w:sz w:val="22"/>
          <w:szCs w:val="22"/>
        </w:rPr>
        <w:t xml:space="preserve">et </w:t>
      </w:r>
      <w:r w:rsidR="00730FF6" w:rsidRPr="00730FF6">
        <w:rPr>
          <w:rFonts w:ascii="Arial" w:hAnsi="Arial" w:cs="Arial"/>
          <w:sz w:val="22"/>
          <w:szCs w:val="22"/>
        </w:rPr>
        <w:t>al</w:t>
      </w:r>
      <w:r w:rsidR="00730FF6">
        <w:rPr>
          <w:rFonts w:ascii="Arial" w:hAnsi="Arial" w:cs="Arial"/>
          <w:sz w:val="22"/>
          <w:szCs w:val="22"/>
        </w:rPr>
        <w:t xml:space="preserve">., </w:t>
      </w:r>
      <w:r w:rsidRPr="00730FF6">
        <w:rPr>
          <w:rFonts w:ascii="Arial" w:hAnsi="Arial" w:cs="Arial"/>
          <w:sz w:val="22"/>
          <w:szCs w:val="22"/>
        </w:rPr>
        <w:t>2020</w:t>
      </w:r>
      <w:r w:rsidRPr="00D45976">
        <w:rPr>
          <w:rFonts w:ascii="Arial" w:hAnsi="Arial" w:cs="Arial"/>
          <w:sz w:val="22"/>
          <w:szCs w:val="22"/>
        </w:rPr>
        <w:t xml:space="preserve">, p. 155). The teacher in our critical incident could be seen to fall into this trap as they </w:t>
      </w:r>
      <w:r w:rsidR="00285920" w:rsidRPr="00D45976">
        <w:rPr>
          <w:rFonts w:ascii="Arial" w:hAnsi="Arial" w:cs="Arial"/>
          <w:sz w:val="22"/>
          <w:szCs w:val="22"/>
        </w:rPr>
        <w:t xml:space="preserve">could potentially see the child’s reluctancy to do work </w:t>
      </w:r>
      <w:r w:rsidRPr="00D45976">
        <w:rPr>
          <w:rFonts w:ascii="Arial" w:hAnsi="Arial" w:cs="Arial"/>
          <w:sz w:val="22"/>
          <w:szCs w:val="22"/>
        </w:rPr>
        <w:t xml:space="preserve">as misbehaving, instead of querying why </w:t>
      </w:r>
      <w:r w:rsidR="00592E30">
        <w:rPr>
          <w:rFonts w:ascii="Arial" w:hAnsi="Arial" w:cs="Arial"/>
          <w:sz w:val="22"/>
          <w:szCs w:val="22"/>
        </w:rPr>
        <w:t xml:space="preserve">they are reluctant to do work and </w:t>
      </w:r>
      <w:r w:rsidR="00E53833">
        <w:rPr>
          <w:rFonts w:ascii="Arial" w:hAnsi="Arial" w:cs="Arial"/>
          <w:sz w:val="22"/>
          <w:szCs w:val="22"/>
        </w:rPr>
        <w:t>seeing if the child needs additional support in their learning.</w:t>
      </w:r>
    </w:p>
    <w:p w14:paraId="524E37B4" w14:textId="77777777" w:rsidR="00EB7338" w:rsidRDefault="00EB7338" w:rsidP="00A50BFC">
      <w:pPr>
        <w:tabs>
          <w:tab w:val="left" w:pos="6087"/>
        </w:tabs>
        <w:spacing w:line="360" w:lineRule="auto"/>
        <w:rPr>
          <w:rFonts w:ascii="Arial" w:hAnsi="Arial" w:cs="Arial"/>
          <w:b/>
          <w:bCs/>
          <w:sz w:val="28"/>
          <w:szCs w:val="28"/>
        </w:rPr>
      </w:pPr>
    </w:p>
    <w:p w14:paraId="0165458D" w14:textId="367A3BB7" w:rsidR="00A65410" w:rsidRDefault="00A65410" w:rsidP="00A50BFC">
      <w:pPr>
        <w:tabs>
          <w:tab w:val="left" w:pos="6087"/>
        </w:tabs>
        <w:spacing w:line="360" w:lineRule="auto"/>
        <w:rPr>
          <w:rFonts w:ascii="Arial" w:hAnsi="Arial" w:cs="Arial"/>
          <w:b/>
          <w:bCs/>
          <w:sz w:val="28"/>
          <w:szCs w:val="28"/>
        </w:rPr>
      </w:pPr>
      <w:r>
        <w:rPr>
          <w:rFonts w:ascii="Arial" w:hAnsi="Arial" w:cs="Arial"/>
          <w:b/>
          <w:bCs/>
          <w:sz w:val="28"/>
          <w:szCs w:val="28"/>
        </w:rPr>
        <w:t>Reflection/Evaluation &amp; Next Steps</w:t>
      </w:r>
    </w:p>
    <w:p w14:paraId="781C6532" w14:textId="5E6ACCA3" w:rsidR="00090BF9" w:rsidRPr="00090BF9" w:rsidRDefault="00090BF9" w:rsidP="00090BF9">
      <w:pPr>
        <w:spacing w:line="360" w:lineRule="auto"/>
        <w:rPr>
          <w:rFonts w:ascii="Arial" w:hAnsi="Arial" w:cs="Arial"/>
          <w:sz w:val="22"/>
          <w:szCs w:val="22"/>
        </w:rPr>
      </w:pPr>
      <w:r w:rsidRPr="00090BF9">
        <w:rPr>
          <w:rFonts w:ascii="Arial" w:hAnsi="Arial" w:cs="Arial"/>
          <w:sz w:val="22"/>
          <w:szCs w:val="22"/>
        </w:rPr>
        <w:t>Critical reflection is essential in the study of critical incidents as how we look at events, and our interpretation is what makes them critical (Tripp</w:t>
      </w:r>
      <w:r w:rsidR="00730FF6">
        <w:rPr>
          <w:rFonts w:ascii="Arial" w:hAnsi="Arial" w:cs="Arial"/>
          <w:sz w:val="22"/>
          <w:szCs w:val="22"/>
        </w:rPr>
        <w:t>,</w:t>
      </w:r>
      <w:r w:rsidRPr="00090BF9">
        <w:rPr>
          <w:rFonts w:ascii="Arial" w:hAnsi="Arial" w:cs="Arial"/>
          <w:sz w:val="22"/>
          <w:szCs w:val="22"/>
        </w:rPr>
        <w:t xml:space="preserve"> 2011, p. 8), they also work hand in hand, some have argued, as critical incident analysis is used to ‘aid critical reflection in practice’ (Lister &amp; Crisp</w:t>
      </w:r>
      <w:r w:rsidR="00730FF6">
        <w:rPr>
          <w:rFonts w:ascii="Arial" w:hAnsi="Arial" w:cs="Arial"/>
          <w:sz w:val="22"/>
          <w:szCs w:val="22"/>
        </w:rPr>
        <w:t>,</w:t>
      </w:r>
      <w:r w:rsidRPr="00090BF9">
        <w:rPr>
          <w:rFonts w:ascii="Arial" w:hAnsi="Arial" w:cs="Arial"/>
          <w:sz w:val="22"/>
          <w:szCs w:val="22"/>
        </w:rPr>
        <w:t xml:space="preserve"> 2007, p. 47). For one to reflect upon a critical incident effectively, one should use one of the reflective models, for example Kolb’s, Schön’s, Brookfield’s or Gibbs’. For the critical incident in question, Gibbs’ reflective cycle could be used. Gibbs’ reflective cycle has six stages, starting with a description of the incident and concluding with a consideration for future events; Gibbs’ reflective cycle has been thought to ‘enrich’ theory and practice in a ‘never-ending circle’ (</w:t>
      </w:r>
      <w:r w:rsidR="00665863" w:rsidRPr="009D6E77">
        <w:rPr>
          <w:rFonts w:ascii="Arial" w:hAnsi="Arial" w:cs="Arial"/>
          <w:sz w:val="22"/>
          <w:szCs w:val="22"/>
        </w:rPr>
        <w:t>Finley</w:t>
      </w:r>
      <w:r w:rsidR="00665863">
        <w:rPr>
          <w:rFonts w:ascii="Arial" w:hAnsi="Arial" w:cs="Arial"/>
          <w:sz w:val="22"/>
          <w:szCs w:val="22"/>
        </w:rPr>
        <w:t>,</w:t>
      </w:r>
      <w:r w:rsidR="00665863" w:rsidRPr="00090BF9">
        <w:rPr>
          <w:rFonts w:ascii="Arial" w:hAnsi="Arial" w:cs="Arial"/>
          <w:sz w:val="22"/>
          <w:szCs w:val="22"/>
        </w:rPr>
        <w:t xml:space="preserve"> </w:t>
      </w:r>
      <w:r w:rsidRPr="00090BF9">
        <w:rPr>
          <w:rFonts w:ascii="Arial" w:hAnsi="Arial" w:cs="Arial"/>
          <w:sz w:val="22"/>
          <w:szCs w:val="22"/>
        </w:rPr>
        <w:t>2008, p. 8). Gibbs’ cycle can be seen to look like this:</w:t>
      </w:r>
    </w:p>
    <w:p w14:paraId="746328B2" w14:textId="77777777" w:rsidR="00090BF9" w:rsidRPr="00090BF9" w:rsidRDefault="00090BF9" w:rsidP="00090BF9">
      <w:pPr>
        <w:spacing w:line="360" w:lineRule="auto"/>
        <w:rPr>
          <w:rFonts w:ascii="Arial" w:hAnsi="Arial" w:cs="Arial"/>
          <w:noProof/>
          <w:sz w:val="22"/>
          <w:szCs w:val="22"/>
        </w:rPr>
      </w:pPr>
      <w:r w:rsidRPr="00090BF9">
        <w:rPr>
          <w:rFonts w:ascii="Arial" w:hAnsi="Arial" w:cs="Arial"/>
          <w:noProof/>
          <w:sz w:val="22"/>
          <w:szCs w:val="22"/>
        </w:rPr>
        <w:lastRenderedPageBreak/>
        <w:drawing>
          <wp:inline distT="0" distB="0" distL="0" distR="0" wp14:anchorId="710B97DC" wp14:editId="64CDB72D">
            <wp:extent cx="5731510" cy="3428365"/>
            <wp:effectExtent l="0" t="0" r="0" b="63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731510" cy="3428365"/>
                    </a:xfrm>
                    <a:prstGeom prst="rect">
                      <a:avLst/>
                    </a:prstGeom>
                  </pic:spPr>
                </pic:pic>
              </a:graphicData>
            </a:graphic>
          </wp:inline>
        </w:drawing>
      </w:r>
    </w:p>
    <w:p w14:paraId="1B1D267C" w14:textId="7E404D31" w:rsidR="00090BF9" w:rsidRPr="00225CB5" w:rsidRDefault="00090BF9" w:rsidP="00090BF9">
      <w:pPr>
        <w:spacing w:line="360" w:lineRule="auto"/>
        <w:rPr>
          <w:rFonts w:ascii="Arial" w:hAnsi="Arial" w:cs="Arial"/>
          <w:sz w:val="22"/>
          <w:szCs w:val="22"/>
        </w:rPr>
      </w:pPr>
      <w:r w:rsidRPr="00225CB5">
        <w:rPr>
          <w:rFonts w:ascii="Arial" w:hAnsi="Arial" w:cs="Arial"/>
          <w:sz w:val="22"/>
          <w:szCs w:val="22"/>
        </w:rPr>
        <w:t>(</w:t>
      </w:r>
      <w:r w:rsidR="00665863" w:rsidRPr="009D6E77">
        <w:rPr>
          <w:rFonts w:ascii="Arial" w:hAnsi="Arial" w:cs="Arial"/>
          <w:sz w:val="22"/>
          <w:szCs w:val="22"/>
        </w:rPr>
        <w:t>Finley</w:t>
      </w:r>
      <w:r w:rsidR="00665863">
        <w:rPr>
          <w:rFonts w:ascii="Arial" w:hAnsi="Arial" w:cs="Arial"/>
          <w:sz w:val="22"/>
          <w:szCs w:val="22"/>
        </w:rPr>
        <w:t>,</w:t>
      </w:r>
      <w:r w:rsidR="00665863" w:rsidRPr="00225CB5">
        <w:rPr>
          <w:rFonts w:ascii="Arial" w:hAnsi="Arial" w:cs="Arial"/>
          <w:sz w:val="22"/>
          <w:szCs w:val="22"/>
        </w:rPr>
        <w:t xml:space="preserve"> </w:t>
      </w:r>
      <w:r w:rsidRPr="00225CB5">
        <w:rPr>
          <w:rFonts w:ascii="Arial" w:hAnsi="Arial" w:cs="Arial"/>
          <w:sz w:val="22"/>
          <w:szCs w:val="22"/>
        </w:rPr>
        <w:t>2008, p. 8)</w:t>
      </w:r>
    </w:p>
    <w:p w14:paraId="485A133A" w14:textId="77777777" w:rsidR="00090BF9" w:rsidRPr="00090BF9" w:rsidRDefault="00090BF9" w:rsidP="00090BF9">
      <w:pPr>
        <w:spacing w:line="360" w:lineRule="auto"/>
        <w:rPr>
          <w:rFonts w:ascii="Arial" w:hAnsi="Arial" w:cs="Arial"/>
          <w:sz w:val="22"/>
          <w:szCs w:val="22"/>
        </w:rPr>
      </w:pPr>
    </w:p>
    <w:p w14:paraId="42A06A0B" w14:textId="04ED0D0F" w:rsidR="00090BF9" w:rsidRPr="00090BF9" w:rsidRDefault="00090BF9" w:rsidP="00090BF9">
      <w:pPr>
        <w:spacing w:line="360" w:lineRule="auto"/>
        <w:rPr>
          <w:rFonts w:ascii="Arial" w:hAnsi="Arial" w:cs="Arial"/>
          <w:sz w:val="22"/>
          <w:szCs w:val="22"/>
        </w:rPr>
      </w:pPr>
      <w:r w:rsidRPr="00090BF9">
        <w:rPr>
          <w:rFonts w:ascii="Arial" w:hAnsi="Arial" w:cs="Arial"/>
          <w:sz w:val="22"/>
          <w:szCs w:val="22"/>
        </w:rPr>
        <w:tab/>
        <w:t xml:space="preserve">By using Gibbs’ reflective cycle, it allows the teacher to examine how the pupil is feeling about sitting on their own and having different work to the rest of the class. The evaluation step would then allow the teacher to see what was good and bad about the child being on another table and doing separate work, the good could possibly be how the pupil does not interfere with others’ work, on the other hand, however, the pupil is not getting the education they need/have the right </w:t>
      </w:r>
      <w:r w:rsidR="00665863" w:rsidRPr="00090BF9">
        <w:rPr>
          <w:rFonts w:ascii="Arial" w:hAnsi="Arial" w:cs="Arial"/>
          <w:sz w:val="22"/>
          <w:szCs w:val="22"/>
        </w:rPr>
        <w:t>to and</w:t>
      </w:r>
      <w:r w:rsidRPr="00090BF9">
        <w:rPr>
          <w:rFonts w:ascii="Arial" w:hAnsi="Arial" w:cs="Arial"/>
          <w:sz w:val="22"/>
          <w:szCs w:val="22"/>
        </w:rPr>
        <w:t xml:space="preserve"> could feel isolated. These steps within this cycle eventually lead to an action plan and provide the teacher with an adequate idea of where to go with this critical incident and how to avoid it in the future.</w:t>
      </w:r>
    </w:p>
    <w:p w14:paraId="1F10F6E6" w14:textId="7AD86A7F" w:rsidR="00090BF9" w:rsidRPr="00090BF9" w:rsidRDefault="00090BF9" w:rsidP="00090BF9">
      <w:pPr>
        <w:spacing w:line="360" w:lineRule="auto"/>
        <w:rPr>
          <w:rFonts w:ascii="Arial" w:hAnsi="Arial" w:cs="Arial"/>
          <w:sz w:val="22"/>
          <w:szCs w:val="22"/>
        </w:rPr>
      </w:pPr>
      <w:r w:rsidRPr="00090BF9">
        <w:rPr>
          <w:rFonts w:ascii="Arial" w:hAnsi="Arial" w:cs="Arial"/>
          <w:sz w:val="22"/>
          <w:szCs w:val="22"/>
        </w:rPr>
        <w:tab/>
        <w:t>As seen throughout this essay, the pupil discussed in our critical incident shows signs of additional learning needs, therefore one of our first steps in response to this critical incident would possibly be suggesting trying to get a diagnosis for this child. As mentioned in our observation sheets (see appendices), the child has already started the process of testing to see whether they have ALNs, such as ASD or ADHD. By having a diagnosis, it would allow the child to have an ‘Individual Development Plan’ (IDP), something only available in Wales to those with ‘profound ALNs’, and as most children with ALNs will be assessed by the school, having an official diagnosis would open the door to more support for the pupil (Maxwell</w:t>
      </w:r>
      <w:r w:rsidR="00665863">
        <w:rPr>
          <w:rFonts w:ascii="Arial" w:hAnsi="Arial" w:cs="Arial"/>
          <w:sz w:val="22"/>
          <w:szCs w:val="22"/>
        </w:rPr>
        <w:t xml:space="preserve"> </w:t>
      </w:r>
      <w:r w:rsidR="00665863">
        <w:rPr>
          <w:rFonts w:ascii="Arial" w:hAnsi="Arial" w:cs="Arial"/>
          <w:i/>
          <w:iCs/>
          <w:sz w:val="22"/>
          <w:szCs w:val="22"/>
        </w:rPr>
        <w:t>et al</w:t>
      </w:r>
      <w:r w:rsidR="00665863">
        <w:rPr>
          <w:rFonts w:ascii="Arial" w:hAnsi="Arial" w:cs="Arial"/>
          <w:sz w:val="22"/>
          <w:szCs w:val="22"/>
        </w:rPr>
        <w:t>.,</w:t>
      </w:r>
      <w:r w:rsidRPr="00090BF9">
        <w:rPr>
          <w:rFonts w:ascii="Arial" w:hAnsi="Arial" w:cs="Arial"/>
          <w:sz w:val="22"/>
          <w:szCs w:val="22"/>
        </w:rPr>
        <w:t xml:space="preserve"> 2020, p. 431). In addition to this, as mentioned in our literature review, the increasing number of children diagnosed with ALN has led to more teaching assistants and support systems for these children (</w:t>
      </w:r>
      <w:proofErr w:type="spellStart"/>
      <w:r w:rsidRPr="00090BF9">
        <w:rPr>
          <w:rFonts w:ascii="Arial" w:hAnsi="Arial" w:cs="Arial"/>
          <w:sz w:val="22"/>
          <w:szCs w:val="22"/>
        </w:rPr>
        <w:t>Farell</w:t>
      </w:r>
      <w:proofErr w:type="spellEnd"/>
      <w:r w:rsidRPr="00090BF9">
        <w:rPr>
          <w:rFonts w:ascii="Arial" w:hAnsi="Arial" w:cs="Arial"/>
          <w:sz w:val="22"/>
          <w:szCs w:val="22"/>
        </w:rPr>
        <w:t>,</w:t>
      </w:r>
      <w:r w:rsidR="00D351DE">
        <w:rPr>
          <w:rFonts w:ascii="Arial" w:hAnsi="Arial" w:cs="Arial"/>
          <w:sz w:val="22"/>
          <w:szCs w:val="22"/>
        </w:rPr>
        <w:t xml:space="preserve"> 2012,</w:t>
      </w:r>
      <w:r w:rsidRPr="00090BF9">
        <w:rPr>
          <w:rFonts w:ascii="Arial" w:hAnsi="Arial" w:cs="Arial"/>
          <w:sz w:val="22"/>
          <w:szCs w:val="22"/>
        </w:rPr>
        <w:t xml:space="preserve"> p. 45). This emphasises the importance of diagnosis for this pupil as it would allow the child to have more support in the classroom with </w:t>
      </w:r>
      <w:r w:rsidRPr="00090BF9">
        <w:rPr>
          <w:rFonts w:ascii="Arial" w:hAnsi="Arial" w:cs="Arial"/>
          <w:sz w:val="22"/>
          <w:szCs w:val="22"/>
        </w:rPr>
        <w:lastRenderedPageBreak/>
        <w:t>a one-to-one LSA, allowing the child to gain confidence and excel in their work without interfering with others’ work.</w:t>
      </w:r>
    </w:p>
    <w:p w14:paraId="68DC934B" w14:textId="57716806" w:rsidR="00090BF9" w:rsidRPr="00090BF9" w:rsidRDefault="00090BF9" w:rsidP="00090BF9">
      <w:pPr>
        <w:spacing w:line="360" w:lineRule="auto"/>
        <w:rPr>
          <w:rFonts w:ascii="Arial" w:hAnsi="Arial" w:cs="Arial"/>
          <w:sz w:val="22"/>
          <w:szCs w:val="22"/>
        </w:rPr>
      </w:pPr>
      <w:r w:rsidRPr="00090BF9">
        <w:rPr>
          <w:rFonts w:ascii="Arial" w:hAnsi="Arial" w:cs="Arial"/>
          <w:sz w:val="22"/>
          <w:szCs w:val="22"/>
        </w:rPr>
        <w:tab/>
        <w:t xml:space="preserve">It is important for the teacher to also reflect on their practice to see what they could change to limit an incident like this occurring again, as Gibbs’ cycle suggests. Knight and Crick have argued that depending on the pace of their learners, teachers could reflect in the moment and adapt what they’re teaching and how they’re delivering the topic (Knight &amp; Crick, </w:t>
      </w:r>
      <w:r w:rsidR="00D351DE">
        <w:rPr>
          <w:rFonts w:ascii="Arial" w:hAnsi="Arial" w:cs="Arial"/>
          <w:sz w:val="22"/>
          <w:szCs w:val="22"/>
        </w:rPr>
        <w:t xml:space="preserve">2022, </w:t>
      </w:r>
      <w:r w:rsidRPr="00090BF9">
        <w:rPr>
          <w:rFonts w:ascii="Arial" w:hAnsi="Arial" w:cs="Arial"/>
          <w:sz w:val="22"/>
          <w:szCs w:val="22"/>
        </w:rPr>
        <w:t>p. 265). This is very applicable to our incident and could be considered by the teacher in the future, they could adapt their task to include every pupil instead of tsking the pupil in question with a separate task.</w:t>
      </w:r>
      <w:r w:rsidR="006B3058">
        <w:rPr>
          <w:rFonts w:ascii="Arial" w:hAnsi="Arial" w:cs="Arial"/>
          <w:sz w:val="22"/>
          <w:szCs w:val="22"/>
        </w:rPr>
        <w:t xml:space="preserve"> It is also important for the teacher to reflect </w:t>
      </w:r>
      <w:r w:rsidR="002C0016">
        <w:rPr>
          <w:rFonts w:ascii="Arial" w:hAnsi="Arial" w:cs="Arial"/>
          <w:sz w:val="22"/>
          <w:szCs w:val="22"/>
        </w:rPr>
        <w:t xml:space="preserve">as Schön sees </w:t>
      </w:r>
      <w:r w:rsidR="0076334B">
        <w:rPr>
          <w:rFonts w:ascii="Arial" w:hAnsi="Arial" w:cs="Arial"/>
          <w:sz w:val="22"/>
          <w:szCs w:val="22"/>
        </w:rPr>
        <w:t>‘reflective teaching’ as a process of design and discovery</w:t>
      </w:r>
      <w:r w:rsidR="00D37A7B">
        <w:rPr>
          <w:rFonts w:ascii="Arial" w:hAnsi="Arial" w:cs="Arial"/>
          <w:sz w:val="22"/>
          <w:szCs w:val="22"/>
        </w:rPr>
        <w:t xml:space="preserve"> which allows both the student and the teacher to engage in a reflective conversation</w:t>
      </w:r>
      <w:r w:rsidR="00BC6A7B">
        <w:rPr>
          <w:rFonts w:ascii="Arial" w:hAnsi="Arial" w:cs="Arial"/>
          <w:sz w:val="22"/>
          <w:szCs w:val="22"/>
        </w:rPr>
        <w:t xml:space="preserve"> about the incident, where they reflect</w:t>
      </w:r>
      <w:r w:rsidR="00FC4249">
        <w:rPr>
          <w:rFonts w:ascii="Arial" w:hAnsi="Arial" w:cs="Arial"/>
          <w:sz w:val="22"/>
          <w:szCs w:val="22"/>
        </w:rPr>
        <w:t xml:space="preserve"> on each other’s perspective of the incident (Schön</w:t>
      </w:r>
      <w:r w:rsidR="00D351DE">
        <w:rPr>
          <w:rFonts w:ascii="Arial" w:hAnsi="Arial" w:cs="Arial"/>
          <w:sz w:val="22"/>
          <w:szCs w:val="22"/>
        </w:rPr>
        <w:t>,</w:t>
      </w:r>
      <w:r w:rsidR="00FC4249">
        <w:rPr>
          <w:rFonts w:ascii="Arial" w:hAnsi="Arial" w:cs="Arial"/>
          <w:sz w:val="22"/>
          <w:szCs w:val="22"/>
        </w:rPr>
        <w:t xml:space="preserve"> 1992, p. 133-134).</w:t>
      </w:r>
    </w:p>
    <w:p w14:paraId="0A519DB8" w14:textId="77777777" w:rsidR="00090BF9" w:rsidRPr="00090BF9" w:rsidRDefault="00090BF9" w:rsidP="00090BF9">
      <w:pPr>
        <w:tabs>
          <w:tab w:val="left" w:pos="6087"/>
        </w:tabs>
        <w:spacing w:line="360" w:lineRule="auto"/>
        <w:rPr>
          <w:rFonts w:ascii="Arial" w:hAnsi="Arial" w:cs="Arial"/>
          <w:b/>
          <w:bCs/>
          <w:sz w:val="22"/>
          <w:szCs w:val="22"/>
        </w:rPr>
      </w:pPr>
    </w:p>
    <w:p w14:paraId="7533535D" w14:textId="5963AF81" w:rsidR="00A65410" w:rsidRPr="00225CB5" w:rsidRDefault="00A65410" w:rsidP="00090BF9">
      <w:pPr>
        <w:tabs>
          <w:tab w:val="left" w:pos="6087"/>
        </w:tabs>
        <w:spacing w:line="360" w:lineRule="auto"/>
        <w:rPr>
          <w:rFonts w:ascii="Arial" w:hAnsi="Arial" w:cs="Arial"/>
          <w:b/>
          <w:bCs/>
          <w:sz w:val="28"/>
          <w:szCs w:val="28"/>
        </w:rPr>
      </w:pPr>
      <w:r w:rsidRPr="00225CB5">
        <w:rPr>
          <w:rFonts w:ascii="Arial" w:hAnsi="Arial" w:cs="Arial"/>
          <w:b/>
          <w:bCs/>
          <w:sz w:val="28"/>
          <w:szCs w:val="28"/>
        </w:rPr>
        <w:t>Conclusion</w:t>
      </w:r>
    </w:p>
    <w:p w14:paraId="776BC39F" w14:textId="33C9CF93" w:rsidR="00807A00" w:rsidRPr="00090BF9" w:rsidRDefault="004B45B0" w:rsidP="00090BF9">
      <w:pPr>
        <w:tabs>
          <w:tab w:val="left" w:pos="6087"/>
        </w:tabs>
        <w:spacing w:line="360" w:lineRule="auto"/>
        <w:rPr>
          <w:rFonts w:ascii="Arial" w:hAnsi="Arial" w:cs="Arial"/>
          <w:sz w:val="22"/>
          <w:szCs w:val="22"/>
        </w:rPr>
      </w:pPr>
      <w:r w:rsidRPr="00090BF9">
        <w:rPr>
          <w:rFonts w:ascii="Arial" w:hAnsi="Arial" w:cs="Arial"/>
          <w:sz w:val="22"/>
          <w:szCs w:val="22"/>
        </w:rPr>
        <w:t>As seen throughout this essay, and wi</w:t>
      </w:r>
      <w:r w:rsidR="001C1BDE" w:rsidRPr="00090BF9">
        <w:rPr>
          <w:rFonts w:ascii="Arial" w:hAnsi="Arial" w:cs="Arial"/>
          <w:sz w:val="22"/>
          <w:szCs w:val="22"/>
        </w:rPr>
        <w:t>th reference to Tripp and Dewey’s</w:t>
      </w:r>
      <w:r w:rsidR="00D351DE">
        <w:rPr>
          <w:rFonts w:ascii="Arial" w:hAnsi="Arial" w:cs="Arial"/>
          <w:sz w:val="22"/>
          <w:szCs w:val="22"/>
        </w:rPr>
        <w:t xml:space="preserve"> work</w:t>
      </w:r>
      <w:r w:rsidR="00B50BB0" w:rsidRPr="00090BF9">
        <w:rPr>
          <w:rFonts w:ascii="Arial" w:hAnsi="Arial" w:cs="Arial"/>
          <w:sz w:val="22"/>
          <w:szCs w:val="22"/>
        </w:rPr>
        <w:t>, critical incidents are</w:t>
      </w:r>
      <w:r w:rsidR="00267C80" w:rsidRPr="00090BF9">
        <w:rPr>
          <w:rFonts w:ascii="Arial" w:hAnsi="Arial" w:cs="Arial"/>
          <w:sz w:val="22"/>
          <w:szCs w:val="22"/>
        </w:rPr>
        <w:t xml:space="preserve"> everywhere in </w:t>
      </w:r>
      <w:r w:rsidR="00C01737" w:rsidRPr="00090BF9">
        <w:rPr>
          <w:rFonts w:ascii="Arial" w:hAnsi="Arial" w:cs="Arial"/>
          <w:sz w:val="22"/>
          <w:szCs w:val="22"/>
        </w:rPr>
        <w:t>teaching,</w:t>
      </w:r>
      <w:r w:rsidR="00267C80" w:rsidRPr="00090BF9">
        <w:rPr>
          <w:rFonts w:ascii="Arial" w:hAnsi="Arial" w:cs="Arial"/>
          <w:sz w:val="22"/>
          <w:szCs w:val="22"/>
        </w:rPr>
        <w:t xml:space="preserve"> and it is how we study and reflect on these ‘incidents</w:t>
      </w:r>
      <w:r w:rsidR="00455502" w:rsidRPr="00090BF9">
        <w:rPr>
          <w:rFonts w:ascii="Arial" w:hAnsi="Arial" w:cs="Arial"/>
          <w:sz w:val="22"/>
          <w:szCs w:val="22"/>
        </w:rPr>
        <w:t xml:space="preserve">’ that makes them critical. </w:t>
      </w:r>
      <w:r w:rsidR="00567D4B" w:rsidRPr="00090BF9">
        <w:rPr>
          <w:rFonts w:ascii="Arial" w:hAnsi="Arial" w:cs="Arial"/>
          <w:sz w:val="22"/>
          <w:szCs w:val="22"/>
        </w:rPr>
        <w:t xml:space="preserve">Within this essay we have studied a specific critical incident </w:t>
      </w:r>
      <w:r w:rsidR="00927A54" w:rsidRPr="00090BF9">
        <w:rPr>
          <w:rFonts w:ascii="Arial" w:hAnsi="Arial" w:cs="Arial"/>
          <w:sz w:val="22"/>
          <w:szCs w:val="22"/>
        </w:rPr>
        <w:t>linked to Donaldson’s four purposes</w:t>
      </w:r>
      <w:r w:rsidR="00A9729E" w:rsidRPr="00090BF9">
        <w:rPr>
          <w:rFonts w:ascii="Arial" w:hAnsi="Arial" w:cs="Arial"/>
          <w:sz w:val="22"/>
          <w:szCs w:val="22"/>
        </w:rPr>
        <w:t>. Whilst studying this critical incident we have highlighted the importance of reflection</w:t>
      </w:r>
      <w:r w:rsidR="00CB55C4" w:rsidRPr="00090BF9">
        <w:rPr>
          <w:rFonts w:ascii="Arial" w:hAnsi="Arial" w:cs="Arial"/>
          <w:sz w:val="22"/>
          <w:szCs w:val="22"/>
        </w:rPr>
        <w:t xml:space="preserve"> and how it allows us to be critical in our thinking and helps us decide what action to take moving forwards, </w:t>
      </w:r>
      <w:r w:rsidR="0004532E" w:rsidRPr="00090BF9">
        <w:rPr>
          <w:rFonts w:ascii="Arial" w:hAnsi="Arial" w:cs="Arial"/>
          <w:sz w:val="22"/>
          <w:szCs w:val="22"/>
        </w:rPr>
        <w:t>as Fry and Kolb argue, ‘reflection tends to inhibit action’</w:t>
      </w:r>
      <w:r w:rsidR="00F068A8" w:rsidRPr="00090BF9">
        <w:rPr>
          <w:rFonts w:ascii="Arial" w:hAnsi="Arial" w:cs="Arial"/>
          <w:sz w:val="22"/>
          <w:szCs w:val="22"/>
        </w:rPr>
        <w:t xml:space="preserve"> (Kolb &amp; Fry</w:t>
      </w:r>
      <w:r w:rsidR="00D351DE">
        <w:rPr>
          <w:rFonts w:ascii="Arial" w:hAnsi="Arial" w:cs="Arial"/>
          <w:sz w:val="22"/>
          <w:szCs w:val="22"/>
        </w:rPr>
        <w:t>,</w:t>
      </w:r>
      <w:r w:rsidR="00F068A8" w:rsidRPr="00090BF9">
        <w:rPr>
          <w:rFonts w:ascii="Arial" w:hAnsi="Arial" w:cs="Arial"/>
          <w:sz w:val="22"/>
          <w:szCs w:val="22"/>
        </w:rPr>
        <w:t xml:space="preserve"> 1975, p. 37)</w:t>
      </w:r>
      <w:r w:rsidR="003E76F1" w:rsidRPr="00090BF9">
        <w:rPr>
          <w:rFonts w:ascii="Arial" w:hAnsi="Arial" w:cs="Arial"/>
          <w:sz w:val="22"/>
          <w:szCs w:val="22"/>
        </w:rPr>
        <w:t xml:space="preserve">. We have also suggested within the reflective process of this critical incident the </w:t>
      </w:r>
      <w:r w:rsidR="00CA0EBC" w:rsidRPr="00090BF9">
        <w:rPr>
          <w:rFonts w:ascii="Arial" w:hAnsi="Arial" w:cs="Arial"/>
          <w:sz w:val="22"/>
          <w:szCs w:val="22"/>
        </w:rPr>
        <w:t>possible next steps that should be taken, suggesting a possible diagnosis of ALN for the child in question</w:t>
      </w:r>
      <w:r w:rsidR="00C2186B" w:rsidRPr="00090BF9">
        <w:rPr>
          <w:rFonts w:ascii="Arial" w:hAnsi="Arial" w:cs="Arial"/>
          <w:sz w:val="22"/>
          <w:szCs w:val="22"/>
        </w:rPr>
        <w:t xml:space="preserve"> and how the teacher could incorporate the child more in their less</w:t>
      </w:r>
      <w:r w:rsidR="00807A00" w:rsidRPr="00090BF9">
        <w:rPr>
          <w:rFonts w:ascii="Arial" w:hAnsi="Arial" w:cs="Arial"/>
          <w:sz w:val="22"/>
          <w:szCs w:val="22"/>
        </w:rPr>
        <w:t>ons.</w:t>
      </w:r>
    </w:p>
    <w:p w14:paraId="373FE122" w14:textId="1863D18A" w:rsidR="00807A00" w:rsidRPr="00090BF9" w:rsidRDefault="00F262AB" w:rsidP="00090BF9">
      <w:pPr>
        <w:tabs>
          <w:tab w:val="left" w:pos="6087"/>
        </w:tabs>
        <w:spacing w:line="360" w:lineRule="auto"/>
        <w:ind w:firstLine="720"/>
        <w:rPr>
          <w:rFonts w:ascii="Arial" w:hAnsi="Arial" w:cs="Arial"/>
          <w:sz w:val="22"/>
          <w:szCs w:val="22"/>
        </w:rPr>
      </w:pPr>
      <w:r w:rsidRPr="00090BF9">
        <w:rPr>
          <w:rFonts w:ascii="Arial" w:hAnsi="Arial" w:cs="Arial"/>
          <w:sz w:val="22"/>
          <w:szCs w:val="22"/>
        </w:rPr>
        <w:t xml:space="preserve">When discussing reflection, the use of different reflective methods was highlighted. It is important to remember these methods as we </w:t>
      </w:r>
      <w:r w:rsidR="0081368D" w:rsidRPr="00090BF9">
        <w:rPr>
          <w:rFonts w:ascii="Arial" w:hAnsi="Arial" w:cs="Arial"/>
          <w:sz w:val="22"/>
          <w:szCs w:val="22"/>
        </w:rPr>
        <w:t xml:space="preserve">continue in the world of education as each critical incident may require a different method upon reflection. However, </w:t>
      </w:r>
      <w:r w:rsidR="004659BB" w:rsidRPr="00090BF9">
        <w:rPr>
          <w:rFonts w:ascii="Arial" w:hAnsi="Arial" w:cs="Arial"/>
          <w:sz w:val="22"/>
          <w:szCs w:val="22"/>
        </w:rPr>
        <w:t xml:space="preserve">for </w:t>
      </w:r>
      <w:r w:rsidR="0081368D" w:rsidRPr="00090BF9">
        <w:rPr>
          <w:rFonts w:ascii="Arial" w:hAnsi="Arial" w:cs="Arial"/>
          <w:sz w:val="22"/>
          <w:szCs w:val="22"/>
        </w:rPr>
        <w:t>our critical incident</w:t>
      </w:r>
      <w:r w:rsidR="004659BB" w:rsidRPr="00090BF9">
        <w:rPr>
          <w:rFonts w:ascii="Arial" w:hAnsi="Arial" w:cs="Arial"/>
          <w:sz w:val="22"/>
          <w:szCs w:val="22"/>
        </w:rPr>
        <w:t>, Gibbs’ reflective cycle seems to be most applicable as it uses the emotion of both the pupil and teacher as a reflective step, a process that could benefit both the child and teacher as</w:t>
      </w:r>
      <w:r w:rsidR="00C9362B" w:rsidRPr="00090BF9">
        <w:rPr>
          <w:rFonts w:ascii="Arial" w:hAnsi="Arial" w:cs="Arial"/>
          <w:sz w:val="22"/>
          <w:szCs w:val="22"/>
        </w:rPr>
        <w:t xml:space="preserve"> we think about the child’s learning needs </w:t>
      </w:r>
      <w:r w:rsidR="00F15392" w:rsidRPr="00090BF9">
        <w:rPr>
          <w:rFonts w:ascii="Arial" w:hAnsi="Arial" w:cs="Arial"/>
          <w:sz w:val="22"/>
          <w:szCs w:val="22"/>
        </w:rPr>
        <w:t xml:space="preserve">and how they felt </w:t>
      </w:r>
      <w:r w:rsidR="00050670" w:rsidRPr="00090BF9">
        <w:rPr>
          <w:rFonts w:ascii="Arial" w:hAnsi="Arial" w:cs="Arial"/>
          <w:sz w:val="22"/>
          <w:szCs w:val="22"/>
        </w:rPr>
        <w:t>when they were not given the same task as others.</w:t>
      </w:r>
    </w:p>
    <w:p w14:paraId="2F68577D" w14:textId="0A84A0A6" w:rsidR="00C2186B" w:rsidRPr="00325B2F" w:rsidRDefault="006C2AB5" w:rsidP="00C11E2D">
      <w:pPr>
        <w:tabs>
          <w:tab w:val="left" w:pos="6087"/>
        </w:tabs>
        <w:spacing w:line="360" w:lineRule="auto"/>
        <w:ind w:firstLine="720"/>
        <w:rPr>
          <w:rFonts w:ascii="Arial" w:hAnsi="Arial" w:cs="Arial"/>
          <w:sz w:val="22"/>
          <w:szCs w:val="22"/>
        </w:rPr>
      </w:pPr>
      <w:r w:rsidRPr="00090BF9">
        <w:rPr>
          <w:rFonts w:ascii="Arial" w:hAnsi="Arial" w:cs="Arial"/>
          <w:sz w:val="22"/>
          <w:szCs w:val="22"/>
        </w:rPr>
        <w:t xml:space="preserve">To conclude, </w:t>
      </w:r>
      <w:r w:rsidR="00D87C73" w:rsidRPr="00090BF9">
        <w:rPr>
          <w:rFonts w:ascii="Arial" w:hAnsi="Arial" w:cs="Arial"/>
          <w:sz w:val="22"/>
          <w:szCs w:val="22"/>
        </w:rPr>
        <w:t xml:space="preserve">critical incidents are </w:t>
      </w:r>
      <w:r w:rsidR="007A6683" w:rsidRPr="00090BF9">
        <w:rPr>
          <w:rFonts w:ascii="Arial" w:hAnsi="Arial" w:cs="Arial"/>
          <w:sz w:val="22"/>
          <w:szCs w:val="22"/>
        </w:rPr>
        <w:t xml:space="preserve">essential when studying in the field of education as they </w:t>
      </w:r>
      <w:r w:rsidRPr="00090BF9">
        <w:rPr>
          <w:rFonts w:ascii="Arial" w:hAnsi="Arial" w:cs="Arial"/>
          <w:sz w:val="22"/>
          <w:szCs w:val="22"/>
        </w:rPr>
        <w:t xml:space="preserve">provide a </w:t>
      </w:r>
      <w:r w:rsidR="007A6683" w:rsidRPr="00090BF9">
        <w:rPr>
          <w:rFonts w:ascii="Arial" w:hAnsi="Arial" w:cs="Arial"/>
          <w:sz w:val="22"/>
          <w:szCs w:val="22"/>
        </w:rPr>
        <w:t>‘</w:t>
      </w:r>
      <w:r w:rsidRPr="00090BF9">
        <w:rPr>
          <w:rFonts w:ascii="Arial" w:hAnsi="Arial" w:cs="Arial"/>
          <w:sz w:val="22"/>
          <w:szCs w:val="22"/>
        </w:rPr>
        <w:t>deeper and more profound level of reflection</w:t>
      </w:r>
      <w:r w:rsidR="00DB7EB8" w:rsidRPr="00090BF9">
        <w:rPr>
          <w:rFonts w:ascii="Arial" w:hAnsi="Arial" w:cs="Arial"/>
          <w:sz w:val="22"/>
          <w:szCs w:val="22"/>
        </w:rPr>
        <w:t xml:space="preserve"> because it goes beyond a detailed description of an event</w:t>
      </w:r>
      <w:r w:rsidR="00E20582" w:rsidRPr="00090BF9">
        <w:rPr>
          <w:rFonts w:ascii="Arial" w:hAnsi="Arial" w:cs="Arial"/>
          <w:sz w:val="22"/>
          <w:szCs w:val="22"/>
        </w:rPr>
        <w:t>’</w:t>
      </w:r>
      <w:r w:rsidR="006E75A3" w:rsidRPr="00090BF9">
        <w:rPr>
          <w:rFonts w:ascii="Arial" w:hAnsi="Arial" w:cs="Arial"/>
          <w:sz w:val="22"/>
          <w:szCs w:val="22"/>
        </w:rPr>
        <w:t xml:space="preserve"> (Griffin</w:t>
      </w:r>
      <w:r w:rsidR="00D351DE">
        <w:rPr>
          <w:rFonts w:ascii="Arial" w:hAnsi="Arial" w:cs="Arial"/>
          <w:sz w:val="22"/>
          <w:szCs w:val="22"/>
        </w:rPr>
        <w:t>,</w:t>
      </w:r>
      <w:r w:rsidR="00D87C73" w:rsidRPr="00090BF9">
        <w:rPr>
          <w:rFonts w:ascii="Arial" w:hAnsi="Arial" w:cs="Arial"/>
          <w:sz w:val="22"/>
          <w:szCs w:val="22"/>
        </w:rPr>
        <w:t xml:space="preserve"> 2003, p.</w:t>
      </w:r>
      <w:r w:rsidR="00D351DE">
        <w:rPr>
          <w:rFonts w:ascii="Arial" w:hAnsi="Arial" w:cs="Arial"/>
          <w:sz w:val="22"/>
          <w:szCs w:val="22"/>
        </w:rPr>
        <w:t xml:space="preserve"> </w:t>
      </w:r>
      <w:r w:rsidR="00D87C73" w:rsidRPr="00090BF9">
        <w:rPr>
          <w:rFonts w:ascii="Arial" w:hAnsi="Arial" w:cs="Arial"/>
          <w:sz w:val="22"/>
          <w:szCs w:val="22"/>
        </w:rPr>
        <w:t>208)</w:t>
      </w:r>
      <w:r w:rsidR="00E20582" w:rsidRPr="00090BF9">
        <w:rPr>
          <w:rFonts w:ascii="Arial" w:hAnsi="Arial" w:cs="Arial"/>
          <w:sz w:val="22"/>
          <w:szCs w:val="22"/>
        </w:rPr>
        <w:t>, and allows us to discuss the meaning of the event</w:t>
      </w:r>
      <w:r w:rsidR="006E75A3" w:rsidRPr="00090BF9">
        <w:rPr>
          <w:rFonts w:ascii="Arial" w:hAnsi="Arial" w:cs="Arial"/>
          <w:sz w:val="22"/>
          <w:szCs w:val="22"/>
        </w:rPr>
        <w:t>, whether that be the meaning to the child, the teacher, or the meaning to us, those studying critical incidents.</w:t>
      </w:r>
    </w:p>
    <w:p w14:paraId="13FAD165" w14:textId="1D13C910" w:rsidR="00A65410" w:rsidRDefault="00A65410" w:rsidP="00A50BFC">
      <w:pPr>
        <w:tabs>
          <w:tab w:val="left" w:pos="6087"/>
        </w:tabs>
        <w:spacing w:line="360" w:lineRule="auto"/>
        <w:rPr>
          <w:rFonts w:ascii="Arial" w:hAnsi="Arial" w:cs="Arial"/>
          <w:b/>
          <w:bCs/>
          <w:sz w:val="28"/>
          <w:szCs w:val="28"/>
        </w:rPr>
      </w:pPr>
      <w:r>
        <w:rPr>
          <w:rFonts w:ascii="Arial" w:hAnsi="Arial" w:cs="Arial"/>
          <w:b/>
          <w:bCs/>
          <w:sz w:val="28"/>
          <w:szCs w:val="28"/>
        </w:rPr>
        <w:lastRenderedPageBreak/>
        <w:t>Reference List</w:t>
      </w:r>
    </w:p>
    <w:p w14:paraId="1B152C9A" w14:textId="77777777" w:rsidR="00C11E2D" w:rsidRDefault="00C11E2D" w:rsidP="00A50BFC">
      <w:pPr>
        <w:tabs>
          <w:tab w:val="left" w:pos="6087"/>
        </w:tabs>
        <w:spacing w:line="360" w:lineRule="auto"/>
        <w:rPr>
          <w:rFonts w:ascii="Arial" w:hAnsi="Arial" w:cs="Arial"/>
          <w:b/>
          <w:bCs/>
          <w:sz w:val="28"/>
          <w:szCs w:val="28"/>
        </w:rPr>
      </w:pPr>
    </w:p>
    <w:p w14:paraId="23535E8E" w14:textId="1C6D2721" w:rsidR="00350327" w:rsidRDefault="00350327" w:rsidP="00350327">
      <w:pPr>
        <w:pStyle w:val="NormalWeb"/>
        <w:snapToGrid w:val="0"/>
        <w:spacing w:before="0" w:beforeAutospacing="0" w:after="0" w:afterAutospacing="0" w:line="360" w:lineRule="auto"/>
        <w:rPr>
          <w:rFonts w:ascii="Arial" w:hAnsi="Arial" w:cs="Arial"/>
          <w:sz w:val="22"/>
          <w:szCs w:val="22"/>
        </w:rPr>
      </w:pPr>
      <w:proofErr w:type="spellStart"/>
      <w:r w:rsidRPr="009D6E77">
        <w:rPr>
          <w:rFonts w:ascii="Arial" w:hAnsi="Arial" w:cs="Arial"/>
          <w:sz w:val="22"/>
          <w:szCs w:val="22"/>
        </w:rPr>
        <w:t>Andreou</w:t>
      </w:r>
      <w:proofErr w:type="spellEnd"/>
      <w:r w:rsidRPr="009D6E77">
        <w:rPr>
          <w:rFonts w:ascii="Arial" w:hAnsi="Arial" w:cs="Arial"/>
          <w:sz w:val="22"/>
          <w:szCs w:val="22"/>
        </w:rPr>
        <w:t xml:space="preserve">, T.E. </w:t>
      </w:r>
      <w:r w:rsidRPr="009D6E77">
        <w:rPr>
          <w:rFonts w:ascii="Arial" w:hAnsi="Arial" w:cs="Arial"/>
          <w:i/>
          <w:iCs/>
          <w:sz w:val="22"/>
          <w:szCs w:val="22"/>
        </w:rPr>
        <w:t>et al.</w:t>
      </w:r>
      <w:r w:rsidRPr="009D6E77">
        <w:rPr>
          <w:rFonts w:ascii="Arial" w:hAnsi="Arial" w:cs="Arial"/>
          <w:sz w:val="22"/>
          <w:szCs w:val="22"/>
        </w:rPr>
        <w:t xml:space="preserve"> (2014) “Critical incidents in sustaining school-wide positive </w:t>
      </w:r>
      <w:proofErr w:type="spellStart"/>
      <w:r w:rsidRPr="009D6E77">
        <w:rPr>
          <w:rFonts w:ascii="Arial" w:hAnsi="Arial" w:cs="Arial"/>
          <w:sz w:val="22"/>
          <w:szCs w:val="22"/>
        </w:rPr>
        <w:t>behavioral</w:t>
      </w:r>
      <w:proofErr w:type="spellEnd"/>
      <w:r w:rsidRPr="009D6E77">
        <w:rPr>
          <w:rFonts w:ascii="Arial" w:hAnsi="Arial" w:cs="Arial"/>
          <w:sz w:val="22"/>
          <w:szCs w:val="22"/>
        </w:rPr>
        <w:t xml:space="preserve"> </w:t>
      </w:r>
      <w:r w:rsidRPr="009D6E77">
        <w:rPr>
          <w:rFonts w:ascii="Arial" w:hAnsi="Arial" w:cs="Arial"/>
          <w:sz w:val="22"/>
          <w:szCs w:val="22"/>
        </w:rPr>
        <w:tab/>
        <w:t xml:space="preserve">interventions and supports,” </w:t>
      </w:r>
      <w:r w:rsidRPr="009D6E77">
        <w:rPr>
          <w:rFonts w:ascii="Arial" w:hAnsi="Arial" w:cs="Arial"/>
          <w:i/>
          <w:iCs/>
          <w:sz w:val="22"/>
          <w:szCs w:val="22"/>
        </w:rPr>
        <w:t>The Journal of Special Education</w:t>
      </w:r>
      <w:r w:rsidRPr="009D6E77">
        <w:rPr>
          <w:rFonts w:ascii="Arial" w:hAnsi="Arial" w:cs="Arial"/>
          <w:sz w:val="22"/>
          <w:szCs w:val="22"/>
        </w:rPr>
        <w:t xml:space="preserve">, 49(3), pp. 157–167. </w:t>
      </w:r>
      <w:r w:rsidRPr="009D6E77">
        <w:rPr>
          <w:rFonts w:ascii="Arial" w:hAnsi="Arial" w:cs="Arial"/>
          <w:sz w:val="22"/>
          <w:szCs w:val="22"/>
        </w:rPr>
        <w:tab/>
        <w:t xml:space="preserve">Available at: https://doi.org/10.1177/0022466914554298. [Accessed 28 October </w:t>
      </w:r>
      <w:r w:rsidRPr="009D6E77">
        <w:rPr>
          <w:rFonts w:ascii="Arial" w:hAnsi="Arial" w:cs="Arial"/>
          <w:sz w:val="22"/>
          <w:szCs w:val="22"/>
        </w:rPr>
        <w:tab/>
        <w:t>2022]</w:t>
      </w:r>
    </w:p>
    <w:p w14:paraId="2282E406" w14:textId="77777777" w:rsidR="00350327" w:rsidRPr="009D6E77" w:rsidRDefault="00350327" w:rsidP="00350327">
      <w:pPr>
        <w:pStyle w:val="NormalWeb"/>
        <w:snapToGrid w:val="0"/>
        <w:spacing w:before="0" w:beforeAutospacing="0" w:after="0" w:afterAutospacing="0" w:line="360" w:lineRule="auto"/>
        <w:rPr>
          <w:rFonts w:ascii="Arial" w:hAnsi="Arial" w:cs="Arial"/>
          <w:sz w:val="22"/>
          <w:szCs w:val="22"/>
        </w:rPr>
      </w:pPr>
    </w:p>
    <w:p w14:paraId="505F2D46" w14:textId="12727527" w:rsidR="00350327" w:rsidRDefault="00350327" w:rsidP="00350327">
      <w:pPr>
        <w:pStyle w:val="NormalWeb"/>
        <w:snapToGrid w:val="0"/>
        <w:spacing w:before="0" w:beforeAutospacing="0" w:after="0" w:afterAutospacing="0" w:line="360" w:lineRule="auto"/>
        <w:ind w:left="567" w:hanging="567"/>
        <w:rPr>
          <w:rFonts w:ascii="Arial" w:hAnsi="Arial" w:cs="Arial"/>
          <w:sz w:val="22"/>
          <w:szCs w:val="22"/>
        </w:rPr>
      </w:pPr>
      <w:proofErr w:type="spellStart"/>
      <w:r w:rsidRPr="009D6E77">
        <w:rPr>
          <w:rFonts w:ascii="Arial" w:hAnsi="Arial" w:cs="Arial"/>
          <w:sz w:val="22"/>
          <w:szCs w:val="22"/>
        </w:rPr>
        <w:t>Badia</w:t>
      </w:r>
      <w:proofErr w:type="spellEnd"/>
      <w:r w:rsidRPr="009D6E77">
        <w:rPr>
          <w:rFonts w:ascii="Arial" w:hAnsi="Arial" w:cs="Arial"/>
          <w:sz w:val="22"/>
          <w:szCs w:val="22"/>
        </w:rPr>
        <w:t xml:space="preserve">, A., </w:t>
      </w:r>
      <w:proofErr w:type="spellStart"/>
      <w:r w:rsidRPr="009D6E77">
        <w:rPr>
          <w:rFonts w:ascii="Arial" w:hAnsi="Arial" w:cs="Arial"/>
          <w:sz w:val="22"/>
          <w:szCs w:val="22"/>
        </w:rPr>
        <w:t>Becerril</w:t>
      </w:r>
      <w:proofErr w:type="spellEnd"/>
      <w:r w:rsidRPr="009D6E77">
        <w:rPr>
          <w:rFonts w:ascii="Arial" w:hAnsi="Arial" w:cs="Arial"/>
          <w:sz w:val="22"/>
          <w:szCs w:val="22"/>
        </w:rPr>
        <w:t xml:space="preserve">, L. and Gómez, M. (2021) “Four types of teachers’ voices on critical incidents in teaching,” </w:t>
      </w:r>
      <w:r w:rsidRPr="009D6E77">
        <w:rPr>
          <w:rFonts w:ascii="Arial" w:hAnsi="Arial" w:cs="Arial"/>
          <w:i/>
          <w:iCs/>
          <w:sz w:val="22"/>
          <w:szCs w:val="22"/>
        </w:rPr>
        <w:t>Teacher Development</w:t>
      </w:r>
      <w:r w:rsidRPr="009D6E77">
        <w:rPr>
          <w:rFonts w:ascii="Arial" w:hAnsi="Arial" w:cs="Arial"/>
          <w:sz w:val="22"/>
          <w:szCs w:val="22"/>
        </w:rPr>
        <w:t>, 25(2), pp. 120–135. Available at: https://doi.org/10.1080/13664530.2021.1882549. [Accessed 21 October 2022]</w:t>
      </w:r>
    </w:p>
    <w:p w14:paraId="4C050AC5" w14:textId="77777777" w:rsidR="00350327" w:rsidRPr="009D6E77" w:rsidRDefault="00350327" w:rsidP="00350327">
      <w:pPr>
        <w:pStyle w:val="NormalWeb"/>
        <w:snapToGrid w:val="0"/>
        <w:spacing w:before="0" w:beforeAutospacing="0" w:after="0" w:afterAutospacing="0" w:line="360" w:lineRule="auto"/>
        <w:ind w:left="567" w:hanging="567"/>
        <w:rPr>
          <w:rFonts w:ascii="Arial" w:hAnsi="Arial" w:cs="Arial"/>
          <w:sz w:val="22"/>
          <w:szCs w:val="22"/>
        </w:rPr>
      </w:pPr>
    </w:p>
    <w:p w14:paraId="6E58BF67" w14:textId="77777777" w:rsidR="00350327" w:rsidRPr="009D6E77" w:rsidRDefault="00350327" w:rsidP="00350327">
      <w:pPr>
        <w:pStyle w:val="NormalWeb"/>
        <w:snapToGrid w:val="0"/>
        <w:spacing w:before="0" w:beforeAutospacing="0" w:after="0" w:afterAutospacing="0" w:line="360" w:lineRule="auto"/>
        <w:ind w:left="567" w:hanging="567"/>
        <w:rPr>
          <w:rFonts w:ascii="Arial" w:hAnsi="Arial" w:cs="Arial"/>
          <w:sz w:val="22"/>
          <w:szCs w:val="22"/>
        </w:rPr>
      </w:pPr>
      <w:r w:rsidRPr="009D6E77">
        <w:rPr>
          <w:rFonts w:ascii="Arial" w:hAnsi="Arial" w:cs="Arial"/>
          <w:sz w:val="22"/>
          <w:szCs w:val="22"/>
        </w:rPr>
        <w:t xml:space="preserve">Brock, M.E. </w:t>
      </w:r>
      <w:r w:rsidRPr="009D6E77">
        <w:rPr>
          <w:rFonts w:ascii="Arial" w:hAnsi="Arial" w:cs="Arial"/>
          <w:i/>
          <w:iCs/>
          <w:sz w:val="22"/>
          <w:szCs w:val="22"/>
        </w:rPr>
        <w:t>et al.</w:t>
      </w:r>
      <w:r w:rsidRPr="009D6E77">
        <w:rPr>
          <w:rFonts w:ascii="Arial" w:hAnsi="Arial" w:cs="Arial"/>
          <w:sz w:val="22"/>
          <w:szCs w:val="22"/>
        </w:rPr>
        <w:t xml:space="preserve"> (2015) “Implementation and generalization of peer support arrangements for students with severe disabilities in inclusive classrooms,” </w:t>
      </w:r>
      <w:r w:rsidRPr="009D6E77">
        <w:rPr>
          <w:rFonts w:ascii="Arial" w:hAnsi="Arial" w:cs="Arial"/>
          <w:i/>
          <w:iCs/>
          <w:sz w:val="22"/>
          <w:szCs w:val="22"/>
        </w:rPr>
        <w:t>The Journal of Special Education</w:t>
      </w:r>
      <w:r w:rsidRPr="009D6E77">
        <w:rPr>
          <w:rFonts w:ascii="Arial" w:hAnsi="Arial" w:cs="Arial"/>
          <w:sz w:val="22"/>
          <w:szCs w:val="22"/>
        </w:rPr>
        <w:t>, 49(4), pp. 221–232. Available at: https://doi.org/10.1177/0022466915594368. [Accessed 15 October 2022]</w:t>
      </w:r>
    </w:p>
    <w:p w14:paraId="5DB3BE9D" w14:textId="77777777" w:rsidR="00350327" w:rsidRPr="009D6E77" w:rsidRDefault="00350327" w:rsidP="00350327">
      <w:pPr>
        <w:pStyle w:val="NormalWeb"/>
        <w:spacing w:line="360" w:lineRule="auto"/>
        <w:ind w:left="567" w:hanging="567"/>
        <w:rPr>
          <w:rFonts w:ascii="Arial" w:hAnsi="Arial" w:cs="Arial"/>
          <w:sz w:val="22"/>
          <w:szCs w:val="22"/>
        </w:rPr>
      </w:pPr>
      <w:r w:rsidRPr="009D6E77">
        <w:rPr>
          <w:rFonts w:ascii="Arial" w:hAnsi="Arial" w:cs="Arial"/>
          <w:sz w:val="22"/>
          <w:szCs w:val="22"/>
        </w:rPr>
        <w:t xml:space="preserve">Brookfield, S. (1998) “Critically reflective practice,” </w:t>
      </w:r>
      <w:r w:rsidRPr="009D6E77">
        <w:rPr>
          <w:rFonts w:ascii="Arial" w:hAnsi="Arial" w:cs="Arial"/>
          <w:i/>
          <w:iCs/>
          <w:sz w:val="22"/>
          <w:szCs w:val="22"/>
        </w:rPr>
        <w:t>Journal of Continuing Education in the Health Professions</w:t>
      </w:r>
      <w:r w:rsidRPr="009D6E77">
        <w:rPr>
          <w:rFonts w:ascii="Arial" w:hAnsi="Arial" w:cs="Arial"/>
          <w:sz w:val="22"/>
          <w:szCs w:val="22"/>
        </w:rPr>
        <w:t>, 18(4), pp. 197–205. Available at: https://doi.org/10.1002/chp.1340180402. [Accessed 15 October 2022]</w:t>
      </w:r>
    </w:p>
    <w:p w14:paraId="53A471F6" w14:textId="787B0AD8" w:rsidR="00350327" w:rsidRDefault="00350327" w:rsidP="00350327">
      <w:pPr>
        <w:snapToGrid w:val="0"/>
        <w:spacing w:line="360" w:lineRule="auto"/>
        <w:rPr>
          <w:rFonts w:ascii="Arial" w:hAnsi="Arial" w:cs="Arial"/>
          <w:sz w:val="22"/>
          <w:szCs w:val="22"/>
        </w:rPr>
      </w:pPr>
      <w:r w:rsidRPr="009D6E77">
        <w:rPr>
          <w:rFonts w:ascii="Arial" w:hAnsi="Arial" w:cs="Arial"/>
          <w:color w:val="000000" w:themeColor="text1"/>
          <w:sz w:val="22"/>
          <w:szCs w:val="22"/>
        </w:rPr>
        <w:t xml:space="preserve">Carmel, C. and Matt Hutt, M. (2020) “Successful futures for all? Additional learning needs in </w:t>
      </w:r>
      <w:r w:rsidRPr="009D6E77">
        <w:rPr>
          <w:rFonts w:ascii="Arial" w:hAnsi="Arial" w:cs="Arial"/>
          <w:color w:val="000000" w:themeColor="text1"/>
          <w:sz w:val="22"/>
          <w:szCs w:val="22"/>
        </w:rPr>
        <w:tab/>
        <w:t xml:space="preserve">Wales in the light of curriculum reform,” </w:t>
      </w:r>
      <w:r w:rsidRPr="009D6E77">
        <w:rPr>
          <w:rFonts w:ascii="Arial" w:hAnsi="Arial" w:cs="Arial"/>
          <w:i/>
          <w:iCs/>
          <w:color w:val="000000" w:themeColor="text1"/>
          <w:sz w:val="22"/>
          <w:szCs w:val="22"/>
        </w:rPr>
        <w:t>British Journal of Special Education</w:t>
      </w:r>
      <w:r w:rsidRPr="009D6E77">
        <w:rPr>
          <w:rFonts w:ascii="Arial" w:hAnsi="Arial" w:cs="Arial"/>
          <w:color w:val="000000" w:themeColor="text1"/>
          <w:sz w:val="22"/>
          <w:szCs w:val="22"/>
        </w:rPr>
        <w:t xml:space="preserve">, 47(2). </w:t>
      </w:r>
      <w:r w:rsidRPr="009D6E77">
        <w:rPr>
          <w:rFonts w:ascii="Arial" w:hAnsi="Arial" w:cs="Arial"/>
          <w:color w:val="000000" w:themeColor="text1"/>
          <w:sz w:val="22"/>
          <w:szCs w:val="22"/>
        </w:rPr>
        <w:tab/>
        <w:t>pp. 152-169. Available at: https://doi.org/</w:t>
      </w:r>
      <w:r w:rsidRPr="009D6E77">
        <w:rPr>
          <w:rFonts w:ascii="Arial" w:hAnsi="Arial" w:cs="Arial"/>
          <w:sz w:val="22"/>
          <w:szCs w:val="22"/>
        </w:rPr>
        <w:t xml:space="preserve"> 10.1111/1467-8578.12307. [Accessed 17 </w:t>
      </w:r>
      <w:r w:rsidRPr="009D6E77">
        <w:rPr>
          <w:rFonts w:ascii="Arial" w:hAnsi="Arial" w:cs="Arial"/>
          <w:sz w:val="22"/>
          <w:szCs w:val="22"/>
        </w:rPr>
        <w:tab/>
        <w:t>October 2022]</w:t>
      </w:r>
    </w:p>
    <w:p w14:paraId="235BF429" w14:textId="77777777" w:rsidR="00350327" w:rsidRPr="009D6E77" w:rsidRDefault="00350327" w:rsidP="00350327">
      <w:pPr>
        <w:snapToGrid w:val="0"/>
        <w:spacing w:line="360" w:lineRule="auto"/>
        <w:rPr>
          <w:rFonts w:ascii="Arial" w:hAnsi="Arial" w:cs="Arial"/>
          <w:color w:val="000000" w:themeColor="text1"/>
          <w:sz w:val="22"/>
          <w:szCs w:val="22"/>
        </w:rPr>
      </w:pPr>
    </w:p>
    <w:p w14:paraId="66B4DDE8" w14:textId="19B28DC2" w:rsidR="00350327" w:rsidRDefault="00350327" w:rsidP="00350327">
      <w:pPr>
        <w:snapToGrid w:val="0"/>
        <w:spacing w:line="360" w:lineRule="auto"/>
        <w:rPr>
          <w:rFonts w:ascii="Arial" w:hAnsi="Arial" w:cs="Arial"/>
          <w:color w:val="000000" w:themeColor="text1"/>
          <w:sz w:val="22"/>
          <w:szCs w:val="22"/>
        </w:rPr>
      </w:pPr>
      <w:r w:rsidRPr="009D6E77">
        <w:rPr>
          <w:rFonts w:ascii="Arial" w:hAnsi="Arial" w:cs="Arial"/>
          <w:color w:val="000000" w:themeColor="text1"/>
          <w:sz w:val="22"/>
          <w:szCs w:val="22"/>
        </w:rPr>
        <w:t xml:space="preserve">Chaney, P. (2012) “Additional learning needs policy in the devolved polities of the UK: a </w:t>
      </w:r>
      <w:r w:rsidRPr="009D6E77">
        <w:rPr>
          <w:rFonts w:ascii="Arial" w:hAnsi="Arial" w:cs="Arial"/>
          <w:color w:val="000000" w:themeColor="text1"/>
          <w:sz w:val="22"/>
          <w:szCs w:val="22"/>
        </w:rPr>
        <w:tab/>
        <w:t xml:space="preserve">systems perspective,” </w:t>
      </w:r>
      <w:r w:rsidRPr="009D6E77">
        <w:rPr>
          <w:rFonts w:ascii="Arial" w:hAnsi="Arial" w:cs="Arial"/>
          <w:i/>
          <w:iCs/>
          <w:color w:val="000000" w:themeColor="text1"/>
          <w:sz w:val="22"/>
          <w:szCs w:val="22"/>
        </w:rPr>
        <w:t>Journal of Research in Special Educational Needs</w:t>
      </w:r>
      <w:r w:rsidRPr="009D6E77">
        <w:rPr>
          <w:rFonts w:ascii="Arial" w:hAnsi="Arial" w:cs="Arial"/>
          <w:color w:val="000000" w:themeColor="text1"/>
          <w:sz w:val="22"/>
          <w:szCs w:val="22"/>
        </w:rPr>
        <w:t xml:space="preserve">, 12(1), pp. </w:t>
      </w:r>
      <w:r w:rsidRPr="009D6E77">
        <w:rPr>
          <w:rFonts w:ascii="Arial" w:hAnsi="Arial" w:cs="Arial"/>
          <w:color w:val="000000" w:themeColor="text1"/>
          <w:sz w:val="22"/>
          <w:szCs w:val="22"/>
        </w:rPr>
        <w:tab/>
        <w:t xml:space="preserve">28–36. Available at </w:t>
      </w:r>
      <w:hyperlink r:id="rId8" w:history="1">
        <w:r w:rsidRPr="009D6E77">
          <w:rPr>
            <w:rStyle w:val="Hyperlink"/>
            <w:rFonts w:ascii="Arial" w:hAnsi="Arial" w:cs="Arial"/>
            <w:sz w:val="22"/>
            <w:szCs w:val="22"/>
          </w:rPr>
          <w:t>https://doi.org/10.1111/j.1471-3802.2011.01207.x</w:t>
        </w:r>
      </w:hyperlink>
      <w:r w:rsidRPr="009D6E77">
        <w:rPr>
          <w:rFonts w:ascii="Arial" w:hAnsi="Arial" w:cs="Arial"/>
          <w:color w:val="000000" w:themeColor="text1"/>
          <w:sz w:val="22"/>
          <w:szCs w:val="22"/>
        </w:rPr>
        <w:t xml:space="preserve">. [Accessed 15 </w:t>
      </w:r>
      <w:r w:rsidRPr="009D6E77">
        <w:rPr>
          <w:rFonts w:ascii="Arial" w:hAnsi="Arial" w:cs="Arial"/>
          <w:color w:val="000000" w:themeColor="text1"/>
          <w:sz w:val="22"/>
          <w:szCs w:val="22"/>
        </w:rPr>
        <w:tab/>
        <w:t>October 2022]</w:t>
      </w:r>
    </w:p>
    <w:p w14:paraId="71F4FC2D" w14:textId="77777777" w:rsidR="00350327" w:rsidRPr="009D6E77" w:rsidRDefault="00350327" w:rsidP="00350327">
      <w:pPr>
        <w:snapToGrid w:val="0"/>
        <w:spacing w:line="360" w:lineRule="auto"/>
        <w:rPr>
          <w:rFonts w:ascii="Arial" w:hAnsi="Arial" w:cs="Arial"/>
          <w:color w:val="000000" w:themeColor="text1"/>
          <w:sz w:val="22"/>
          <w:szCs w:val="22"/>
        </w:rPr>
      </w:pPr>
    </w:p>
    <w:p w14:paraId="43B1EA91" w14:textId="5E7B4D19" w:rsidR="00350327" w:rsidRDefault="00350327" w:rsidP="00350327">
      <w:pPr>
        <w:pStyle w:val="NormalWeb"/>
        <w:snapToGrid w:val="0"/>
        <w:spacing w:before="0" w:beforeAutospacing="0" w:after="0" w:afterAutospacing="0" w:line="360" w:lineRule="auto"/>
        <w:ind w:left="567" w:hanging="567"/>
        <w:rPr>
          <w:rFonts w:ascii="Arial" w:hAnsi="Arial" w:cs="Arial"/>
          <w:sz w:val="22"/>
          <w:szCs w:val="22"/>
        </w:rPr>
      </w:pPr>
      <w:r w:rsidRPr="009D6E77">
        <w:rPr>
          <w:rFonts w:ascii="Arial" w:hAnsi="Arial" w:cs="Arial"/>
          <w:sz w:val="22"/>
          <w:szCs w:val="22"/>
        </w:rPr>
        <w:t xml:space="preserve">Dewey, J. (1933) </w:t>
      </w:r>
      <w:r w:rsidRPr="009D6E77">
        <w:rPr>
          <w:rFonts w:ascii="Arial" w:hAnsi="Arial" w:cs="Arial"/>
          <w:i/>
          <w:iCs/>
          <w:sz w:val="22"/>
          <w:szCs w:val="22"/>
        </w:rPr>
        <w:t>How we think: A testament of the relation of reflective thinking to the educative process</w:t>
      </w:r>
      <w:r w:rsidRPr="009D6E77">
        <w:rPr>
          <w:rFonts w:ascii="Arial" w:hAnsi="Arial" w:cs="Arial"/>
          <w:sz w:val="22"/>
          <w:szCs w:val="22"/>
        </w:rPr>
        <w:t xml:space="preserve">. Chicago: D. C. Heath. </w:t>
      </w:r>
    </w:p>
    <w:p w14:paraId="3B499093" w14:textId="77777777" w:rsidR="00350327" w:rsidRPr="009D6E77" w:rsidRDefault="00350327" w:rsidP="00350327">
      <w:pPr>
        <w:pStyle w:val="NormalWeb"/>
        <w:snapToGrid w:val="0"/>
        <w:spacing w:before="0" w:beforeAutospacing="0" w:after="0" w:afterAutospacing="0" w:line="360" w:lineRule="auto"/>
        <w:ind w:left="567" w:hanging="567"/>
        <w:rPr>
          <w:rFonts w:ascii="Arial" w:hAnsi="Arial" w:cs="Arial"/>
          <w:sz w:val="22"/>
          <w:szCs w:val="22"/>
        </w:rPr>
      </w:pPr>
    </w:p>
    <w:p w14:paraId="1B809BFD" w14:textId="045CF2D8" w:rsidR="00350327" w:rsidRDefault="00350327" w:rsidP="00350327">
      <w:pPr>
        <w:snapToGrid w:val="0"/>
        <w:spacing w:line="360" w:lineRule="auto"/>
        <w:rPr>
          <w:rFonts w:ascii="Arial" w:hAnsi="Arial" w:cs="Arial"/>
          <w:color w:val="000000" w:themeColor="text1"/>
          <w:sz w:val="22"/>
          <w:szCs w:val="22"/>
        </w:rPr>
      </w:pPr>
      <w:r w:rsidRPr="009D6E77">
        <w:rPr>
          <w:rFonts w:ascii="Arial" w:hAnsi="Arial" w:cs="Arial"/>
          <w:color w:val="000000" w:themeColor="text1"/>
          <w:sz w:val="22"/>
          <w:szCs w:val="22"/>
        </w:rPr>
        <w:t xml:space="preserve">Estyn Report (2018). Available at: </w:t>
      </w:r>
      <w:hyperlink r:id="rId9" w:history="1">
        <w:r w:rsidRPr="003D0062">
          <w:rPr>
            <w:rStyle w:val="Hyperlink"/>
            <w:rFonts w:ascii="Arial" w:hAnsi="Arial" w:cs="Arial"/>
            <w:sz w:val="22"/>
            <w:szCs w:val="22"/>
          </w:rPr>
          <w:t>https://www.estyn.gov.wales/provider/6702036</w:t>
        </w:r>
      </w:hyperlink>
    </w:p>
    <w:p w14:paraId="6D73E923" w14:textId="77777777" w:rsidR="00350327" w:rsidRPr="009D6E77" w:rsidRDefault="00350327" w:rsidP="00350327">
      <w:pPr>
        <w:snapToGrid w:val="0"/>
        <w:spacing w:line="360" w:lineRule="auto"/>
        <w:rPr>
          <w:rFonts w:ascii="Arial" w:hAnsi="Arial" w:cs="Arial"/>
          <w:color w:val="000000" w:themeColor="text1"/>
          <w:sz w:val="22"/>
          <w:szCs w:val="22"/>
        </w:rPr>
      </w:pPr>
    </w:p>
    <w:p w14:paraId="45B17977" w14:textId="77777777" w:rsidR="00350327" w:rsidRDefault="00350327" w:rsidP="00350327">
      <w:pPr>
        <w:snapToGrid w:val="0"/>
        <w:spacing w:line="360" w:lineRule="auto"/>
        <w:rPr>
          <w:rFonts w:ascii="Arial" w:hAnsi="Arial" w:cs="Arial"/>
          <w:color w:val="000000" w:themeColor="text1"/>
          <w:sz w:val="22"/>
          <w:szCs w:val="22"/>
        </w:rPr>
      </w:pPr>
    </w:p>
    <w:p w14:paraId="2FECEE2F" w14:textId="5B4EA3AA" w:rsidR="00350327" w:rsidRDefault="00350327" w:rsidP="00350327">
      <w:pPr>
        <w:snapToGrid w:val="0"/>
        <w:spacing w:line="360" w:lineRule="auto"/>
        <w:rPr>
          <w:rFonts w:ascii="Arial" w:hAnsi="Arial" w:cs="Arial"/>
          <w:color w:val="000000" w:themeColor="text1"/>
          <w:sz w:val="22"/>
          <w:szCs w:val="22"/>
        </w:rPr>
      </w:pPr>
      <w:proofErr w:type="spellStart"/>
      <w:r w:rsidRPr="009D6E77">
        <w:rPr>
          <w:rFonts w:ascii="Arial" w:hAnsi="Arial" w:cs="Arial"/>
          <w:color w:val="000000" w:themeColor="text1"/>
          <w:sz w:val="22"/>
          <w:szCs w:val="22"/>
        </w:rPr>
        <w:lastRenderedPageBreak/>
        <w:t>Farell</w:t>
      </w:r>
      <w:proofErr w:type="spellEnd"/>
      <w:r w:rsidRPr="009D6E77">
        <w:rPr>
          <w:rFonts w:ascii="Arial" w:hAnsi="Arial" w:cs="Arial"/>
          <w:color w:val="000000" w:themeColor="text1"/>
          <w:sz w:val="22"/>
          <w:szCs w:val="22"/>
        </w:rPr>
        <w:t xml:space="preserve">, P. (2012) Inclusive education for children with special educational needs: current </w:t>
      </w:r>
      <w:r w:rsidRPr="009D6E77">
        <w:rPr>
          <w:rFonts w:ascii="Arial" w:hAnsi="Arial" w:cs="Arial"/>
          <w:color w:val="000000" w:themeColor="text1"/>
          <w:sz w:val="22"/>
          <w:szCs w:val="22"/>
        </w:rPr>
        <w:tab/>
        <w:t xml:space="preserve">uncertainties and future directions. In Armstrong, D and Squires, G. eds </w:t>
      </w:r>
      <w:r w:rsidRPr="009D6E77">
        <w:rPr>
          <w:rFonts w:ascii="Arial" w:hAnsi="Arial" w:cs="Arial"/>
          <w:color w:val="000000" w:themeColor="text1"/>
          <w:sz w:val="22"/>
          <w:szCs w:val="22"/>
        </w:rPr>
        <w:tab/>
      </w:r>
      <w:r w:rsidRPr="009D6E77">
        <w:rPr>
          <w:rFonts w:ascii="Arial" w:hAnsi="Arial" w:cs="Arial"/>
          <w:i/>
          <w:iCs/>
          <w:color w:val="000000" w:themeColor="text1"/>
          <w:sz w:val="22"/>
          <w:szCs w:val="22"/>
        </w:rPr>
        <w:t>Contemporary Issues in Special Educational Needs: Considering the Whole Child</w:t>
      </w:r>
      <w:r w:rsidRPr="009D6E77">
        <w:rPr>
          <w:rFonts w:ascii="Arial" w:hAnsi="Arial" w:cs="Arial"/>
          <w:color w:val="000000" w:themeColor="text1"/>
          <w:sz w:val="22"/>
          <w:szCs w:val="22"/>
        </w:rPr>
        <w:t xml:space="preserve">, </w:t>
      </w:r>
      <w:r w:rsidRPr="009D6E77">
        <w:rPr>
          <w:rFonts w:ascii="Arial" w:hAnsi="Arial" w:cs="Arial"/>
          <w:color w:val="000000" w:themeColor="text1"/>
          <w:sz w:val="22"/>
          <w:szCs w:val="22"/>
        </w:rPr>
        <w:tab/>
        <w:t xml:space="preserve">[Online]. McGraw-Hill Education, pp. 35-47, [Accessed 21 October 2022] Available </w:t>
      </w:r>
      <w:r w:rsidRPr="009D6E77">
        <w:rPr>
          <w:rFonts w:ascii="Arial" w:hAnsi="Arial" w:cs="Arial"/>
          <w:color w:val="000000" w:themeColor="text1"/>
          <w:sz w:val="22"/>
          <w:szCs w:val="22"/>
        </w:rPr>
        <w:tab/>
        <w:t xml:space="preserve">from: </w:t>
      </w:r>
      <w:hyperlink r:id="rId10" w:history="1">
        <w:r w:rsidRPr="003D0062">
          <w:rPr>
            <w:rStyle w:val="Hyperlink"/>
            <w:rFonts w:ascii="Arial" w:hAnsi="Arial" w:cs="Arial"/>
            <w:sz w:val="22"/>
            <w:szCs w:val="22"/>
          </w:rPr>
          <w:t>https://ebookcentral.proquest.com/lib/trinity/reader.action?docID=915553</w:t>
        </w:r>
      </w:hyperlink>
    </w:p>
    <w:p w14:paraId="076C28C5" w14:textId="77777777" w:rsidR="00350327" w:rsidRPr="009D6E77" w:rsidRDefault="00350327" w:rsidP="00350327">
      <w:pPr>
        <w:snapToGrid w:val="0"/>
        <w:spacing w:line="360" w:lineRule="auto"/>
        <w:rPr>
          <w:rFonts w:ascii="Arial" w:hAnsi="Arial" w:cs="Arial"/>
          <w:color w:val="000000" w:themeColor="text1"/>
          <w:sz w:val="22"/>
          <w:szCs w:val="22"/>
        </w:rPr>
      </w:pPr>
    </w:p>
    <w:p w14:paraId="2F7A6089" w14:textId="72E99E13" w:rsidR="00350327" w:rsidRDefault="00350327" w:rsidP="00350327">
      <w:pPr>
        <w:pStyle w:val="NormalWeb"/>
        <w:snapToGrid w:val="0"/>
        <w:spacing w:before="0" w:beforeAutospacing="0" w:after="0" w:afterAutospacing="0" w:line="360" w:lineRule="auto"/>
        <w:ind w:left="567" w:hanging="567"/>
        <w:rPr>
          <w:rFonts w:ascii="Arial" w:hAnsi="Arial" w:cs="Arial"/>
          <w:sz w:val="22"/>
          <w:szCs w:val="22"/>
        </w:rPr>
      </w:pPr>
      <w:r w:rsidRPr="009D6E77">
        <w:rPr>
          <w:rFonts w:ascii="Arial" w:hAnsi="Arial" w:cs="Arial"/>
          <w:sz w:val="22"/>
          <w:szCs w:val="22"/>
        </w:rPr>
        <w:t xml:space="preserve">Finley, L. (2008) </w:t>
      </w:r>
      <w:r w:rsidRPr="009D6E77">
        <w:rPr>
          <w:rFonts w:ascii="Arial" w:hAnsi="Arial" w:cs="Arial"/>
          <w:i/>
          <w:iCs/>
          <w:sz w:val="22"/>
          <w:szCs w:val="22"/>
        </w:rPr>
        <w:t>Reflecting on ‘reflective practice’ - ncsce.net</w:t>
      </w:r>
      <w:r w:rsidRPr="009D6E77">
        <w:rPr>
          <w:rFonts w:ascii="Arial" w:hAnsi="Arial" w:cs="Arial"/>
          <w:sz w:val="22"/>
          <w:szCs w:val="22"/>
        </w:rPr>
        <w:t xml:space="preserve">, </w:t>
      </w:r>
      <w:r w:rsidRPr="009D6E77">
        <w:rPr>
          <w:rFonts w:ascii="Arial" w:hAnsi="Arial" w:cs="Arial"/>
          <w:i/>
          <w:iCs/>
          <w:sz w:val="22"/>
          <w:szCs w:val="22"/>
        </w:rPr>
        <w:t>ncsce.net</w:t>
      </w:r>
      <w:r w:rsidRPr="009D6E77">
        <w:rPr>
          <w:rFonts w:ascii="Arial" w:hAnsi="Arial" w:cs="Arial"/>
          <w:sz w:val="22"/>
          <w:szCs w:val="22"/>
        </w:rPr>
        <w:t xml:space="preserve">. Available at: https://ncsce.net/wp-content/uploads/2016/10/Finlay-2008-Reflecting-on-reflective-practice-PBPL-paper-52.pdf [Accessed: October 24, 2022]. </w:t>
      </w:r>
    </w:p>
    <w:p w14:paraId="07623FA2" w14:textId="77777777" w:rsidR="00350327" w:rsidRPr="009D6E77" w:rsidRDefault="00350327" w:rsidP="00350327">
      <w:pPr>
        <w:pStyle w:val="NormalWeb"/>
        <w:snapToGrid w:val="0"/>
        <w:spacing w:before="0" w:beforeAutospacing="0" w:after="0" w:afterAutospacing="0" w:line="360" w:lineRule="auto"/>
        <w:ind w:left="567" w:hanging="567"/>
        <w:rPr>
          <w:rFonts w:ascii="Arial" w:hAnsi="Arial" w:cs="Arial"/>
          <w:sz w:val="22"/>
          <w:szCs w:val="22"/>
        </w:rPr>
      </w:pPr>
    </w:p>
    <w:p w14:paraId="04D62AFC" w14:textId="5F2FDFB9" w:rsidR="00350327" w:rsidRDefault="00350327" w:rsidP="00350327">
      <w:pPr>
        <w:snapToGrid w:val="0"/>
        <w:spacing w:line="360" w:lineRule="auto"/>
        <w:rPr>
          <w:rFonts w:ascii="Arial" w:hAnsi="Arial" w:cs="Arial"/>
          <w:color w:val="000000" w:themeColor="text1"/>
          <w:sz w:val="22"/>
          <w:szCs w:val="22"/>
        </w:rPr>
      </w:pPr>
      <w:r w:rsidRPr="009D6E77">
        <w:rPr>
          <w:rFonts w:ascii="Arial" w:hAnsi="Arial" w:cs="Arial"/>
          <w:color w:val="000000" w:themeColor="text1"/>
          <w:sz w:val="22"/>
          <w:szCs w:val="22"/>
        </w:rPr>
        <w:t xml:space="preserve">Griffin, M.L. (2003) “Using Critical Incidents to Promote and Assess Reflective Thinking in </w:t>
      </w:r>
      <w:r w:rsidRPr="009D6E77">
        <w:rPr>
          <w:rFonts w:ascii="Arial" w:hAnsi="Arial" w:cs="Arial"/>
          <w:color w:val="000000" w:themeColor="text1"/>
          <w:sz w:val="22"/>
          <w:szCs w:val="22"/>
        </w:rPr>
        <w:tab/>
        <w:t xml:space="preserve">Preservice Teachers,” </w:t>
      </w:r>
      <w:r w:rsidRPr="009D6E77">
        <w:rPr>
          <w:rFonts w:ascii="Arial" w:hAnsi="Arial" w:cs="Arial"/>
          <w:i/>
          <w:iCs/>
          <w:color w:val="000000" w:themeColor="text1"/>
          <w:sz w:val="22"/>
          <w:szCs w:val="22"/>
        </w:rPr>
        <w:t>Reflective Practice</w:t>
      </w:r>
      <w:r w:rsidRPr="009D6E77">
        <w:rPr>
          <w:rFonts w:ascii="Arial" w:hAnsi="Arial" w:cs="Arial"/>
          <w:color w:val="000000" w:themeColor="text1"/>
          <w:sz w:val="22"/>
          <w:szCs w:val="22"/>
        </w:rPr>
        <w:t xml:space="preserve">, 4(2), pp. 207-220. Available at: </w:t>
      </w:r>
      <w:r w:rsidRPr="009D6E77">
        <w:rPr>
          <w:rFonts w:ascii="Arial" w:hAnsi="Arial" w:cs="Arial"/>
          <w:color w:val="000000" w:themeColor="text1"/>
          <w:sz w:val="22"/>
          <w:szCs w:val="22"/>
        </w:rPr>
        <w:tab/>
      </w:r>
      <w:hyperlink r:id="rId11" w:history="1">
        <w:r w:rsidRPr="009D6E77">
          <w:rPr>
            <w:rStyle w:val="Hyperlink"/>
            <w:rFonts w:ascii="Arial" w:hAnsi="Arial" w:cs="Arial"/>
            <w:sz w:val="22"/>
            <w:szCs w:val="22"/>
          </w:rPr>
          <w:t>https://doi.org/10.1080/14623940308274</w:t>
        </w:r>
      </w:hyperlink>
      <w:r w:rsidRPr="009D6E77">
        <w:rPr>
          <w:rFonts w:ascii="Arial" w:hAnsi="Arial" w:cs="Arial"/>
          <w:color w:val="000000" w:themeColor="text1"/>
          <w:sz w:val="22"/>
          <w:szCs w:val="22"/>
        </w:rPr>
        <w:t>. [Accessed 20 October 2022]</w:t>
      </w:r>
    </w:p>
    <w:p w14:paraId="4AA6AD0C" w14:textId="77777777" w:rsidR="00350327" w:rsidRPr="009D6E77" w:rsidRDefault="00350327" w:rsidP="00350327">
      <w:pPr>
        <w:snapToGrid w:val="0"/>
        <w:spacing w:line="360" w:lineRule="auto"/>
        <w:rPr>
          <w:rFonts w:ascii="Arial" w:hAnsi="Arial" w:cs="Arial"/>
          <w:color w:val="000000" w:themeColor="text1"/>
          <w:sz w:val="22"/>
          <w:szCs w:val="22"/>
        </w:rPr>
      </w:pPr>
    </w:p>
    <w:p w14:paraId="273BB667" w14:textId="77499453" w:rsidR="00350327" w:rsidRDefault="00350327" w:rsidP="00350327">
      <w:pPr>
        <w:snapToGrid w:val="0"/>
        <w:spacing w:line="360" w:lineRule="auto"/>
        <w:rPr>
          <w:rFonts w:ascii="Arial" w:hAnsi="Arial" w:cs="Arial"/>
          <w:color w:val="000000" w:themeColor="text1"/>
          <w:sz w:val="22"/>
          <w:szCs w:val="22"/>
        </w:rPr>
      </w:pPr>
      <w:proofErr w:type="spellStart"/>
      <w:r w:rsidRPr="009D6E77">
        <w:rPr>
          <w:rFonts w:ascii="Arial" w:hAnsi="Arial" w:cs="Arial"/>
          <w:color w:val="000000" w:themeColor="text1"/>
          <w:sz w:val="22"/>
          <w:szCs w:val="22"/>
        </w:rPr>
        <w:t>Hanhimäki</w:t>
      </w:r>
      <w:proofErr w:type="spellEnd"/>
      <w:r w:rsidRPr="009D6E77">
        <w:rPr>
          <w:rFonts w:ascii="Arial" w:hAnsi="Arial" w:cs="Arial"/>
          <w:color w:val="000000" w:themeColor="text1"/>
          <w:sz w:val="22"/>
          <w:szCs w:val="22"/>
        </w:rPr>
        <w:t xml:space="preserve">, E. and </w:t>
      </w:r>
      <w:proofErr w:type="spellStart"/>
      <w:r w:rsidRPr="009D6E77">
        <w:rPr>
          <w:rFonts w:ascii="Arial" w:hAnsi="Arial" w:cs="Arial"/>
          <w:color w:val="000000" w:themeColor="text1"/>
          <w:sz w:val="22"/>
          <w:szCs w:val="22"/>
        </w:rPr>
        <w:t>Tirri</w:t>
      </w:r>
      <w:proofErr w:type="spellEnd"/>
      <w:r w:rsidRPr="009D6E77">
        <w:rPr>
          <w:rFonts w:ascii="Arial" w:hAnsi="Arial" w:cs="Arial"/>
          <w:color w:val="000000" w:themeColor="text1"/>
          <w:sz w:val="22"/>
          <w:szCs w:val="22"/>
        </w:rPr>
        <w:t xml:space="preserve">, K. (2009) “Education for ethically sensitive teaching in critical </w:t>
      </w:r>
      <w:r w:rsidRPr="009D6E77">
        <w:rPr>
          <w:rFonts w:ascii="Arial" w:hAnsi="Arial" w:cs="Arial"/>
          <w:color w:val="000000" w:themeColor="text1"/>
          <w:sz w:val="22"/>
          <w:szCs w:val="22"/>
        </w:rPr>
        <w:tab/>
        <w:t xml:space="preserve">incidents at school,” </w:t>
      </w:r>
      <w:r w:rsidRPr="009D6E77">
        <w:rPr>
          <w:rFonts w:ascii="Arial" w:hAnsi="Arial" w:cs="Arial"/>
          <w:i/>
          <w:iCs/>
          <w:color w:val="000000" w:themeColor="text1"/>
          <w:sz w:val="22"/>
          <w:szCs w:val="22"/>
        </w:rPr>
        <w:t>Journal of Education for Teaching</w:t>
      </w:r>
      <w:r w:rsidRPr="009D6E77">
        <w:rPr>
          <w:rFonts w:ascii="Arial" w:hAnsi="Arial" w:cs="Arial"/>
          <w:color w:val="000000" w:themeColor="text1"/>
          <w:sz w:val="22"/>
          <w:szCs w:val="22"/>
        </w:rPr>
        <w:t xml:space="preserve">, 35(2), pp. 107-121. Available </w:t>
      </w:r>
      <w:r w:rsidRPr="009D6E77">
        <w:rPr>
          <w:rFonts w:ascii="Arial" w:hAnsi="Arial" w:cs="Arial"/>
          <w:color w:val="000000" w:themeColor="text1"/>
          <w:sz w:val="22"/>
          <w:szCs w:val="22"/>
        </w:rPr>
        <w:tab/>
        <w:t xml:space="preserve">at: </w:t>
      </w:r>
      <w:hyperlink r:id="rId12" w:history="1">
        <w:r w:rsidRPr="009D6E77">
          <w:rPr>
            <w:rStyle w:val="Hyperlink"/>
            <w:rFonts w:ascii="Arial" w:hAnsi="Arial" w:cs="Arial"/>
            <w:sz w:val="22"/>
            <w:szCs w:val="22"/>
          </w:rPr>
          <w:t>https://doi.org/10.1080/02607470902770880</w:t>
        </w:r>
      </w:hyperlink>
      <w:r w:rsidRPr="009D6E77">
        <w:rPr>
          <w:rFonts w:ascii="Arial" w:hAnsi="Arial" w:cs="Arial"/>
          <w:color w:val="000000" w:themeColor="text1"/>
          <w:sz w:val="22"/>
          <w:szCs w:val="22"/>
        </w:rPr>
        <w:t>. [Accessed 14 October 2022]</w:t>
      </w:r>
    </w:p>
    <w:p w14:paraId="5CCC34BA" w14:textId="77777777" w:rsidR="00350327" w:rsidRPr="009D6E77" w:rsidRDefault="00350327" w:rsidP="00350327">
      <w:pPr>
        <w:snapToGrid w:val="0"/>
        <w:spacing w:line="360" w:lineRule="auto"/>
        <w:rPr>
          <w:rFonts w:ascii="Arial" w:hAnsi="Arial" w:cs="Arial"/>
          <w:color w:val="000000" w:themeColor="text1"/>
          <w:sz w:val="22"/>
          <w:szCs w:val="22"/>
        </w:rPr>
      </w:pPr>
    </w:p>
    <w:p w14:paraId="3A8FF28C" w14:textId="5DE45989" w:rsidR="001A38A6" w:rsidRDefault="001A38A6" w:rsidP="00350327">
      <w:pPr>
        <w:snapToGrid w:val="0"/>
        <w:spacing w:line="360" w:lineRule="auto"/>
        <w:rPr>
          <w:rFonts w:ascii="Arial" w:hAnsi="Arial" w:cs="Arial"/>
          <w:color w:val="000000" w:themeColor="text1"/>
          <w:sz w:val="22"/>
          <w:szCs w:val="22"/>
        </w:rPr>
      </w:pPr>
      <w:proofErr w:type="spellStart"/>
      <w:r>
        <w:rPr>
          <w:rFonts w:ascii="Arial" w:hAnsi="Arial" w:cs="Arial"/>
          <w:color w:val="000000" w:themeColor="text1"/>
          <w:sz w:val="22"/>
          <w:szCs w:val="22"/>
        </w:rPr>
        <w:t>Hwb.gov.wales</w:t>
      </w:r>
      <w:proofErr w:type="spellEnd"/>
      <w:r>
        <w:rPr>
          <w:rFonts w:ascii="Arial" w:hAnsi="Arial" w:cs="Arial"/>
          <w:color w:val="000000" w:themeColor="text1"/>
          <w:sz w:val="22"/>
          <w:szCs w:val="22"/>
        </w:rPr>
        <w:t xml:space="preserve">. 2020. </w:t>
      </w:r>
      <w:r w:rsidRPr="0019333B">
        <w:rPr>
          <w:rFonts w:ascii="Arial" w:hAnsi="Arial" w:cs="Arial"/>
          <w:i/>
          <w:iCs/>
          <w:color w:val="000000" w:themeColor="text1"/>
          <w:sz w:val="22"/>
          <w:szCs w:val="22"/>
        </w:rPr>
        <w:t>Developing a vision for curriculum design – Hwb</w:t>
      </w:r>
      <w:r>
        <w:rPr>
          <w:rFonts w:ascii="Arial" w:hAnsi="Arial" w:cs="Arial"/>
          <w:color w:val="000000" w:themeColor="text1"/>
          <w:sz w:val="22"/>
          <w:szCs w:val="22"/>
        </w:rPr>
        <w:t>. (online)</w:t>
      </w:r>
      <w:r w:rsidR="0019333B">
        <w:rPr>
          <w:rFonts w:ascii="Arial" w:hAnsi="Arial" w:cs="Arial"/>
          <w:color w:val="000000" w:themeColor="text1"/>
          <w:sz w:val="22"/>
          <w:szCs w:val="22"/>
        </w:rPr>
        <w:t xml:space="preserve">. Available </w:t>
      </w:r>
      <w:r w:rsidR="0019333B">
        <w:rPr>
          <w:rFonts w:ascii="Arial" w:hAnsi="Arial" w:cs="Arial"/>
          <w:color w:val="000000" w:themeColor="text1"/>
          <w:sz w:val="22"/>
          <w:szCs w:val="22"/>
        </w:rPr>
        <w:tab/>
        <w:t xml:space="preserve">at: </w:t>
      </w:r>
      <w:hyperlink r:id="rId13" w:anchor="curriculum-design-and-the-four-purposes" w:history="1">
        <w:r w:rsidR="0019333B" w:rsidRPr="003D0062">
          <w:rPr>
            <w:rStyle w:val="Hyperlink"/>
            <w:rFonts w:ascii="Arial" w:hAnsi="Arial" w:cs="Arial"/>
            <w:sz w:val="22"/>
            <w:szCs w:val="22"/>
          </w:rPr>
          <w:t>https://hwb.gov.wales/curriculum-for-wales/designing-your-curriculum/developing-</w:t>
        </w:r>
        <w:r w:rsidR="0019333B" w:rsidRPr="003D0062">
          <w:rPr>
            <w:rStyle w:val="Hyperlink"/>
            <w:rFonts w:ascii="Arial" w:hAnsi="Arial" w:cs="Arial"/>
            <w:sz w:val="22"/>
            <w:szCs w:val="22"/>
          </w:rPr>
          <w:tab/>
          <w:t>a-vision-for-curriculum-design#curriculum-design-and-the-four-purposes</w:t>
        </w:r>
      </w:hyperlink>
      <w:r w:rsidR="0019333B">
        <w:rPr>
          <w:rFonts w:ascii="Arial" w:hAnsi="Arial" w:cs="Arial"/>
          <w:color w:val="000000" w:themeColor="text1"/>
          <w:sz w:val="22"/>
          <w:szCs w:val="22"/>
        </w:rPr>
        <w:t xml:space="preserve"> [Accessed 1 </w:t>
      </w:r>
      <w:r w:rsidR="0019333B">
        <w:rPr>
          <w:rFonts w:ascii="Arial" w:hAnsi="Arial" w:cs="Arial"/>
          <w:color w:val="000000" w:themeColor="text1"/>
          <w:sz w:val="22"/>
          <w:szCs w:val="22"/>
        </w:rPr>
        <w:tab/>
        <w:t>November 2022]</w:t>
      </w:r>
    </w:p>
    <w:p w14:paraId="7602CDA0" w14:textId="1D9B3872" w:rsidR="0019333B" w:rsidRDefault="0019333B" w:rsidP="00350327">
      <w:pPr>
        <w:snapToGrid w:val="0"/>
        <w:spacing w:line="360" w:lineRule="auto"/>
        <w:rPr>
          <w:rFonts w:ascii="Arial" w:hAnsi="Arial" w:cs="Arial"/>
          <w:color w:val="000000" w:themeColor="text1"/>
          <w:sz w:val="22"/>
          <w:szCs w:val="22"/>
        </w:rPr>
      </w:pPr>
    </w:p>
    <w:p w14:paraId="38D15161" w14:textId="138D9B6A" w:rsidR="00350327" w:rsidRDefault="00350327" w:rsidP="00350327">
      <w:pPr>
        <w:snapToGrid w:val="0"/>
        <w:spacing w:line="360" w:lineRule="auto"/>
        <w:rPr>
          <w:rFonts w:ascii="Arial" w:hAnsi="Arial" w:cs="Arial"/>
          <w:sz w:val="22"/>
          <w:szCs w:val="22"/>
        </w:rPr>
      </w:pPr>
      <w:r w:rsidRPr="009D6E77">
        <w:rPr>
          <w:rFonts w:ascii="Arial" w:hAnsi="Arial" w:cs="Arial"/>
          <w:color w:val="000000" w:themeColor="text1"/>
          <w:sz w:val="22"/>
          <w:szCs w:val="22"/>
        </w:rPr>
        <w:t xml:space="preserve">Knight, C. and Crick, T. (2022) “Inclusive Education in Wales: Interpreting Discourses of </w:t>
      </w:r>
      <w:r w:rsidRPr="009D6E77">
        <w:rPr>
          <w:rFonts w:ascii="Arial" w:hAnsi="Arial" w:cs="Arial"/>
          <w:color w:val="000000" w:themeColor="text1"/>
          <w:sz w:val="22"/>
          <w:szCs w:val="22"/>
        </w:rPr>
        <w:tab/>
        <w:t xml:space="preserve">Values and Practice Using Critical Policy Analysis”, </w:t>
      </w:r>
      <w:r w:rsidRPr="009D6E77">
        <w:rPr>
          <w:rFonts w:ascii="Arial" w:hAnsi="Arial" w:cs="Arial"/>
          <w:i/>
          <w:iCs/>
          <w:color w:val="000000" w:themeColor="text1"/>
          <w:sz w:val="22"/>
          <w:szCs w:val="22"/>
        </w:rPr>
        <w:t>ECNU Review of Education</w:t>
      </w:r>
      <w:r w:rsidRPr="009D6E77">
        <w:rPr>
          <w:rFonts w:ascii="Arial" w:hAnsi="Arial" w:cs="Arial"/>
          <w:color w:val="000000" w:themeColor="text1"/>
          <w:sz w:val="22"/>
          <w:szCs w:val="22"/>
        </w:rPr>
        <w:t xml:space="preserve">, 5(2), </w:t>
      </w:r>
      <w:r w:rsidRPr="009D6E77">
        <w:rPr>
          <w:rFonts w:ascii="Arial" w:hAnsi="Arial" w:cs="Arial"/>
          <w:color w:val="000000" w:themeColor="text1"/>
          <w:sz w:val="22"/>
          <w:szCs w:val="22"/>
        </w:rPr>
        <w:tab/>
        <w:t>pp. 258–283. Available at: https://doi.org/</w:t>
      </w:r>
      <w:r w:rsidRPr="009D6E77">
        <w:rPr>
          <w:rFonts w:ascii="Arial" w:hAnsi="Arial" w:cs="Arial"/>
          <w:sz w:val="22"/>
          <w:szCs w:val="22"/>
        </w:rPr>
        <w:t xml:space="preserve"> 10.1177/20965311211039858. [Accessed </w:t>
      </w:r>
      <w:r w:rsidRPr="009D6E77">
        <w:rPr>
          <w:rFonts w:ascii="Arial" w:hAnsi="Arial" w:cs="Arial"/>
          <w:sz w:val="22"/>
          <w:szCs w:val="22"/>
        </w:rPr>
        <w:tab/>
        <w:t>15 October 2022]</w:t>
      </w:r>
    </w:p>
    <w:p w14:paraId="7315E8C6" w14:textId="77777777" w:rsidR="00350327" w:rsidRPr="009D6E77" w:rsidRDefault="00350327" w:rsidP="00350327">
      <w:pPr>
        <w:snapToGrid w:val="0"/>
        <w:spacing w:line="360" w:lineRule="auto"/>
        <w:rPr>
          <w:rFonts w:ascii="Arial" w:hAnsi="Arial" w:cs="Arial"/>
          <w:color w:val="000000" w:themeColor="text1"/>
          <w:sz w:val="22"/>
          <w:szCs w:val="22"/>
        </w:rPr>
      </w:pPr>
    </w:p>
    <w:p w14:paraId="512BC669" w14:textId="2A8FEA65" w:rsidR="00350327" w:rsidRDefault="00350327" w:rsidP="00350327">
      <w:pPr>
        <w:shd w:val="clear" w:color="auto" w:fill="FFFFFF"/>
        <w:snapToGrid w:val="0"/>
        <w:spacing w:line="360" w:lineRule="auto"/>
        <w:textAlignment w:val="baseline"/>
        <w:rPr>
          <w:rFonts w:ascii="Arial" w:eastAsia="Times New Roman" w:hAnsi="Arial" w:cs="Arial"/>
          <w:color w:val="000000" w:themeColor="text1"/>
          <w:spacing w:val="-1"/>
          <w:sz w:val="22"/>
          <w:szCs w:val="22"/>
          <w:lang w:eastAsia="en-GB"/>
        </w:rPr>
      </w:pPr>
      <w:r w:rsidRPr="009D6E77">
        <w:rPr>
          <w:rFonts w:ascii="Arial" w:eastAsia="Times New Roman" w:hAnsi="Arial" w:cs="Arial"/>
          <w:color w:val="000000" w:themeColor="text1"/>
          <w:spacing w:val="-1"/>
          <w:sz w:val="22"/>
          <w:szCs w:val="22"/>
          <w:lang w:eastAsia="en-GB"/>
        </w:rPr>
        <w:t xml:space="preserve">Kolb. D. A. and Fry, R. (1975) Toward an applied theory of experiential learning. In Cooper, </w:t>
      </w:r>
      <w:r w:rsidRPr="009D6E77">
        <w:rPr>
          <w:rFonts w:ascii="Arial" w:eastAsia="Times New Roman" w:hAnsi="Arial" w:cs="Arial"/>
          <w:color w:val="000000" w:themeColor="text1"/>
          <w:spacing w:val="-1"/>
          <w:sz w:val="22"/>
          <w:szCs w:val="22"/>
          <w:lang w:eastAsia="en-GB"/>
        </w:rPr>
        <w:tab/>
        <w:t>C. ed., </w:t>
      </w:r>
      <w:r w:rsidRPr="009D6E77">
        <w:rPr>
          <w:rFonts w:ascii="Arial" w:eastAsia="Times New Roman" w:hAnsi="Arial" w:cs="Arial"/>
          <w:i/>
          <w:iCs/>
          <w:color w:val="000000" w:themeColor="text1"/>
          <w:spacing w:val="-1"/>
          <w:sz w:val="22"/>
          <w:szCs w:val="22"/>
          <w:bdr w:val="none" w:sz="0" w:space="0" w:color="auto" w:frame="1"/>
          <w:lang w:eastAsia="en-GB"/>
        </w:rPr>
        <w:t xml:space="preserve">Theories of Group Process. </w:t>
      </w:r>
      <w:r w:rsidRPr="009D6E77">
        <w:rPr>
          <w:rFonts w:ascii="Arial" w:eastAsia="Times New Roman" w:hAnsi="Arial" w:cs="Arial"/>
          <w:color w:val="000000" w:themeColor="text1"/>
          <w:spacing w:val="-1"/>
          <w:sz w:val="22"/>
          <w:szCs w:val="22"/>
          <w:bdr w:val="none" w:sz="0" w:space="0" w:color="auto" w:frame="1"/>
          <w:lang w:eastAsia="en-GB"/>
        </w:rPr>
        <w:t xml:space="preserve">[Online]. </w:t>
      </w:r>
      <w:r w:rsidRPr="009D6E77">
        <w:rPr>
          <w:rFonts w:ascii="Arial" w:eastAsia="Times New Roman" w:hAnsi="Arial" w:cs="Arial"/>
          <w:color w:val="000000" w:themeColor="text1"/>
          <w:spacing w:val="-1"/>
          <w:sz w:val="22"/>
          <w:szCs w:val="22"/>
          <w:lang w:eastAsia="en-GB"/>
        </w:rPr>
        <w:t xml:space="preserve">London: John Wiley, pp. 33-57. </w:t>
      </w:r>
      <w:r w:rsidRPr="009D6E77">
        <w:rPr>
          <w:rFonts w:ascii="Arial" w:eastAsia="Times New Roman" w:hAnsi="Arial" w:cs="Arial"/>
          <w:color w:val="000000" w:themeColor="text1"/>
          <w:spacing w:val="-1"/>
          <w:sz w:val="22"/>
          <w:szCs w:val="22"/>
          <w:lang w:eastAsia="en-GB"/>
        </w:rPr>
        <w:tab/>
        <w:t xml:space="preserve">[Accessed 30 </w:t>
      </w:r>
      <w:r w:rsidRPr="009D6E77">
        <w:rPr>
          <w:rFonts w:ascii="Arial" w:eastAsia="Times New Roman" w:hAnsi="Arial" w:cs="Arial"/>
          <w:color w:val="000000" w:themeColor="text1"/>
          <w:spacing w:val="-1"/>
          <w:sz w:val="22"/>
          <w:szCs w:val="22"/>
          <w:lang w:eastAsia="en-GB"/>
        </w:rPr>
        <w:tab/>
        <w:t xml:space="preserve">October 2022] Available from: </w:t>
      </w:r>
      <w:r w:rsidRPr="009D6E77">
        <w:rPr>
          <w:rFonts w:ascii="Arial" w:eastAsia="Times New Roman" w:hAnsi="Arial" w:cs="Arial"/>
          <w:color w:val="000000" w:themeColor="text1"/>
          <w:spacing w:val="-1"/>
          <w:sz w:val="22"/>
          <w:szCs w:val="22"/>
          <w:lang w:eastAsia="en-GB"/>
        </w:rPr>
        <w:tab/>
      </w:r>
      <w:hyperlink r:id="rId14" w:history="1">
        <w:r w:rsidRPr="009D6E77">
          <w:rPr>
            <w:rStyle w:val="Hyperlink"/>
            <w:rFonts w:ascii="Arial" w:eastAsia="Times New Roman" w:hAnsi="Arial" w:cs="Arial"/>
            <w:spacing w:val="-1"/>
            <w:sz w:val="22"/>
            <w:szCs w:val="22"/>
            <w:lang w:eastAsia="en-GB"/>
          </w:rPr>
          <w:t>https://www.researchgate.net/publication/238759143_Toward_an_Applied_Theory_of</w:t>
        </w:r>
      </w:hyperlink>
      <w:r w:rsidRPr="009D6E77">
        <w:rPr>
          <w:rFonts w:ascii="Arial" w:eastAsia="Times New Roman" w:hAnsi="Arial" w:cs="Arial"/>
          <w:color w:val="000000" w:themeColor="text1"/>
          <w:spacing w:val="-1"/>
          <w:sz w:val="22"/>
          <w:szCs w:val="22"/>
          <w:lang w:eastAsia="en-GB"/>
        </w:rPr>
        <w:tab/>
        <w:t>_</w:t>
      </w:r>
      <w:proofErr w:type="spellStart"/>
      <w:r w:rsidRPr="009D6E77">
        <w:rPr>
          <w:rFonts w:ascii="Arial" w:eastAsia="Times New Roman" w:hAnsi="Arial" w:cs="Arial"/>
          <w:color w:val="000000" w:themeColor="text1"/>
          <w:spacing w:val="-1"/>
          <w:sz w:val="22"/>
          <w:szCs w:val="22"/>
          <w:lang w:eastAsia="en-GB"/>
        </w:rPr>
        <w:t>Experiential_Learning</w:t>
      </w:r>
      <w:proofErr w:type="spellEnd"/>
    </w:p>
    <w:p w14:paraId="6E1FDEE9" w14:textId="77777777" w:rsidR="00350327" w:rsidRPr="009D6E77" w:rsidRDefault="00350327" w:rsidP="00350327">
      <w:pPr>
        <w:shd w:val="clear" w:color="auto" w:fill="FFFFFF"/>
        <w:snapToGrid w:val="0"/>
        <w:spacing w:line="360" w:lineRule="auto"/>
        <w:textAlignment w:val="baseline"/>
        <w:rPr>
          <w:rFonts w:ascii="Arial" w:eastAsia="Times New Roman" w:hAnsi="Arial" w:cs="Arial"/>
          <w:color w:val="000000" w:themeColor="text1"/>
          <w:spacing w:val="-1"/>
          <w:sz w:val="22"/>
          <w:szCs w:val="22"/>
          <w:lang w:eastAsia="en-GB"/>
        </w:rPr>
      </w:pPr>
    </w:p>
    <w:p w14:paraId="176791A0" w14:textId="57B76FA7" w:rsidR="00350327" w:rsidRDefault="00350327" w:rsidP="00350327">
      <w:pPr>
        <w:pStyle w:val="NormalWeb"/>
        <w:snapToGrid w:val="0"/>
        <w:spacing w:before="0" w:beforeAutospacing="0" w:after="0" w:afterAutospacing="0" w:line="360" w:lineRule="auto"/>
        <w:ind w:left="567" w:hanging="567"/>
        <w:rPr>
          <w:rFonts w:ascii="Arial" w:hAnsi="Arial" w:cs="Arial"/>
          <w:sz w:val="22"/>
          <w:szCs w:val="22"/>
        </w:rPr>
      </w:pPr>
      <w:r w:rsidRPr="009D6E77">
        <w:rPr>
          <w:rFonts w:ascii="Arial" w:hAnsi="Arial" w:cs="Arial"/>
          <w:sz w:val="22"/>
          <w:szCs w:val="22"/>
        </w:rPr>
        <w:t xml:space="preserve">Lampert, J. </w:t>
      </w:r>
      <w:r w:rsidRPr="009D6E77">
        <w:rPr>
          <w:rFonts w:ascii="Arial" w:hAnsi="Arial" w:cs="Arial"/>
          <w:i/>
          <w:iCs/>
          <w:sz w:val="22"/>
          <w:szCs w:val="22"/>
        </w:rPr>
        <w:t>et al.</w:t>
      </w:r>
      <w:r w:rsidRPr="009D6E77">
        <w:rPr>
          <w:rFonts w:ascii="Arial" w:hAnsi="Arial" w:cs="Arial"/>
          <w:sz w:val="22"/>
          <w:szCs w:val="22"/>
        </w:rPr>
        <w:t xml:space="preserve"> (2017) “‘it’s not about punitive’: Exploring how early-career teachers in high-poverty schools respond to critical incidents,” </w:t>
      </w:r>
      <w:r w:rsidRPr="009D6E77">
        <w:rPr>
          <w:rFonts w:ascii="Arial" w:hAnsi="Arial" w:cs="Arial"/>
          <w:i/>
          <w:iCs/>
          <w:sz w:val="22"/>
          <w:szCs w:val="22"/>
        </w:rPr>
        <w:t>Critical Studies in Education</w:t>
      </w:r>
      <w:r w:rsidRPr="009D6E77">
        <w:rPr>
          <w:rFonts w:ascii="Arial" w:hAnsi="Arial" w:cs="Arial"/>
          <w:sz w:val="22"/>
          <w:szCs w:val="22"/>
        </w:rPr>
        <w:t xml:space="preserve">, 61(2), </w:t>
      </w:r>
      <w:r w:rsidRPr="009D6E77">
        <w:rPr>
          <w:rFonts w:ascii="Arial" w:hAnsi="Arial" w:cs="Arial"/>
          <w:sz w:val="22"/>
          <w:szCs w:val="22"/>
        </w:rPr>
        <w:lastRenderedPageBreak/>
        <w:t>pp. 149–165. Available at: https://doi.org/10.1080/17508487.2017.1385500. [Accessed 21 October 2022]</w:t>
      </w:r>
    </w:p>
    <w:p w14:paraId="33433FCC" w14:textId="77777777" w:rsidR="00350327" w:rsidRPr="009D6E77" w:rsidRDefault="00350327" w:rsidP="00350327">
      <w:pPr>
        <w:pStyle w:val="NormalWeb"/>
        <w:snapToGrid w:val="0"/>
        <w:spacing w:before="0" w:beforeAutospacing="0" w:after="0" w:afterAutospacing="0" w:line="360" w:lineRule="auto"/>
        <w:ind w:left="567" w:hanging="567"/>
        <w:rPr>
          <w:rFonts w:ascii="Arial" w:hAnsi="Arial" w:cs="Arial"/>
          <w:sz w:val="22"/>
          <w:szCs w:val="22"/>
        </w:rPr>
      </w:pPr>
    </w:p>
    <w:p w14:paraId="7B4A54AE" w14:textId="77777777" w:rsidR="00350327" w:rsidRPr="009D6E77" w:rsidRDefault="00350327" w:rsidP="00350327">
      <w:pPr>
        <w:pStyle w:val="NormalWeb"/>
        <w:snapToGrid w:val="0"/>
        <w:spacing w:before="0" w:beforeAutospacing="0" w:after="0" w:afterAutospacing="0" w:line="360" w:lineRule="auto"/>
        <w:ind w:left="567" w:hanging="567"/>
        <w:rPr>
          <w:rFonts w:ascii="Arial" w:hAnsi="Arial" w:cs="Arial"/>
          <w:sz w:val="22"/>
          <w:szCs w:val="22"/>
        </w:rPr>
      </w:pPr>
      <w:r w:rsidRPr="009D6E77">
        <w:rPr>
          <w:rFonts w:ascii="Arial" w:hAnsi="Arial" w:cs="Arial"/>
          <w:sz w:val="22"/>
          <w:szCs w:val="22"/>
        </w:rPr>
        <w:t xml:space="preserve">Lister, P.G. and Crisp, B.R. (2007) “Critical incident analyses: A practice learning tool for students and Practitioners,” </w:t>
      </w:r>
      <w:r w:rsidRPr="009D6E77">
        <w:rPr>
          <w:rFonts w:ascii="Arial" w:hAnsi="Arial" w:cs="Arial"/>
          <w:i/>
          <w:iCs/>
          <w:sz w:val="22"/>
          <w:szCs w:val="22"/>
        </w:rPr>
        <w:t>Practice</w:t>
      </w:r>
      <w:r w:rsidRPr="009D6E77">
        <w:rPr>
          <w:rFonts w:ascii="Arial" w:hAnsi="Arial" w:cs="Arial"/>
          <w:sz w:val="22"/>
          <w:szCs w:val="22"/>
        </w:rPr>
        <w:t>, 19(1), pp. 47–60. Available at: https://doi.org/10.1080/09503150701220507. [Accessed 16 October 2022]</w:t>
      </w:r>
    </w:p>
    <w:p w14:paraId="6D9F81D5" w14:textId="35F33EB1" w:rsidR="00350327" w:rsidRDefault="00350327" w:rsidP="00350327">
      <w:pPr>
        <w:pStyle w:val="NormalWeb"/>
        <w:snapToGrid w:val="0"/>
        <w:spacing w:before="0" w:beforeAutospacing="0" w:after="0" w:afterAutospacing="0" w:line="360" w:lineRule="auto"/>
        <w:ind w:left="567" w:hanging="567"/>
        <w:rPr>
          <w:rFonts w:ascii="Arial" w:hAnsi="Arial" w:cs="Arial"/>
          <w:sz w:val="22"/>
          <w:szCs w:val="22"/>
        </w:rPr>
      </w:pPr>
      <w:r w:rsidRPr="009D6E77">
        <w:rPr>
          <w:rFonts w:ascii="Arial" w:hAnsi="Arial" w:cs="Arial"/>
          <w:sz w:val="22"/>
          <w:szCs w:val="22"/>
        </w:rPr>
        <w:t xml:space="preserve">Maxwell, N. </w:t>
      </w:r>
      <w:r w:rsidRPr="009D6E77">
        <w:rPr>
          <w:rFonts w:ascii="Arial" w:hAnsi="Arial" w:cs="Arial"/>
          <w:i/>
          <w:iCs/>
          <w:sz w:val="22"/>
          <w:szCs w:val="22"/>
        </w:rPr>
        <w:t>et al.</w:t>
      </w:r>
      <w:r w:rsidRPr="009D6E77">
        <w:rPr>
          <w:rFonts w:ascii="Arial" w:hAnsi="Arial" w:cs="Arial"/>
          <w:sz w:val="22"/>
          <w:szCs w:val="22"/>
        </w:rPr>
        <w:t xml:space="preserve"> (2020) “Home Education for children with additional learning needs – a better choice or the only </w:t>
      </w:r>
      <w:proofErr w:type="gramStart"/>
      <w:r w:rsidRPr="009D6E77">
        <w:rPr>
          <w:rFonts w:ascii="Arial" w:hAnsi="Arial" w:cs="Arial"/>
          <w:sz w:val="22"/>
          <w:szCs w:val="22"/>
        </w:rPr>
        <w:t>option?,</w:t>
      </w:r>
      <w:proofErr w:type="gramEnd"/>
      <w:r w:rsidRPr="009D6E77">
        <w:rPr>
          <w:rFonts w:ascii="Arial" w:hAnsi="Arial" w:cs="Arial"/>
          <w:sz w:val="22"/>
          <w:szCs w:val="22"/>
        </w:rPr>
        <w:t xml:space="preserve">” </w:t>
      </w:r>
      <w:r w:rsidRPr="009D6E77">
        <w:rPr>
          <w:rFonts w:ascii="Arial" w:hAnsi="Arial" w:cs="Arial"/>
          <w:i/>
          <w:iCs/>
          <w:sz w:val="22"/>
          <w:szCs w:val="22"/>
        </w:rPr>
        <w:t>Educational Review</w:t>
      </w:r>
      <w:r w:rsidRPr="009D6E77">
        <w:rPr>
          <w:rFonts w:ascii="Arial" w:hAnsi="Arial" w:cs="Arial"/>
          <w:sz w:val="22"/>
          <w:szCs w:val="22"/>
        </w:rPr>
        <w:t>, 72(4), pp. 427–442. Available at: https://doi.org/10.1080/00131911.2018.1532955. [Accessed 18 October 2022]</w:t>
      </w:r>
    </w:p>
    <w:p w14:paraId="4FB8CE03" w14:textId="77777777" w:rsidR="00350327" w:rsidRPr="009D6E77" w:rsidRDefault="00350327" w:rsidP="00350327">
      <w:pPr>
        <w:pStyle w:val="NormalWeb"/>
        <w:snapToGrid w:val="0"/>
        <w:spacing w:before="0" w:beforeAutospacing="0" w:after="0" w:afterAutospacing="0" w:line="360" w:lineRule="auto"/>
        <w:ind w:left="567" w:hanging="567"/>
        <w:rPr>
          <w:rFonts w:ascii="Arial" w:hAnsi="Arial" w:cs="Arial"/>
          <w:sz w:val="22"/>
          <w:szCs w:val="22"/>
        </w:rPr>
      </w:pPr>
    </w:p>
    <w:p w14:paraId="1B44B481" w14:textId="7FC42E64" w:rsidR="00350327" w:rsidRDefault="00350327" w:rsidP="00350327">
      <w:pPr>
        <w:pStyle w:val="NormalWeb"/>
        <w:snapToGrid w:val="0"/>
        <w:spacing w:before="0" w:beforeAutospacing="0" w:after="0" w:afterAutospacing="0" w:line="360" w:lineRule="auto"/>
        <w:ind w:left="567" w:hanging="567"/>
        <w:rPr>
          <w:rFonts w:ascii="Arial" w:hAnsi="Arial" w:cs="Arial"/>
          <w:sz w:val="22"/>
          <w:szCs w:val="22"/>
        </w:rPr>
      </w:pPr>
      <w:r w:rsidRPr="009D6E77">
        <w:rPr>
          <w:rFonts w:ascii="Arial" w:hAnsi="Arial" w:cs="Arial"/>
          <w:sz w:val="22"/>
          <w:szCs w:val="22"/>
        </w:rPr>
        <w:t>McKinney, S.E., Campbell-</w:t>
      </w:r>
      <w:proofErr w:type="spellStart"/>
      <w:r w:rsidRPr="009D6E77">
        <w:rPr>
          <w:rFonts w:ascii="Arial" w:hAnsi="Arial" w:cs="Arial"/>
          <w:sz w:val="22"/>
          <w:szCs w:val="22"/>
        </w:rPr>
        <w:t>Whately</w:t>
      </w:r>
      <w:proofErr w:type="spellEnd"/>
      <w:r w:rsidRPr="009D6E77">
        <w:rPr>
          <w:rFonts w:ascii="Arial" w:hAnsi="Arial" w:cs="Arial"/>
          <w:sz w:val="22"/>
          <w:szCs w:val="22"/>
        </w:rPr>
        <w:t xml:space="preserve">, G.D. and Kea, C.D. (2005) “Managing student </w:t>
      </w:r>
      <w:proofErr w:type="spellStart"/>
      <w:r w:rsidRPr="009D6E77">
        <w:rPr>
          <w:rFonts w:ascii="Arial" w:hAnsi="Arial" w:cs="Arial"/>
          <w:sz w:val="22"/>
          <w:szCs w:val="22"/>
        </w:rPr>
        <w:t>behavior</w:t>
      </w:r>
      <w:proofErr w:type="spellEnd"/>
      <w:r w:rsidRPr="009D6E77">
        <w:rPr>
          <w:rFonts w:ascii="Arial" w:hAnsi="Arial" w:cs="Arial"/>
          <w:sz w:val="22"/>
          <w:szCs w:val="22"/>
        </w:rPr>
        <w:t xml:space="preserve"> in urban classrooms the role of teacher ABC assessments,” </w:t>
      </w:r>
      <w:r w:rsidRPr="009D6E77">
        <w:rPr>
          <w:rFonts w:ascii="Arial" w:hAnsi="Arial" w:cs="Arial"/>
          <w:i/>
          <w:iCs/>
          <w:sz w:val="22"/>
          <w:szCs w:val="22"/>
        </w:rPr>
        <w:t xml:space="preserve">The Clearing House: A Journal of Educational Strategies, </w:t>
      </w:r>
      <w:proofErr w:type="gramStart"/>
      <w:r w:rsidRPr="009D6E77">
        <w:rPr>
          <w:rFonts w:ascii="Arial" w:hAnsi="Arial" w:cs="Arial"/>
          <w:i/>
          <w:iCs/>
          <w:sz w:val="22"/>
          <w:szCs w:val="22"/>
        </w:rPr>
        <w:t>Issues</w:t>
      </w:r>
      <w:proofErr w:type="gramEnd"/>
      <w:r w:rsidRPr="009D6E77">
        <w:rPr>
          <w:rFonts w:ascii="Arial" w:hAnsi="Arial" w:cs="Arial"/>
          <w:i/>
          <w:iCs/>
          <w:sz w:val="22"/>
          <w:szCs w:val="22"/>
        </w:rPr>
        <w:t xml:space="preserve"> and Ideas</w:t>
      </w:r>
      <w:r w:rsidRPr="009D6E77">
        <w:rPr>
          <w:rFonts w:ascii="Arial" w:hAnsi="Arial" w:cs="Arial"/>
          <w:sz w:val="22"/>
          <w:szCs w:val="22"/>
        </w:rPr>
        <w:t>, 79(1), pp. 16–20. Available at: https://doi.org/10.3200/tchs.79.1.16-20. [Accessed 14 October 2022]</w:t>
      </w:r>
    </w:p>
    <w:p w14:paraId="2434A259" w14:textId="77777777" w:rsidR="00350327" w:rsidRPr="009D6E77" w:rsidRDefault="00350327" w:rsidP="00350327">
      <w:pPr>
        <w:pStyle w:val="NormalWeb"/>
        <w:snapToGrid w:val="0"/>
        <w:spacing w:before="0" w:beforeAutospacing="0" w:after="0" w:afterAutospacing="0" w:line="360" w:lineRule="auto"/>
        <w:ind w:left="567" w:hanging="567"/>
        <w:rPr>
          <w:rFonts w:ascii="Arial" w:hAnsi="Arial" w:cs="Arial"/>
          <w:sz w:val="22"/>
          <w:szCs w:val="22"/>
        </w:rPr>
      </w:pPr>
    </w:p>
    <w:p w14:paraId="35CD7089" w14:textId="1244F917" w:rsidR="00350327" w:rsidRDefault="00350327" w:rsidP="00350327">
      <w:pPr>
        <w:pStyle w:val="NormalWeb"/>
        <w:snapToGrid w:val="0"/>
        <w:spacing w:before="0" w:beforeAutospacing="0" w:after="0" w:afterAutospacing="0" w:line="360" w:lineRule="auto"/>
        <w:ind w:left="567" w:hanging="567"/>
        <w:rPr>
          <w:rFonts w:ascii="Arial" w:hAnsi="Arial" w:cs="Arial"/>
          <w:sz w:val="22"/>
          <w:szCs w:val="22"/>
        </w:rPr>
      </w:pPr>
      <w:r w:rsidRPr="009D6E77">
        <w:rPr>
          <w:rFonts w:ascii="Arial" w:hAnsi="Arial" w:cs="Arial"/>
          <w:sz w:val="22"/>
          <w:szCs w:val="22"/>
        </w:rPr>
        <w:t xml:space="preserve">McLachlan, B. and Davis, G. (2013) “Educating the educators: Developing those who support learning for students with additional learning needs,” </w:t>
      </w:r>
      <w:r w:rsidRPr="009D6E77">
        <w:rPr>
          <w:rFonts w:ascii="Arial" w:hAnsi="Arial" w:cs="Arial"/>
          <w:i/>
          <w:iCs/>
          <w:sz w:val="22"/>
          <w:szCs w:val="22"/>
        </w:rPr>
        <w:t>Support for Learning</w:t>
      </w:r>
      <w:r w:rsidRPr="009D6E77">
        <w:rPr>
          <w:rFonts w:ascii="Arial" w:hAnsi="Arial" w:cs="Arial"/>
          <w:sz w:val="22"/>
          <w:szCs w:val="22"/>
        </w:rPr>
        <w:t>, 28(4), pp. 173–180. Available at: https://doi.org/10.1111/1467-9604.12035. [Accessed 23 October 2022]</w:t>
      </w:r>
    </w:p>
    <w:p w14:paraId="7B14A924" w14:textId="77777777" w:rsidR="00350327" w:rsidRPr="009D6E77" w:rsidRDefault="00350327" w:rsidP="00350327">
      <w:pPr>
        <w:pStyle w:val="NormalWeb"/>
        <w:snapToGrid w:val="0"/>
        <w:spacing w:before="0" w:beforeAutospacing="0" w:after="0" w:afterAutospacing="0" w:line="360" w:lineRule="auto"/>
        <w:ind w:left="567" w:hanging="567"/>
        <w:rPr>
          <w:rFonts w:ascii="Arial" w:hAnsi="Arial" w:cs="Arial"/>
          <w:sz w:val="22"/>
          <w:szCs w:val="22"/>
        </w:rPr>
      </w:pPr>
    </w:p>
    <w:p w14:paraId="25631009" w14:textId="62A9B659" w:rsidR="00350327" w:rsidRDefault="00350327" w:rsidP="00350327">
      <w:pPr>
        <w:snapToGrid w:val="0"/>
        <w:spacing w:line="360" w:lineRule="auto"/>
        <w:rPr>
          <w:rFonts w:ascii="Arial" w:hAnsi="Arial" w:cs="Arial"/>
          <w:color w:val="000000" w:themeColor="text1"/>
          <w:spacing w:val="-3"/>
          <w:sz w:val="22"/>
          <w:szCs w:val="22"/>
          <w:shd w:val="clear" w:color="auto" w:fill="FFFFFF"/>
        </w:rPr>
      </w:pPr>
      <w:r w:rsidRPr="009D6E77">
        <w:rPr>
          <w:rFonts w:ascii="Arial" w:hAnsi="Arial" w:cs="Arial"/>
          <w:color w:val="000000" w:themeColor="text1"/>
          <w:spacing w:val="-3"/>
          <w:sz w:val="22"/>
          <w:szCs w:val="22"/>
          <w:shd w:val="clear" w:color="auto" w:fill="FFFFFF"/>
        </w:rPr>
        <w:t xml:space="preserve">Mohammed, R. (2016), “Critical incident analysis: reflections of a teacher educator,” </w:t>
      </w:r>
      <w:r w:rsidRPr="009D6E77">
        <w:rPr>
          <w:rFonts w:ascii="Arial" w:hAnsi="Arial" w:cs="Arial"/>
          <w:i/>
          <w:iCs/>
          <w:color w:val="000000" w:themeColor="text1"/>
          <w:spacing w:val="-3"/>
          <w:sz w:val="22"/>
          <w:szCs w:val="22"/>
          <w:shd w:val="clear" w:color="auto" w:fill="FFFFFF"/>
        </w:rPr>
        <w:t xml:space="preserve">Research </w:t>
      </w:r>
      <w:r w:rsidRPr="009D6E77">
        <w:rPr>
          <w:rFonts w:ascii="Arial" w:hAnsi="Arial" w:cs="Arial"/>
          <w:i/>
          <w:iCs/>
          <w:color w:val="000000" w:themeColor="text1"/>
          <w:spacing w:val="-3"/>
          <w:sz w:val="22"/>
          <w:szCs w:val="22"/>
          <w:shd w:val="clear" w:color="auto" w:fill="FFFFFF"/>
        </w:rPr>
        <w:tab/>
        <w:t>in Teacher Education</w:t>
      </w:r>
      <w:r w:rsidRPr="009D6E77">
        <w:rPr>
          <w:rFonts w:ascii="Arial" w:hAnsi="Arial" w:cs="Arial"/>
          <w:color w:val="000000" w:themeColor="text1"/>
          <w:spacing w:val="-3"/>
          <w:sz w:val="22"/>
          <w:szCs w:val="22"/>
          <w:shd w:val="clear" w:color="auto" w:fill="FFFFFF"/>
        </w:rPr>
        <w:t>, 6(1), pp. 25-29. Available at: https//doi.org/10.15123/PUB.5093</w:t>
      </w:r>
    </w:p>
    <w:p w14:paraId="23C5604E" w14:textId="77777777" w:rsidR="00350327" w:rsidRPr="009D6E77" w:rsidRDefault="00350327" w:rsidP="00350327">
      <w:pPr>
        <w:snapToGrid w:val="0"/>
        <w:spacing w:line="360" w:lineRule="auto"/>
        <w:rPr>
          <w:rFonts w:ascii="Arial" w:hAnsi="Arial" w:cs="Arial"/>
          <w:color w:val="000000" w:themeColor="text1"/>
          <w:spacing w:val="-3"/>
          <w:sz w:val="22"/>
          <w:szCs w:val="22"/>
          <w:shd w:val="clear" w:color="auto" w:fill="FFFFFF"/>
        </w:rPr>
      </w:pPr>
    </w:p>
    <w:p w14:paraId="646B020F" w14:textId="7E2D3433" w:rsidR="00350327" w:rsidRDefault="00350327" w:rsidP="00350327">
      <w:pPr>
        <w:snapToGrid w:val="0"/>
        <w:spacing w:line="360" w:lineRule="auto"/>
        <w:rPr>
          <w:rFonts w:ascii="Arial" w:hAnsi="Arial" w:cs="Arial"/>
          <w:color w:val="000000" w:themeColor="text1"/>
          <w:sz w:val="22"/>
          <w:szCs w:val="22"/>
        </w:rPr>
      </w:pPr>
      <w:r w:rsidRPr="009D6E77">
        <w:rPr>
          <w:rFonts w:ascii="Arial" w:hAnsi="Arial" w:cs="Arial"/>
          <w:color w:val="000000" w:themeColor="text1"/>
          <w:sz w:val="22"/>
          <w:szCs w:val="22"/>
        </w:rPr>
        <w:t xml:space="preserve">Riddick, B. (2012), Labelling learners with ‘SEND’: the good, the bad and the ugly. In </w:t>
      </w:r>
      <w:r w:rsidRPr="009D6E77">
        <w:rPr>
          <w:rFonts w:ascii="Arial" w:hAnsi="Arial" w:cs="Arial"/>
          <w:color w:val="000000" w:themeColor="text1"/>
          <w:sz w:val="22"/>
          <w:szCs w:val="22"/>
        </w:rPr>
        <w:tab/>
        <w:t xml:space="preserve">Armstrong, D and Squires, G. eds </w:t>
      </w:r>
      <w:r w:rsidRPr="009D6E77">
        <w:rPr>
          <w:rFonts w:ascii="Arial" w:hAnsi="Arial" w:cs="Arial"/>
          <w:i/>
          <w:iCs/>
          <w:color w:val="000000" w:themeColor="text1"/>
          <w:sz w:val="22"/>
          <w:szCs w:val="22"/>
        </w:rPr>
        <w:t xml:space="preserve">Contemporary Issues in Special Educational </w:t>
      </w:r>
      <w:r w:rsidRPr="009D6E77">
        <w:rPr>
          <w:rFonts w:ascii="Arial" w:hAnsi="Arial" w:cs="Arial"/>
          <w:i/>
          <w:iCs/>
          <w:color w:val="000000" w:themeColor="text1"/>
          <w:sz w:val="22"/>
          <w:szCs w:val="22"/>
        </w:rPr>
        <w:tab/>
        <w:t>Needs: Considering the Whole Child</w:t>
      </w:r>
      <w:r w:rsidRPr="009D6E77">
        <w:rPr>
          <w:rFonts w:ascii="Arial" w:hAnsi="Arial" w:cs="Arial"/>
          <w:color w:val="000000" w:themeColor="text1"/>
          <w:sz w:val="22"/>
          <w:szCs w:val="22"/>
        </w:rPr>
        <w:t xml:space="preserve">, [Online]. McGraw-Hill Education, pp. 25-34, </w:t>
      </w:r>
      <w:r w:rsidRPr="009D6E77">
        <w:rPr>
          <w:rFonts w:ascii="Arial" w:hAnsi="Arial" w:cs="Arial"/>
          <w:color w:val="000000" w:themeColor="text1"/>
          <w:sz w:val="22"/>
          <w:szCs w:val="22"/>
        </w:rPr>
        <w:tab/>
        <w:t xml:space="preserve">[Accessed 21 October 2022] Available from: </w:t>
      </w:r>
      <w:r w:rsidRPr="009D6E77">
        <w:rPr>
          <w:rFonts w:ascii="Arial" w:hAnsi="Arial" w:cs="Arial"/>
          <w:color w:val="000000" w:themeColor="text1"/>
          <w:sz w:val="22"/>
          <w:szCs w:val="22"/>
        </w:rPr>
        <w:tab/>
      </w:r>
      <w:hyperlink r:id="rId15" w:history="1">
        <w:r w:rsidRPr="003D0062">
          <w:rPr>
            <w:rStyle w:val="Hyperlink"/>
            <w:rFonts w:ascii="Arial" w:hAnsi="Arial" w:cs="Arial"/>
            <w:sz w:val="22"/>
            <w:szCs w:val="22"/>
          </w:rPr>
          <w:t>https://ebookcentral.proquest.com/lib/trinity/reader.action?docID=915553</w:t>
        </w:r>
      </w:hyperlink>
    </w:p>
    <w:p w14:paraId="03D982F7" w14:textId="041D5794" w:rsidR="00350327" w:rsidRDefault="00350327" w:rsidP="00350327">
      <w:pPr>
        <w:snapToGrid w:val="0"/>
        <w:spacing w:line="360" w:lineRule="auto"/>
        <w:rPr>
          <w:rFonts w:ascii="Arial" w:hAnsi="Arial" w:cs="Arial"/>
          <w:color w:val="000000" w:themeColor="text1"/>
          <w:sz w:val="22"/>
          <w:szCs w:val="22"/>
        </w:rPr>
      </w:pPr>
    </w:p>
    <w:p w14:paraId="74B58980" w14:textId="22AF724D" w:rsidR="0042086A" w:rsidRDefault="0042086A" w:rsidP="00350327">
      <w:pPr>
        <w:snapToGrid w:val="0"/>
        <w:spacing w:line="360" w:lineRule="auto"/>
        <w:rPr>
          <w:rFonts w:ascii="Arial" w:hAnsi="Arial" w:cs="Arial"/>
          <w:color w:val="000000" w:themeColor="text1"/>
          <w:sz w:val="22"/>
          <w:szCs w:val="22"/>
        </w:rPr>
      </w:pPr>
      <w:r>
        <w:rPr>
          <w:rFonts w:ascii="Arial" w:hAnsi="Arial" w:cs="Arial"/>
          <w:color w:val="000000" w:themeColor="text1"/>
          <w:sz w:val="22"/>
          <w:szCs w:val="22"/>
        </w:rPr>
        <w:t>School Prospectus</w:t>
      </w:r>
      <w:r w:rsidR="00A06C94">
        <w:rPr>
          <w:rFonts w:ascii="Arial" w:hAnsi="Arial" w:cs="Arial"/>
          <w:color w:val="000000" w:themeColor="text1"/>
          <w:sz w:val="22"/>
          <w:szCs w:val="22"/>
        </w:rPr>
        <w:t>, 2021-2022</w:t>
      </w:r>
    </w:p>
    <w:p w14:paraId="7034115E" w14:textId="77777777" w:rsidR="0042086A" w:rsidRPr="009D6E77" w:rsidRDefault="0042086A" w:rsidP="00350327">
      <w:pPr>
        <w:snapToGrid w:val="0"/>
        <w:spacing w:line="360" w:lineRule="auto"/>
        <w:rPr>
          <w:rFonts w:ascii="Arial" w:hAnsi="Arial" w:cs="Arial"/>
          <w:color w:val="000000" w:themeColor="text1"/>
          <w:sz w:val="22"/>
          <w:szCs w:val="22"/>
        </w:rPr>
      </w:pPr>
    </w:p>
    <w:p w14:paraId="783ADCA7" w14:textId="273889DB" w:rsidR="00350327" w:rsidRDefault="00350327" w:rsidP="00350327">
      <w:pPr>
        <w:pStyle w:val="NormalWeb"/>
        <w:snapToGrid w:val="0"/>
        <w:spacing w:before="0" w:beforeAutospacing="0" w:after="0" w:afterAutospacing="0" w:line="360" w:lineRule="auto"/>
        <w:ind w:left="567" w:hanging="567"/>
        <w:rPr>
          <w:rFonts w:ascii="Arial" w:hAnsi="Arial" w:cs="Arial"/>
          <w:sz w:val="22"/>
          <w:szCs w:val="22"/>
        </w:rPr>
      </w:pPr>
      <w:r w:rsidRPr="009D6E77">
        <w:rPr>
          <w:rFonts w:ascii="Arial" w:hAnsi="Arial" w:cs="Arial"/>
          <w:sz w:val="22"/>
          <w:szCs w:val="22"/>
        </w:rPr>
        <w:t xml:space="preserve">Schön, D.A. (1992) “The theory of inquiry: Dewey's legacy to education,” </w:t>
      </w:r>
      <w:r w:rsidRPr="009D6E77">
        <w:rPr>
          <w:rFonts w:ascii="Arial" w:hAnsi="Arial" w:cs="Arial"/>
          <w:i/>
          <w:iCs/>
          <w:sz w:val="22"/>
          <w:szCs w:val="22"/>
        </w:rPr>
        <w:t>Curriculum Inquiry</w:t>
      </w:r>
      <w:r w:rsidRPr="009D6E77">
        <w:rPr>
          <w:rFonts w:ascii="Arial" w:hAnsi="Arial" w:cs="Arial"/>
          <w:sz w:val="22"/>
          <w:szCs w:val="22"/>
        </w:rPr>
        <w:t>, 22(2), pp. 119–139. Available at: https://doi.org/10.1080/03626784.1992.11076093. [Accessed 21 October 2022]</w:t>
      </w:r>
    </w:p>
    <w:p w14:paraId="3F0D5DD1" w14:textId="77777777" w:rsidR="00350327" w:rsidRPr="009D6E77" w:rsidRDefault="00350327" w:rsidP="00350327">
      <w:pPr>
        <w:pStyle w:val="NormalWeb"/>
        <w:snapToGrid w:val="0"/>
        <w:spacing w:before="0" w:beforeAutospacing="0" w:after="0" w:afterAutospacing="0" w:line="360" w:lineRule="auto"/>
        <w:ind w:left="567" w:hanging="567"/>
        <w:rPr>
          <w:rFonts w:ascii="Arial" w:hAnsi="Arial" w:cs="Arial"/>
          <w:sz w:val="22"/>
          <w:szCs w:val="22"/>
        </w:rPr>
      </w:pPr>
    </w:p>
    <w:p w14:paraId="052FDF65" w14:textId="49408613" w:rsidR="00350327" w:rsidRDefault="00350327" w:rsidP="00350327">
      <w:pPr>
        <w:pStyle w:val="NormalWeb"/>
        <w:snapToGrid w:val="0"/>
        <w:spacing w:before="0" w:beforeAutospacing="0" w:after="0" w:afterAutospacing="0" w:line="360" w:lineRule="auto"/>
        <w:ind w:left="567" w:hanging="567"/>
        <w:rPr>
          <w:rFonts w:ascii="Arial" w:hAnsi="Arial" w:cs="Arial"/>
          <w:sz w:val="22"/>
          <w:szCs w:val="22"/>
        </w:rPr>
      </w:pPr>
      <w:r w:rsidRPr="009D6E77">
        <w:rPr>
          <w:rFonts w:ascii="Arial" w:hAnsi="Arial" w:cs="Arial"/>
          <w:sz w:val="22"/>
          <w:szCs w:val="22"/>
        </w:rPr>
        <w:lastRenderedPageBreak/>
        <w:t xml:space="preserve">Tripp, D. (1994) “Teachers’ lives, critical incidents, and professional practice,” </w:t>
      </w:r>
      <w:r w:rsidRPr="009D6E77">
        <w:rPr>
          <w:rFonts w:ascii="Arial" w:hAnsi="Arial" w:cs="Arial"/>
          <w:i/>
          <w:iCs/>
          <w:sz w:val="22"/>
          <w:szCs w:val="22"/>
        </w:rPr>
        <w:t>International Journal of Qualitative Studies in Education</w:t>
      </w:r>
      <w:r w:rsidRPr="009D6E77">
        <w:rPr>
          <w:rFonts w:ascii="Arial" w:hAnsi="Arial" w:cs="Arial"/>
          <w:sz w:val="22"/>
          <w:szCs w:val="22"/>
        </w:rPr>
        <w:t>, 7(1), pp. 65–76. Available at: https://doi.org/10.1080/0951839940070105. [Accessed 14 October 2022</w:t>
      </w:r>
      <w:r>
        <w:rPr>
          <w:rFonts w:ascii="Arial" w:hAnsi="Arial" w:cs="Arial"/>
          <w:sz w:val="22"/>
          <w:szCs w:val="22"/>
        </w:rPr>
        <w:t>]</w:t>
      </w:r>
    </w:p>
    <w:p w14:paraId="4B646B61" w14:textId="77777777" w:rsidR="00350327" w:rsidRPr="009D6E77" w:rsidRDefault="00350327" w:rsidP="00350327">
      <w:pPr>
        <w:pStyle w:val="NormalWeb"/>
        <w:snapToGrid w:val="0"/>
        <w:spacing w:before="0" w:beforeAutospacing="0" w:after="0" w:afterAutospacing="0" w:line="360" w:lineRule="auto"/>
        <w:ind w:left="567" w:hanging="567"/>
        <w:rPr>
          <w:rFonts w:ascii="Arial" w:hAnsi="Arial" w:cs="Arial"/>
          <w:sz w:val="22"/>
          <w:szCs w:val="22"/>
        </w:rPr>
      </w:pPr>
    </w:p>
    <w:p w14:paraId="1899C863" w14:textId="77777777" w:rsidR="00350327" w:rsidRPr="009D6E77" w:rsidRDefault="00350327" w:rsidP="00350327">
      <w:pPr>
        <w:pStyle w:val="NormalWeb"/>
        <w:snapToGrid w:val="0"/>
        <w:spacing w:before="0" w:beforeAutospacing="0" w:after="0" w:afterAutospacing="0" w:line="360" w:lineRule="auto"/>
        <w:ind w:left="567" w:hanging="567"/>
        <w:rPr>
          <w:rFonts w:ascii="Arial" w:hAnsi="Arial" w:cs="Arial"/>
          <w:sz w:val="22"/>
          <w:szCs w:val="22"/>
        </w:rPr>
      </w:pPr>
      <w:r w:rsidRPr="009D6E77">
        <w:rPr>
          <w:rFonts w:ascii="Arial" w:hAnsi="Arial" w:cs="Arial"/>
          <w:sz w:val="22"/>
          <w:szCs w:val="22"/>
        </w:rPr>
        <w:t xml:space="preserve">Tripp, D. (2012) </w:t>
      </w:r>
      <w:r w:rsidRPr="009D6E77">
        <w:rPr>
          <w:rFonts w:ascii="Arial" w:hAnsi="Arial" w:cs="Arial"/>
          <w:i/>
          <w:iCs/>
          <w:sz w:val="22"/>
          <w:szCs w:val="22"/>
        </w:rPr>
        <w:t>Critical incidents in teaching: Developing professional judgement</w:t>
      </w:r>
      <w:r w:rsidRPr="009D6E77">
        <w:rPr>
          <w:rFonts w:ascii="Arial" w:hAnsi="Arial" w:cs="Arial"/>
          <w:sz w:val="22"/>
          <w:szCs w:val="22"/>
        </w:rPr>
        <w:t xml:space="preserve">, </w:t>
      </w:r>
      <w:r w:rsidRPr="009D6E77">
        <w:rPr>
          <w:rFonts w:ascii="Arial" w:hAnsi="Arial" w:cs="Arial"/>
          <w:i/>
          <w:iCs/>
          <w:sz w:val="22"/>
          <w:szCs w:val="22"/>
        </w:rPr>
        <w:t>https://ebookcentral.proquest.com/</w:t>
      </w:r>
      <w:r w:rsidRPr="009D6E77">
        <w:rPr>
          <w:rFonts w:ascii="Arial" w:hAnsi="Arial" w:cs="Arial"/>
          <w:sz w:val="22"/>
          <w:szCs w:val="22"/>
        </w:rPr>
        <w:t xml:space="preserve">. London: Routledge. Available at: https://ebookcentral.proquest.com/lib/trinity/reader.action?docID=958710 [Accessed: October 14, 2022]. </w:t>
      </w:r>
    </w:p>
    <w:p w14:paraId="0C027E99" w14:textId="1BE38099" w:rsidR="00C11E2D" w:rsidRPr="004F23D3" w:rsidRDefault="00350327" w:rsidP="004F23D3">
      <w:pPr>
        <w:pStyle w:val="NormalWeb"/>
        <w:snapToGrid w:val="0"/>
        <w:spacing w:before="0" w:beforeAutospacing="0" w:after="0" w:afterAutospacing="0" w:line="360" w:lineRule="auto"/>
        <w:ind w:left="567" w:hanging="567"/>
        <w:rPr>
          <w:rFonts w:ascii="Arial" w:hAnsi="Arial" w:cs="Arial"/>
          <w:sz w:val="22"/>
          <w:szCs w:val="22"/>
        </w:rPr>
      </w:pPr>
      <w:r w:rsidRPr="009D6E77">
        <w:rPr>
          <w:rFonts w:ascii="Arial" w:hAnsi="Arial" w:cs="Arial"/>
          <w:sz w:val="22"/>
          <w:szCs w:val="22"/>
        </w:rPr>
        <w:t xml:space="preserve">Yamamoto, J.K., Gardiner, </w:t>
      </w:r>
      <w:proofErr w:type="gramStart"/>
      <w:r w:rsidRPr="009D6E77">
        <w:rPr>
          <w:rFonts w:ascii="Arial" w:hAnsi="Arial" w:cs="Arial"/>
          <w:sz w:val="22"/>
          <w:szCs w:val="22"/>
        </w:rPr>
        <w:t>M.E.</w:t>
      </w:r>
      <w:proofErr w:type="gramEnd"/>
      <w:r w:rsidRPr="009D6E77">
        <w:rPr>
          <w:rFonts w:ascii="Arial" w:hAnsi="Arial" w:cs="Arial"/>
          <w:sz w:val="22"/>
          <w:szCs w:val="22"/>
        </w:rPr>
        <w:t xml:space="preserve"> and Tenuto, P.L. (2013) “Emotion in leadership,” </w:t>
      </w:r>
      <w:r w:rsidRPr="009D6E77">
        <w:rPr>
          <w:rFonts w:ascii="Arial" w:hAnsi="Arial" w:cs="Arial"/>
          <w:i/>
          <w:iCs/>
          <w:sz w:val="22"/>
          <w:szCs w:val="22"/>
        </w:rPr>
        <w:t>Educational Management Administration &amp; Leadership</w:t>
      </w:r>
      <w:r w:rsidRPr="009D6E77">
        <w:rPr>
          <w:rFonts w:ascii="Arial" w:hAnsi="Arial" w:cs="Arial"/>
          <w:sz w:val="22"/>
          <w:szCs w:val="22"/>
        </w:rPr>
        <w:t>, 42(2), pp. 165–183. Available at: https://doi.org/10.1177/1741143213499260. [Accessed 30 October 2022]</w:t>
      </w:r>
    </w:p>
    <w:sectPr w:rsidR="00C11E2D" w:rsidRPr="004F23D3">
      <w:headerReference w:type="default" r:id="rId16"/>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4178F" w14:textId="77777777" w:rsidR="0029593A" w:rsidRDefault="0029593A" w:rsidP="00A50BFC">
      <w:r>
        <w:separator/>
      </w:r>
    </w:p>
  </w:endnote>
  <w:endnote w:type="continuationSeparator" w:id="0">
    <w:p w14:paraId="71F9B6E3" w14:textId="77777777" w:rsidR="0029593A" w:rsidRDefault="0029593A" w:rsidP="00A50B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67C4F6" w14:textId="55914757" w:rsidR="00A50BFC" w:rsidRDefault="00A50BFC" w:rsidP="0016067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244EB44D" w14:textId="77777777" w:rsidR="00A50BFC" w:rsidRDefault="00A50BFC" w:rsidP="00A50BF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6672426"/>
      <w:docPartObj>
        <w:docPartGallery w:val="Page Numbers (Bottom of Page)"/>
        <w:docPartUnique/>
      </w:docPartObj>
    </w:sdtPr>
    <w:sdtContent>
      <w:p w14:paraId="0569EDC3" w14:textId="405D76A0" w:rsidR="00A50BFC" w:rsidRDefault="00A50BFC" w:rsidP="0016067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9655E4" w14:textId="77777777" w:rsidR="00A50BFC" w:rsidRDefault="00A50BFC" w:rsidP="00A50BF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C23DFF" w14:textId="77777777" w:rsidR="0029593A" w:rsidRDefault="0029593A" w:rsidP="00A50BFC">
      <w:r>
        <w:separator/>
      </w:r>
    </w:p>
  </w:footnote>
  <w:footnote w:type="continuationSeparator" w:id="0">
    <w:p w14:paraId="3F4906F9" w14:textId="77777777" w:rsidR="0029593A" w:rsidRDefault="0029593A" w:rsidP="00A50BF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66F06D" w14:textId="4FBCB2AD" w:rsidR="00A50BFC" w:rsidRDefault="00A50BFC">
    <w:pPr>
      <w:pStyle w:val="Header"/>
    </w:pPr>
    <w:r>
      <w:t>2204862</w:t>
    </w:r>
  </w:p>
  <w:p w14:paraId="37B7E2C2" w14:textId="77777777" w:rsidR="00A50BFC" w:rsidRDefault="00A50B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492A7A"/>
    <w:multiLevelType w:val="hybridMultilevel"/>
    <w:tmpl w:val="10304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237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BFC"/>
    <w:rsid w:val="0000752E"/>
    <w:rsid w:val="0004532E"/>
    <w:rsid w:val="00045A67"/>
    <w:rsid w:val="00050670"/>
    <w:rsid w:val="00090BF9"/>
    <w:rsid w:val="000B1110"/>
    <w:rsid w:val="001065E5"/>
    <w:rsid w:val="0012051E"/>
    <w:rsid w:val="00126EED"/>
    <w:rsid w:val="00180083"/>
    <w:rsid w:val="0019333B"/>
    <w:rsid w:val="001A0851"/>
    <w:rsid w:val="001A38A6"/>
    <w:rsid w:val="001C1BDE"/>
    <w:rsid w:val="00225CB5"/>
    <w:rsid w:val="00267C80"/>
    <w:rsid w:val="00285920"/>
    <w:rsid w:val="00294031"/>
    <w:rsid w:val="0029593A"/>
    <w:rsid w:val="002B0AFE"/>
    <w:rsid w:val="002C0016"/>
    <w:rsid w:val="00325B2F"/>
    <w:rsid w:val="00345A50"/>
    <w:rsid w:val="00350327"/>
    <w:rsid w:val="00392DDC"/>
    <w:rsid w:val="003A30B0"/>
    <w:rsid w:val="003E76F1"/>
    <w:rsid w:val="0042086A"/>
    <w:rsid w:val="00455502"/>
    <w:rsid w:val="004659BB"/>
    <w:rsid w:val="004B45B0"/>
    <w:rsid w:val="004B6964"/>
    <w:rsid w:val="004F23D3"/>
    <w:rsid w:val="00567D4B"/>
    <w:rsid w:val="00592E30"/>
    <w:rsid w:val="005E71CA"/>
    <w:rsid w:val="00665863"/>
    <w:rsid w:val="006B3058"/>
    <w:rsid w:val="006C2AB5"/>
    <w:rsid w:val="006E75A3"/>
    <w:rsid w:val="00713C24"/>
    <w:rsid w:val="00714AB0"/>
    <w:rsid w:val="00730FF6"/>
    <w:rsid w:val="0076334B"/>
    <w:rsid w:val="007726B3"/>
    <w:rsid w:val="0077619C"/>
    <w:rsid w:val="007A6683"/>
    <w:rsid w:val="007B401A"/>
    <w:rsid w:val="007C3755"/>
    <w:rsid w:val="00801455"/>
    <w:rsid w:val="00807A00"/>
    <w:rsid w:val="0081368D"/>
    <w:rsid w:val="00817ABE"/>
    <w:rsid w:val="00927A54"/>
    <w:rsid w:val="00942AD5"/>
    <w:rsid w:val="009A7063"/>
    <w:rsid w:val="009E3EF2"/>
    <w:rsid w:val="009F57DA"/>
    <w:rsid w:val="00A06C94"/>
    <w:rsid w:val="00A151B8"/>
    <w:rsid w:val="00A27465"/>
    <w:rsid w:val="00A50BFC"/>
    <w:rsid w:val="00A565CB"/>
    <w:rsid w:val="00A65410"/>
    <w:rsid w:val="00A9729E"/>
    <w:rsid w:val="00AB5D0C"/>
    <w:rsid w:val="00AB7EE9"/>
    <w:rsid w:val="00AC1CE2"/>
    <w:rsid w:val="00AE68F9"/>
    <w:rsid w:val="00B50BB0"/>
    <w:rsid w:val="00BC6A7B"/>
    <w:rsid w:val="00C01737"/>
    <w:rsid w:val="00C11E2D"/>
    <w:rsid w:val="00C2186B"/>
    <w:rsid w:val="00C83AB8"/>
    <w:rsid w:val="00C91E9D"/>
    <w:rsid w:val="00C9362B"/>
    <w:rsid w:val="00CA0EBC"/>
    <w:rsid w:val="00CB1D96"/>
    <w:rsid w:val="00CB55C4"/>
    <w:rsid w:val="00D228F3"/>
    <w:rsid w:val="00D351DE"/>
    <w:rsid w:val="00D37A7B"/>
    <w:rsid w:val="00D41F85"/>
    <w:rsid w:val="00D45976"/>
    <w:rsid w:val="00D66FEC"/>
    <w:rsid w:val="00D87C73"/>
    <w:rsid w:val="00DA546D"/>
    <w:rsid w:val="00DB7EB8"/>
    <w:rsid w:val="00DD5807"/>
    <w:rsid w:val="00E20582"/>
    <w:rsid w:val="00E53833"/>
    <w:rsid w:val="00E70AB9"/>
    <w:rsid w:val="00E8391A"/>
    <w:rsid w:val="00E90E9A"/>
    <w:rsid w:val="00E93211"/>
    <w:rsid w:val="00EB7338"/>
    <w:rsid w:val="00EC0597"/>
    <w:rsid w:val="00EC3863"/>
    <w:rsid w:val="00F068A8"/>
    <w:rsid w:val="00F15392"/>
    <w:rsid w:val="00F262AB"/>
    <w:rsid w:val="00F33933"/>
    <w:rsid w:val="00FC4225"/>
    <w:rsid w:val="00FC4249"/>
    <w:rsid w:val="00FC5A7C"/>
    <w:rsid w:val="39F56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0A4DA1"/>
  <w15:chartTrackingRefBased/>
  <w15:docId w15:val="{262B00AB-F4BA-DD47-AD35-FD51A14F6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0BFC"/>
    <w:pPr>
      <w:tabs>
        <w:tab w:val="center" w:pos="4513"/>
        <w:tab w:val="right" w:pos="9026"/>
      </w:tabs>
    </w:pPr>
  </w:style>
  <w:style w:type="character" w:customStyle="1" w:styleId="HeaderChar">
    <w:name w:val="Header Char"/>
    <w:basedOn w:val="DefaultParagraphFont"/>
    <w:link w:val="Header"/>
    <w:uiPriority w:val="99"/>
    <w:rsid w:val="00A50BFC"/>
  </w:style>
  <w:style w:type="paragraph" w:styleId="Footer">
    <w:name w:val="footer"/>
    <w:basedOn w:val="Normal"/>
    <w:link w:val="FooterChar"/>
    <w:uiPriority w:val="99"/>
    <w:unhideWhenUsed/>
    <w:rsid w:val="00A50BFC"/>
    <w:pPr>
      <w:tabs>
        <w:tab w:val="center" w:pos="4513"/>
        <w:tab w:val="right" w:pos="9026"/>
      </w:tabs>
    </w:pPr>
  </w:style>
  <w:style w:type="character" w:customStyle="1" w:styleId="FooterChar">
    <w:name w:val="Footer Char"/>
    <w:basedOn w:val="DefaultParagraphFont"/>
    <w:link w:val="Footer"/>
    <w:uiPriority w:val="99"/>
    <w:rsid w:val="00A50BFC"/>
  </w:style>
  <w:style w:type="character" w:styleId="PageNumber">
    <w:name w:val="page number"/>
    <w:basedOn w:val="DefaultParagraphFont"/>
    <w:uiPriority w:val="99"/>
    <w:semiHidden/>
    <w:unhideWhenUsed/>
    <w:rsid w:val="00A50BFC"/>
  </w:style>
  <w:style w:type="paragraph" w:styleId="NormalWeb">
    <w:name w:val="Normal (Web)"/>
    <w:basedOn w:val="Normal"/>
    <w:uiPriority w:val="99"/>
    <w:unhideWhenUsed/>
    <w:rsid w:val="00A50BF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50327"/>
    <w:rPr>
      <w:color w:val="0563C1" w:themeColor="hyperlink"/>
      <w:u w:val="single"/>
    </w:rPr>
  </w:style>
  <w:style w:type="character" w:styleId="UnresolvedMention">
    <w:name w:val="Unresolved Mention"/>
    <w:basedOn w:val="DefaultParagraphFont"/>
    <w:uiPriority w:val="99"/>
    <w:semiHidden/>
    <w:unhideWhenUsed/>
    <w:rsid w:val="00350327"/>
    <w:rPr>
      <w:color w:val="605E5C"/>
      <w:shd w:val="clear" w:color="auto" w:fill="E1DFDD"/>
    </w:rPr>
  </w:style>
  <w:style w:type="table" w:styleId="TableGrid">
    <w:name w:val="Table Grid"/>
    <w:basedOn w:val="TableNormal"/>
    <w:uiPriority w:val="39"/>
    <w:rsid w:val="00045A6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45A67"/>
    <w:pPr>
      <w:widowControl w:val="0"/>
      <w:autoSpaceDE w:val="0"/>
      <w:autoSpaceDN w:val="0"/>
      <w:adjustRightInd w:val="0"/>
      <w:ind w:left="720"/>
      <w:contextualSpacing/>
    </w:pPr>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495466">
      <w:bodyDiv w:val="1"/>
      <w:marLeft w:val="0"/>
      <w:marRight w:val="0"/>
      <w:marTop w:val="0"/>
      <w:marBottom w:val="0"/>
      <w:divBdr>
        <w:top w:val="none" w:sz="0" w:space="0" w:color="auto"/>
        <w:left w:val="none" w:sz="0" w:space="0" w:color="auto"/>
        <w:bottom w:val="none" w:sz="0" w:space="0" w:color="auto"/>
        <w:right w:val="none" w:sz="0" w:space="0" w:color="auto"/>
      </w:divBdr>
      <w:divsChild>
        <w:div w:id="219362736">
          <w:marLeft w:val="0"/>
          <w:marRight w:val="0"/>
          <w:marTop w:val="0"/>
          <w:marBottom w:val="0"/>
          <w:divBdr>
            <w:top w:val="none" w:sz="0" w:space="0" w:color="auto"/>
            <w:left w:val="none" w:sz="0" w:space="0" w:color="auto"/>
            <w:bottom w:val="none" w:sz="0" w:space="0" w:color="auto"/>
            <w:right w:val="none" w:sz="0" w:space="0" w:color="auto"/>
          </w:divBdr>
          <w:divsChild>
            <w:div w:id="807893718">
              <w:marLeft w:val="0"/>
              <w:marRight w:val="0"/>
              <w:marTop w:val="0"/>
              <w:marBottom w:val="0"/>
              <w:divBdr>
                <w:top w:val="none" w:sz="0" w:space="0" w:color="auto"/>
                <w:left w:val="none" w:sz="0" w:space="0" w:color="auto"/>
                <w:bottom w:val="none" w:sz="0" w:space="0" w:color="auto"/>
                <w:right w:val="none" w:sz="0" w:space="0" w:color="auto"/>
              </w:divBdr>
              <w:divsChild>
                <w:div w:id="945040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210343">
      <w:bodyDiv w:val="1"/>
      <w:marLeft w:val="0"/>
      <w:marRight w:val="0"/>
      <w:marTop w:val="0"/>
      <w:marBottom w:val="0"/>
      <w:divBdr>
        <w:top w:val="none" w:sz="0" w:space="0" w:color="auto"/>
        <w:left w:val="none" w:sz="0" w:space="0" w:color="auto"/>
        <w:bottom w:val="none" w:sz="0" w:space="0" w:color="auto"/>
        <w:right w:val="none" w:sz="0" w:space="0" w:color="auto"/>
      </w:divBdr>
      <w:divsChild>
        <w:div w:id="1948190806">
          <w:marLeft w:val="0"/>
          <w:marRight w:val="0"/>
          <w:marTop w:val="0"/>
          <w:marBottom w:val="0"/>
          <w:divBdr>
            <w:top w:val="none" w:sz="0" w:space="0" w:color="auto"/>
            <w:left w:val="none" w:sz="0" w:space="0" w:color="auto"/>
            <w:bottom w:val="none" w:sz="0" w:space="0" w:color="auto"/>
            <w:right w:val="none" w:sz="0" w:space="0" w:color="auto"/>
          </w:divBdr>
          <w:divsChild>
            <w:div w:id="98139525">
              <w:marLeft w:val="0"/>
              <w:marRight w:val="0"/>
              <w:marTop w:val="0"/>
              <w:marBottom w:val="0"/>
              <w:divBdr>
                <w:top w:val="none" w:sz="0" w:space="0" w:color="auto"/>
                <w:left w:val="none" w:sz="0" w:space="0" w:color="auto"/>
                <w:bottom w:val="none" w:sz="0" w:space="0" w:color="auto"/>
                <w:right w:val="none" w:sz="0" w:space="0" w:color="auto"/>
              </w:divBdr>
              <w:divsChild>
                <w:div w:id="92552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471-3802.2011.01207.x" TargetMode="External"/><Relationship Id="rId13" Type="http://schemas.openxmlformats.org/officeDocument/2006/relationships/hyperlink" Target="https://hwb.gov.wales/curriculum-for-wales/designing-your-curriculum/developing-%09a-vision-for-curriculum-design"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80/02607470902770880"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4623940308274" TargetMode="External"/><Relationship Id="rId5" Type="http://schemas.openxmlformats.org/officeDocument/2006/relationships/footnotes" Target="footnotes.xml"/><Relationship Id="rId15" Type="http://schemas.openxmlformats.org/officeDocument/2006/relationships/hyperlink" Target="https://ebookcentral.proquest.com/lib/trinity/reader.action?docID=915553" TargetMode="External"/><Relationship Id="rId10" Type="http://schemas.openxmlformats.org/officeDocument/2006/relationships/hyperlink" Target="https://ebookcentral.proquest.com/lib/trinity/reader.action?docID=915553"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styn.gov.wales/provider/6702036" TargetMode="External"/><Relationship Id="rId14" Type="http://schemas.openxmlformats.org/officeDocument/2006/relationships/hyperlink" Target="https://www.researchgate.net/publication/238759143_Toward_an_Applied_Theory_o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14</Pages>
  <Words>4816</Words>
  <Characters>27452</Characters>
  <Application>Microsoft Office Word</Application>
  <DocSecurity>0</DocSecurity>
  <Lines>228</Lines>
  <Paragraphs>64</Paragraphs>
  <ScaleCrop>false</ScaleCrop>
  <Company/>
  <LinksUpToDate>false</LinksUpToDate>
  <CharactersWithSpaces>32204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Lloyd (2204862)</dc:creator>
  <cp:keywords/>
  <dc:description/>
  <cp:lastModifiedBy>Steffan Lloyd (2204862)</cp:lastModifiedBy>
  <cp:revision>95</cp:revision>
  <dcterms:created xsi:type="dcterms:W3CDTF">2022-10-30T21:00:00Z</dcterms:created>
  <dcterms:modified xsi:type="dcterms:W3CDTF">2022-11-06T11:03:00Z</dcterms:modified>
</cp:coreProperties>
</file>