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427D00E" w:rsidR="00931D75" w:rsidRDefault="2D612B7E" w:rsidP="2AA84DBB">
      <w:pPr>
        <w:rPr>
          <w:rFonts w:ascii="Calibri" w:eastAsia="Calibri" w:hAnsi="Calibri" w:cs="Calibri"/>
          <w:sz w:val="32"/>
          <w:szCs w:val="32"/>
        </w:rPr>
      </w:pPr>
      <w:r>
        <w:t xml:space="preserve">            </w:t>
      </w:r>
      <w:r w:rsidRPr="2AA84DBB">
        <w:rPr>
          <w:sz w:val="32"/>
          <w:szCs w:val="32"/>
        </w:rPr>
        <w:t xml:space="preserve">     </w:t>
      </w:r>
      <w:r w:rsidRPr="2AA84DBB">
        <w:rPr>
          <w:rFonts w:ascii="Calibri" w:eastAsia="Calibri" w:hAnsi="Calibri" w:cs="Calibri"/>
          <w:sz w:val="32"/>
          <w:szCs w:val="32"/>
        </w:rPr>
        <w:t>Coaching and Mentoring within an organisational context.</w:t>
      </w:r>
    </w:p>
    <w:p w14:paraId="7470A5CB" w14:textId="009DB227" w:rsidR="2AA84DBB" w:rsidRDefault="2AA84DBB" w:rsidP="2AA84DBB">
      <w:pPr>
        <w:jc w:val="both"/>
        <w:rPr>
          <w:rFonts w:ascii="Calibri" w:eastAsia="Calibri" w:hAnsi="Calibri" w:cs="Calibri"/>
          <w:b/>
          <w:bCs/>
        </w:rPr>
      </w:pPr>
    </w:p>
    <w:p w14:paraId="76DF4491" w14:textId="76230EE7" w:rsidR="2AA84DBB" w:rsidRDefault="2AA84DBB" w:rsidP="2AA84DBB">
      <w:pPr>
        <w:jc w:val="both"/>
        <w:rPr>
          <w:rFonts w:ascii="Calibri" w:eastAsia="Calibri" w:hAnsi="Calibri" w:cs="Calibri"/>
          <w:b/>
          <w:bCs/>
        </w:rPr>
      </w:pPr>
    </w:p>
    <w:p w14:paraId="27587610" w14:textId="7541BC06" w:rsidR="22CA6459" w:rsidRDefault="22CA6459" w:rsidP="2AA84DBB">
      <w:pPr>
        <w:jc w:val="both"/>
      </w:pPr>
      <w:r w:rsidRPr="2AA84DBB">
        <w:rPr>
          <w:rFonts w:ascii="Calibri" w:eastAsia="Calibri" w:hAnsi="Calibri" w:cs="Calibri"/>
          <w:b/>
          <w:bCs/>
        </w:rPr>
        <w:t xml:space="preserve">                                          BA Leadership and Management Skills for the Workplace</w:t>
      </w:r>
    </w:p>
    <w:p w14:paraId="360B4AE0" w14:textId="472439B9" w:rsidR="2AA84DBB" w:rsidRDefault="2AA84DBB" w:rsidP="2AA84DBB">
      <w:pPr>
        <w:jc w:val="both"/>
        <w:rPr>
          <w:rFonts w:ascii="Calibri" w:eastAsia="Calibri" w:hAnsi="Calibri" w:cs="Calibri"/>
          <w:b/>
          <w:bCs/>
        </w:rPr>
      </w:pPr>
    </w:p>
    <w:p w14:paraId="30E49D1C" w14:textId="3503E199" w:rsidR="2AA84DBB" w:rsidRDefault="2AA84DBB" w:rsidP="2AA84DBB">
      <w:pPr>
        <w:jc w:val="both"/>
        <w:rPr>
          <w:rFonts w:ascii="Calibri" w:eastAsia="Calibri" w:hAnsi="Calibri" w:cs="Calibri"/>
          <w:b/>
          <w:bCs/>
        </w:rPr>
      </w:pPr>
    </w:p>
    <w:p w14:paraId="1C6BA7AA" w14:textId="1411F34B" w:rsidR="2AA84DBB" w:rsidRDefault="2AA84DBB" w:rsidP="2AA84DBB">
      <w:pPr>
        <w:jc w:val="both"/>
        <w:rPr>
          <w:rFonts w:ascii="Calibri" w:eastAsia="Calibri" w:hAnsi="Calibri" w:cs="Calibri"/>
          <w:b/>
          <w:bCs/>
        </w:rPr>
      </w:pPr>
    </w:p>
    <w:p w14:paraId="4CEFD475" w14:textId="43305265" w:rsidR="2AA84DBB" w:rsidRDefault="2AA84DBB" w:rsidP="2AA84DBB">
      <w:pPr>
        <w:jc w:val="both"/>
        <w:rPr>
          <w:rFonts w:ascii="Calibri" w:eastAsia="Calibri" w:hAnsi="Calibri" w:cs="Calibri"/>
          <w:b/>
          <w:bCs/>
        </w:rPr>
      </w:pPr>
    </w:p>
    <w:p w14:paraId="3BF7C8CB" w14:textId="705A43B7" w:rsidR="2AA84DBB" w:rsidRDefault="2AA84DBB" w:rsidP="2AA84DBB">
      <w:pPr>
        <w:jc w:val="both"/>
        <w:rPr>
          <w:rFonts w:ascii="Calibri" w:eastAsia="Calibri" w:hAnsi="Calibri" w:cs="Calibri"/>
          <w:b/>
          <w:bCs/>
        </w:rPr>
      </w:pPr>
    </w:p>
    <w:p w14:paraId="09BF8E94" w14:textId="1FF338F2" w:rsidR="22CA6459" w:rsidRDefault="22CA6459" w:rsidP="2AA84DBB">
      <w:pPr>
        <w:jc w:val="both"/>
        <w:rPr>
          <w:rFonts w:ascii="Calibri" w:eastAsia="Calibri" w:hAnsi="Calibri" w:cs="Calibri"/>
          <w:color w:val="000000" w:themeColor="text1"/>
          <w:sz w:val="28"/>
          <w:szCs w:val="28"/>
        </w:rPr>
      </w:pPr>
      <w:r w:rsidRPr="2AA84DBB">
        <w:rPr>
          <w:rFonts w:ascii="Calibri" w:eastAsia="Calibri" w:hAnsi="Calibri" w:cs="Calibri"/>
          <w:color w:val="000000" w:themeColor="text1"/>
          <w:sz w:val="28"/>
          <w:szCs w:val="28"/>
        </w:rPr>
        <w:t>Student name: Alina G Mucenic</w:t>
      </w:r>
    </w:p>
    <w:p w14:paraId="755389FF" w14:textId="13167337" w:rsidR="22CA6459" w:rsidRDefault="22CA6459" w:rsidP="2AA84DBB">
      <w:pPr>
        <w:jc w:val="both"/>
        <w:rPr>
          <w:rFonts w:ascii="Calibri" w:eastAsia="Calibri" w:hAnsi="Calibri" w:cs="Calibri"/>
          <w:color w:val="000000" w:themeColor="text1"/>
          <w:sz w:val="28"/>
          <w:szCs w:val="28"/>
        </w:rPr>
      </w:pPr>
      <w:r w:rsidRPr="2AA84DBB">
        <w:rPr>
          <w:rFonts w:ascii="Calibri" w:eastAsia="Calibri" w:hAnsi="Calibri" w:cs="Calibri"/>
          <w:color w:val="000000" w:themeColor="text1"/>
          <w:sz w:val="28"/>
          <w:szCs w:val="28"/>
        </w:rPr>
        <w:t>Student ID number: 2108840</w:t>
      </w:r>
    </w:p>
    <w:p w14:paraId="738284A3" w14:textId="17E5D695" w:rsidR="22CA6459" w:rsidRDefault="22CA6459" w:rsidP="2AA84DBB">
      <w:pPr>
        <w:jc w:val="both"/>
        <w:rPr>
          <w:rFonts w:ascii="Calibri" w:eastAsia="Calibri" w:hAnsi="Calibri" w:cs="Calibri"/>
          <w:color w:val="000000" w:themeColor="text1"/>
          <w:sz w:val="28"/>
          <w:szCs w:val="28"/>
        </w:rPr>
      </w:pPr>
      <w:r w:rsidRPr="2AA84DBB">
        <w:rPr>
          <w:rFonts w:ascii="Calibri" w:eastAsia="Calibri" w:hAnsi="Calibri" w:cs="Calibri"/>
          <w:color w:val="000000" w:themeColor="text1"/>
          <w:sz w:val="28"/>
          <w:szCs w:val="28"/>
        </w:rPr>
        <w:t>Date: 08/12/2023</w:t>
      </w:r>
    </w:p>
    <w:p w14:paraId="6DE52DDF" w14:textId="2C0BC75E" w:rsidR="22CA6459" w:rsidRDefault="22CA6459" w:rsidP="2AA84DBB">
      <w:pPr>
        <w:jc w:val="both"/>
        <w:rPr>
          <w:rFonts w:ascii="Calibri" w:eastAsia="Calibri" w:hAnsi="Calibri" w:cs="Calibri"/>
          <w:color w:val="000000" w:themeColor="text1"/>
          <w:sz w:val="28"/>
          <w:szCs w:val="28"/>
        </w:rPr>
      </w:pPr>
      <w:r w:rsidRPr="2AA84DBB">
        <w:rPr>
          <w:rFonts w:ascii="Calibri" w:eastAsia="Calibri" w:hAnsi="Calibri" w:cs="Calibri"/>
          <w:color w:val="000000" w:themeColor="text1"/>
          <w:sz w:val="28"/>
          <w:szCs w:val="28"/>
        </w:rPr>
        <w:t>Words count: 2500</w:t>
      </w:r>
    </w:p>
    <w:p w14:paraId="2138B025" w14:textId="13B9D824" w:rsidR="22CA6459" w:rsidRDefault="22CA6459" w:rsidP="2AA84DBB">
      <w:pPr>
        <w:jc w:val="both"/>
        <w:rPr>
          <w:rFonts w:ascii="Calibri" w:eastAsia="Calibri" w:hAnsi="Calibri" w:cs="Calibri"/>
          <w:color w:val="000000" w:themeColor="text1"/>
          <w:sz w:val="28"/>
          <w:szCs w:val="28"/>
        </w:rPr>
      </w:pPr>
      <w:r w:rsidRPr="2AA84DBB">
        <w:rPr>
          <w:rFonts w:ascii="Calibri" w:eastAsia="Calibri" w:hAnsi="Calibri" w:cs="Calibri"/>
          <w:color w:val="000000" w:themeColor="text1"/>
          <w:sz w:val="28"/>
          <w:szCs w:val="28"/>
        </w:rPr>
        <w:t xml:space="preserve">Lecturer: </w:t>
      </w:r>
      <w:r w:rsidRPr="2AA84DBB">
        <w:rPr>
          <w:rFonts w:ascii="Calibri" w:eastAsia="Calibri" w:hAnsi="Calibri" w:cs="Calibri"/>
          <w:sz w:val="28"/>
          <w:szCs w:val="28"/>
        </w:rPr>
        <w:t>Brynach Heffernan</w:t>
      </w:r>
    </w:p>
    <w:p w14:paraId="7C11DB23" w14:textId="715CC496" w:rsidR="2AA84DBB" w:rsidRDefault="2AA84DBB" w:rsidP="2AA84DBB">
      <w:pPr>
        <w:jc w:val="both"/>
        <w:rPr>
          <w:rFonts w:ascii="Calibri" w:eastAsia="Calibri" w:hAnsi="Calibri" w:cs="Calibri"/>
          <w:color w:val="000000" w:themeColor="text1"/>
          <w:sz w:val="28"/>
          <w:szCs w:val="28"/>
        </w:rPr>
      </w:pPr>
    </w:p>
    <w:p w14:paraId="267C6F50" w14:textId="10F4DC15" w:rsidR="2AA84DBB" w:rsidRDefault="2AA84DBB" w:rsidP="2AA84DBB">
      <w:pPr>
        <w:jc w:val="both"/>
        <w:rPr>
          <w:rFonts w:ascii="Calibri" w:eastAsia="Calibri" w:hAnsi="Calibri" w:cs="Calibri"/>
          <w:b/>
          <w:bCs/>
        </w:rPr>
      </w:pPr>
    </w:p>
    <w:p w14:paraId="670B2D6A" w14:textId="483A76AE" w:rsidR="2AA84DBB" w:rsidRDefault="2AA84DBB" w:rsidP="2AA84DBB">
      <w:pPr>
        <w:rPr>
          <w:rFonts w:ascii="Calibri" w:eastAsia="Calibri" w:hAnsi="Calibri" w:cs="Calibri"/>
          <w:sz w:val="32"/>
          <w:szCs w:val="32"/>
        </w:rPr>
      </w:pPr>
    </w:p>
    <w:p w14:paraId="07E0AC48" w14:textId="0CB34BA5" w:rsidR="607D8507" w:rsidRDefault="607D8507" w:rsidP="2AA84DBB">
      <w:pPr>
        <w:rPr>
          <w:rFonts w:ascii="Calibri" w:eastAsia="Calibri" w:hAnsi="Calibri" w:cs="Calibri"/>
          <w:sz w:val="32"/>
          <w:szCs w:val="32"/>
        </w:rPr>
      </w:pPr>
      <w:r w:rsidRPr="2AA84DBB">
        <w:rPr>
          <w:rFonts w:ascii="Calibri" w:eastAsia="Calibri" w:hAnsi="Calibri" w:cs="Calibri"/>
          <w:sz w:val="32"/>
          <w:szCs w:val="32"/>
        </w:rPr>
        <w:t xml:space="preserve">     </w:t>
      </w:r>
    </w:p>
    <w:p w14:paraId="25E02B0D" w14:textId="401CE744" w:rsidR="2AA84DBB" w:rsidRDefault="2AA84DBB" w:rsidP="2AA84DBB">
      <w:pPr>
        <w:rPr>
          <w:rFonts w:ascii="Calibri" w:eastAsia="Calibri" w:hAnsi="Calibri" w:cs="Calibri"/>
          <w:sz w:val="32"/>
          <w:szCs w:val="32"/>
        </w:rPr>
      </w:pPr>
    </w:p>
    <w:p w14:paraId="12253679" w14:textId="4A80BA21" w:rsidR="2AA84DBB" w:rsidRDefault="2AA84DBB" w:rsidP="2AA84DBB">
      <w:pPr>
        <w:rPr>
          <w:rFonts w:ascii="Calibri" w:eastAsia="Calibri" w:hAnsi="Calibri" w:cs="Calibri"/>
          <w:sz w:val="32"/>
          <w:szCs w:val="32"/>
        </w:rPr>
      </w:pPr>
    </w:p>
    <w:p w14:paraId="2CDBD797" w14:textId="7E75380B" w:rsidR="607D8507" w:rsidRDefault="607D8507" w:rsidP="2AA84DBB">
      <w:pPr>
        <w:rPr>
          <w:rFonts w:ascii="Calibri" w:eastAsia="Calibri" w:hAnsi="Calibri" w:cs="Calibri"/>
          <w:sz w:val="32"/>
          <w:szCs w:val="32"/>
        </w:rPr>
      </w:pPr>
      <w:r w:rsidRPr="2AA84DBB">
        <w:rPr>
          <w:rFonts w:ascii="Calibri" w:eastAsia="Calibri" w:hAnsi="Calibri" w:cs="Calibri"/>
          <w:sz w:val="32"/>
          <w:szCs w:val="32"/>
        </w:rPr>
        <w:t xml:space="preserve">                                               </w:t>
      </w:r>
      <w:r w:rsidRPr="2AA84DBB">
        <w:rPr>
          <w:rFonts w:ascii="Calibri" w:eastAsia="Calibri" w:hAnsi="Calibri" w:cs="Calibri"/>
          <w:b/>
          <w:bCs/>
        </w:rPr>
        <w:t>BMSW60_CARD</w:t>
      </w:r>
    </w:p>
    <w:p w14:paraId="6B8245AE" w14:textId="110F0B48" w:rsidR="2AA84DBB" w:rsidRDefault="2AA84DBB" w:rsidP="2AA84DBB">
      <w:pPr>
        <w:rPr>
          <w:rFonts w:ascii="Calibri" w:eastAsia="Calibri" w:hAnsi="Calibri" w:cs="Calibri"/>
          <w:b/>
          <w:bCs/>
        </w:rPr>
      </w:pPr>
    </w:p>
    <w:p w14:paraId="391BB13F" w14:textId="4715777B" w:rsidR="2AA84DBB" w:rsidRDefault="2AA84DBB" w:rsidP="2AA84DBB">
      <w:pPr>
        <w:rPr>
          <w:rFonts w:ascii="Calibri" w:eastAsia="Calibri" w:hAnsi="Calibri" w:cs="Calibri"/>
          <w:b/>
          <w:bCs/>
        </w:rPr>
      </w:pPr>
    </w:p>
    <w:p w14:paraId="73DD3801" w14:textId="6CA4AE7E" w:rsidR="2AA84DBB" w:rsidRDefault="2AA84DBB" w:rsidP="2AA84DBB">
      <w:pPr>
        <w:rPr>
          <w:rFonts w:ascii="Calibri" w:eastAsia="Calibri" w:hAnsi="Calibri" w:cs="Calibri"/>
          <w:b/>
          <w:bCs/>
        </w:rPr>
      </w:pPr>
    </w:p>
    <w:p w14:paraId="6F0E93CF" w14:textId="581C6C4E" w:rsidR="2AA84DBB" w:rsidRDefault="2AA84DBB" w:rsidP="2AA84DBB">
      <w:pPr>
        <w:rPr>
          <w:rFonts w:ascii="Calibri" w:eastAsia="Calibri" w:hAnsi="Calibri" w:cs="Calibri"/>
          <w:b/>
          <w:bCs/>
        </w:rPr>
      </w:pPr>
    </w:p>
    <w:p w14:paraId="3E35933B" w14:textId="45A8A690" w:rsidR="2AA84DBB" w:rsidRDefault="2AA84DBB" w:rsidP="2AA84DBB">
      <w:pPr>
        <w:rPr>
          <w:rFonts w:ascii="Calibri" w:eastAsia="Calibri" w:hAnsi="Calibri" w:cs="Calibri"/>
          <w:b/>
          <w:bCs/>
        </w:rPr>
      </w:pPr>
    </w:p>
    <w:p w14:paraId="112E4AC7" w14:textId="7DE68BD9" w:rsidR="2AA84DBB" w:rsidRDefault="2AA84DBB" w:rsidP="2AA84DBB">
      <w:pPr>
        <w:rPr>
          <w:rFonts w:ascii="Calibri" w:eastAsia="Calibri" w:hAnsi="Calibri" w:cs="Calibri"/>
          <w:b/>
          <w:bCs/>
        </w:rPr>
      </w:pPr>
    </w:p>
    <w:p w14:paraId="1847542A" w14:textId="3C6B5AC9" w:rsidR="2AA84DBB" w:rsidRDefault="2AA84DBB" w:rsidP="2AA84DBB">
      <w:pPr>
        <w:rPr>
          <w:rFonts w:ascii="Calibri" w:eastAsia="Calibri" w:hAnsi="Calibri" w:cs="Calibri"/>
          <w:b/>
          <w:bCs/>
        </w:rPr>
      </w:pPr>
    </w:p>
    <w:p w14:paraId="743AD428" w14:textId="318A05B6" w:rsidR="2AA84DBB" w:rsidRDefault="2AA84DBB" w:rsidP="2AA84DBB">
      <w:pPr>
        <w:rPr>
          <w:rFonts w:ascii="Calibri" w:eastAsia="Calibri" w:hAnsi="Calibri" w:cs="Calibri"/>
          <w:b/>
          <w:bCs/>
        </w:rPr>
      </w:pPr>
    </w:p>
    <w:p w14:paraId="31850948" w14:textId="7EFE3D14" w:rsidR="607D8507" w:rsidRDefault="607D8507" w:rsidP="2AA84DBB">
      <w:pPr>
        <w:rPr>
          <w:rFonts w:ascii="Calibri" w:eastAsia="Calibri" w:hAnsi="Calibri" w:cs="Calibri"/>
          <w:b/>
          <w:bCs/>
          <w:sz w:val="28"/>
          <w:szCs w:val="28"/>
        </w:rPr>
      </w:pPr>
      <w:r w:rsidRPr="2AA84DBB">
        <w:rPr>
          <w:rFonts w:ascii="Calibri" w:eastAsia="Calibri" w:hAnsi="Calibri" w:cs="Calibri"/>
          <w:b/>
          <w:bCs/>
          <w:sz w:val="28"/>
          <w:szCs w:val="28"/>
        </w:rPr>
        <w:t xml:space="preserve">Executive Summary </w:t>
      </w:r>
    </w:p>
    <w:p w14:paraId="0BEE5E59" w14:textId="194BECA3" w:rsidR="2AA84DBB" w:rsidRDefault="2AA84DBB" w:rsidP="2AA84DBB">
      <w:pPr>
        <w:rPr>
          <w:rFonts w:ascii="Calibri" w:eastAsia="Calibri" w:hAnsi="Calibri" w:cs="Calibri"/>
          <w:b/>
          <w:bCs/>
          <w:sz w:val="28"/>
          <w:szCs w:val="28"/>
        </w:rPr>
      </w:pPr>
    </w:p>
    <w:p w14:paraId="69816B07" w14:textId="6E2D5DDE" w:rsidR="2AA84DBB" w:rsidRDefault="2AC918C7" w:rsidP="0E2973B4">
      <w:pPr>
        <w:rPr>
          <w:rFonts w:eastAsiaTheme="minorEastAsia"/>
          <w:color w:val="222222"/>
        </w:rPr>
      </w:pPr>
      <w:r w:rsidRPr="58FB0A6A">
        <w:rPr>
          <w:rFonts w:eastAsiaTheme="minorEastAsia"/>
          <w:color w:val="222222"/>
        </w:rPr>
        <w:t>This report critically examines coaching and mentoring within organizational contexts, exploring their definitions, similarities, differences, and impacts on organizational effectiveness. Utilizing Clutterbuck’s Four Styles of Helping, it compares these strategies to highlight their unique and overlapping features in personal and professional development. A significant portion of the report is dedicated to analyzing the multifaceted role of line managers as coaches and mentors, evaluating the advantages and challenges of this dual function. It emphasizes the necessary skills and behaviors required for effective coaching and mentoring by line managers, highlighting the importance of adapting managerial roles to meet developmental needs within an organization. The report also explores the role of coaching and mentoring in enhancing resilience and managing change, identifying key drivers of change in modern workplaces. It discusses the impact of poorly managed change on workforce dynamics and outlines strategies for building resilience through coaching and mentoring. Reflective analysis of a peer coaching exercise, using Gibbs’ Reflective Cycle, provides personal insights and developmental plans, emphasizing the practical application of coaching techniques in real-world scenarios. In conclusion, the report underscores the value of coaching and mentoring in organizational development, stressing their role in building a resilient and adaptable workforce. It offers recommendations for effectively integrating these strategies into organizational growth and development plans, aiming to enhance individual performance and overall organizational success.</w:t>
      </w:r>
    </w:p>
    <w:p w14:paraId="3489D6A8" w14:textId="08403414" w:rsidR="2AA84DBB" w:rsidRDefault="2AA84DBB" w:rsidP="2AA84DBB">
      <w:pPr>
        <w:rPr>
          <w:rFonts w:ascii="Calibri" w:eastAsia="Calibri" w:hAnsi="Calibri" w:cs="Calibri"/>
          <w:b/>
          <w:bCs/>
          <w:sz w:val="28"/>
          <w:szCs w:val="28"/>
        </w:rPr>
      </w:pPr>
    </w:p>
    <w:p w14:paraId="42D01DA3" w14:textId="0618CDF8" w:rsidR="2AA84DBB" w:rsidRDefault="2AA84DBB" w:rsidP="2AA84DBB">
      <w:pPr>
        <w:rPr>
          <w:rFonts w:ascii="Calibri" w:eastAsia="Calibri" w:hAnsi="Calibri" w:cs="Calibri"/>
          <w:b/>
          <w:bCs/>
          <w:sz w:val="28"/>
          <w:szCs w:val="28"/>
        </w:rPr>
      </w:pPr>
    </w:p>
    <w:p w14:paraId="4CF265C5" w14:textId="66F88765" w:rsidR="2AA84DBB" w:rsidRDefault="2AA84DBB" w:rsidP="2AA84DBB">
      <w:pPr>
        <w:rPr>
          <w:rFonts w:ascii="Calibri" w:eastAsia="Calibri" w:hAnsi="Calibri" w:cs="Calibri"/>
          <w:b/>
          <w:bCs/>
          <w:sz w:val="28"/>
          <w:szCs w:val="28"/>
        </w:rPr>
      </w:pPr>
    </w:p>
    <w:p w14:paraId="13DF10FE" w14:textId="1C42B000" w:rsidR="2AA84DBB" w:rsidRDefault="2AA84DBB" w:rsidP="2AA84DBB">
      <w:pPr>
        <w:rPr>
          <w:rFonts w:ascii="Calibri" w:eastAsia="Calibri" w:hAnsi="Calibri" w:cs="Calibri"/>
          <w:b/>
          <w:bCs/>
          <w:sz w:val="28"/>
          <w:szCs w:val="28"/>
        </w:rPr>
      </w:pPr>
    </w:p>
    <w:p w14:paraId="3A61E874" w14:textId="0C4E0C3C" w:rsidR="2AA84DBB" w:rsidRDefault="2AA84DBB" w:rsidP="2AA84DBB">
      <w:pPr>
        <w:rPr>
          <w:rFonts w:ascii="Calibri" w:eastAsia="Calibri" w:hAnsi="Calibri" w:cs="Calibri"/>
          <w:b/>
          <w:bCs/>
          <w:sz w:val="28"/>
          <w:szCs w:val="28"/>
        </w:rPr>
      </w:pPr>
    </w:p>
    <w:p w14:paraId="3CFBBB8E" w14:textId="3AA180DD" w:rsidR="2AA84DBB" w:rsidRDefault="2AA84DBB" w:rsidP="2AA84DBB">
      <w:pPr>
        <w:rPr>
          <w:rFonts w:ascii="Calibri" w:eastAsia="Calibri" w:hAnsi="Calibri" w:cs="Calibri"/>
          <w:b/>
          <w:bCs/>
          <w:sz w:val="28"/>
          <w:szCs w:val="28"/>
        </w:rPr>
      </w:pPr>
    </w:p>
    <w:p w14:paraId="092D67D8" w14:textId="1DC2112A" w:rsidR="0E2973B4" w:rsidRDefault="0E2973B4" w:rsidP="0E2973B4">
      <w:pPr>
        <w:rPr>
          <w:rFonts w:ascii="Calibri" w:eastAsia="Calibri" w:hAnsi="Calibri" w:cs="Calibri"/>
          <w:b/>
          <w:bCs/>
          <w:sz w:val="28"/>
          <w:szCs w:val="28"/>
        </w:rPr>
      </w:pPr>
    </w:p>
    <w:p w14:paraId="5C37526B" w14:textId="1579C876" w:rsidR="58FB0A6A" w:rsidRDefault="58FB0A6A" w:rsidP="58FB0A6A">
      <w:pPr>
        <w:rPr>
          <w:rFonts w:ascii="Calibri" w:eastAsia="Calibri" w:hAnsi="Calibri" w:cs="Calibri"/>
          <w:b/>
          <w:bCs/>
          <w:sz w:val="28"/>
          <w:szCs w:val="28"/>
        </w:rPr>
      </w:pPr>
    </w:p>
    <w:p w14:paraId="29341717" w14:textId="47BEF15E" w:rsidR="58FB0A6A" w:rsidRDefault="58FB0A6A" w:rsidP="58FB0A6A">
      <w:pPr>
        <w:rPr>
          <w:rFonts w:ascii="Calibri" w:eastAsia="Calibri" w:hAnsi="Calibri" w:cs="Calibri"/>
          <w:b/>
          <w:bCs/>
          <w:sz w:val="28"/>
          <w:szCs w:val="28"/>
        </w:rPr>
      </w:pPr>
    </w:p>
    <w:p w14:paraId="0CD3D05F" w14:textId="2A8370EB" w:rsidR="58FB0A6A" w:rsidRDefault="58FB0A6A" w:rsidP="58FB0A6A">
      <w:pPr>
        <w:rPr>
          <w:rFonts w:ascii="Calibri" w:eastAsia="Calibri" w:hAnsi="Calibri" w:cs="Calibri"/>
          <w:b/>
          <w:bCs/>
          <w:sz w:val="28"/>
          <w:szCs w:val="28"/>
        </w:rPr>
      </w:pPr>
    </w:p>
    <w:p w14:paraId="23F13CA0" w14:textId="228AAB1A" w:rsidR="58FB0A6A" w:rsidRDefault="58FB0A6A" w:rsidP="58FB0A6A">
      <w:pPr>
        <w:rPr>
          <w:rFonts w:ascii="Calibri" w:eastAsia="Calibri" w:hAnsi="Calibri" w:cs="Calibri"/>
          <w:b/>
          <w:bCs/>
          <w:sz w:val="28"/>
          <w:szCs w:val="28"/>
        </w:rPr>
      </w:pPr>
    </w:p>
    <w:p w14:paraId="18F48B77" w14:textId="02E9941C" w:rsidR="58FB0A6A" w:rsidRDefault="58FB0A6A" w:rsidP="58FB0A6A">
      <w:pPr>
        <w:rPr>
          <w:rFonts w:ascii="Calibri" w:eastAsia="Calibri" w:hAnsi="Calibri" w:cs="Calibri"/>
          <w:b/>
          <w:bCs/>
          <w:sz w:val="28"/>
          <w:szCs w:val="28"/>
        </w:rPr>
      </w:pPr>
    </w:p>
    <w:p w14:paraId="004DB7CE" w14:textId="1E0C8A76" w:rsidR="58FB0A6A" w:rsidRDefault="58FB0A6A" w:rsidP="58FB0A6A">
      <w:pPr>
        <w:rPr>
          <w:rFonts w:ascii="Calibri" w:eastAsia="Calibri" w:hAnsi="Calibri" w:cs="Calibri"/>
          <w:b/>
          <w:bCs/>
          <w:sz w:val="28"/>
          <w:szCs w:val="28"/>
        </w:rPr>
      </w:pPr>
    </w:p>
    <w:p w14:paraId="7FCC3DA7" w14:textId="5D03E4B6" w:rsidR="58FB0A6A" w:rsidRDefault="58FB0A6A" w:rsidP="58FB0A6A">
      <w:pPr>
        <w:rPr>
          <w:rFonts w:ascii="Calibri" w:eastAsia="Calibri" w:hAnsi="Calibri" w:cs="Calibri"/>
          <w:b/>
          <w:bCs/>
          <w:sz w:val="28"/>
          <w:szCs w:val="28"/>
        </w:rPr>
      </w:pPr>
    </w:p>
    <w:p w14:paraId="4E561486" w14:textId="19ABC2B9" w:rsidR="58FB0A6A" w:rsidRDefault="58FB0A6A" w:rsidP="58FB0A6A">
      <w:pPr>
        <w:rPr>
          <w:rFonts w:ascii="Calibri" w:eastAsia="Calibri" w:hAnsi="Calibri" w:cs="Calibri"/>
          <w:b/>
          <w:bCs/>
          <w:sz w:val="28"/>
          <w:szCs w:val="28"/>
        </w:rPr>
      </w:pPr>
    </w:p>
    <w:p w14:paraId="054D8ADA" w14:textId="0EC1DB1D" w:rsidR="607D8507" w:rsidRDefault="607D8507" w:rsidP="0E2973B4">
      <w:pPr>
        <w:rPr>
          <w:rFonts w:ascii="Calibri" w:eastAsia="Calibri" w:hAnsi="Calibri" w:cs="Calibri"/>
          <w:b/>
          <w:bCs/>
          <w:sz w:val="28"/>
          <w:szCs w:val="28"/>
        </w:rPr>
      </w:pPr>
      <w:r w:rsidRPr="0E2973B4">
        <w:rPr>
          <w:rFonts w:ascii="Calibri" w:eastAsia="Calibri" w:hAnsi="Calibri" w:cs="Calibri"/>
          <w:b/>
          <w:bCs/>
          <w:sz w:val="28"/>
          <w:szCs w:val="28"/>
        </w:rPr>
        <w:t xml:space="preserve">Table </w:t>
      </w:r>
      <w:r w:rsidR="04EA6584" w:rsidRPr="0E2973B4">
        <w:rPr>
          <w:rFonts w:ascii="Calibri" w:eastAsia="Calibri" w:hAnsi="Calibri" w:cs="Calibri"/>
          <w:b/>
          <w:bCs/>
          <w:sz w:val="28"/>
          <w:szCs w:val="28"/>
        </w:rPr>
        <w:t xml:space="preserve">of </w:t>
      </w:r>
      <w:r w:rsidRPr="0E2973B4">
        <w:rPr>
          <w:rFonts w:ascii="Calibri" w:eastAsia="Calibri" w:hAnsi="Calibri" w:cs="Calibri"/>
          <w:b/>
          <w:bCs/>
          <w:sz w:val="28"/>
          <w:szCs w:val="28"/>
        </w:rPr>
        <w:t>Content</w:t>
      </w:r>
      <w:r w:rsidR="7B6E414E" w:rsidRPr="0E2973B4">
        <w:rPr>
          <w:rFonts w:ascii="Calibri" w:eastAsia="Calibri" w:hAnsi="Calibri" w:cs="Calibri"/>
          <w:b/>
          <w:bCs/>
          <w:sz w:val="28"/>
          <w:szCs w:val="28"/>
        </w:rPr>
        <w:t>s</w:t>
      </w:r>
    </w:p>
    <w:p w14:paraId="237CA79E" w14:textId="1E94A3AC"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 Introduction</w:t>
      </w:r>
      <w:r w:rsidR="0CFC0239"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1</w:t>
      </w:r>
    </w:p>
    <w:p w14:paraId="444CE2F8" w14:textId="541CFBB7" w:rsidR="0E2973B4" w:rsidRDefault="0E2973B4" w:rsidP="0E2973B4">
      <w:pPr>
        <w:rPr>
          <w:rFonts w:ascii="Arial" w:eastAsia="Arial" w:hAnsi="Arial" w:cs="Arial"/>
          <w:color w:val="222222"/>
          <w:sz w:val="24"/>
          <w:szCs w:val="24"/>
        </w:rPr>
      </w:pPr>
    </w:p>
    <w:p w14:paraId="134519FC" w14:textId="6A95491C"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 Main Findings</w:t>
      </w:r>
      <w:r w:rsidR="530CFBFF"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2</w:t>
      </w:r>
    </w:p>
    <w:p w14:paraId="01CF6516" w14:textId="1A1D8D29"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Similarities and Differences Between Coaching and Mentoring</w:t>
      </w:r>
      <w:r w:rsidR="3ECDE725" w:rsidRPr="0E2973B4">
        <w:rPr>
          <w:rFonts w:ascii="Arial" w:eastAsia="Arial" w:hAnsi="Arial" w:cs="Arial"/>
          <w:color w:val="222222"/>
          <w:sz w:val="24"/>
          <w:szCs w:val="24"/>
        </w:rPr>
        <w:t>…......</w:t>
      </w:r>
      <w:r w:rsidRPr="0E2973B4">
        <w:rPr>
          <w:rFonts w:ascii="Arial" w:eastAsia="Arial" w:hAnsi="Arial" w:cs="Arial"/>
          <w:color w:val="222222"/>
          <w:sz w:val="24"/>
          <w:szCs w:val="24"/>
        </w:rPr>
        <w:t>2.</w:t>
      </w:r>
      <w:r w:rsidR="07085F9D" w:rsidRPr="0E2973B4">
        <w:rPr>
          <w:rFonts w:ascii="Arial" w:eastAsia="Arial" w:hAnsi="Arial" w:cs="Arial"/>
          <w:color w:val="222222"/>
          <w:sz w:val="24"/>
          <w:szCs w:val="24"/>
        </w:rPr>
        <w:t>1</w:t>
      </w:r>
    </w:p>
    <w:p w14:paraId="1CD872C3" w14:textId="3BD3CAFD"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 Definitions of Coaching and Mentoring</w:t>
      </w:r>
      <w:r w:rsidR="4790B352"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2.2</w:t>
      </w:r>
    </w:p>
    <w:p w14:paraId="20658F98" w14:textId="34675CEE"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Clutterbuck’s Four Styles of Helping Framework Application</w:t>
      </w:r>
      <w:r w:rsidR="4565623B" w:rsidRPr="0E2973B4">
        <w:rPr>
          <w:rFonts w:ascii="Arial" w:eastAsia="Arial" w:hAnsi="Arial" w:cs="Arial"/>
          <w:color w:val="222222"/>
          <w:sz w:val="24"/>
          <w:szCs w:val="24"/>
        </w:rPr>
        <w:t xml:space="preserve"> ….....</w:t>
      </w:r>
      <w:r w:rsidR="5D946964" w:rsidRPr="0E2973B4">
        <w:rPr>
          <w:rFonts w:ascii="Arial" w:eastAsia="Arial" w:hAnsi="Arial" w:cs="Arial"/>
          <w:color w:val="222222"/>
          <w:sz w:val="24"/>
          <w:szCs w:val="24"/>
        </w:rPr>
        <w:t>.</w:t>
      </w:r>
      <w:r w:rsidR="4565623B" w:rsidRPr="0E2973B4">
        <w:rPr>
          <w:rFonts w:ascii="Arial" w:eastAsia="Arial" w:hAnsi="Arial" w:cs="Arial"/>
          <w:color w:val="222222"/>
          <w:sz w:val="24"/>
          <w:szCs w:val="24"/>
        </w:rPr>
        <w:t>....</w:t>
      </w:r>
      <w:r w:rsidRPr="0E2973B4">
        <w:rPr>
          <w:rFonts w:ascii="Arial" w:eastAsia="Arial" w:hAnsi="Arial" w:cs="Arial"/>
          <w:color w:val="222222"/>
          <w:sz w:val="24"/>
          <w:szCs w:val="24"/>
        </w:rPr>
        <w:t>2.3</w:t>
      </w:r>
    </w:p>
    <w:p w14:paraId="408A65BE" w14:textId="0C4D9711" w:rsidR="0E2973B4" w:rsidRDefault="0E2973B4" w:rsidP="0E2973B4">
      <w:pPr>
        <w:rPr>
          <w:rFonts w:ascii="Arial" w:eastAsia="Arial" w:hAnsi="Arial" w:cs="Arial"/>
          <w:color w:val="222222"/>
          <w:sz w:val="24"/>
          <w:szCs w:val="24"/>
        </w:rPr>
      </w:pPr>
    </w:p>
    <w:p w14:paraId="1A8F75A3" w14:textId="233D028B"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Benefits to Organizations</w:t>
      </w:r>
      <w:r w:rsidR="0D10E81B" w:rsidRPr="0E2973B4">
        <w:rPr>
          <w:rFonts w:ascii="Arial" w:eastAsia="Arial" w:hAnsi="Arial" w:cs="Arial"/>
          <w:color w:val="222222"/>
          <w:sz w:val="24"/>
          <w:szCs w:val="24"/>
        </w:rPr>
        <w:t xml:space="preserve"> …................................................................</w:t>
      </w:r>
      <w:r w:rsidR="26274B40" w:rsidRPr="0E2973B4">
        <w:rPr>
          <w:rFonts w:ascii="Arial" w:eastAsia="Arial" w:hAnsi="Arial" w:cs="Arial"/>
          <w:color w:val="222222"/>
          <w:sz w:val="24"/>
          <w:szCs w:val="24"/>
        </w:rPr>
        <w:t>3</w:t>
      </w:r>
    </w:p>
    <w:p w14:paraId="2450C67B" w14:textId="6625DC75"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Tangible and Intangible</w:t>
      </w:r>
      <w:r w:rsidR="56BB90E8"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3.</w:t>
      </w:r>
      <w:r w:rsidR="65C817AD" w:rsidRPr="0E2973B4">
        <w:rPr>
          <w:rFonts w:ascii="Arial" w:eastAsia="Arial" w:hAnsi="Arial" w:cs="Arial"/>
          <w:color w:val="222222"/>
          <w:sz w:val="24"/>
          <w:szCs w:val="24"/>
        </w:rPr>
        <w:t xml:space="preserve">1 </w:t>
      </w:r>
    </w:p>
    <w:p w14:paraId="1D23F9A0" w14:textId="1D7B8F14"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The Line Manager as Coach/Mentor</w:t>
      </w:r>
      <w:r w:rsidR="7955336E" w:rsidRPr="0E2973B4">
        <w:rPr>
          <w:rFonts w:ascii="Arial" w:eastAsia="Arial" w:hAnsi="Arial" w:cs="Arial"/>
          <w:color w:val="222222"/>
          <w:sz w:val="24"/>
          <w:szCs w:val="24"/>
        </w:rPr>
        <w:t xml:space="preserve"> </w:t>
      </w:r>
      <w:r w:rsidR="24984A18" w:rsidRPr="0E2973B4">
        <w:rPr>
          <w:rFonts w:ascii="Arial" w:eastAsia="Arial" w:hAnsi="Arial" w:cs="Arial"/>
          <w:color w:val="222222"/>
          <w:sz w:val="24"/>
          <w:szCs w:val="24"/>
        </w:rPr>
        <w:t>…..............................................</w:t>
      </w:r>
      <w:r w:rsidRPr="0E2973B4">
        <w:rPr>
          <w:rFonts w:ascii="Arial" w:eastAsia="Arial" w:hAnsi="Arial" w:cs="Arial"/>
          <w:color w:val="222222"/>
          <w:sz w:val="24"/>
          <w:szCs w:val="24"/>
        </w:rPr>
        <w:t>3.</w:t>
      </w:r>
      <w:r w:rsidR="1159ECCB" w:rsidRPr="0E2973B4">
        <w:rPr>
          <w:rFonts w:ascii="Arial" w:eastAsia="Arial" w:hAnsi="Arial" w:cs="Arial"/>
          <w:color w:val="222222"/>
          <w:sz w:val="24"/>
          <w:szCs w:val="24"/>
        </w:rPr>
        <w:t>2</w:t>
      </w:r>
    </w:p>
    <w:p w14:paraId="5E52BA4B" w14:textId="30594FCF"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Multi-Faceted Role Analysis</w:t>
      </w:r>
      <w:r w:rsidR="695344AE" w:rsidRPr="0E2973B4">
        <w:rPr>
          <w:rFonts w:ascii="Arial" w:eastAsia="Arial" w:hAnsi="Arial" w:cs="Arial"/>
          <w:color w:val="222222"/>
          <w:sz w:val="24"/>
          <w:szCs w:val="24"/>
        </w:rPr>
        <w:t xml:space="preserve"> </w:t>
      </w:r>
      <w:r w:rsidR="59765D56" w:rsidRPr="0E2973B4">
        <w:rPr>
          <w:rFonts w:ascii="Arial" w:eastAsia="Arial" w:hAnsi="Arial" w:cs="Arial"/>
          <w:color w:val="222222"/>
          <w:sz w:val="24"/>
          <w:szCs w:val="24"/>
        </w:rPr>
        <w:t>...............................................................</w:t>
      </w:r>
      <w:r w:rsidRPr="0E2973B4">
        <w:rPr>
          <w:rFonts w:ascii="Arial" w:eastAsia="Arial" w:hAnsi="Arial" w:cs="Arial"/>
          <w:color w:val="222222"/>
          <w:sz w:val="24"/>
          <w:szCs w:val="24"/>
        </w:rPr>
        <w:t>3.</w:t>
      </w:r>
      <w:r w:rsidR="537AD814" w:rsidRPr="0E2973B4">
        <w:rPr>
          <w:rFonts w:ascii="Arial" w:eastAsia="Arial" w:hAnsi="Arial" w:cs="Arial"/>
          <w:color w:val="222222"/>
          <w:sz w:val="24"/>
          <w:szCs w:val="24"/>
        </w:rPr>
        <w:t>3</w:t>
      </w:r>
    </w:p>
    <w:p w14:paraId="4564B820" w14:textId="5BF0F5C3"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Benefits and Drawbacks</w:t>
      </w:r>
      <w:r w:rsidR="30A9626F"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3.</w:t>
      </w:r>
      <w:r w:rsidR="23B6F995" w:rsidRPr="0E2973B4">
        <w:rPr>
          <w:rFonts w:ascii="Arial" w:eastAsia="Arial" w:hAnsi="Arial" w:cs="Arial"/>
          <w:color w:val="222222"/>
          <w:sz w:val="24"/>
          <w:szCs w:val="24"/>
        </w:rPr>
        <w:t>4</w:t>
      </w:r>
    </w:p>
    <w:p w14:paraId="45E15C33" w14:textId="0FB30077"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Skills and Behaviors Assessment</w:t>
      </w:r>
      <w:r w:rsidR="3A0DD248" w:rsidRPr="0E2973B4">
        <w:rPr>
          <w:rFonts w:ascii="Arial" w:eastAsia="Arial" w:hAnsi="Arial" w:cs="Arial"/>
          <w:color w:val="222222"/>
          <w:sz w:val="24"/>
          <w:szCs w:val="24"/>
        </w:rPr>
        <w:t xml:space="preserve"> </w:t>
      </w:r>
      <w:r w:rsidR="3E2877EE" w:rsidRPr="0E2973B4">
        <w:rPr>
          <w:rFonts w:ascii="Arial" w:eastAsia="Arial" w:hAnsi="Arial" w:cs="Arial"/>
          <w:color w:val="222222"/>
          <w:sz w:val="24"/>
          <w:szCs w:val="24"/>
        </w:rPr>
        <w:t>…...................................................</w:t>
      </w:r>
      <w:r w:rsidRPr="0E2973B4">
        <w:rPr>
          <w:rFonts w:ascii="Arial" w:eastAsia="Arial" w:hAnsi="Arial" w:cs="Arial"/>
          <w:color w:val="222222"/>
          <w:sz w:val="24"/>
          <w:szCs w:val="24"/>
        </w:rPr>
        <w:t>3.</w:t>
      </w:r>
      <w:r w:rsidR="0A61926E" w:rsidRPr="0E2973B4">
        <w:rPr>
          <w:rFonts w:ascii="Arial" w:eastAsia="Arial" w:hAnsi="Arial" w:cs="Arial"/>
          <w:color w:val="222222"/>
          <w:sz w:val="24"/>
          <w:szCs w:val="24"/>
        </w:rPr>
        <w:t>5</w:t>
      </w:r>
    </w:p>
    <w:p w14:paraId="13C99BE5" w14:textId="2DEC8FB7" w:rsidR="0E2973B4" w:rsidRDefault="0E2973B4" w:rsidP="0E2973B4">
      <w:pPr>
        <w:rPr>
          <w:rFonts w:ascii="Arial" w:eastAsia="Arial" w:hAnsi="Arial" w:cs="Arial"/>
          <w:color w:val="222222"/>
          <w:sz w:val="24"/>
          <w:szCs w:val="24"/>
        </w:rPr>
      </w:pPr>
    </w:p>
    <w:p w14:paraId="7537D3DD" w14:textId="4757F245"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Implementing Coaching Models </w:t>
      </w:r>
      <w:r w:rsidR="4FB0FF1E" w:rsidRPr="0E2973B4">
        <w:rPr>
          <w:rFonts w:ascii="Arial" w:eastAsia="Arial" w:hAnsi="Arial" w:cs="Arial"/>
          <w:color w:val="222222"/>
          <w:sz w:val="24"/>
          <w:szCs w:val="24"/>
        </w:rPr>
        <w:t>…...................................................</w:t>
      </w:r>
      <w:r w:rsidR="59A68853" w:rsidRPr="0E2973B4">
        <w:rPr>
          <w:rFonts w:ascii="Arial" w:eastAsia="Arial" w:hAnsi="Arial" w:cs="Arial"/>
          <w:color w:val="222222"/>
          <w:sz w:val="24"/>
          <w:szCs w:val="24"/>
        </w:rPr>
        <w:t>.</w:t>
      </w:r>
      <w:r w:rsidR="4FB0FF1E" w:rsidRPr="0E2973B4">
        <w:rPr>
          <w:rFonts w:ascii="Arial" w:eastAsia="Arial" w:hAnsi="Arial" w:cs="Arial"/>
          <w:color w:val="222222"/>
          <w:sz w:val="24"/>
          <w:szCs w:val="24"/>
        </w:rPr>
        <w:t>...</w:t>
      </w:r>
      <w:r w:rsidRPr="0E2973B4">
        <w:rPr>
          <w:rFonts w:ascii="Arial" w:eastAsia="Arial" w:hAnsi="Arial" w:cs="Arial"/>
          <w:color w:val="222222"/>
          <w:sz w:val="24"/>
          <w:szCs w:val="24"/>
        </w:rPr>
        <w:t xml:space="preserve">4 </w:t>
      </w:r>
    </w:p>
    <w:p w14:paraId="20DCC4B7" w14:textId="45DCE64F"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Coaching, Mentoring, Resilience, and Change Management</w:t>
      </w:r>
      <w:r w:rsidR="3ABC1216" w:rsidRPr="0E2973B4">
        <w:rPr>
          <w:rFonts w:ascii="Arial" w:eastAsia="Arial" w:hAnsi="Arial" w:cs="Arial"/>
          <w:color w:val="222222"/>
          <w:sz w:val="24"/>
          <w:szCs w:val="24"/>
        </w:rPr>
        <w:t xml:space="preserve"> </w:t>
      </w:r>
      <w:r w:rsidR="3F145028" w:rsidRPr="0E2973B4">
        <w:rPr>
          <w:rFonts w:ascii="Arial" w:eastAsia="Arial" w:hAnsi="Arial" w:cs="Arial"/>
          <w:color w:val="222222"/>
          <w:sz w:val="24"/>
          <w:szCs w:val="24"/>
        </w:rPr>
        <w:t>….........</w:t>
      </w:r>
      <w:r w:rsidRPr="0E2973B4">
        <w:rPr>
          <w:rFonts w:ascii="Arial" w:eastAsia="Arial" w:hAnsi="Arial" w:cs="Arial"/>
          <w:color w:val="222222"/>
          <w:sz w:val="24"/>
          <w:szCs w:val="24"/>
        </w:rPr>
        <w:t>4.1.</w:t>
      </w:r>
      <w:r w:rsidR="7335E509" w:rsidRPr="0E2973B4">
        <w:rPr>
          <w:rFonts w:ascii="Arial" w:eastAsia="Arial" w:hAnsi="Arial" w:cs="Arial"/>
          <w:color w:val="222222"/>
          <w:sz w:val="24"/>
          <w:szCs w:val="24"/>
        </w:rPr>
        <w:t xml:space="preserve"> </w:t>
      </w:r>
    </w:p>
    <w:p w14:paraId="7F20BD71" w14:textId="42C1E187"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Defining Resilience and Change Management</w:t>
      </w:r>
      <w:r w:rsidR="52436811"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4.2</w:t>
      </w:r>
    </w:p>
    <w:p w14:paraId="15912818" w14:textId="53467660"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Drivers of Change: Current and Emerging</w:t>
      </w:r>
      <w:r w:rsidR="46CD847F"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4.3</w:t>
      </w:r>
    </w:p>
    <w:p w14:paraId="5F61D7B6" w14:textId="4935E2DF"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Impact of Poorly Managed Change</w:t>
      </w:r>
      <w:r w:rsidR="01FB27CB"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4.4</w:t>
      </w:r>
    </w:p>
    <w:p w14:paraId="29DE3107" w14:textId="7B664B14" w:rsidR="0E2973B4" w:rsidRDefault="0E2973B4" w:rsidP="0E2973B4">
      <w:pPr>
        <w:rPr>
          <w:rFonts w:ascii="Arial" w:eastAsia="Arial" w:hAnsi="Arial" w:cs="Arial"/>
          <w:color w:val="222222"/>
          <w:sz w:val="24"/>
          <w:szCs w:val="24"/>
        </w:rPr>
      </w:pPr>
    </w:p>
    <w:p w14:paraId="29A6DA25" w14:textId="2859035D"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Coaching and Mentoring Strategies for Change Management </w:t>
      </w:r>
      <w:r w:rsidR="45EE2F4F" w:rsidRPr="0E2973B4">
        <w:rPr>
          <w:rFonts w:ascii="Arial" w:eastAsia="Arial" w:hAnsi="Arial" w:cs="Arial"/>
          <w:color w:val="222222"/>
          <w:sz w:val="24"/>
          <w:szCs w:val="24"/>
        </w:rPr>
        <w:t>…........</w:t>
      </w:r>
      <w:r w:rsidRPr="0E2973B4">
        <w:rPr>
          <w:rFonts w:ascii="Arial" w:eastAsia="Arial" w:hAnsi="Arial" w:cs="Arial"/>
          <w:color w:val="222222"/>
          <w:sz w:val="24"/>
          <w:szCs w:val="24"/>
        </w:rPr>
        <w:t xml:space="preserve">5 </w:t>
      </w:r>
    </w:p>
    <w:p w14:paraId="386CED09" w14:textId="14DC8E03"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Self-Reflection on Peer Coaching Exercise</w:t>
      </w:r>
      <w:r w:rsidR="176E3388" w:rsidRPr="0E2973B4">
        <w:rPr>
          <w:rFonts w:ascii="Arial" w:eastAsia="Arial" w:hAnsi="Arial" w:cs="Arial"/>
          <w:color w:val="222222"/>
          <w:sz w:val="24"/>
          <w:szCs w:val="24"/>
        </w:rPr>
        <w:t xml:space="preserve"> ….....................................</w:t>
      </w:r>
      <w:r w:rsidRPr="0E2973B4">
        <w:rPr>
          <w:rFonts w:ascii="Arial" w:eastAsia="Arial" w:hAnsi="Arial" w:cs="Arial"/>
          <w:color w:val="222222"/>
          <w:sz w:val="24"/>
          <w:szCs w:val="24"/>
        </w:rPr>
        <w:t>5.1</w:t>
      </w:r>
    </w:p>
    <w:p w14:paraId="22BB93F8" w14:textId="610335DB"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Future Action Plan </w:t>
      </w:r>
      <w:r w:rsidR="4FB47B61" w:rsidRPr="0E2973B4">
        <w:rPr>
          <w:rFonts w:ascii="Arial" w:eastAsia="Arial" w:hAnsi="Arial" w:cs="Arial"/>
          <w:color w:val="222222"/>
          <w:sz w:val="24"/>
          <w:szCs w:val="24"/>
        </w:rPr>
        <w:t>….........................................................................</w:t>
      </w:r>
      <w:r w:rsidR="3363CABC" w:rsidRPr="0E2973B4">
        <w:rPr>
          <w:rFonts w:ascii="Arial" w:eastAsia="Arial" w:hAnsi="Arial" w:cs="Arial"/>
          <w:color w:val="222222"/>
          <w:sz w:val="24"/>
          <w:szCs w:val="24"/>
        </w:rPr>
        <w:t>5.2</w:t>
      </w:r>
      <w:r w:rsidRPr="0E2973B4">
        <w:rPr>
          <w:rFonts w:ascii="Arial" w:eastAsia="Arial" w:hAnsi="Arial" w:cs="Arial"/>
          <w:color w:val="222222"/>
          <w:sz w:val="24"/>
          <w:szCs w:val="24"/>
        </w:rPr>
        <w:t xml:space="preserve">. </w:t>
      </w:r>
    </w:p>
    <w:p w14:paraId="2C9363E7" w14:textId="4B171CB7" w:rsidR="7B6E414E" w:rsidRDefault="7B6E414E" w:rsidP="0E2973B4">
      <w:pPr>
        <w:rPr>
          <w:rFonts w:ascii="Arial" w:eastAsia="Arial" w:hAnsi="Arial" w:cs="Arial"/>
          <w:color w:val="222222"/>
          <w:sz w:val="24"/>
          <w:szCs w:val="24"/>
        </w:rPr>
      </w:pPr>
    </w:p>
    <w:p w14:paraId="3A6BCEF8" w14:textId="24BE6391"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 xml:space="preserve">Conclusion </w:t>
      </w:r>
      <w:r w:rsidR="2A79A48F" w:rsidRPr="0E2973B4">
        <w:rPr>
          <w:rFonts w:ascii="Arial" w:eastAsia="Arial" w:hAnsi="Arial" w:cs="Arial"/>
          <w:color w:val="222222"/>
          <w:sz w:val="24"/>
          <w:szCs w:val="24"/>
        </w:rPr>
        <w:t>............................................................................................</w:t>
      </w:r>
      <w:r w:rsidR="795CFB3E" w:rsidRPr="0E2973B4">
        <w:rPr>
          <w:rFonts w:ascii="Arial" w:eastAsia="Arial" w:hAnsi="Arial" w:cs="Arial"/>
          <w:color w:val="222222"/>
          <w:sz w:val="24"/>
          <w:szCs w:val="24"/>
        </w:rPr>
        <w:t>6</w:t>
      </w:r>
      <w:r w:rsidRPr="0E2973B4">
        <w:rPr>
          <w:rFonts w:ascii="Arial" w:eastAsia="Arial" w:hAnsi="Arial" w:cs="Arial"/>
          <w:color w:val="222222"/>
          <w:sz w:val="24"/>
          <w:szCs w:val="24"/>
        </w:rPr>
        <w:t xml:space="preserve"> </w:t>
      </w:r>
    </w:p>
    <w:p w14:paraId="55AFBD6D" w14:textId="62C858B8" w:rsidR="7B6E414E" w:rsidRDefault="7B6E414E" w:rsidP="0E2973B4">
      <w:pPr>
        <w:rPr>
          <w:rFonts w:ascii="Arial" w:eastAsia="Arial" w:hAnsi="Arial" w:cs="Arial"/>
          <w:color w:val="222222"/>
          <w:sz w:val="24"/>
          <w:szCs w:val="24"/>
        </w:rPr>
      </w:pPr>
    </w:p>
    <w:p w14:paraId="6E2653EF" w14:textId="0ED7BAD0"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References</w:t>
      </w:r>
      <w:r w:rsidR="496D8439" w:rsidRPr="0E2973B4">
        <w:rPr>
          <w:rFonts w:ascii="Arial" w:eastAsia="Arial" w:hAnsi="Arial" w:cs="Arial"/>
          <w:color w:val="222222"/>
          <w:sz w:val="24"/>
          <w:szCs w:val="24"/>
        </w:rPr>
        <w:t xml:space="preserve"> ...........................................................................................</w:t>
      </w:r>
      <w:r w:rsidR="3A4D1494" w:rsidRPr="0E2973B4">
        <w:rPr>
          <w:rFonts w:ascii="Arial" w:eastAsia="Arial" w:hAnsi="Arial" w:cs="Arial"/>
          <w:color w:val="222222"/>
          <w:sz w:val="24"/>
          <w:szCs w:val="24"/>
        </w:rPr>
        <w:t>7</w:t>
      </w:r>
      <w:r w:rsidRPr="0E2973B4">
        <w:rPr>
          <w:rFonts w:ascii="Arial" w:eastAsia="Arial" w:hAnsi="Arial" w:cs="Arial"/>
          <w:color w:val="222222"/>
          <w:sz w:val="24"/>
          <w:szCs w:val="24"/>
        </w:rPr>
        <w:t xml:space="preserve"> </w:t>
      </w:r>
    </w:p>
    <w:p w14:paraId="3B6ADA80" w14:textId="7CE588EC" w:rsidR="7B6E414E" w:rsidRDefault="7B6E414E" w:rsidP="0E2973B4">
      <w:pPr>
        <w:rPr>
          <w:rFonts w:ascii="Arial" w:eastAsia="Arial" w:hAnsi="Arial" w:cs="Arial"/>
          <w:color w:val="222222"/>
          <w:sz w:val="24"/>
          <w:szCs w:val="24"/>
        </w:rPr>
      </w:pPr>
    </w:p>
    <w:p w14:paraId="08859923" w14:textId="0757303C" w:rsidR="7B6E414E" w:rsidRDefault="7B6E414E" w:rsidP="0E2973B4">
      <w:pPr>
        <w:rPr>
          <w:rFonts w:ascii="Arial" w:eastAsia="Arial" w:hAnsi="Arial" w:cs="Arial"/>
          <w:color w:val="222222"/>
          <w:sz w:val="24"/>
          <w:szCs w:val="24"/>
        </w:rPr>
      </w:pPr>
      <w:r w:rsidRPr="0E2973B4">
        <w:rPr>
          <w:rFonts w:ascii="Arial" w:eastAsia="Arial" w:hAnsi="Arial" w:cs="Arial"/>
          <w:color w:val="222222"/>
          <w:sz w:val="24"/>
          <w:szCs w:val="24"/>
        </w:rPr>
        <w:t>Appendices</w:t>
      </w:r>
      <w:r w:rsidR="6124F675" w:rsidRPr="0E2973B4">
        <w:rPr>
          <w:rFonts w:ascii="Arial" w:eastAsia="Arial" w:hAnsi="Arial" w:cs="Arial"/>
          <w:color w:val="222222"/>
          <w:sz w:val="24"/>
          <w:szCs w:val="24"/>
        </w:rPr>
        <w:t xml:space="preserve"> </w:t>
      </w:r>
      <w:r w:rsidR="0C35E799" w:rsidRPr="0E2973B4">
        <w:rPr>
          <w:rFonts w:ascii="Arial" w:eastAsia="Arial" w:hAnsi="Arial" w:cs="Arial"/>
          <w:color w:val="222222"/>
          <w:sz w:val="24"/>
          <w:szCs w:val="24"/>
        </w:rPr>
        <w:t>…......................................................................................</w:t>
      </w:r>
      <w:r w:rsidRPr="0E2973B4">
        <w:rPr>
          <w:rFonts w:ascii="Arial" w:eastAsia="Arial" w:hAnsi="Arial" w:cs="Arial"/>
          <w:color w:val="222222"/>
          <w:sz w:val="24"/>
          <w:szCs w:val="24"/>
        </w:rPr>
        <w:t>8</w:t>
      </w:r>
    </w:p>
    <w:p w14:paraId="2262CA0A" w14:textId="70D91D82" w:rsidR="2AA84DBB" w:rsidRDefault="2AA84DBB" w:rsidP="2AA84DBB">
      <w:pPr>
        <w:rPr>
          <w:rFonts w:ascii="Calibri" w:eastAsia="Calibri" w:hAnsi="Calibri" w:cs="Calibri"/>
          <w:b/>
          <w:bCs/>
          <w:sz w:val="28"/>
          <w:szCs w:val="28"/>
        </w:rPr>
      </w:pPr>
    </w:p>
    <w:p w14:paraId="6F558546" w14:textId="609E544B" w:rsidR="2AA84DBB" w:rsidRDefault="2AA84DBB" w:rsidP="2AA84DBB">
      <w:pPr>
        <w:rPr>
          <w:rFonts w:ascii="Calibri" w:eastAsia="Calibri" w:hAnsi="Calibri" w:cs="Calibri"/>
          <w:b/>
          <w:bCs/>
          <w:sz w:val="28"/>
          <w:szCs w:val="28"/>
        </w:rPr>
      </w:pPr>
    </w:p>
    <w:p w14:paraId="779567AB" w14:textId="5C12733C" w:rsidR="2AA84DBB" w:rsidRDefault="2AA84DBB" w:rsidP="2AA84DBB">
      <w:pPr>
        <w:rPr>
          <w:rFonts w:ascii="Calibri" w:eastAsia="Calibri" w:hAnsi="Calibri" w:cs="Calibri"/>
          <w:b/>
          <w:bCs/>
          <w:sz w:val="28"/>
          <w:szCs w:val="28"/>
        </w:rPr>
      </w:pPr>
    </w:p>
    <w:p w14:paraId="78A4829E" w14:textId="7A1A4232" w:rsidR="607D8507" w:rsidRDefault="607D8507" w:rsidP="2AA84DBB">
      <w:pPr>
        <w:rPr>
          <w:rFonts w:ascii="Calibri" w:eastAsia="Calibri" w:hAnsi="Calibri" w:cs="Calibri"/>
          <w:b/>
          <w:bCs/>
          <w:sz w:val="28"/>
          <w:szCs w:val="28"/>
        </w:rPr>
      </w:pPr>
      <w:r w:rsidRPr="2AA84DBB">
        <w:rPr>
          <w:rFonts w:ascii="Calibri" w:eastAsia="Calibri" w:hAnsi="Calibri" w:cs="Calibri"/>
          <w:b/>
          <w:bCs/>
          <w:sz w:val="28"/>
          <w:szCs w:val="28"/>
        </w:rPr>
        <w:t xml:space="preserve">Introduction </w:t>
      </w:r>
    </w:p>
    <w:p w14:paraId="65812997" w14:textId="1E8EDDF9" w:rsidR="2AA84DBB" w:rsidRDefault="5814A9A6" w:rsidP="58FB0A6A">
      <w:pPr>
        <w:rPr>
          <w:rFonts w:eastAsiaTheme="minorEastAsia"/>
          <w:color w:val="222222"/>
        </w:rPr>
      </w:pPr>
      <w:r w:rsidRPr="58FB0A6A">
        <w:rPr>
          <w:rFonts w:eastAsiaTheme="minorEastAsia"/>
          <w:color w:val="222222"/>
        </w:rPr>
        <w:t>This report, commissioned by Brinach Heffernan, delves into the critical role of coaching and mentoring in organizations, especially amidst the challenges of the COVID-19 pandemic. It explores how these practices have become indispensable in nurturing talent and enhancing organizational effectiveness during these tumultuous times. The focus is on dissecting the nuances between coaching and mentoring, their integration with other learning strategies, and their impact on workplace dynamics during the pandemic. A significant aspect of this study is assessing the return on investment of these practices, considering the unique challenges of the COVID-19 era. The involvement of line managers as key facilitators in this process, and their role in fostering resilience and adaptability in organizations, is also examined. Integrating practical insights from peer coaching with theoretical discussions, this report offers a comprehensive literature review and reflective analysis. It aims to underscore the significance of coaching and mentoring in steering organizations through and beyond the pandemic, emphasizing their role in organizational development and resilience.</w:t>
      </w:r>
    </w:p>
    <w:p w14:paraId="23D2327C" w14:textId="4E68CCE3" w:rsidR="2AA84DBB" w:rsidRDefault="2AA84DBB" w:rsidP="58FB0A6A">
      <w:pPr>
        <w:rPr>
          <w:rFonts w:ascii="Calibri" w:eastAsia="Calibri" w:hAnsi="Calibri" w:cs="Calibri"/>
          <w:color w:val="000000" w:themeColor="text1"/>
        </w:rPr>
      </w:pPr>
    </w:p>
    <w:p w14:paraId="774A3B83" w14:textId="6E1D7A68" w:rsidR="2AA84DBB" w:rsidRDefault="2AA84DBB" w:rsidP="2AA84DBB">
      <w:pPr>
        <w:rPr>
          <w:rFonts w:ascii="Calibri" w:eastAsia="Calibri" w:hAnsi="Calibri" w:cs="Calibri"/>
          <w:b/>
          <w:bCs/>
          <w:sz w:val="28"/>
          <w:szCs w:val="28"/>
        </w:rPr>
      </w:pPr>
    </w:p>
    <w:p w14:paraId="50A780B6" w14:textId="4B27F251" w:rsidR="2AA84DBB" w:rsidRDefault="2AA84DBB" w:rsidP="2AA84DBB">
      <w:pPr>
        <w:rPr>
          <w:rFonts w:ascii="Arial" w:eastAsia="Arial" w:hAnsi="Arial" w:cs="Arial"/>
          <w:color w:val="222222"/>
          <w:sz w:val="28"/>
          <w:szCs w:val="28"/>
        </w:rPr>
      </w:pPr>
    </w:p>
    <w:p w14:paraId="269F1A11" w14:textId="55B143CE" w:rsidR="2AA84DBB" w:rsidRDefault="2AA84DBB" w:rsidP="2AA84DBB">
      <w:pPr>
        <w:rPr>
          <w:rFonts w:ascii="Calibri" w:eastAsia="Calibri" w:hAnsi="Calibri" w:cs="Calibri"/>
          <w:b/>
          <w:bCs/>
          <w:sz w:val="28"/>
          <w:szCs w:val="28"/>
        </w:rPr>
      </w:pPr>
    </w:p>
    <w:p w14:paraId="5295811E" w14:textId="120EC2A3" w:rsidR="2AA84DBB" w:rsidRDefault="2AA84DBB" w:rsidP="2AA84DBB">
      <w:pPr>
        <w:rPr>
          <w:rFonts w:ascii="Calibri" w:eastAsia="Calibri" w:hAnsi="Calibri" w:cs="Calibri"/>
          <w:b/>
          <w:bCs/>
          <w:sz w:val="28"/>
          <w:szCs w:val="28"/>
        </w:rPr>
      </w:pPr>
    </w:p>
    <w:p w14:paraId="508B8A86" w14:textId="3E43B0F3" w:rsidR="2AA84DBB" w:rsidRDefault="2AA84DBB" w:rsidP="2AA84DBB">
      <w:pPr>
        <w:rPr>
          <w:rFonts w:ascii="Calibri" w:eastAsia="Calibri" w:hAnsi="Calibri" w:cs="Calibri"/>
          <w:b/>
          <w:bCs/>
          <w:sz w:val="28"/>
          <w:szCs w:val="28"/>
        </w:rPr>
      </w:pPr>
    </w:p>
    <w:p w14:paraId="694242FA" w14:textId="2BCC1245" w:rsidR="2AA84DBB" w:rsidRDefault="2AA84DBB" w:rsidP="2AA84DBB">
      <w:pPr>
        <w:rPr>
          <w:rFonts w:ascii="Calibri" w:eastAsia="Calibri" w:hAnsi="Calibri" w:cs="Calibri"/>
          <w:b/>
          <w:bCs/>
          <w:sz w:val="28"/>
          <w:szCs w:val="28"/>
        </w:rPr>
      </w:pPr>
    </w:p>
    <w:p w14:paraId="22E3C9FF" w14:textId="5C4417A5" w:rsidR="58FB0A6A" w:rsidRDefault="58FB0A6A" w:rsidP="58FB0A6A">
      <w:pPr>
        <w:rPr>
          <w:rFonts w:ascii="Calibri" w:eastAsia="Calibri" w:hAnsi="Calibri" w:cs="Calibri"/>
          <w:b/>
          <w:bCs/>
          <w:sz w:val="28"/>
          <w:szCs w:val="28"/>
        </w:rPr>
      </w:pPr>
    </w:p>
    <w:p w14:paraId="205C8475" w14:textId="3B06BC28" w:rsidR="58FB0A6A" w:rsidRDefault="58FB0A6A" w:rsidP="58FB0A6A">
      <w:pPr>
        <w:rPr>
          <w:rFonts w:ascii="Calibri" w:eastAsia="Calibri" w:hAnsi="Calibri" w:cs="Calibri"/>
          <w:b/>
          <w:bCs/>
          <w:sz w:val="28"/>
          <w:szCs w:val="28"/>
        </w:rPr>
      </w:pPr>
    </w:p>
    <w:p w14:paraId="476DDD4D" w14:textId="21BBC271" w:rsidR="58FB0A6A" w:rsidRDefault="58FB0A6A" w:rsidP="58FB0A6A">
      <w:pPr>
        <w:rPr>
          <w:rFonts w:ascii="Calibri" w:eastAsia="Calibri" w:hAnsi="Calibri" w:cs="Calibri"/>
          <w:b/>
          <w:bCs/>
          <w:sz w:val="28"/>
          <w:szCs w:val="28"/>
        </w:rPr>
      </w:pPr>
    </w:p>
    <w:p w14:paraId="3E9D70FD" w14:textId="0247F4E0" w:rsidR="58FB0A6A" w:rsidRDefault="58FB0A6A" w:rsidP="58FB0A6A">
      <w:pPr>
        <w:rPr>
          <w:rFonts w:ascii="Calibri" w:eastAsia="Calibri" w:hAnsi="Calibri" w:cs="Calibri"/>
          <w:b/>
          <w:bCs/>
          <w:sz w:val="28"/>
          <w:szCs w:val="28"/>
        </w:rPr>
      </w:pPr>
    </w:p>
    <w:p w14:paraId="1CA70257" w14:textId="2F57E846" w:rsidR="58FB0A6A" w:rsidRDefault="58FB0A6A" w:rsidP="58FB0A6A">
      <w:pPr>
        <w:rPr>
          <w:rFonts w:ascii="Calibri" w:eastAsia="Calibri" w:hAnsi="Calibri" w:cs="Calibri"/>
          <w:b/>
          <w:bCs/>
          <w:sz w:val="28"/>
          <w:szCs w:val="28"/>
        </w:rPr>
      </w:pPr>
    </w:p>
    <w:p w14:paraId="270C99DE" w14:textId="41BFFBC1" w:rsidR="58FB0A6A" w:rsidRDefault="58FB0A6A" w:rsidP="58FB0A6A">
      <w:pPr>
        <w:rPr>
          <w:rFonts w:ascii="Calibri" w:eastAsia="Calibri" w:hAnsi="Calibri" w:cs="Calibri"/>
          <w:b/>
          <w:bCs/>
          <w:sz w:val="28"/>
          <w:szCs w:val="28"/>
        </w:rPr>
      </w:pPr>
    </w:p>
    <w:p w14:paraId="123DFFA8" w14:textId="433AACFD" w:rsidR="58FB0A6A" w:rsidRDefault="58FB0A6A" w:rsidP="58FB0A6A">
      <w:pPr>
        <w:rPr>
          <w:rFonts w:ascii="Calibri" w:eastAsia="Calibri" w:hAnsi="Calibri" w:cs="Calibri"/>
          <w:b/>
          <w:bCs/>
          <w:sz w:val="28"/>
          <w:szCs w:val="28"/>
        </w:rPr>
      </w:pPr>
    </w:p>
    <w:p w14:paraId="070D3286" w14:textId="4A7704E6" w:rsidR="58FB0A6A" w:rsidRDefault="58FB0A6A" w:rsidP="58FB0A6A">
      <w:pPr>
        <w:rPr>
          <w:rFonts w:ascii="Calibri" w:eastAsia="Calibri" w:hAnsi="Calibri" w:cs="Calibri"/>
          <w:b/>
          <w:bCs/>
          <w:sz w:val="28"/>
          <w:szCs w:val="28"/>
        </w:rPr>
      </w:pPr>
    </w:p>
    <w:p w14:paraId="2BFFB33A" w14:textId="39FD083D" w:rsidR="58FB0A6A" w:rsidRDefault="58FB0A6A" w:rsidP="58FB0A6A">
      <w:pPr>
        <w:rPr>
          <w:rFonts w:ascii="Calibri" w:eastAsia="Calibri" w:hAnsi="Calibri" w:cs="Calibri"/>
          <w:b/>
          <w:bCs/>
          <w:sz w:val="28"/>
          <w:szCs w:val="28"/>
        </w:rPr>
      </w:pPr>
    </w:p>
    <w:p w14:paraId="7953E67B" w14:textId="479FAC82" w:rsidR="58FB0A6A" w:rsidRDefault="58FB0A6A" w:rsidP="58FB0A6A">
      <w:pPr>
        <w:rPr>
          <w:rFonts w:ascii="Calibri" w:eastAsia="Calibri" w:hAnsi="Calibri" w:cs="Calibri"/>
          <w:b/>
          <w:bCs/>
          <w:sz w:val="28"/>
          <w:szCs w:val="28"/>
        </w:rPr>
      </w:pPr>
    </w:p>
    <w:p w14:paraId="3E6D731A" w14:textId="54BC723C" w:rsidR="58FB0A6A" w:rsidRDefault="58FB0A6A" w:rsidP="58FB0A6A">
      <w:pPr>
        <w:rPr>
          <w:rFonts w:ascii="Calibri" w:eastAsia="Calibri" w:hAnsi="Calibri" w:cs="Calibri"/>
          <w:b/>
          <w:bCs/>
          <w:sz w:val="28"/>
          <w:szCs w:val="28"/>
        </w:rPr>
      </w:pPr>
    </w:p>
    <w:p w14:paraId="708375A8" w14:textId="5241B8EB" w:rsidR="2AA84DBB" w:rsidRDefault="2AA84DBB" w:rsidP="2AA84DBB">
      <w:pPr>
        <w:rPr>
          <w:rFonts w:ascii="Calibri" w:eastAsia="Calibri" w:hAnsi="Calibri" w:cs="Calibri"/>
          <w:b/>
          <w:bCs/>
          <w:sz w:val="28"/>
          <w:szCs w:val="28"/>
        </w:rPr>
      </w:pPr>
    </w:p>
    <w:p w14:paraId="422EF6A8" w14:textId="53671AE0" w:rsidR="678DC860" w:rsidRDefault="678DC860" w:rsidP="2AA84DBB">
      <w:pPr>
        <w:rPr>
          <w:rFonts w:ascii="Calibri" w:eastAsia="Calibri" w:hAnsi="Calibri" w:cs="Calibri"/>
          <w:b/>
          <w:bCs/>
          <w:sz w:val="28"/>
          <w:szCs w:val="28"/>
        </w:rPr>
      </w:pPr>
      <w:r w:rsidRPr="2AA84DBB">
        <w:rPr>
          <w:rFonts w:ascii="Calibri" w:eastAsia="Calibri" w:hAnsi="Calibri" w:cs="Calibri"/>
          <w:b/>
          <w:bCs/>
          <w:sz w:val="28"/>
          <w:szCs w:val="28"/>
        </w:rPr>
        <w:t xml:space="preserve">Main Finding </w:t>
      </w:r>
    </w:p>
    <w:p w14:paraId="1DA238C0" w14:textId="0D8A1C3F" w:rsidR="678DC860" w:rsidRDefault="678DC860" w:rsidP="2AA84DBB">
      <w:pPr>
        <w:rPr>
          <w:rFonts w:ascii="Calibri" w:eastAsia="Calibri" w:hAnsi="Calibri" w:cs="Calibri"/>
          <w:b/>
          <w:bCs/>
          <w:sz w:val="28"/>
          <w:szCs w:val="28"/>
        </w:rPr>
      </w:pPr>
      <w:r w:rsidRPr="2AA84DBB">
        <w:rPr>
          <w:rFonts w:ascii="Calibri" w:eastAsia="Calibri" w:hAnsi="Calibri" w:cs="Calibri"/>
          <w:b/>
          <w:bCs/>
          <w:sz w:val="28"/>
          <w:szCs w:val="28"/>
        </w:rPr>
        <w:t xml:space="preserve">Similarities and Differences Betwean Coaching and Mentoring </w:t>
      </w:r>
    </w:p>
    <w:p w14:paraId="5F6F72B8" w14:textId="1602C554" w:rsidR="3E636BF2" w:rsidRDefault="3E636BF2" w:rsidP="2AA84DBB">
      <w:pPr>
        <w:spacing w:before="120" w:after="0"/>
        <w:rPr>
          <w:rFonts w:ascii="Arial" w:eastAsia="Arial" w:hAnsi="Arial" w:cs="Arial"/>
          <w:color w:val="222222"/>
        </w:rPr>
      </w:pPr>
      <w:r w:rsidRPr="2AA84DBB">
        <w:rPr>
          <w:rFonts w:ascii="Arial" w:eastAsia="Arial" w:hAnsi="Arial" w:cs="Arial"/>
          <w:color w:val="222222"/>
          <w:sz w:val="28"/>
          <w:szCs w:val="28"/>
        </w:rPr>
        <w:t xml:space="preserve"> </w:t>
      </w:r>
      <w:r w:rsidRPr="58FB0A6A">
        <w:rPr>
          <w:rFonts w:ascii="Arial" w:eastAsia="Arial" w:hAnsi="Arial" w:cs="Arial"/>
          <w:color w:val="222222"/>
          <w:u w:val="single"/>
        </w:rPr>
        <w:t xml:space="preserve">Definitions </w:t>
      </w:r>
      <w:r w:rsidR="3BAD3655" w:rsidRPr="58FB0A6A">
        <w:rPr>
          <w:rFonts w:ascii="Arial" w:eastAsia="Arial" w:hAnsi="Arial" w:cs="Arial"/>
          <w:color w:val="222222"/>
          <w:u w:val="single"/>
        </w:rPr>
        <w:t xml:space="preserve">of </w:t>
      </w:r>
      <w:r w:rsidRPr="58FB0A6A">
        <w:rPr>
          <w:rFonts w:ascii="Arial" w:eastAsia="Arial" w:hAnsi="Arial" w:cs="Arial"/>
          <w:color w:val="222222"/>
          <w:u w:val="single"/>
        </w:rPr>
        <w:t>Coaching</w:t>
      </w:r>
      <w:r w:rsidR="233FCF4E" w:rsidRPr="58FB0A6A">
        <w:rPr>
          <w:rFonts w:ascii="Arial" w:eastAsia="Arial" w:hAnsi="Arial" w:cs="Arial"/>
          <w:color w:val="222222"/>
          <w:u w:val="single"/>
        </w:rPr>
        <w:t>-</w:t>
      </w:r>
      <w:r w:rsidR="233FCF4E" w:rsidRPr="58FB0A6A">
        <w:rPr>
          <w:rFonts w:ascii="Arial" w:eastAsia="Arial" w:hAnsi="Arial" w:cs="Arial"/>
          <w:color w:val="222222"/>
        </w:rPr>
        <w:t xml:space="preserve"> </w:t>
      </w:r>
      <w:r w:rsidRPr="58FB0A6A">
        <w:rPr>
          <w:rFonts w:ascii="Arial" w:eastAsia="Arial" w:hAnsi="Arial" w:cs="Arial"/>
          <w:color w:val="222222"/>
        </w:rPr>
        <w:t xml:space="preserve"> Coaching is defined as a developmental process where an individual, known as a coach, supports a learner or client in achieving specific personal or professional goals through guidance and training. Academic definitions often emphasize the role of coaching in unlocking a person’s potential to maximize their performance, focusing on learning rather than teaching. For example, Whitmore’s GROW model, a prominent coaching framework discussed in Week 3, outlines a structured method to help individuals set and achieve goals. </w:t>
      </w:r>
    </w:p>
    <w:p w14:paraId="3E55899D" w14:textId="1BE1376C" w:rsidR="3E636BF2" w:rsidRDefault="3E636BF2" w:rsidP="2AA84DBB">
      <w:pPr>
        <w:spacing w:before="120" w:after="0"/>
        <w:rPr>
          <w:rFonts w:ascii="Arial" w:eastAsia="Arial" w:hAnsi="Arial" w:cs="Arial"/>
          <w:color w:val="222222"/>
        </w:rPr>
      </w:pPr>
      <w:r w:rsidRPr="58FB0A6A">
        <w:rPr>
          <w:rFonts w:ascii="Arial" w:eastAsia="Arial" w:hAnsi="Arial" w:cs="Arial"/>
          <w:color w:val="222222"/>
          <w:u w:val="single"/>
        </w:rPr>
        <w:t>Mentoring</w:t>
      </w:r>
      <w:r w:rsidR="6BA8AB9D" w:rsidRPr="58FB0A6A">
        <w:rPr>
          <w:rFonts w:ascii="Arial" w:eastAsia="Arial" w:hAnsi="Arial" w:cs="Arial"/>
          <w:b/>
          <w:color w:val="222222"/>
        </w:rPr>
        <w:t xml:space="preserve"> </w:t>
      </w:r>
      <w:r w:rsidR="6BA8AB9D" w:rsidRPr="58FB0A6A">
        <w:rPr>
          <w:rFonts w:ascii="Arial" w:eastAsia="Arial" w:hAnsi="Arial" w:cs="Arial"/>
          <w:color w:val="222222"/>
        </w:rPr>
        <w:t xml:space="preserve">- </w:t>
      </w:r>
      <w:r w:rsidRPr="58FB0A6A">
        <w:rPr>
          <w:rFonts w:ascii="Arial" w:eastAsia="Arial" w:hAnsi="Arial" w:cs="Arial"/>
          <w:color w:val="222222"/>
        </w:rPr>
        <w:t xml:space="preserve">Mentoring is often defined as a long-term relationship where a more experienced or knowledgeable person helps to guide a less experienced or knowledgeable person. It is a process for the informal transmission of knowledge, social capital, and psychosocial support perceived by the recipient as relevant to work, career, or professional development. </w:t>
      </w:r>
    </w:p>
    <w:p w14:paraId="61ABBC28" w14:textId="1B955737" w:rsidR="3E636BF2" w:rsidRDefault="3E636BF2" w:rsidP="2AA84DBB">
      <w:pPr>
        <w:spacing w:before="120" w:after="0"/>
        <w:rPr>
          <w:rFonts w:ascii="Arial" w:eastAsia="Arial" w:hAnsi="Arial" w:cs="Arial"/>
          <w:color w:val="222222"/>
          <w:sz w:val="28"/>
          <w:szCs w:val="28"/>
        </w:rPr>
      </w:pPr>
      <w:r w:rsidRPr="2AA84DBB">
        <w:rPr>
          <w:rFonts w:ascii="Arial" w:eastAsia="Arial" w:hAnsi="Arial" w:cs="Arial"/>
          <w:color w:val="222222"/>
          <w:sz w:val="28"/>
          <w:szCs w:val="28"/>
        </w:rPr>
        <w:t xml:space="preserve"> </w:t>
      </w:r>
      <w:r w:rsidRPr="2AA84DBB">
        <w:rPr>
          <w:rFonts w:ascii="Arial" w:eastAsia="Arial" w:hAnsi="Arial" w:cs="Arial"/>
          <w:b/>
          <w:bCs/>
          <w:color w:val="222222"/>
          <w:sz w:val="28"/>
          <w:szCs w:val="28"/>
        </w:rPr>
        <w:t>Similarities and Differences</w:t>
      </w:r>
      <w:r w:rsidRPr="2AA84DBB">
        <w:rPr>
          <w:rFonts w:ascii="Arial" w:eastAsia="Arial" w:hAnsi="Arial" w:cs="Arial"/>
          <w:color w:val="222222"/>
          <w:sz w:val="28"/>
          <w:szCs w:val="28"/>
        </w:rPr>
        <w:t xml:space="preserve"> </w:t>
      </w:r>
    </w:p>
    <w:p w14:paraId="06EF18CB" w14:textId="2684F379" w:rsidR="3E636BF2" w:rsidRDefault="17A08EAD" w:rsidP="2AA84DBB">
      <w:pPr>
        <w:spacing w:before="120" w:after="0"/>
        <w:rPr>
          <w:rFonts w:ascii="Arial" w:eastAsia="Arial" w:hAnsi="Arial" w:cs="Arial"/>
          <w:color w:val="222222"/>
        </w:rPr>
      </w:pPr>
      <w:r w:rsidRPr="58FB0A6A">
        <w:rPr>
          <w:rFonts w:ascii="Arial" w:eastAsia="Arial" w:hAnsi="Arial" w:cs="Arial"/>
          <w:color w:val="222222"/>
        </w:rPr>
        <w:t xml:space="preserve">Clutterbuck’s extensive work (2019, 2020) offers valuable insights into the nuanced differences and similarities between coaching and mentoring. </w:t>
      </w:r>
      <w:r w:rsidR="3E636BF2" w:rsidRPr="58FB0A6A">
        <w:rPr>
          <w:rFonts w:ascii="Arial" w:eastAsia="Arial" w:hAnsi="Arial" w:cs="Arial"/>
          <w:color w:val="222222"/>
        </w:rPr>
        <w:t>Similarities</w:t>
      </w:r>
      <w:r w:rsidR="78606EED" w:rsidRPr="58FB0A6A">
        <w:rPr>
          <w:rFonts w:ascii="Arial" w:eastAsia="Arial" w:hAnsi="Arial" w:cs="Arial"/>
          <w:color w:val="222222"/>
        </w:rPr>
        <w:t xml:space="preserve"> - </w:t>
      </w:r>
      <w:r w:rsidR="3E636BF2" w:rsidRPr="58FB0A6A">
        <w:rPr>
          <w:rFonts w:ascii="Arial" w:eastAsia="Arial" w:hAnsi="Arial" w:cs="Arial"/>
          <w:color w:val="222222"/>
        </w:rPr>
        <w:t xml:space="preserve">Both coaching and mentoring are used to develop individuals within an organizational context. They focus on personal and professional growth, involve one-on-one interactions, and require skills like active listening, empathy, and the ability to ask powerful questions. </w:t>
      </w:r>
    </w:p>
    <w:p w14:paraId="5970BC59" w14:textId="66BB8313" w:rsidR="3E636BF2" w:rsidRDefault="3E636BF2" w:rsidP="2AA84DBB">
      <w:pPr>
        <w:spacing w:before="120" w:after="0"/>
        <w:rPr>
          <w:rFonts w:ascii="Arial" w:eastAsia="Arial" w:hAnsi="Arial" w:cs="Arial"/>
          <w:color w:val="222222"/>
        </w:rPr>
      </w:pPr>
      <w:r w:rsidRPr="2AA84DBB">
        <w:rPr>
          <w:rFonts w:ascii="Arial" w:eastAsia="Arial" w:hAnsi="Arial" w:cs="Arial"/>
          <w:color w:val="222222"/>
          <w:sz w:val="28"/>
          <w:szCs w:val="28"/>
        </w:rPr>
        <w:t xml:space="preserve"> </w:t>
      </w:r>
      <w:r w:rsidRPr="58FB0A6A">
        <w:rPr>
          <w:rFonts w:ascii="Arial" w:eastAsia="Arial" w:hAnsi="Arial" w:cs="Arial"/>
          <w:color w:val="222222"/>
        </w:rPr>
        <w:t>Differences</w:t>
      </w:r>
      <w:r w:rsidR="03396D04" w:rsidRPr="58FB0A6A">
        <w:rPr>
          <w:rFonts w:ascii="Arial" w:eastAsia="Arial" w:hAnsi="Arial" w:cs="Arial"/>
          <w:color w:val="222222"/>
        </w:rPr>
        <w:t xml:space="preserve">  -  </w:t>
      </w:r>
      <w:r w:rsidRPr="58FB0A6A">
        <w:rPr>
          <w:rFonts w:ascii="Arial" w:eastAsia="Arial" w:hAnsi="Arial" w:cs="Arial"/>
          <w:color w:val="222222"/>
        </w:rPr>
        <w:t xml:space="preserve">The main differences lie in their structure and focus. Coaching is generally more structured and goal-oriented, often with a specific timeframe. It is performance-driven, aimed at improving the coachee’s on-job capabilities. In contrast, mentoring is more informal and long-term, focusing on the overall development of the mentee, including career guidance and personal growth. </w:t>
      </w:r>
    </w:p>
    <w:p w14:paraId="56AB4F13" w14:textId="6D93A451" w:rsidR="2AA84DBB" w:rsidRDefault="2AA84DBB" w:rsidP="2AA84DBB">
      <w:pPr>
        <w:spacing w:before="120" w:after="0"/>
        <w:rPr>
          <w:rFonts w:ascii="Arial" w:eastAsia="Arial" w:hAnsi="Arial" w:cs="Arial"/>
          <w:color w:val="222222"/>
        </w:rPr>
      </w:pPr>
    </w:p>
    <w:p w14:paraId="394C3755" w14:textId="67F263C8" w:rsidR="3E636BF2" w:rsidRDefault="3E636BF2" w:rsidP="2AA84DBB">
      <w:pPr>
        <w:spacing w:before="120" w:after="0"/>
        <w:rPr>
          <w:rFonts w:ascii="Arial" w:eastAsia="Arial" w:hAnsi="Arial" w:cs="Arial"/>
          <w:color w:val="222222"/>
          <w:sz w:val="28"/>
          <w:szCs w:val="28"/>
        </w:rPr>
      </w:pPr>
      <w:r w:rsidRPr="2AA84DBB">
        <w:rPr>
          <w:rFonts w:ascii="Arial" w:eastAsia="Arial" w:hAnsi="Arial" w:cs="Arial"/>
          <w:color w:val="222222"/>
          <w:sz w:val="28"/>
          <w:szCs w:val="28"/>
        </w:rPr>
        <w:t xml:space="preserve"> </w:t>
      </w:r>
      <w:r w:rsidRPr="2AA84DBB">
        <w:rPr>
          <w:rFonts w:ascii="Arial" w:eastAsia="Arial" w:hAnsi="Arial" w:cs="Arial"/>
          <w:b/>
          <w:bCs/>
          <w:color w:val="222222"/>
          <w:sz w:val="28"/>
          <w:szCs w:val="28"/>
        </w:rPr>
        <w:t>Clutterbuck’s Four Styles of Helping</w:t>
      </w:r>
      <w:r w:rsidRPr="2AA84DBB">
        <w:rPr>
          <w:rFonts w:ascii="Arial" w:eastAsia="Arial" w:hAnsi="Arial" w:cs="Arial"/>
          <w:color w:val="222222"/>
          <w:sz w:val="28"/>
          <w:szCs w:val="28"/>
        </w:rPr>
        <w:t xml:space="preserve"> </w:t>
      </w:r>
    </w:p>
    <w:p w14:paraId="56A9E979" w14:textId="0D104F73" w:rsidR="28A285AA" w:rsidRDefault="28A285AA" w:rsidP="58FB0A6A">
      <w:pPr>
        <w:spacing w:before="120" w:after="0"/>
        <w:rPr>
          <w:rFonts w:ascii="Arial" w:eastAsia="Arial" w:hAnsi="Arial" w:cs="Arial"/>
          <w:b/>
          <w:bCs/>
          <w:color w:val="222222"/>
          <w:sz w:val="28"/>
          <w:szCs w:val="28"/>
        </w:rPr>
      </w:pPr>
      <w:r w:rsidRPr="58FB0A6A">
        <w:rPr>
          <w:rFonts w:ascii="Arial" w:eastAsia="Arial" w:hAnsi="Arial" w:cs="Arial"/>
          <w:color w:val="222222"/>
          <w:sz w:val="28"/>
          <w:szCs w:val="28"/>
        </w:rPr>
        <w:t xml:space="preserve"> </w:t>
      </w:r>
      <w:r w:rsidRPr="58FB0A6A">
        <w:rPr>
          <w:rFonts w:ascii="Arial" w:eastAsia="Arial" w:hAnsi="Arial" w:cs="Arial"/>
          <w:color w:val="222222"/>
        </w:rPr>
        <w:t>Framework Application</w:t>
      </w:r>
      <w:r w:rsidR="075E34D9" w:rsidRPr="58FB0A6A">
        <w:rPr>
          <w:rFonts w:ascii="Arial" w:eastAsia="Arial" w:hAnsi="Arial" w:cs="Arial"/>
          <w:color w:val="222222"/>
        </w:rPr>
        <w:t xml:space="preserve">-   </w:t>
      </w:r>
      <w:r w:rsidRPr="58FB0A6A">
        <w:rPr>
          <w:rFonts w:ascii="Arial" w:eastAsia="Arial" w:hAnsi="Arial" w:cs="Arial"/>
          <w:color w:val="222222"/>
        </w:rPr>
        <w:t xml:space="preserve"> Clutterbuck’s Four Styles of Helping framework categorizes different types of relationships that facilitate learning and development, including coaching and mentoring. According to Clutterbuck, the styles differ in terms of direction and support offered. Coaching is more directive and short-term, whereas mentoring involves more guidance and long-term support.</w:t>
      </w:r>
      <w:r w:rsidR="6A062EE8" w:rsidRPr="58FB0A6A">
        <w:rPr>
          <w:rFonts w:ascii="Arial" w:eastAsia="Arial" w:hAnsi="Arial" w:cs="Arial"/>
          <w:color w:val="222222"/>
        </w:rPr>
        <w:t xml:space="preserve"> Rolfe’s analysis (2015) specifically addresses the distinctions and overlaps between these two development tools.</w:t>
      </w:r>
    </w:p>
    <w:p w14:paraId="7917C40F" w14:textId="399BB81F" w:rsidR="2AA84DBB" w:rsidRDefault="2AA84DBB" w:rsidP="2AA84DBB">
      <w:pPr>
        <w:spacing w:before="120" w:after="0"/>
        <w:rPr>
          <w:rFonts w:ascii="Arial" w:eastAsia="Arial" w:hAnsi="Arial" w:cs="Arial"/>
          <w:b/>
          <w:bCs/>
          <w:color w:val="222222"/>
          <w:sz w:val="28"/>
          <w:szCs w:val="28"/>
        </w:rPr>
      </w:pPr>
    </w:p>
    <w:p w14:paraId="2E088C44" w14:textId="57D27B8C" w:rsidR="2AA84DBB" w:rsidRDefault="2AA84DBB" w:rsidP="2AA84DBB">
      <w:pPr>
        <w:spacing w:before="120" w:after="0"/>
        <w:rPr>
          <w:rFonts w:ascii="Arial" w:eastAsia="Arial" w:hAnsi="Arial" w:cs="Arial"/>
          <w:b/>
          <w:bCs/>
          <w:color w:val="222222"/>
          <w:sz w:val="28"/>
          <w:szCs w:val="28"/>
        </w:rPr>
      </w:pPr>
    </w:p>
    <w:p w14:paraId="42DD1370" w14:textId="12144FFD" w:rsidR="2AA84DBB" w:rsidRDefault="2AA84DBB" w:rsidP="2AA84DBB">
      <w:pPr>
        <w:spacing w:before="120" w:after="0"/>
        <w:rPr>
          <w:rFonts w:ascii="Arial" w:eastAsia="Arial" w:hAnsi="Arial" w:cs="Arial"/>
          <w:b/>
          <w:bCs/>
          <w:color w:val="222222"/>
          <w:sz w:val="28"/>
          <w:szCs w:val="28"/>
        </w:rPr>
      </w:pPr>
    </w:p>
    <w:p w14:paraId="102ECB18" w14:textId="52729804" w:rsidR="2AA84DBB" w:rsidRDefault="2AA84DBB" w:rsidP="2AA84DBB">
      <w:pPr>
        <w:spacing w:before="120" w:after="0"/>
        <w:rPr>
          <w:rFonts w:ascii="Arial" w:eastAsia="Arial" w:hAnsi="Arial" w:cs="Arial"/>
          <w:b/>
          <w:bCs/>
          <w:color w:val="222222"/>
          <w:sz w:val="28"/>
          <w:szCs w:val="28"/>
        </w:rPr>
      </w:pPr>
    </w:p>
    <w:p w14:paraId="0F05973C" w14:textId="36AA7892" w:rsidR="2AA84DBB" w:rsidRDefault="2AA84DBB" w:rsidP="2AA84DBB">
      <w:pPr>
        <w:spacing w:before="120" w:after="0"/>
        <w:rPr>
          <w:rFonts w:ascii="Arial" w:eastAsia="Arial" w:hAnsi="Arial" w:cs="Arial"/>
          <w:b/>
          <w:bCs/>
          <w:color w:val="222222"/>
          <w:sz w:val="28"/>
          <w:szCs w:val="28"/>
        </w:rPr>
      </w:pPr>
    </w:p>
    <w:p w14:paraId="7FBA6AFA" w14:textId="1F0A1C30" w:rsidR="2AA84DBB" w:rsidRDefault="2AA84DBB" w:rsidP="2AA84DBB">
      <w:pPr>
        <w:spacing w:before="120" w:after="0"/>
        <w:rPr>
          <w:rFonts w:ascii="Arial" w:eastAsia="Arial" w:hAnsi="Arial" w:cs="Arial"/>
          <w:b/>
          <w:bCs/>
          <w:color w:val="222222"/>
          <w:sz w:val="28"/>
          <w:szCs w:val="28"/>
        </w:rPr>
      </w:pPr>
    </w:p>
    <w:p w14:paraId="5839FB85" w14:textId="0F0867D5" w:rsidR="3E636BF2" w:rsidRDefault="3E636BF2" w:rsidP="2AA84DBB">
      <w:pPr>
        <w:spacing w:before="120" w:after="0"/>
        <w:rPr>
          <w:rFonts w:ascii="Arial" w:eastAsia="Arial" w:hAnsi="Arial" w:cs="Arial"/>
          <w:color w:val="222222"/>
          <w:sz w:val="28"/>
          <w:szCs w:val="28"/>
        </w:rPr>
      </w:pPr>
      <w:r w:rsidRPr="2AA84DBB">
        <w:rPr>
          <w:rFonts w:ascii="Arial" w:eastAsia="Arial" w:hAnsi="Arial" w:cs="Arial"/>
          <w:b/>
          <w:bCs/>
          <w:color w:val="222222"/>
          <w:sz w:val="28"/>
          <w:szCs w:val="28"/>
        </w:rPr>
        <w:t>Benefits to Organizations</w:t>
      </w:r>
      <w:r w:rsidRPr="2AA84DBB">
        <w:rPr>
          <w:rFonts w:ascii="Arial" w:eastAsia="Arial" w:hAnsi="Arial" w:cs="Arial"/>
          <w:color w:val="222222"/>
          <w:sz w:val="28"/>
          <w:szCs w:val="28"/>
        </w:rPr>
        <w:t xml:space="preserve"> </w:t>
      </w:r>
    </w:p>
    <w:p w14:paraId="6D1677C9" w14:textId="4BCC3D71" w:rsidR="2AA84DBB" w:rsidRDefault="2AA84DBB" w:rsidP="2AA84DBB">
      <w:pPr>
        <w:spacing w:before="120" w:after="0"/>
        <w:rPr>
          <w:rFonts w:ascii="Arial" w:eastAsia="Arial" w:hAnsi="Arial" w:cs="Arial"/>
          <w:color w:val="222222"/>
          <w:sz w:val="28"/>
          <w:szCs w:val="28"/>
        </w:rPr>
      </w:pPr>
    </w:p>
    <w:p w14:paraId="4762439D" w14:textId="1AA1EC5F" w:rsidR="2AA84DBB" w:rsidRDefault="0913EFE6" w:rsidP="2AA84DBB">
      <w:pPr>
        <w:spacing w:before="120" w:after="0"/>
        <w:rPr>
          <w:rFonts w:ascii="Arial" w:eastAsia="Arial" w:hAnsi="Arial" w:cs="Arial"/>
          <w:color w:val="222222"/>
        </w:rPr>
      </w:pPr>
      <w:r w:rsidRPr="58FB0A6A">
        <w:rPr>
          <w:rFonts w:ascii="Arial" w:eastAsia="Arial" w:hAnsi="Arial" w:cs="Arial"/>
          <w:color w:val="222222"/>
        </w:rPr>
        <w:t>Cox, Bachkirova &amp; Clutterbuck (2018): “The comprehensive handbook by Cox, Bachkirova, and Clutterbuck (2018) delves into the organizational benefits derived from both coaching and mentoring</w:t>
      </w:r>
    </w:p>
    <w:p w14:paraId="305089C6" w14:textId="476CC5D7" w:rsidR="3E636BF2" w:rsidRDefault="3E636BF2" w:rsidP="2AA84DBB">
      <w:pPr>
        <w:spacing w:before="120" w:after="0"/>
        <w:rPr>
          <w:rFonts w:ascii="Arial" w:eastAsia="Arial" w:hAnsi="Arial" w:cs="Arial"/>
          <w:color w:val="222222"/>
        </w:rPr>
      </w:pPr>
      <w:r w:rsidRPr="58FB0A6A">
        <w:rPr>
          <w:rFonts w:ascii="Arial" w:eastAsia="Arial" w:hAnsi="Arial" w:cs="Arial"/>
          <w:color w:val="222222"/>
          <w:u w:val="single"/>
        </w:rPr>
        <w:t>Tangible Benefits</w:t>
      </w:r>
      <w:r w:rsidR="090D2AAD" w:rsidRPr="58FB0A6A">
        <w:rPr>
          <w:rFonts w:ascii="Arial" w:eastAsia="Arial" w:hAnsi="Arial" w:cs="Arial"/>
          <w:color w:val="222222"/>
          <w:u w:val="single"/>
        </w:rPr>
        <w:t xml:space="preserve"> </w:t>
      </w:r>
      <w:r w:rsidR="090D2AAD" w:rsidRPr="58FB0A6A">
        <w:rPr>
          <w:rFonts w:ascii="Arial" w:eastAsia="Arial" w:hAnsi="Arial" w:cs="Arial"/>
          <w:color w:val="222222"/>
        </w:rPr>
        <w:t xml:space="preserve">-  </w:t>
      </w:r>
      <w:r w:rsidRPr="58FB0A6A">
        <w:rPr>
          <w:rFonts w:ascii="Arial" w:eastAsia="Arial" w:hAnsi="Arial" w:cs="Arial"/>
          <w:color w:val="222222"/>
        </w:rPr>
        <w:t xml:space="preserve"> These include improved employee performance, enhanced skill sets within the organization, and better achievement of business goals. For instance, coaching can lead to an increase in productivity, while mentoring can aid in succession planning. </w:t>
      </w:r>
    </w:p>
    <w:p w14:paraId="207241FB" w14:textId="4761677D" w:rsidR="3E636BF2" w:rsidRDefault="3E636BF2" w:rsidP="2AA84DBB">
      <w:pPr>
        <w:spacing w:before="120" w:after="0"/>
        <w:rPr>
          <w:rFonts w:ascii="Arial" w:eastAsia="Arial" w:hAnsi="Arial" w:cs="Arial"/>
          <w:color w:val="222222"/>
        </w:rPr>
      </w:pPr>
      <w:r w:rsidRPr="58FB0A6A">
        <w:rPr>
          <w:rFonts w:ascii="Arial" w:eastAsia="Arial" w:hAnsi="Arial" w:cs="Arial"/>
          <w:color w:val="222222"/>
          <w:u w:val="single"/>
        </w:rPr>
        <w:t xml:space="preserve"> Intangible Benefits</w:t>
      </w:r>
      <w:r w:rsidR="3FA51E5C" w:rsidRPr="58FB0A6A">
        <w:rPr>
          <w:rFonts w:ascii="Arial" w:eastAsia="Arial" w:hAnsi="Arial" w:cs="Arial"/>
          <w:color w:val="222222"/>
        </w:rPr>
        <w:t xml:space="preserve"> -  </w:t>
      </w:r>
      <w:r w:rsidRPr="58FB0A6A">
        <w:rPr>
          <w:rFonts w:ascii="Arial" w:eastAsia="Arial" w:hAnsi="Arial" w:cs="Arial"/>
          <w:color w:val="222222"/>
        </w:rPr>
        <w:t>These involve improved employee morale and job satisfaction, stronger organizational culture, and better interpersonal relationships within the team. Coaching can enhance self-awareness and self-efficacy, while mentoring can foster a sense of belonging and loyalty to the organization.</w:t>
      </w:r>
    </w:p>
    <w:p w14:paraId="7BE0EB72" w14:textId="44ACC91E" w:rsidR="7F91347B" w:rsidRDefault="7F91347B" w:rsidP="58FB0A6A">
      <w:pPr>
        <w:spacing w:before="120" w:after="0"/>
        <w:rPr>
          <w:rFonts w:ascii="Arial" w:eastAsia="Arial" w:hAnsi="Arial" w:cs="Arial"/>
          <w:color w:val="222222"/>
        </w:rPr>
      </w:pPr>
      <w:r w:rsidRPr="58FB0A6A">
        <w:rPr>
          <w:rFonts w:ascii="Arial" w:eastAsia="Arial" w:hAnsi="Arial" w:cs="Arial"/>
          <w:color w:val="222222"/>
        </w:rPr>
        <w:t>Dent and Brent (2015) explore how soft skills utilized in coaching and mentoring can lead to hard results like enhanced performance and skill development</w:t>
      </w:r>
    </w:p>
    <w:p w14:paraId="33275135" w14:textId="508DCBCC" w:rsidR="2AA84DBB" w:rsidRDefault="2AA84DBB" w:rsidP="2AA84DBB">
      <w:pPr>
        <w:spacing w:after="0"/>
      </w:pPr>
    </w:p>
    <w:p w14:paraId="01017CD1" w14:textId="1B5EA2FE" w:rsidR="2AA84DBB" w:rsidRDefault="2AA84DBB" w:rsidP="2AA84DBB">
      <w:pPr>
        <w:spacing w:before="120" w:after="0"/>
      </w:pPr>
    </w:p>
    <w:p w14:paraId="620B9998" w14:textId="51F98607" w:rsidR="2AA84DBB" w:rsidRDefault="2AA84DBB" w:rsidP="2AA84DBB">
      <w:pPr>
        <w:rPr>
          <w:rFonts w:ascii="Calibri" w:eastAsia="Calibri" w:hAnsi="Calibri" w:cs="Calibri"/>
          <w:b/>
        </w:rPr>
      </w:pPr>
    </w:p>
    <w:p w14:paraId="5CB9B10F" w14:textId="3392AC6D" w:rsidR="2AA84DBB" w:rsidRDefault="2AA84DBB" w:rsidP="2AA84DBB">
      <w:pPr>
        <w:rPr>
          <w:rFonts w:ascii="Calibri" w:eastAsia="Calibri" w:hAnsi="Calibri" w:cs="Calibri"/>
          <w:b/>
        </w:rPr>
      </w:pPr>
    </w:p>
    <w:p w14:paraId="08E1DCBB" w14:textId="438B7900" w:rsidR="2AA84DBB" w:rsidRDefault="2AA84DBB" w:rsidP="2AA84DBB">
      <w:pPr>
        <w:rPr>
          <w:rFonts w:ascii="Calibri" w:eastAsia="Calibri" w:hAnsi="Calibri" w:cs="Calibri"/>
          <w:b/>
        </w:rPr>
      </w:pPr>
    </w:p>
    <w:p w14:paraId="063DCA0D" w14:textId="206B02B0" w:rsidR="678DC860" w:rsidRDefault="678DC860" w:rsidP="2AA84DBB">
      <w:pPr>
        <w:rPr>
          <w:rFonts w:ascii="Calibri" w:eastAsia="Calibri" w:hAnsi="Calibri" w:cs="Calibri"/>
          <w:b/>
          <w:bCs/>
          <w:sz w:val="28"/>
          <w:szCs w:val="28"/>
        </w:rPr>
      </w:pPr>
      <w:r w:rsidRPr="2AA84DBB">
        <w:rPr>
          <w:rFonts w:ascii="Calibri" w:eastAsia="Calibri" w:hAnsi="Calibri" w:cs="Calibri"/>
          <w:b/>
          <w:bCs/>
          <w:sz w:val="28"/>
          <w:szCs w:val="28"/>
        </w:rPr>
        <w:t xml:space="preserve">The Line Manger as a Coach/Mentor </w:t>
      </w:r>
    </w:p>
    <w:p w14:paraId="2D0FA83D" w14:textId="7E4CEDA7" w:rsidR="19344B70" w:rsidRDefault="19344B70" w:rsidP="2AA84DBB">
      <w:r w:rsidRPr="2AA84DBB">
        <w:rPr>
          <w:rFonts w:ascii="Arial" w:eastAsia="Arial" w:hAnsi="Arial" w:cs="Arial"/>
          <w:b/>
          <w:bCs/>
          <w:color w:val="222222"/>
          <w:sz w:val="28"/>
          <w:szCs w:val="28"/>
        </w:rPr>
        <w:t>Multi-Faceted Role Analysis</w:t>
      </w:r>
      <w:r w:rsidRPr="2AA84DBB">
        <w:rPr>
          <w:rFonts w:ascii="Arial" w:eastAsia="Arial" w:hAnsi="Arial" w:cs="Arial"/>
          <w:color w:val="222222"/>
          <w:sz w:val="28"/>
          <w:szCs w:val="28"/>
        </w:rPr>
        <w:t xml:space="preserve"> </w:t>
      </w:r>
    </w:p>
    <w:p w14:paraId="0DA38710" w14:textId="016B5A2E" w:rsidR="58FB0A6A" w:rsidRDefault="58FB0A6A" w:rsidP="58FB0A6A">
      <w:pPr>
        <w:rPr>
          <w:rFonts w:ascii="Arial" w:eastAsia="Arial" w:hAnsi="Arial" w:cs="Arial"/>
          <w:color w:val="222222"/>
          <w:sz w:val="28"/>
          <w:szCs w:val="28"/>
          <w:u w:val="single"/>
        </w:rPr>
      </w:pPr>
    </w:p>
    <w:p w14:paraId="28BDA024" w14:textId="3A50A006" w:rsidR="19344B70" w:rsidRDefault="19344B70" w:rsidP="2AA84DBB">
      <w:pPr>
        <w:rPr>
          <w:rFonts w:eastAsiaTheme="minorEastAsia"/>
          <w:color w:val="222222"/>
        </w:rPr>
      </w:pPr>
      <w:r w:rsidRPr="58FB0A6A">
        <w:rPr>
          <w:rFonts w:eastAsiaTheme="minorEastAsia"/>
          <w:color w:val="222222"/>
          <w:u w:val="single"/>
        </w:rPr>
        <w:t>Role Dynamics</w:t>
      </w:r>
      <w:r w:rsidR="14E7CA28" w:rsidRPr="58FB0A6A">
        <w:rPr>
          <w:rFonts w:eastAsiaTheme="minorEastAsia"/>
          <w:color w:val="222222"/>
        </w:rPr>
        <w:t xml:space="preserve"> - </w:t>
      </w:r>
      <w:r w:rsidRPr="58FB0A6A">
        <w:rPr>
          <w:rFonts w:eastAsiaTheme="minorEastAsia"/>
          <w:color w:val="222222"/>
        </w:rPr>
        <w:t xml:space="preserve"> Line managers often wear multiple hats within an organization. They are not only responsible for managing daily operations but also play a crucial role in the development of their team members. As coaches, they focus on enhancing individual performance and addressing specific work-related issues. </w:t>
      </w:r>
      <w:r w:rsidR="0C6E2542" w:rsidRPr="58FB0A6A">
        <w:rPr>
          <w:rFonts w:eastAsiaTheme="minorEastAsia"/>
          <w:color w:val="222222"/>
        </w:rPr>
        <w:t xml:space="preserve">Megginson &amp; Clutterbuck (2010) The blend of coaching and mentoring roles for line managers is effectively captured in Megginson and Clutterbuck’s work (2010), offering practical approaches to this dual responsibility </w:t>
      </w:r>
      <w:r w:rsidR="5C1D67D8" w:rsidRPr="58FB0A6A">
        <w:rPr>
          <w:rFonts w:eastAsiaTheme="minorEastAsia"/>
          <w:color w:val="222222"/>
        </w:rPr>
        <w:t xml:space="preserve">As mentors, they provide long-term professional guidance, sharing their experience and knowledge. </w:t>
      </w:r>
    </w:p>
    <w:p w14:paraId="5E7F990A" w14:textId="7675C645" w:rsidR="19344B70" w:rsidRDefault="19344B70" w:rsidP="2AA84DBB">
      <w:pPr>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Complexities</w:t>
      </w:r>
      <w:r w:rsidR="4B60B939" w:rsidRPr="58FB0A6A">
        <w:rPr>
          <w:rFonts w:eastAsiaTheme="minorEastAsia"/>
          <w:color w:val="222222"/>
          <w:u w:val="single"/>
        </w:rPr>
        <w:t xml:space="preserve"> </w:t>
      </w:r>
      <w:r w:rsidR="4B60B939" w:rsidRPr="58FB0A6A">
        <w:rPr>
          <w:rFonts w:eastAsiaTheme="minorEastAsia"/>
          <w:color w:val="222222"/>
        </w:rPr>
        <w:t xml:space="preserve">- </w:t>
      </w:r>
      <w:r w:rsidRPr="58FB0A6A">
        <w:rPr>
          <w:rFonts w:eastAsiaTheme="minorEastAsia"/>
          <w:color w:val="222222"/>
        </w:rPr>
        <w:t xml:space="preserve"> Balancing these roles can be complex. The transition from a managerial to a coaching or mentoring mindset requires a shift in approach - from directive to supportive. It involves fostering an environment where employees feel empowered to explore, learn, and make decisions independently. </w:t>
      </w:r>
      <w:r w:rsidR="695A5FB5" w:rsidRPr="58FB0A6A">
        <w:rPr>
          <w:rFonts w:eastAsiaTheme="minorEastAsia"/>
          <w:color w:val="222222"/>
        </w:rPr>
        <w:t xml:space="preserve">Megginson &amp; Clutterbuck (2010): “The blend of coaching and mentoring roles for line </w:t>
      </w:r>
      <w:r w:rsidR="695A5FB5" w:rsidRPr="58FB0A6A">
        <w:rPr>
          <w:rFonts w:eastAsiaTheme="minorEastAsia"/>
          <w:color w:val="222222"/>
        </w:rPr>
        <w:lastRenderedPageBreak/>
        <w:t>managers is effectively captured in Megginson and Clutterbuck’s work (2010), offering practical approaches to this dual responsibility</w:t>
      </w:r>
    </w:p>
    <w:p w14:paraId="35DD3ABD" w14:textId="2056AEE0" w:rsidR="19344B70" w:rsidRDefault="19344B70" w:rsidP="2AA84DBB">
      <w:pPr>
        <w:rPr>
          <w:rFonts w:ascii="Arial" w:eastAsia="Arial" w:hAnsi="Arial" w:cs="Arial"/>
          <w:b/>
          <w:bCs/>
          <w:color w:val="222222"/>
          <w:sz w:val="28"/>
          <w:szCs w:val="28"/>
        </w:rPr>
      </w:pPr>
      <w:r w:rsidRPr="2AA84DBB">
        <w:rPr>
          <w:rFonts w:ascii="Arial" w:eastAsia="Arial" w:hAnsi="Arial" w:cs="Arial"/>
          <w:b/>
          <w:bCs/>
          <w:color w:val="222222"/>
          <w:sz w:val="28"/>
          <w:szCs w:val="28"/>
        </w:rPr>
        <w:t xml:space="preserve"> Benefits and Drawbacks </w:t>
      </w:r>
    </w:p>
    <w:p w14:paraId="151704A7" w14:textId="67332D10" w:rsidR="19344B70" w:rsidRDefault="19344B70" w:rsidP="2AA84DBB">
      <w:pPr>
        <w:rPr>
          <w:rFonts w:eastAsiaTheme="minorEastAsia"/>
          <w:color w:val="222222"/>
        </w:rPr>
      </w:pPr>
      <w:r w:rsidRPr="2AA84DBB">
        <w:rPr>
          <w:rFonts w:ascii="Arial" w:eastAsia="Arial" w:hAnsi="Arial" w:cs="Arial"/>
          <w:color w:val="222222"/>
          <w:sz w:val="28"/>
          <w:szCs w:val="28"/>
        </w:rPr>
        <w:t xml:space="preserve"> </w:t>
      </w:r>
      <w:r w:rsidRPr="58FB0A6A">
        <w:rPr>
          <w:rFonts w:eastAsiaTheme="minorEastAsia"/>
          <w:color w:val="222222"/>
          <w:u w:val="single"/>
        </w:rPr>
        <w:t>Benefits</w:t>
      </w:r>
      <w:r w:rsidR="00833767" w:rsidRPr="58FB0A6A">
        <w:rPr>
          <w:rFonts w:eastAsiaTheme="minorEastAsia"/>
          <w:color w:val="222222"/>
        </w:rPr>
        <w:t xml:space="preserve"> - </w:t>
      </w:r>
      <w:r w:rsidRPr="58FB0A6A">
        <w:rPr>
          <w:rFonts w:eastAsiaTheme="minorEastAsia"/>
          <w:color w:val="222222"/>
        </w:rPr>
        <w:t xml:space="preserve"> When line managers effectively assume coaching and mentoring roles, it can lead to increased employee engagement, higher job satisfaction, and improved team performance. It facilitates on-the-job learning, quick resolution of issues, and better alignment of individual goals with organizational objectives. </w:t>
      </w:r>
      <w:r w:rsidR="5C1D67D8" w:rsidRPr="58FB0A6A">
        <w:rPr>
          <w:rFonts w:eastAsiaTheme="minorEastAsia"/>
          <w:color w:val="222222"/>
        </w:rPr>
        <w:t xml:space="preserve"> </w:t>
      </w:r>
    </w:p>
    <w:p w14:paraId="6692DBD3" w14:textId="7047A9D2" w:rsidR="19344B70" w:rsidRDefault="19344B70" w:rsidP="2AA84DBB">
      <w:pPr>
        <w:rPr>
          <w:rFonts w:eastAsiaTheme="minorEastAsia"/>
          <w:color w:val="222222"/>
        </w:rPr>
      </w:pPr>
      <w:r w:rsidRPr="58FB0A6A">
        <w:rPr>
          <w:rFonts w:eastAsiaTheme="minorEastAsia"/>
          <w:color w:val="222222"/>
          <w:u w:val="single"/>
        </w:rPr>
        <w:t xml:space="preserve"> Drawbacks</w:t>
      </w:r>
      <w:r w:rsidR="06E9CDCB" w:rsidRPr="58FB0A6A">
        <w:rPr>
          <w:rFonts w:eastAsiaTheme="minorEastAsia"/>
          <w:color w:val="222222"/>
          <w:u w:val="single"/>
        </w:rPr>
        <w:t xml:space="preserve"> </w:t>
      </w:r>
      <w:r w:rsidR="06E9CDCB" w:rsidRPr="58FB0A6A">
        <w:rPr>
          <w:rFonts w:eastAsiaTheme="minorEastAsia"/>
          <w:color w:val="222222"/>
        </w:rPr>
        <w:t xml:space="preserve">- </w:t>
      </w:r>
      <w:r w:rsidRPr="58FB0A6A">
        <w:rPr>
          <w:rFonts w:eastAsiaTheme="minorEastAsia"/>
          <w:color w:val="222222"/>
        </w:rPr>
        <w:t xml:space="preserve">However, challenges include potential role conflict, where the managerial responsibilities of performance assessment might clash with the non-judgmental approach required in coaching. There is also the risk of favoritism or bias, which can affect team dynamics. </w:t>
      </w:r>
    </w:p>
    <w:p w14:paraId="02FCC383" w14:textId="5E2FAB84" w:rsidR="19344B70" w:rsidRDefault="19344B70" w:rsidP="2AA84DBB">
      <w:r w:rsidRPr="2AA84DBB">
        <w:rPr>
          <w:rFonts w:ascii="Arial" w:eastAsia="Arial" w:hAnsi="Arial" w:cs="Arial"/>
          <w:color w:val="222222"/>
          <w:sz w:val="28"/>
          <w:szCs w:val="28"/>
        </w:rPr>
        <w:t xml:space="preserve"> </w:t>
      </w:r>
      <w:r w:rsidRPr="2AA84DBB">
        <w:rPr>
          <w:rFonts w:ascii="Arial" w:eastAsia="Arial" w:hAnsi="Arial" w:cs="Arial"/>
          <w:b/>
          <w:bCs/>
          <w:color w:val="222222"/>
          <w:sz w:val="28"/>
          <w:szCs w:val="28"/>
        </w:rPr>
        <w:t xml:space="preserve">Skills and Behaviors Assessment </w:t>
      </w:r>
    </w:p>
    <w:p w14:paraId="19FFCADD" w14:textId="06C40529" w:rsidR="19344B70" w:rsidRDefault="19344B70" w:rsidP="2AA84DBB">
      <w:pPr>
        <w:rPr>
          <w:rFonts w:eastAsiaTheme="minorEastAsia"/>
          <w:color w:val="222222"/>
        </w:rPr>
      </w:pPr>
      <w:r w:rsidRPr="58FB0A6A">
        <w:rPr>
          <w:rFonts w:eastAsiaTheme="minorEastAsia"/>
          <w:color w:val="222222"/>
          <w:u w:val="single"/>
        </w:rPr>
        <w:t>Essential Skills and Behaviors</w:t>
      </w:r>
      <w:r w:rsidR="30A5EE19" w:rsidRPr="58FB0A6A">
        <w:rPr>
          <w:rFonts w:eastAsiaTheme="minorEastAsia"/>
          <w:color w:val="222222"/>
        </w:rPr>
        <w:t xml:space="preserve"> - </w:t>
      </w:r>
      <w:r w:rsidRPr="58FB0A6A">
        <w:rPr>
          <w:rFonts w:eastAsiaTheme="minorEastAsia"/>
          <w:color w:val="222222"/>
        </w:rPr>
        <w:t xml:space="preserve">To be effective in these roles, line managers need a range of skills and behaviors: </w:t>
      </w:r>
      <w:r w:rsidR="2B31273F" w:rsidRPr="58FB0A6A">
        <w:rPr>
          <w:rFonts w:eastAsiaTheme="minorEastAsia"/>
          <w:color w:val="222222"/>
        </w:rPr>
        <w:t xml:space="preserve"> - </w:t>
      </w:r>
      <w:r w:rsidRPr="58FB0A6A">
        <w:rPr>
          <w:rFonts w:eastAsiaTheme="minorEastAsia"/>
          <w:color w:val="222222"/>
        </w:rPr>
        <w:t xml:space="preserve">Understanding team members’ perspectives and challenges without bias. </w:t>
      </w:r>
    </w:p>
    <w:p w14:paraId="647319D0" w14:textId="7C8EF015" w:rsidR="19344B70" w:rsidRDefault="19344B70" w:rsidP="2AA84DBB">
      <w:pPr>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Effective Communication</w:t>
      </w:r>
      <w:r w:rsidR="1D433499" w:rsidRPr="58FB0A6A">
        <w:rPr>
          <w:rFonts w:eastAsiaTheme="minorEastAsia"/>
          <w:color w:val="222222"/>
        </w:rPr>
        <w:t xml:space="preserve"> - </w:t>
      </w:r>
      <w:r w:rsidRPr="58FB0A6A">
        <w:rPr>
          <w:rFonts w:eastAsiaTheme="minorEastAsia"/>
          <w:color w:val="222222"/>
        </w:rPr>
        <w:t xml:space="preserve">Clearly and effectively conveying expectations, feedback, and guidance. </w:t>
      </w:r>
    </w:p>
    <w:p w14:paraId="0E3B8924" w14:textId="2BC11A68" w:rsidR="19344B70" w:rsidRDefault="19344B70" w:rsidP="2AA84DBB">
      <w:pPr>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Conflict Resolution</w:t>
      </w:r>
      <w:r w:rsidR="165EF716" w:rsidRPr="58FB0A6A">
        <w:rPr>
          <w:rFonts w:eastAsiaTheme="minorEastAsia"/>
          <w:color w:val="222222"/>
          <w:u w:val="single"/>
        </w:rPr>
        <w:t xml:space="preserve"> - </w:t>
      </w:r>
      <w:r w:rsidRPr="58FB0A6A">
        <w:rPr>
          <w:rFonts w:eastAsiaTheme="minorEastAsia"/>
          <w:color w:val="222222"/>
        </w:rPr>
        <w:t>Addressing and mediating conflicts that may arise within the team.</w:t>
      </w:r>
    </w:p>
    <w:p w14:paraId="3C61B08D" w14:textId="013AEB88" w:rsidR="19344B70" w:rsidRDefault="19344B70" w:rsidP="58FB0A6A">
      <w:pPr>
        <w:spacing w:before="120" w:after="0"/>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 xml:space="preserve"> Emotional Intelligence</w:t>
      </w:r>
      <w:r w:rsidR="1E7A8F31" w:rsidRPr="58FB0A6A">
        <w:rPr>
          <w:rFonts w:eastAsiaTheme="minorEastAsia"/>
          <w:color w:val="222222"/>
          <w:u w:val="single"/>
        </w:rPr>
        <w:t xml:space="preserve"> - </w:t>
      </w:r>
      <w:r w:rsidRPr="58FB0A6A">
        <w:rPr>
          <w:rFonts w:eastAsiaTheme="minorEastAsia"/>
          <w:color w:val="222222"/>
        </w:rPr>
        <w:t xml:space="preserve"> Managing their own emotions and understanding others’ emotions to foster a positive working environment.  </w:t>
      </w:r>
      <w:r w:rsidRPr="58FB0A6A">
        <w:rPr>
          <w:rFonts w:eastAsiaTheme="minorEastAsia"/>
          <w:color w:val="222222"/>
          <w:u w:val="single"/>
        </w:rPr>
        <w:t>Flexibility</w:t>
      </w:r>
      <w:r w:rsidR="18AFE52D" w:rsidRPr="58FB0A6A">
        <w:rPr>
          <w:rFonts w:eastAsiaTheme="minorEastAsia"/>
          <w:color w:val="222222"/>
          <w:u w:val="single"/>
        </w:rPr>
        <w:t xml:space="preserve"> </w:t>
      </w:r>
      <w:r w:rsidR="18AFE52D" w:rsidRPr="58FB0A6A">
        <w:rPr>
          <w:rFonts w:eastAsiaTheme="minorEastAsia"/>
          <w:color w:val="222222"/>
        </w:rPr>
        <w:t xml:space="preserve">- </w:t>
      </w:r>
      <w:r w:rsidRPr="58FB0A6A">
        <w:rPr>
          <w:rFonts w:eastAsiaTheme="minorEastAsia"/>
          <w:color w:val="222222"/>
        </w:rPr>
        <w:t xml:space="preserve">Adapting their coaching and mentoring style to suit different team members. </w:t>
      </w:r>
      <w:r w:rsidR="20AF9165" w:rsidRPr="58FB0A6A">
        <w:rPr>
          <w:rFonts w:eastAsiaTheme="minorEastAsia"/>
          <w:color w:val="222222"/>
        </w:rPr>
        <w:t>The NHS Leadership Academy’s resources on coaching and mentoring offer a public sector perspective, enriching our understanding of these practices in diverse organizational contexts</w:t>
      </w:r>
    </w:p>
    <w:p w14:paraId="6EF01319" w14:textId="21E92770" w:rsidR="19344B70" w:rsidRDefault="19344B70" w:rsidP="58FB0A6A">
      <w:pPr>
        <w:spacing w:before="120" w:after="0"/>
        <w:rPr>
          <w:rFonts w:eastAsiaTheme="minorEastAsia"/>
          <w:color w:val="222222"/>
        </w:rPr>
      </w:pPr>
    </w:p>
    <w:p w14:paraId="30D728BF" w14:textId="36418B06" w:rsidR="19344B70" w:rsidRDefault="19344B70" w:rsidP="2AA84DBB">
      <w:pPr>
        <w:rPr>
          <w:rFonts w:ascii="Arial" w:eastAsia="Arial" w:hAnsi="Arial" w:cs="Arial"/>
          <w:color w:val="222222"/>
          <w:sz w:val="28"/>
          <w:szCs w:val="28"/>
        </w:rPr>
      </w:pPr>
    </w:p>
    <w:p w14:paraId="7F18C5E0" w14:textId="7EFDDE96" w:rsidR="19344B70" w:rsidRDefault="19344B70" w:rsidP="2AA84DBB">
      <w:pPr>
        <w:rPr>
          <w:rFonts w:ascii="Arial" w:eastAsia="Arial" w:hAnsi="Arial" w:cs="Arial"/>
          <w:color w:val="222222"/>
          <w:sz w:val="28"/>
          <w:szCs w:val="28"/>
        </w:rPr>
      </w:pPr>
      <w:r w:rsidRPr="2AA84DBB">
        <w:rPr>
          <w:rFonts w:ascii="Arial" w:eastAsia="Arial" w:hAnsi="Arial" w:cs="Arial"/>
          <w:color w:val="222222"/>
          <w:sz w:val="28"/>
          <w:szCs w:val="28"/>
        </w:rPr>
        <w:t xml:space="preserve"> </w:t>
      </w:r>
    </w:p>
    <w:p w14:paraId="5F19EF90" w14:textId="64332AC4" w:rsidR="2AA84DBB" w:rsidRDefault="2AA84DBB" w:rsidP="2AA84DBB">
      <w:pPr>
        <w:rPr>
          <w:rFonts w:ascii="Arial" w:eastAsia="Arial" w:hAnsi="Arial" w:cs="Arial"/>
          <w:color w:val="222222"/>
          <w:sz w:val="28"/>
          <w:szCs w:val="28"/>
          <w:u w:val="single"/>
        </w:rPr>
      </w:pPr>
    </w:p>
    <w:p w14:paraId="765023E2" w14:textId="521D7409" w:rsidR="2AA84DBB" w:rsidRDefault="2AA84DBB" w:rsidP="2AA84DBB">
      <w:pPr>
        <w:rPr>
          <w:rFonts w:ascii="Arial" w:eastAsia="Arial" w:hAnsi="Arial" w:cs="Arial"/>
          <w:color w:val="222222"/>
          <w:sz w:val="28"/>
          <w:szCs w:val="28"/>
          <w:u w:val="single"/>
        </w:rPr>
      </w:pPr>
    </w:p>
    <w:p w14:paraId="368037CE" w14:textId="67599C87" w:rsidR="2AA84DBB" w:rsidRDefault="2AA84DBB" w:rsidP="2AA84DBB">
      <w:pPr>
        <w:rPr>
          <w:rFonts w:ascii="Arial" w:eastAsia="Arial" w:hAnsi="Arial" w:cs="Arial"/>
          <w:color w:val="222222"/>
          <w:sz w:val="28"/>
          <w:szCs w:val="28"/>
          <w:u w:val="single"/>
        </w:rPr>
      </w:pPr>
    </w:p>
    <w:p w14:paraId="5B7F1D6D" w14:textId="320FE545" w:rsidR="2AA84DBB" w:rsidRDefault="2AA84DBB" w:rsidP="2AA84DBB">
      <w:pPr>
        <w:rPr>
          <w:rFonts w:ascii="Arial" w:eastAsia="Arial" w:hAnsi="Arial" w:cs="Arial"/>
          <w:color w:val="222222"/>
          <w:sz w:val="28"/>
          <w:szCs w:val="28"/>
          <w:u w:val="single"/>
        </w:rPr>
      </w:pPr>
    </w:p>
    <w:p w14:paraId="217ACE68" w14:textId="2475A822" w:rsidR="2AA84DBB" w:rsidRDefault="2AA84DBB" w:rsidP="2AA84DBB">
      <w:pPr>
        <w:rPr>
          <w:rFonts w:ascii="Arial" w:eastAsia="Arial" w:hAnsi="Arial" w:cs="Arial"/>
          <w:color w:val="222222"/>
          <w:sz w:val="28"/>
          <w:szCs w:val="28"/>
          <w:u w:val="single"/>
        </w:rPr>
      </w:pPr>
    </w:p>
    <w:p w14:paraId="1BE01E60" w14:textId="54C08ADC" w:rsidR="2AA84DBB" w:rsidRDefault="2AA84DBB" w:rsidP="2AA84DBB">
      <w:pPr>
        <w:rPr>
          <w:rFonts w:ascii="Arial" w:eastAsia="Arial" w:hAnsi="Arial" w:cs="Arial"/>
          <w:color w:val="222222"/>
          <w:sz w:val="28"/>
          <w:szCs w:val="28"/>
          <w:u w:val="single"/>
        </w:rPr>
      </w:pPr>
    </w:p>
    <w:p w14:paraId="2A179AD7" w14:textId="1BF4D272" w:rsidR="2AA84DBB" w:rsidRDefault="2AA84DBB" w:rsidP="2AA84DBB">
      <w:pPr>
        <w:rPr>
          <w:rFonts w:ascii="Arial" w:eastAsia="Arial" w:hAnsi="Arial" w:cs="Arial"/>
          <w:color w:val="222222"/>
          <w:sz w:val="28"/>
          <w:szCs w:val="28"/>
          <w:u w:val="single"/>
        </w:rPr>
      </w:pPr>
    </w:p>
    <w:p w14:paraId="45B66C7C" w14:textId="6B559738" w:rsidR="2AA84DBB" w:rsidRDefault="2AA84DBB" w:rsidP="2AA84DBB">
      <w:pPr>
        <w:rPr>
          <w:rFonts w:ascii="Arial" w:eastAsia="Arial" w:hAnsi="Arial" w:cs="Arial"/>
          <w:color w:val="222222"/>
          <w:sz w:val="28"/>
          <w:szCs w:val="28"/>
          <w:u w:val="single"/>
        </w:rPr>
      </w:pPr>
    </w:p>
    <w:p w14:paraId="097A2978" w14:textId="7715C628" w:rsidR="2AA84DBB" w:rsidRDefault="2AA84DBB" w:rsidP="2AA84DBB">
      <w:pPr>
        <w:rPr>
          <w:rFonts w:ascii="Arial" w:eastAsia="Arial" w:hAnsi="Arial" w:cs="Arial"/>
          <w:color w:val="222222"/>
          <w:sz w:val="28"/>
          <w:szCs w:val="28"/>
          <w:u w:val="single"/>
        </w:rPr>
      </w:pPr>
    </w:p>
    <w:p w14:paraId="3FA090B8" w14:textId="5325C112" w:rsidR="2AA84DBB" w:rsidRDefault="2AA84DBB" w:rsidP="2AA84DBB">
      <w:pPr>
        <w:rPr>
          <w:rFonts w:ascii="Arial" w:eastAsia="Arial" w:hAnsi="Arial" w:cs="Arial"/>
          <w:color w:val="222222"/>
          <w:sz w:val="28"/>
          <w:szCs w:val="28"/>
          <w:u w:val="single"/>
        </w:rPr>
      </w:pPr>
    </w:p>
    <w:p w14:paraId="1ABEDD89" w14:textId="2C076C1A" w:rsidR="2AA84DBB" w:rsidRDefault="2AA84DBB" w:rsidP="2AA84DBB">
      <w:pPr>
        <w:rPr>
          <w:rFonts w:ascii="Arial" w:eastAsia="Arial" w:hAnsi="Arial" w:cs="Arial"/>
          <w:color w:val="222222"/>
          <w:sz w:val="28"/>
          <w:szCs w:val="28"/>
          <w:u w:val="single"/>
        </w:rPr>
      </w:pPr>
    </w:p>
    <w:p w14:paraId="40A7C8E3" w14:textId="3D93F48C" w:rsidR="2AA84DBB" w:rsidRDefault="2AA84DBB" w:rsidP="2AA84DBB">
      <w:pPr>
        <w:rPr>
          <w:rFonts w:ascii="Arial" w:eastAsia="Arial" w:hAnsi="Arial" w:cs="Arial"/>
          <w:color w:val="222222"/>
          <w:sz w:val="28"/>
          <w:szCs w:val="28"/>
          <w:u w:val="single"/>
        </w:rPr>
      </w:pPr>
    </w:p>
    <w:p w14:paraId="21F9739E" w14:textId="2E2D21B4" w:rsidR="19344B70" w:rsidRDefault="19344B70" w:rsidP="2AA84DBB">
      <w:pPr>
        <w:rPr>
          <w:rFonts w:ascii="Arial" w:eastAsia="Arial" w:hAnsi="Arial" w:cs="Arial"/>
          <w:color w:val="222222"/>
          <w:sz w:val="28"/>
          <w:szCs w:val="28"/>
        </w:rPr>
      </w:pPr>
      <w:r w:rsidRPr="2AA84DBB">
        <w:rPr>
          <w:rFonts w:ascii="Arial" w:eastAsia="Arial" w:hAnsi="Arial" w:cs="Arial"/>
          <w:b/>
          <w:bCs/>
          <w:color w:val="222222"/>
          <w:sz w:val="28"/>
          <w:szCs w:val="28"/>
          <w:u w:val="single"/>
        </w:rPr>
        <w:t>Implementing Coaching Models</w:t>
      </w:r>
      <w:r w:rsidR="20843F49" w:rsidRPr="2AA84DBB">
        <w:rPr>
          <w:rFonts w:ascii="Arial" w:eastAsia="Arial" w:hAnsi="Arial" w:cs="Arial"/>
          <w:b/>
          <w:bCs/>
          <w:color w:val="222222"/>
          <w:sz w:val="28"/>
          <w:szCs w:val="28"/>
          <w:u w:val="single"/>
        </w:rPr>
        <w:t xml:space="preserve"> -</w:t>
      </w:r>
      <w:r w:rsidR="20843F49" w:rsidRPr="2AA84DBB">
        <w:rPr>
          <w:rFonts w:ascii="Arial" w:eastAsia="Arial" w:hAnsi="Arial" w:cs="Arial"/>
          <w:color w:val="222222"/>
          <w:sz w:val="28"/>
          <w:szCs w:val="28"/>
          <w:u w:val="single"/>
        </w:rPr>
        <w:t xml:space="preserve"> </w:t>
      </w:r>
    </w:p>
    <w:p w14:paraId="5A982396" w14:textId="66D9BF75" w:rsidR="19344B70" w:rsidRDefault="19344B70" w:rsidP="2AA84DBB">
      <w:pPr>
        <w:rPr>
          <w:rFonts w:eastAsiaTheme="minorEastAsia"/>
          <w:color w:val="222222"/>
        </w:rPr>
      </w:pPr>
      <w:r w:rsidRPr="2AA84DBB">
        <w:rPr>
          <w:rFonts w:ascii="Arial" w:eastAsia="Arial" w:hAnsi="Arial" w:cs="Arial"/>
          <w:color w:val="222222"/>
          <w:sz w:val="28"/>
          <w:szCs w:val="28"/>
        </w:rPr>
        <w:t xml:space="preserve"> </w:t>
      </w:r>
      <w:r w:rsidRPr="58FB0A6A">
        <w:rPr>
          <w:rFonts w:eastAsiaTheme="minorEastAsia"/>
          <w:color w:val="222222"/>
        </w:rPr>
        <w:t xml:space="preserve">Line managers must also be adept at implementing coaching models, such as the GROW model discussed in Week 2. </w:t>
      </w:r>
      <w:r w:rsidR="50C767FE" w:rsidRPr="58FB0A6A">
        <w:rPr>
          <w:rFonts w:eastAsiaTheme="minorEastAsia"/>
          <w:color w:val="222222"/>
        </w:rPr>
        <w:t>Cook’s (2009) discussion on high-performance coaching aligns with the implementation of models like GROW, underscoring their effectiveness in enhancing team performance.</w:t>
      </w:r>
      <w:r w:rsidR="5C1D67D8" w:rsidRPr="58FB0A6A">
        <w:rPr>
          <w:rFonts w:eastAsiaTheme="minorEastAsia"/>
          <w:color w:val="222222"/>
        </w:rPr>
        <w:t xml:space="preserve"> </w:t>
      </w:r>
      <w:r w:rsidRPr="58FB0A6A">
        <w:rPr>
          <w:rFonts w:eastAsiaTheme="minorEastAsia"/>
          <w:color w:val="222222"/>
        </w:rPr>
        <w:t>This involves setting goals, examining realities, exploring options, and defining a way forward, tailored to each team member’s needs.</w:t>
      </w:r>
      <w:r w:rsidR="76213CF1" w:rsidRPr="58FB0A6A">
        <w:rPr>
          <w:rFonts w:eastAsiaTheme="minorEastAsia"/>
          <w:color w:val="222222"/>
        </w:rPr>
        <w:t xml:space="preserve"> Lee (2003) emphasizes the transformational impact of leadership coaching on organizational performance, supporting the use of structured coaching models</w:t>
      </w:r>
      <w:r w:rsidR="15896B71" w:rsidRPr="58FB0A6A">
        <w:rPr>
          <w:rFonts w:eastAsiaTheme="minorEastAsia"/>
          <w:color w:val="222222"/>
        </w:rPr>
        <w:t>. During the COVID-19 pandemic, internal coaching and mentoring were essential in aiding individuals and organizations to adapt and thrive. The main areas of focus included overcoming fear, developing resilience, and creating adaptive capacity. Coaches and mentors helped individuals by encouraging self-awareness and growth mindset, practicing compassionate empathy, and fostering innovative thinking. They played a key role in enabling organizations and their members to develop new strategies and approaches to navigate the challenges posed by the pandemic.</w:t>
      </w:r>
    </w:p>
    <w:p w14:paraId="0104C4D1" w14:textId="39469EA2" w:rsidR="2AA84DBB" w:rsidRDefault="2AA84DBB" w:rsidP="2AA84DBB">
      <w:pPr>
        <w:rPr>
          <w:rFonts w:eastAsiaTheme="minorEastAsia"/>
          <w:b/>
        </w:rPr>
      </w:pPr>
    </w:p>
    <w:p w14:paraId="489DC48B" w14:textId="71B467F7" w:rsidR="2AA84DBB" w:rsidRDefault="2AA84DBB" w:rsidP="2AA84DBB">
      <w:pPr>
        <w:rPr>
          <w:rFonts w:ascii="Calibri" w:eastAsia="Calibri" w:hAnsi="Calibri" w:cs="Calibri"/>
          <w:b/>
          <w:bCs/>
          <w:sz w:val="28"/>
          <w:szCs w:val="28"/>
        </w:rPr>
      </w:pPr>
    </w:p>
    <w:p w14:paraId="5BD5CA70" w14:textId="302A3805" w:rsidR="1CFBCEBF" w:rsidRDefault="1CFBCEBF" w:rsidP="2AA84DBB">
      <w:pPr>
        <w:rPr>
          <w:rFonts w:ascii="Calibri" w:eastAsia="Calibri" w:hAnsi="Calibri" w:cs="Calibri"/>
          <w:b/>
          <w:bCs/>
          <w:sz w:val="28"/>
          <w:szCs w:val="28"/>
        </w:rPr>
      </w:pPr>
      <w:r w:rsidRPr="2AA84DBB">
        <w:rPr>
          <w:rFonts w:ascii="Calibri" w:eastAsia="Calibri" w:hAnsi="Calibri" w:cs="Calibri"/>
          <w:b/>
          <w:bCs/>
          <w:sz w:val="28"/>
          <w:szCs w:val="28"/>
        </w:rPr>
        <w:t xml:space="preserve">Coaching and Mentoring in Building Resilience and Dealing with Change </w:t>
      </w:r>
    </w:p>
    <w:p w14:paraId="233B21AA" w14:textId="162CD71F" w:rsidR="746886E6" w:rsidRDefault="746886E6" w:rsidP="2AA84DBB">
      <w:pPr>
        <w:spacing w:before="120" w:after="0"/>
        <w:rPr>
          <w:rFonts w:eastAsiaTheme="minorEastAsia"/>
          <w:color w:val="222222"/>
        </w:rPr>
      </w:pPr>
      <w:r w:rsidRPr="58FB0A6A">
        <w:rPr>
          <w:rFonts w:eastAsiaTheme="minorEastAsia"/>
          <w:color w:val="222222"/>
          <w:u w:val="single"/>
        </w:rPr>
        <w:t>Defining Resilience and Change Management</w:t>
      </w:r>
      <w:r w:rsidRPr="58FB0A6A">
        <w:rPr>
          <w:rFonts w:eastAsiaTheme="minorEastAsia"/>
          <w:color w:val="222222"/>
        </w:rPr>
        <w:t xml:space="preserve"> </w:t>
      </w:r>
      <w:r w:rsidR="42544B3D" w:rsidRPr="58FB0A6A">
        <w:rPr>
          <w:rFonts w:eastAsiaTheme="minorEastAsia"/>
          <w:color w:val="222222"/>
        </w:rPr>
        <w:t xml:space="preserve">- </w:t>
      </w:r>
      <w:r w:rsidRPr="58FB0A6A">
        <w:rPr>
          <w:rFonts w:eastAsiaTheme="minorEastAsia"/>
          <w:color w:val="222222"/>
        </w:rPr>
        <w:t xml:space="preserve"> Resilience in an Organizational Context: Resilience refers to the ability of an individual or organization to adapt to changes, face challenges, and bounce back from setbacks. In a workplace setting, this means coping with changes in market dynamics, internal restructuring, or any external pressures while maintaining productivity and positivity. </w:t>
      </w:r>
      <w:r w:rsidR="4E398872" w:rsidRPr="58FB0A6A">
        <w:rPr>
          <w:rFonts w:eastAsiaTheme="minorEastAsia"/>
          <w:color w:val="222222"/>
        </w:rPr>
        <w:t>The study by Ates and Bititci (2011) on change management in SMEs complements our discussion on the role of coaching in fostering organizational resilience.</w:t>
      </w:r>
    </w:p>
    <w:p w14:paraId="039381CA" w14:textId="517122F4" w:rsidR="746886E6" w:rsidRDefault="746886E6" w:rsidP="2AA84DBB">
      <w:pPr>
        <w:spacing w:before="120" w:after="0"/>
        <w:rPr>
          <w:rFonts w:eastAsiaTheme="minorEastAsia"/>
          <w:color w:val="222222"/>
        </w:rPr>
      </w:pPr>
      <w:r w:rsidRPr="58FB0A6A">
        <w:rPr>
          <w:rFonts w:eastAsiaTheme="minorEastAsia"/>
          <w:color w:val="222222"/>
          <w:u w:val="single"/>
        </w:rPr>
        <w:t xml:space="preserve"> Change Management</w:t>
      </w:r>
      <w:r w:rsidR="1D24326F" w:rsidRPr="58FB0A6A">
        <w:rPr>
          <w:rFonts w:eastAsiaTheme="minorEastAsia"/>
          <w:color w:val="222222"/>
        </w:rPr>
        <w:t xml:space="preserve"> - </w:t>
      </w:r>
      <w:r w:rsidRPr="58FB0A6A">
        <w:rPr>
          <w:rFonts w:eastAsiaTheme="minorEastAsia"/>
          <w:color w:val="222222"/>
        </w:rPr>
        <w:t xml:space="preserve">Change management involves guiding and transitioning individuals, teams, and organizations from a current state to a desired future state. It encompasses strategies to help employees embrace, adopt, and adapt to changes in their business environment. 2. Drivers of Change </w:t>
      </w:r>
      <w:r w:rsidR="42492DA6" w:rsidRPr="58FB0A6A">
        <w:rPr>
          <w:rFonts w:eastAsiaTheme="minorEastAsia"/>
          <w:color w:val="222222"/>
        </w:rPr>
        <w:t>Chaudhary et al. (2024) offer a perspective on how small firms build resilience, relevant to our exploration of coaching and mentoring in times of crisis</w:t>
      </w:r>
    </w:p>
    <w:p w14:paraId="0817FDAE" w14:textId="35EC0DE7" w:rsidR="746886E6" w:rsidRDefault="746886E6" w:rsidP="2AA84DBB">
      <w:pPr>
        <w:spacing w:before="120" w:after="0"/>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Current Drivers</w:t>
      </w:r>
      <w:r w:rsidR="13248F57" w:rsidRPr="58FB0A6A">
        <w:rPr>
          <w:rFonts w:eastAsiaTheme="minorEastAsia"/>
          <w:color w:val="222222"/>
          <w:u w:val="single"/>
        </w:rPr>
        <w:t xml:space="preserve"> </w:t>
      </w:r>
      <w:r w:rsidR="13248F57" w:rsidRPr="58FB0A6A">
        <w:rPr>
          <w:rFonts w:eastAsiaTheme="minorEastAsia"/>
          <w:color w:val="222222"/>
        </w:rPr>
        <w:t xml:space="preserve">- </w:t>
      </w:r>
      <w:r w:rsidRPr="58FB0A6A">
        <w:rPr>
          <w:rFonts w:eastAsiaTheme="minorEastAsia"/>
          <w:color w:val="222222"/>
        </w:rPr>
        <w:t xml:space="preserve"> These include technological advancements, globalization, and evolving market demands. In recent times, the rapid pace of digital transformation and the shift towards remote working models have been significant drivers.</w:t>
      </w:r>
      <w:r w:rsidR="41182847" w:rsidRPr="58FB0A6A">
        <w:rPr>
          <w:rFonts w:eastAsiaTheme="minorEastAsia"/>
          <w:color w:val="222222"/>
        </w:rPr>
        <w:t xml:space="preserve"> The NHS Leadership Academy’s resources on coaching and mentoring offer a public sector perspective, enriching our understanding of these practices in diverse organizational contexts</w:t>
      </w:r>
    </w:p>
    <w:p w14:paraId="0263E075" w14:textId="5B2EBA75" w:rsidR="746886E6" w:rsidRDefault="1B6AF58E" w:rsidP="2AA84DBB">
      <w:pPr>
        <w:spacing w:before="120" w:after="0"/>
        <w:rPr>
          <w:rFonts w:eastAsiaTheme="minorEastAsia"/>
          <w:color w:val="222222"/>
        </w:rPr>
      </w:pPr>
      <w:r w:rsidRPr="58FB0A6A">
        <w:rPr>
          <w:rFonts w:eastAsiaTheme="minorEastAsia"/>
          <w:color w:val="222222"/>
        </w:rPr>
        <w:t xml:space="preserve"> </w:t>
      </w:r>
    </w:p>
    <w:p w14:paraId="2A733AEC" w14:textId="57A80CE0" w:rsidR="2AA84DBB" w:rsidRDefault="2AA84DBB" w:rsidP="2AA84DBB">
      <w:pPr>
        <w:spacing w:before="120" w:after="0"/>
        <w:rPr>
          <w:rFonts w:ascii="Arial" w:eastAsia="Arial" w:hAnsi="Arial" w:cs="Arial"/>
          <w:color w:val="222222"/>
          <w:sz w:val="28"/>
          <w:szCs w:val="28"/>
        </w:rPr>
      </w:pPr>
    </w:p>
    <w:p w14:paraId="5A99F1AB" w14:textId="7E9A5D24" w:rsidR="2AA84DBB" w:rsidRDefault="2AA84DBB" w:rsidP="2AA84DBB">
      <w:pPr>
        <w:spacing w:before="120" w:after="0"/>
        <w:rPr>
          <w:rFonts w:ascii="Arial" w:eastAsia="Arial" w:hAnsi="Arial" w:cs="Arial"/>
          <w:color w:val="222222"/>
          <w:sz w:val="28"/>
          <w:szCs w:val="28"/>
        </w:rPr>
      </w:pPr>
    </w:p>
    <w:p w14:paraId="7EF38BD7" w14:textId="6DC22DCE" w:rsidR="746886E6" w:rsidRDefault="746886E6" w:rsidP="2AA84DBB">
      <w:pPr>
        <w:spacing w:before="120" w:after="0"/>
      </w:pPr>
      <w:r w:rsidRPr="2AA84DBB">
        <w:rPr>
          <w:rFonts w:ascii="Arial" w:eastAsia="Arial" w:hAnsi="Arial" w:cs="Arial"/>
          <w:color w:val="222222"/>
          <w:sz w:val="28"/>
          <w:szCs w:val="28"/>
        </w:rPr>
        <w:t xml:space="preserve"> </w:t>
      </w:r>
      <w:r w:rsidRPr="2AA84DBB">
        <w:rPr>
          <w:rFonts w:ascii="Arial" w:eastAsia="Arial" w:hAnsi="Arial" w:cs="Arial"/>
          <w:b/>
          <w:bCs/>
          <w:color w:val="222222"/>
          <w:sz w:val="28"/>
          <w:szCs w:val="28"/>
        </w:rPr>
        <w:t>Impact of Poorly Managed Change</w:t>
      </w:r>
      <w:r w:rsidRPr="2AA84DBB">
        <w:rPr>
          <w:rFonts w:ascii="Arial" w:eastAsia="Arial" w:hAnsi="Arial" w:cs="Arial"/>
          <w:color w:val="222222"/>
          <w:sz w:val="28"/>
          <w:szCs w:val="28"/>
        </w:rPr>
        <w:t xml:space="preserve"> </w:t>
      </w:r>
    </w:p>
    <w:p w14:paraId="02DAE3DB" w14:textId="6CDB68C2" w:rsidR="746886E6" w:rsidRDefault="746886E6" w:rsidP="2AA84DBB">
      <w:pPr>
        <w:spacing w:before="120" w:after="0"/>
        <w:rPr>
          <w:rFonts w:eastAsiaTheme="minorEastAsia"/>
          <w:color w:val="222222"/>
        </w:rPr>
      </w:pPr>
      <w:r w:rsidRPr="58FB0A6A">
        <w:rPr>
          <w:rFonts w:eastAsiaTheme="minorEastAsia"/>
          <w:color w:val="222222"/>
          <w:u w:val="single"/>
        </w:rPr>
        <w:lastRenderedPageBreak/>
        <w:t>Workforce Implications</w:t>
      </w:r>
      <w:r w:rsidR="278E5B2F" w:rsidRPr="58FB0A6A">
        <w:rPr>
          <w:rFonts w:eastAsiaTheme="minorEastAsia"/>
          <w:color w:val="222222"/>
        </w:rPr>
        <w:t xml:space="preserve"> -</w:t>
      </w:r>
      <w:r w:rsidRPr="58FB0A6A">
        <w:rPr>
          <w:rFonts w:eastAsiaTheme="minorEastAsia"/>
          <w:color w:val="222222"/>
        </w:rPr>
        <w:t xml:space="preserve"> Poorly managed change can lead to employee resistance, reduced morale, and decreased productivity. It may also result in increased turnover and a decline in organizational performance. </w:t>
      </w:r>
      <w:r w:rsidR="17AF72EC" w:rsidRPr="58FB0A6A">
        <w:rPr>
          <w:rFonts w:eastAsiaTheme="minorEastAsia"/>
          <w:color w:val="222222"/>
        </w:rPr>
        <w:t xml:space="preserve">Lasater et al. (2021) discuss mentorship in times of crisis, shedding light on the consequences of poorly managed change. </w:t>
      </w:r>
      <w:r w:rsidRPr="58FB0A6A">
        <w:rPr>
          <w:rFonts w:eastAsiaTheme="minorEastAsia"/>
          <w:color w:val="222222"/>
        </w:rPr>
        <w:t xml:space="preserve"> </w:t>
      </w:r>
      <w:r w:rsidRPr="58FB0A6A">
        <w:rPr>
          <w:rFonts w:eastAsiaTheme="minorEastAsia"/>
          <w:color w:val="222222"/>
          <w:u w:val="single"/>
        </w:rPr>
        <w:t>Resilience Building through Coaching and Mentoring</w:t>
      </w:r>
      <w:r w:rsidR="07F305DF" w:rsidRPr="58FB0A6A">
        <w:rPr>
          <w:rFonts w:eastAsiaTheme="minorEastAsia"/>
          <w:color w:val="222222"/>
        </w:rPr>
        <w:t xml:space="preserve"> - </w:t>
      </w:r>
      <w:r w:rsidRPr="58FB0A6A">
        <w:rPr>
          <w:rFonts w:eastAsiaTheme="minorEastAsia"/>
          <w:color w:val="222222"/>
        </w:rPr>
        <w:t xml:space="preserve">Coaching and mentoring play a crucial role in building resilience among employees. They provide support, guidance, and the development of coping strategies to handle change effectively. Coaching can help individuals adapt to new roles or technologies, while mentoring can offer long-term support in career progression and personal development during times of change. </w:t>
      </w:r>
    </w:p>
    <w:p w14:paraId="53CA3915" w14:textId="0FF4654E" w:rsidR="746886E6" w:rsidRDefault="746886E6" w:rsidP="2AA84DBB">
      <w:pPr>
        <w:spacing w:before="120" w:after="0"/>
        <w:rPr>
          <w:rFonts w:eastAsiaTheme="minorEastAsia"/>
          <w:color w:val="222222"/>
        </w:rPr>
      </w:pPr>
      <w:r w:rsidRPr="58FB0A6A">
        <w:rPr>
          <w:rFonts w:eastAsiaTheme="minorEastAsia"/>
          <w:color w:val="222222"/>
        </w:rPr>
        <w:t xml:space="preserve"> </w:t>
      </w:r>
    </w:p>
    <w:p w14:paraId="1B5D6C8B" w14:textId="13BC2E80" w:rsidR="2AA84DBB" w:rsidRDefault="2AA84DBB" w:rsidP="2AA84DBB">
      <w:pPr>
        <w:spacing w:before="120" w:after="0"/>
        <w:rPr>
          <w:rFonts w:eastAsiaTheme="minorEastAsia"/>
          <w:b/>
          <w:color w:val="222222"/>
        </w:rPr>
      </w:pPr>
    </w:p>
    <w:p w14:paraId="6854CA1C" w14:textId="70323923" w:rsidR="2AA84DBB" w:rsidRDefault="2AA84DBB" w:rsidP="2AA84DBB">
      <w:pPr>
        <w:spacing w:before="120" w:after="0"/>
        <w:rPr>
          <w:rFonts w:eastAsiaTheme="minorEastAsia"/>
          <w:b/>
          <w:color w:val="222222"/>
        </w:rPr>
      </w:pPr>
    </w:p>
    <w:p w14:paraId="448D1805" w14:textId="55CBC956" w:rsidR="746886E6" w:rsidRDefault="746886E6" w:rsidP="2AA84DBB">
      <w:pPr>
        <w:spacing w:before="120" w:after="0"/>
        <w:rPr>
          <w:rFonts w:eastAsiaTheme="minorEastAsia"/>
          <w:b/>
          <w:color w:val="222222"/>
        </w:rPr>
      </w:pPr>
      <w:r w:rsidRPr="2AA84DBB">
        <w:rPr>
          <w:rFonts w:ascii="Arial" w:eastAsia="Arial" w:hAnsi="Arial" w:cs="Arial"/>
          <w:b/>
          <w:bCs/>
          <w:color w:val="222222"/>
          <w:sz w:val="28"/>
          <w:szCs w:val="28"/>
        </w:rPr>
        <w:t xml:space="preserve">Coaching and Mentoring Strategies for Change Management </w:t>
      </w:r>
    </w:p>
    <w:p w14:paraId="78B9528F" w14:textId="703FDFA7" w:rsidR="746886E6" w:rsidRDefault="746886E6" w:rsidP="2AA84DBB">
      <w:pPr>
        <w:spacing w:before="120" w:after="0"/>
        <w:rPr>
          <w:rFonts w:eastAsiaTheme="minorEastAsia"/>
          <w:color w:val="222222"/>
        </w:rPr>
      </w:pPr>
      <w:r w:rsidRPr="2AA84DBB">
        <w:rPr>
          <w:rFonts w:ascii="Arial" w:eastAsia="Arial" w:hAnsi="Arial" w:cs="Arial"/>
          <w:color w:val="222222"/>
          <w:sz w:val="28"/>
          <w:szCs w:val="28"/>
          <w:u w:val="single"/>
        </w:rPr>
        <w:t xml:space="preserve"> </w:t>
      </w:r>
      <w:r w:rsidRPr="58FB0A6A">
        <w:rPr>
          <w:rFonts w:eastAsiaTheme="minorEastAsia"/>
          <w:color w:val="222222"/>
          <w:u w:val="single"/>
        </w:rPr>
        <w:t>Implementing Effective Communication</w:t>
      </w:r>
      <w:r w:rsidR="5F1476E4" w:rsidRPr="58FB0A6A">
        <w:rPr>
          <w:rFonts w:eastAsiaTheme="minorEastAsia"/>
          <w:color w:val="222222"/>
          <w:u w:val="single"/>
        </w:rPr>
        <w:t xml:space="preserve"> </w:t>
      </w:r>
      <w:r w:rsidR="5F1476E4" w:rsidRPr="58FB0A6A">
        <w:rPr>
          <w:rFonts w:eastAsiaTheme="minorEastAsia"/>
          <w:color w:val="222222"/>
        </w:rPr>
        <w:t>-</w:t>
      </w:r>
      <w:r w:rsidRPr="58FB0A6A">
        <w:rPr>
          <w:rFonts w:eastAsiaTheme="minorEastAsia"/>
          <w:color w:val="222222"/>
        </w:rPr>
        <w:t xml:space="preserve"> Coaches and mentors can facilitate open communication, helping employees understand the reasons behind changes and how they align with organizational goals. </w:t>
      </w:r>
      <w:r w:rsidR="2FC7EB9A" w:rsidRPr="58FB0A6A">
        <w:rPr>
          <w:rFonts w:eastAsiaTheme="minorEastAsia"/>
          <w:color w:val="222222"/>
        </w:rPr>
        <w:t>Gopee’s (2018) insights into mentoring in healthcare provide a unique perspective on coaching and mentoring strategies effective in managing organizational change</w:t>
      </w:r>
      <w:r w:rsidR="1B6AF58E" w:rsidRPr="58FB0A6A">
        <w:rPr>
          <w:rFonts w:eastAsiaTheme="minorEastAsia"/>
          <w:color w:val="222222"/>
        </w:rPr>
        <w:t xml:space="preserve"> </w:t>
      </w:r>
    </w:p>
    <w:p w14:paraId="39C16A39" w14:textId="070F9D94" w:rsidR="746886E6" w:rsidRDefault="746886E6" w:rsidP="2AA84DBB">
      <w:pPr>
        <w:spacing w:before="120" w:after="0"/>
        <w:rPr>
          <w:rFonts w:eastAsiaTheme="minorEastAsia"/>
          <w:color w:val="222222"/>
        </w:rPr>
      </w:pPr>
      <w:r w:rsidRPr="58FB0A6A">
        <w:rPr>
          <w:rFonts w:eastAsiaTheme="minorEastAsia"/>
          <w:color w:val="222222"/>
        </w:rPr>
        <w:t xml:space="preserve"> </w:t>
      </w:r>
      <w:r w:rsidRPr="58FB0A6A">
        <w:rPr>
          <w:rFonts w:eastAsiaTheme="minorEastAsia"/>
          <w:color w:val="222222"/>
          <w:u w:val="single"/>
        </w:rPr>
        <w:t>Empowering Employees</w:t>
      </w:r>
      <w:r w:rsidR="5E28AC76" w:rsidRPr="58FB0A6A">
        <w:rPr>
          <w:rFonts w:eastAsiaTheme="minorEastAsia"/>
          <w:color w:val="222222"/>
          <w:u w:val="single"/>
        </w:rPr>
        <w:t xml:space="preserve"> </w:t>
      </w:r>
      <w:r w:rsidR="5E28AC76" w:rsidRPr="58FB0A6A">
        <w:rPr>
          <w:rFonts w:eastAsiaTheme="minorEastAsia"/>
          <w:color w:val="222222"/>
        </w:rPr>
        <w:t xml:space="preserve">- </w:t>
      </w:r>
      <w:r w:rsidRPr="58FB0A6A">
        <w:rPr>
          <w:rFonts w:eastAsiaTheme="minorEastAsia"/>
          <w:color w:val="222222"/>
        </w:rPr>
        <w:t xml:space="preserve"> By encouraging autonomy and decision-making, coaching and mentoring can empower employees, making them active participants in the change process. </w:t>
      </w:r>
      <w:r w:rsidR="5F676843" w:rsidRPr="58FB0A6A">
        <w:rPr>
          <w:rFonts w:eastAsiaTheme="minorEastAsia"/>
          <w:color w:val="222222"/>
        </w:rPr>
        <w:t>The approach by Baringa Partners (n.d.) on the importance of kindness in management aligns with our strategies for coaching and mentoring during change</w:t>
      </w:r>
    </w:p>
    <w:p w14:paraId="74E5952D" w14:textId="25A20E30" w:rsidR="746886E6" w:rsidRDefault="746886E6" w:rsidP="2AA84DBB">
      <w:pPr>
        <w:spacing w:before="120" w:after="0"/>
        <w:rPr>
          <w:rFonts w:eastAsiaTheme="minorEastAsia"/>
          <w:color w:val="222222"/>
        </w:rPr>
      </w:pPr>
      <w:r w:rsidRPr="58FB0A6A">
        <w:rPr>
          <w:rFonts w:eastAsiaTheme="minorEastAsia"/>
          <w:color w:val="222222"/>
          <w:u w:val="single"/>
        </w:rPr>
        <w:t xml:space="preserve"> Developing Skills for the Future</w:t>
      </w:r>
      <w:r w:rsidR="747A0F16" w:rsidRPr="58FB0A6A">
        <w:rPr>
          <w:rFonts w:eastAsiaTheme="minorEastAsia"/>
          <w:color w:val="222222"/>
          <w:u w:val="single"/>
        </w:rPr>
        <w:t xml:space="preserve"> </w:t>
      </w:r>
      <w:r w:rsidR="747A0F16" w:rsidRPr="58FB0A6A">
        <w:rPr>
          <w:rFonts w:eastAsiaTheme="minorEastAsia"/>
          <w:color w:val="222222"/>
        </w:rPr>
        <w:t>-</w:t>
      </w:r>
      <w:r w:rsidRPr="58FB0A6A">
        <w:rPr>
          <w:rFonts w:eastAsiaTheme="minorEastAsia"/>
          <w:color w:val="222222"/>
        </w:rPr>
        <w:t xml:space="preserve"> Focusing on skill development, especially in areas related to new technologies and adaptability, is essential in preparing employees for future changes. </w:t>
      </w:r>
    </w:p>
    <w:p w14:paraId="1CB1F255" w14:textId="36BD1F65" w:rsidR="746886E6" w:rsidRDefault="746886E6" w:rsidP="2AA84DBB">
      <w:pPr>
        <w:spacing w:before="120" w:after="0"/>
        <w:rPr>
          <w:rFonts w:eastAsiaTheme="minorEastAsia"/>
          <w:color w:val="222222"/>
        </w:rPr>
      </w:pPr>
      <w:r w:rsidRPr="58FB0A6A">
        <w:rPr>
          <w:rFonts w:eastAsiaTheme="minorEastAsia"/>
          <w:color w:val="222222"/>
          <w:u w:val="single"/>
        </w:rPr>
        <w:t xml:space="preserve"> Supporting Emotional Well-being</w:t>
      </w:r>
      <w:r w:rsidR="6D9DD5C1" w:rsidRPr="58FB0A6A">
        <w:rPr>
          <w:rFonts w:eastAsiaTheme="minorEastAsia"/>
          <w:color w:val="222222"/>
          <w:u w:val="single"/>
        </w:rPr>
        <w:t xml:space="preserve"> </w:t>
      </w:r>
      <w:r w:rsidR="6D9DD5C1" w:rsidRPr="58FB0A6A">
        <w:rPr>
          <w:rFonts w:eastAsiaTheme="minorEastAsia"/>
          <w:color w:val="222222"/>
        </w:rPr>
        <w:t>-</w:t>
      </w:r>
      <w:r w:rsidRPr="58FB0A6A">
        <w:rPr>
          <w:rFonts w:eastAsiaTheme="minorEastAsia"/>
          <w:color w:val="222222"/>
        </w:rPr>
        <w:t>Recognizing and addressing the emotional aspects of change is crucial. Coaches and mentors can offer a safe space for employees to express their concerns and fears regarding change.</w:t>
      </w:r>
    </w:p>
    <w:p w14:paraId="0EEE5564" w14:textId="13D8A07B" w:rsidR="2AA84DBB" w:rsidRDefault="2AA84DBB" w:rsidP="2AA84DBB">
      <w:pPr>
        <w:rPr>
          <w:rFonts w:eastAsiaTheme="minorEastAsia"/>
          <w:b/>
        </w:rPr>
      </w:pPr>
    </w:p>
    <w:p w14:paraId="43C9F780" w14:textId="2DB280FE" w:rsidR="2AA84DBB" w:rsidRDefault="2AA84DBB" w:rsidP="2AA84DBB">
      <w:pPr>
        <w:rPr>
          <w:rFonts w:ascii="Calibri" w:eastAsia="Calibri" w:hAnsi="Calibri" w:cs="Calibri"/>
          <w:b/>
          <w:bCs/>
          <w:sz w:val="28"/>
          <w:szCs w:val="28"/>
        </w:rPr>
      </w:pPr>
    </w:p>
    <w:p w14:paraId="16CA20C0" w14:textId="0D28C37B" w:rsidR="58FB0A6A" w:rsidRDefault="58FB0A6A" w:rsidP="58FB0A6A">
      <w:pPr>
        <w:rPr>
          <w:rFonts w:ascii="Calibri" w:eastAsia="Calibri" w:hAnsi="Calibri" w:cs="Calibri"/>
          <w:b/>
          <w:bCs/>
          <w:sz w:val="28"/>
          <w:szCs w:val="28"/>
        </w:rPr>
      </w:pPr>
    </w:p>
    <w:p w14:paraId="670B8610" w14:textId="666006FF" w:rsidR="58FB0A6A" w:rsidRDefault="58FB0A6A" w:rsidP="58FB0A6A">
      <w:pPr>
        <w:rPr>
          <w:rFonts w:ascii="Calibri" w:eastAsia="Calibri" w:hAnsi="Calibri" w:cs="Calibri"/>
          <w:b/>
          <w:bCs/>
          <w:sz w:val="28"/>
          <w:szCs w:val="28"/>
        </w:rPr>
      </w:pPr>
    </w:p>
    <w:p w14:paraId="1AB4772D" w14:textId="65877933" w:rsidR="58FB0A6A" w:rsidRDefault="58FB0A6A" w:rsidP="58FB0A6A">
      <w:pPr>
        <w:rPr>
          <w:rFonts w:ascii="Calibri" w:eastAsia="Calibri" w:hAnsi="Calibri" w:cs="Calibri"/>
          <w:b/>
          <w:bCs/>
          <w:sz w:val="28"/>
          <w:szCs w:val="28"/>
        </w:rPr>
      </w:pPr>
    </w:p>
    <w:p w14:paraId="498C217A" w14:textId="611D73F0" w:rsidR="58FB0A6A" w:rsidRDefault="58FB0A6A" w:rsidP="58FB0A6A">
      <w:pPr>
        <w:rPr>
          <w:rFonts w:ascii="Calibri" w:eastAsia="Calibri" w:hAnsi="Calibri" w:cs="Calibri"/>
          <w:b/>
          <w:bCs/>
          <w:sz w:val="28"/>
          <w:szCs w:val="28"/>
        </w:rPr>
      </w:pPr>
    </w:p>
    <w:p w14:paraId="15403AF2" w14:textId="00780A92" w:rsidR="58FB0A6A" w:rsidRDefault="58FB0A6A" w:rsidP="58FB0A6A">
      <w:pPr>
        <w:rPr>
          <w:rFonts w:ascii="Calibri" w:eastAsia="Calibri" w:hAnsi="Calibri" w:cs="Calibri"/>
          <w:b/>
          <w:bCs/>
          <w:sz w:val="28"/>
          <w:szCs w:val="28"/>
        </w:rPr>
      </w:pPr>
    </w:p>
    <w:p w14:paraId="578A0D93" w14:textId="2F6F1AD8" w:rsidR="58FB0A6A" w:rsidRDefault="58FB0A6A" w:rsidP="58FB0A6A">
      <w:pPr>
        <w:rPr>
          <w:rFonts w:ascii="Calibri" w:eastAsia="Calibri" w:hAnsi="Calibri" w:cs="Calibri"/>
          <w:b/>
          <w:bCs/>
          <w:sz w:val="28"/>
          <w:szCs w:val="28"/>
        </w:rPr>
      </w:pPr>
    </w:p>
    <w:p w14:paraId="18437529" w14:textId="27CA9930" w:rsidR="58FB0A6A" w:rsidRDefault="58FB0A6A" w:rsidP="58FB0A6A">
      <w:pPr>
        <w:rPr>
          <w:rFonts w:ascii="Calibri" w:eastAsia="Calibri" w:hAnsi="Calibri" w:cs="Calibri"/>
          <w:b/>
          <w:bCs/>
          <w:sz w:val="28"/>
          <w:szCs w:val="28"/>
        </w:rPr>
      </w:pPr>
    </w:p>
    <w:p w14:paraId="2F50DC5B" w14:textId="3AC399F8" w:rsidR="58FB0A6A" w:rsidRDefault="58FB0A6A" w:rsidP="58FB0A6A">
      <w:pPr>
        <w:rPr>
          <w:rFonts w:ascii="Calibri" w:eastAsia="Calibri" w:hAnsi="Calibri" w:cs="Calibri"/>
          <w:b/>
          <w:bCs/>
          <w:sz w:val="28"/>
          <w:szCs w:val="28"/>
        </w:rPr>
      </w:pPr>
    </w:p>
    <w:p w14:paraId="1020E5D6" w14:textId="0A344249" w:rsidR="58FB0A6A" w:rsidRDefault="58FB0A6A" w:rsidP="58FB0A6A">
      <w:pPr>
        <w:rPr>
          <w:rFonts w:ascii="Calibri" w:eastAsia="Calibri" w:hAnsi="Calibri" w:cs="Calibri"/>
          <w:b/>
          <w:bCs/>
          <w:sz w:val="28"/>
          <w:szCs w:val="28"/>
        </w:rPr>
      </w:pPr>
    </w:p>
    <w:p w14:paraId="55ECBDA0" w14:textId="53ACADF2" w:rsidR="58FB0A6A" w:rsidRDefault="58FB0A6A" w:rsidP="58FB0A6A">
      <w:pPr>
        <w:rPr>
          <w:rFonts w:ascii="Calibri" w:eastAsia="Calibri" w:hAnsi="Calibri" w:cs="Calibri"/>
          <w:b/>
          <w:bCs/>
          <w:sz w:val="28"/>
          <w:szCs w:val="28"/>
        </w:rPr>
      </w:pPr>
    </w:p>
    <w:p w14:paraId="4AD2700F" w14:textId="69BE8AD8" w:rsidR="58FB0A6A" w:rsidRDefault="58FB0A6A" w:rsidP="58FB0A6A">
      <w:pPr>
        <w:rPr>
          <w:rFonts w:ascii="Calibri" w:eastAsia="Calibri" w:hAnsi="Calibri" w:cs="Calibri"/>
          <w:b/>
          <w:bCs/>
          <w:sz w:val="28"/>
          <w:szCs w:val="28"/>
        </w:rPr>
      </w:pPr>
    </w:p>
    <w:p w14:paraId="24EF4C27" w14:textId="5125D960" w:rsidR="58FB0A6A" w:rsidRDefault="58FB0A6A" w:rsidP="58FB0A6A">
      <w:pPr>
        <w:rPr>
          <w:rFonts w:ascii="Calibri" w:eastAsia="Calibri" w:hAnsi="Calibri" w:cs="Calibri"/>
          <w:b/>
          <w:bCs/>
          <w:sz w:val="28"/>
          <w:szCs w:val="28"/>
        </w:rPr>
      </w:pPr>
    </w:p>
    <w:p w14:paraId="17D823A1" w14:textId="599CBC7A" w:rsidR="2AA84DBB" w:rsidRDefault="2AA84DBB" w:rsidP="2AA84DBB">
      <w:pPr>
        <w:rPr>
          <w:rFonts w:ascii="Calibri" w:eastAsia="Calibri" w:hAnsi="Calibri" w:cs="Calibri"/>
          <w:b/>
          <w:bCs/>
          <w:sz w:val="28"/>
          <w:szCs w:val="28"/>
        </w:rPr>
      </w:pPr>
    </w:p>
    <w:p w14:paraId="35E23657" w14:textId="1D35739C" w:rsidR="1CFBCEBF" w:rsidRDefault="1CFBCEBF" w:rsidP="2AA84DBB">
      <w:pPr>
        <w:rPr>
          <w:rFonts w:ascii="Calibri" w:eastAsia="Calibri" w:hAnsi="Calibri" w:cs="Calibri"/>
          <w:b/>
          <w:bCs/>
          <w:sz w:val="28"/>
          <w:szCs w:val="28"/>
        </w:rPr>
      </w:pPr>
      <w:r w:rsidRPr="2AA84DBB">
        <w:rPr>
          <w:rFonts w:ascii="Calibri" w:eastAsia="Calibri" w:hAnsi="Calibri" w:cs="Calibri"/>
          <w:b/>
          <w:bCs/>
          <w:sz w:val="28"/>
          <w:szCs w:val="28"/>
        </w:rPr>
        <w:t xml:space="preserve">Self-reflection on Peer Coaching Exercise </w:t>
      </w:r>
    </w:p>
    <w:p w14:paraId="61D86949" w14:textId="7E6A36C9" w:rsidR="2AA84DBB" w:rsidRDefault="2AA84DBB" w:rsidP="2AA84DBB">
      <w:pPr>
        <w:rPr>
          <w:rFonts w:ascii="Calibri" w:eastAsia="Calibri" w:hAnsi="Calibri" w:cs="Calibri"/>
          <w:b/>
          <w:bCs/>
          <w:sz w:val="28"/>
          <w:szCs w:val="28"/>
        </w:rPr>
      </w:pPr>
    </w:p>
    <w:p w14:paraId="14C7A50E" w14:textId="112BCE37" w:rsidR="7133823A" w:rsidRDefault="7133823A" w:rsidP="2AA84DBB">
      <w:pPr>
        <w:rPr>
          <w:rFonts w:eastAsiaTheme="minorEastAsia"/>
          <w:color w:val="222222"/>
        </w:rPr>
      </w:pPr>
      <w:r w:rsidRPr="58FB0A6A">
        <w:rPr>
          <w:rFonts w:eastAsiaTheme="minorEastAsia"/>
          <w:color w:val="222222"/>
        </w:rPr>
        <w:t xml:space="preserve">Reflecting on the coaching session I conducted using Landsberg’s Instant Pay-Off Model with Claudia, a nurse experiencing team challenges, I will use Gibbs' Reflective Cycle: </w:t>
      </w:r>
    </w:p>
    <w:p w14:paraId="2EAA9735" w14:textId="3DA1C79F" w:rsidR="7133823A" w:rsidRDefault="7133823A" w:rsidP="2AA84DBB">
      <w:pPr>
        <w:rPr>
          <w:rFonts w:eastAsiaTheme="minorEastAsia"/>
          <w:color w:val="222222"/>
          <w:u w:val="single"/>
        </w:rPr>
      </w:pPr>
      <w:r w:rsidRPr="58FB0A6A">
        <w:rPr>
          <w:rFonts w:eastAsiaTheme="minorEastAsia"/>
          <w:color w:val="222222"/>
          <w:u w:val="single"/>
        </w:rPr>
        <w:t>Description</w:t>
      </w:r>
    </w:p>
    <w:p w14:paraId="2E9FE320" w14:textId="048F7281" w:rsidR="7133823A" w:rsidRDefault="7133823A" w:rsidP="2AA84DBB">
      <w:pPr>
        <w:rPr>
          <w:rFonts w:eastAsiaTheme="minorEastAsia"/>
          <w:color w:val="222222"/>
        </w:rPr>
      </w:pPr>
      <w:r w:rsidRPr="58FB0A6A">
        <w:rPr>
          <w:rFonts w:eastAsiaTheme="minorEastAsia"/>
          <w:color w:val="222222"/>
        </w:rPr>
        <w:t xml:space="preserve"> During our session, Claudia expressed frustration due to growing competitiveness among her team members, which was impacting communication and team dynamics. My role as a coach was to guide her through identifying these issues and devising an action plan. </w:t>
      </w:r>
    </w:p>
    <w:p w14:paraId="7FCBA6FC" w14:textId="6A4DA2BC" w:rsidR="7133823A" w:rsidRDefault="7133823A" w:rsidP="2AA84DBB">
      <w:pPr>
        <w:rPr>
          <w:rFonts w:eastAsiaTheme="minorEastAsia"/>
          <w:color w:val="222222"/>
          <w:u w:val="single"/>
        </w:rPr>
      </w:pPr>
      <w:r w:rsidRPr="58FB0A6A">
        <w:rPr>
          <w:rFonts w:eastAsiaTheme="minorEastAsia"/>
          <w:color w:val="222222"/>
          <w:u w:val="single"/>
        </w:rPr>
        <w:t>Feelings</w:t>
      </w:r>
    </w:p>
    <w:p w14:paraId="0A2D1164" w14:textId="196EFFBB" w:rsidR="7133823A" w:rsidRDefault="7133823A" w:rsidP="2AA84DBB">
      <w:pPr>
        <w:rPr>
          <w:rFonts w:eastAsiaTheme="minorEastAsia"/>
          <w:color w:val="222222"/>
        </w:rPr>
      </w:pPr>
      <w:r w:rsidRPr="58FB0A6A">
        <w:rPr>
          <w:rFonts w:eastAsiaTheme="minorEastAsia"/>
          <w:color w:val="222222"/>
        </w:rPr>
        <w:t xml:space="preserve"> I felt a strong sense of responsibility to help Claudia navigate through her challenges. Her mix of hope and anxiety resonated with me, and I empathized with her situation. I was optimistic about facilitating a constructive dialogue and was pleased with the trust and openness that developed during our session. </w:t>
      </w:r>
    </w:p>
    <w:p w14:paraId="0A166032" w14:textId="49AE7BA3" w:rsidR="7133823A" w:rsidRDefault="7133823A" w:rsidP="2AA84DBB">
      <w:pPr>
        <w:rPr>
          <w:rFonts w:eastAsiaTheme="minorEastAsia"/>
          <w:color w:val="222222"/>
          <w:u w:val="single"/>
        </w:rPr>
      </w:pPr>
      <w:r w:rsidRPr="58FB0A6A">
        <w:rPr>
          <w:rFonts w:eastAsiaTheme="minorEastAsia"/>
          <w:color w:val="222222"/>
          <w:u w:val="single"/>
        </w:rPr>
        <w:t>Evaluation</w:t>
      </w:r>
    </w:p>
    <w:p w14:paraId="23BC9940" w14:textId="0FF5159E" w:rsidR="7133823A" w:rsidRDefault="7133823A" w:rsidP="2AA84DBB">
      <w:pPr>
        <w:rPr>
          <w:rFonts w:eastAsiaTheme="minorEastAsia"/>
          <w:color w:val="222222"/>
        </w:rPr>
      </w:pPr>
      <w:r w:rsidRPr="58FB0A6A">
        <w:rPr>
          <w:rFonts w:eastAsiaTheme="minorEastAsia"/>
          <w:color w:val="222222"/>
        </w:rPr>
        <w:t xml:space="preserve"> The session was productive in uncovering the core issues Claudia was facing. My approach of asking targeted questions helped Claudia articulate her frustrations and envision an ideal team environment. However, I believe we could have delved deeper into the underlying causes of the competitive behavior among her team members. </w:t>
      </w:r>
    </w:p>
    <w:p w14:paraId="008B4FB7" w14:textId="70C5624E" w:rsidR="7133823A" w:rsidRDefault="7133823A" w:rsidP="2AA84DBB">
      <w:pPr>
        <w:rPr>
          <w:rFonts w:eastAsiaTheme="minorEastAsia"/>
          <w:color w:val="222222"/>
          <w:u w:val="single"/>
        </w:rPr>
      </w:pPr>
      <w:r w:rsidRPr="58FB0A6A">
        <w:rPr>
          <w:rFonts w:eastAsiaTheme="minorEastAsia"/>
          <w:color w:val="222222"/>
          <w:u w:val="single"/>
        </w:rPr>
        <w:t>Analysis</w:t>
      </w:r>
    </w:p>
    <w:p w14:paraId="32F9BCA2" w14:textId="61A5422A" w:rsidR="7133823A" w:rsidRDefault="7133823A" w:rsidP="2AA84DBB">
      <w:pPr>
        <w:rPr>
          <w:rFonts w:eastAsiaTheme="minorEastAsia"/>
          <w:color w:val="222222"/>
        </w:rPr>
      </w:pPr>
      <w:r w:rsidRPr="58FB0A6A">
        <w:rPr>
          <w:rFonts w:eastAsiaTheme="minorEastAsia"/>
          <w:color w:val="222222"/>
        </w:rPr>
        <w:t xml:space="preserve"> The session highlighted the need for Claudia to address trust within her team. It became apparent that Claudia's tendency to avoid confrontation was contributing to unresolved issues. My questioning led her to recognize the importance of direct communication and proactive engagement in resolving team conflicts. </w:t>
      </w:r>
    </w:p>
    <w:p w14:paraId="47FAB399" w14:textId="6FE2D2FB" w:rsidR="7133823A" w:rsidRDefault="7133823A" w:rsidP="2AA84DBB">
      <w:pPr>
        <w:rPr>
          <w:rFonts w:eastAsiaTheme="minorEastAsia"/>
          <w:color w:val="222222"/>
          <w:u w:val="single"/>
        </w:rPr>
      </w:pPr>
      <w:r w:rsidRPr="58FB0A6A">
        <w:rPr>
          <w:rFonts w:eastAsiaTheme="minorEastAsia"/>
          <w:color w:val="222222"/>
          <w:u w:val="single"/>
        </w:rPr>
        <w:t>Conclusion</w:t>
      </w:r>
    </w:p>
    <w:p w14:paraId="4088DCD0" w14:textId="5F1145DF" w:rsidR="7133823A" w:rsidRDefault="7133823A" w:rsidP="2AA84DBB">
      <w:pPr>
        <w:rPr>
          <w:rFonts w:eastAsiaTheme="minorEastAsia"/>
          <w:color w:val="222222"/>
        </w:rPr>
      </w:pPr>
      <w:r w:rsidRPr="58FB0A6A">
        <w:rPr>
          <w:rFonts w:eastAsiaTheme="minorEastAsia"/>
          <w:color w:val="222222"/>
        </w:rPr>
        <w:t xml:space="preserve"> We concluded the session with Claudia identifying her next steps, including initiating a conversation with her deputy manager. I reinforced the need for reflection and strategic planning in resolving team issues. In hindsight, setting a more specific timeline for Claudia’s action steps could have added more clarity and urgency to her plan. </w:t>
      </w:r>
    </w:p>
    <w:p w14:paraId="3BCB9B0D" w14:textId="5C493F0E" w:rsidR="58FB0A6A" w:rsidRDefault="58FB0A6A" w:rsidP="58FB0A6A">
      <w:pPr>
        <w:rPr>
          <w:rFonts w:ascii="Arial" w:eastAsia="Arial" w:hAnsi="Arial" w:cs="Arial"/>
          <w:color w:val="222222"/>
          <w:sz w:val="28"/>
          <w:szCs w:val="28"/>
        </w:rPr>
      </w:pPr>
    </w:p>
    <w:p w14:paraId="192CDE78" w14:textId="0606F4FC" w:rsidR="58FB0A6A" w:rsidRDefault="58FB0A6A" w:rsidP="58FB0A6A">
      <w:pPr>
        <w:rPr>
          <w:rFonts w:ascii="Arial" w:eastAsia="Arial" w:hAnsi="Arial" w:cs="Arial"/>
          <w:color w:val="222222"/>
          <w:sz w:val="28"/>
          <w:szCs w:val="28"/>
        </w:rPr>
      </w:pPr>
    </w:p>
    <w:p w14:paraId="46BBC702" w14:textId="0B0BCA3B" w:rsidR="58FB0A6A" w:rsidRDefault="58FB0A6A" w:rsidP="58FB0A6A">
      <w:pPr>
        <w:rPr>
          <w:rFonts w:ascii="Arial" w:eastAsia="Arial" w:hAnsi="Arial" w:cs="Arial"/>
          <w:color w:val="222222"/>
          <w:sz w:val="28"/>
          <w:szCs w:val="28"/>
        </w:rPr>
      </w:pPr>
    </w:p>
    <w:p w14:paraId="3977D425" w14:textId="4A70822E" w:rsidR="58FB0A6A" w:rsidRDefault="58FB0A6A" w:rsidP="58FB0A6A">
      <w:pPr>
        <w:rPr>
          <w:rFonts w:ascii="Arial" w:eastAsia="Arial" w:hAnsi="Arial" w:cs="Arial"/>
          <w:color w:val="222222"/>
          <w:sz w:val="28"/>
          <w:szCs w:val="28"/>
        </w:rPr>
      </w:pPr>
    </w:p>
    <w:p w14:paraId="5A991DF6" w14:textId="6211D17C" w:rsidR="58FB0A6A" w:rsidRDefault="58FB0A6A" w:rsidP="58FB0A6A">
      <w:pPr>
        <w:rPr>
          <w:rFonts w:ascii="Arial" w:eastAsia="Arial" w:hAnsi="Arial" w:cs="Arial"/>
          <w:color w:val="222222"/>
          <w:sz w:val="28"/>
          <w:szCs w:val="28"/>
        </w:rPr>
      </w:pPr>
    </w:p>
    <w:p w14:paraId="1BF9356F" w14:textId="639011E0" w:rsidR="2A9778B6" w:rsidRDefault="2A9778B6" w:rsidP="58FB0A6A">
      <w:pPr>
        <w:rPr>
          <w:rFonts w:ascii="Arial" w:eastAsia="Arial" w:hAnsi="Arial" w:cs="Arial"/>
          <w:color w:val="000000" w:themeColor="text1"/>
        </w:rPr>
      </w:pPr>
      <w:r w:rsidRPr="58FB0A6A">
        <w:rPr>
          <w:rFonts w:ascii="Arial" w:eastAsia="Arial" w:hAnsi="Arial" w:cs="Arial"/>
          <w:color w:val="000000" w:themeColor="text1"/>
        </w:rPr>
        <w:t xml:space="preserve">Personal Development Plan (PDP) </w:t>
      </w:r>
    </w:p>
    <w:p w14:paraId="49D3ABB6" w14:textId="28E2ADAD" w:rsidR="58FB0A6A" w:rsidRDefault="58FB0A6A" w:rsidP="58FB0A6A">
      <w:pPr>
        <w:rPr>
          <w:rFonts w:ascii="Arial" w:eastAsia="Arial" w:hAnsi="Arial" w:cs="Arial"/>
          <w:color w:val="222222"/>
        </w:rPr>
      </w:pPr>
    </w:p>
    <w:p w14:paraId="3ED1A89C" w14:textId="6F6A2CA9" w:rsidR="58FB0A6A" w:rsidRDefault="58FB0A6A" w:rsidP="58FB0A6A">
      <w:pPr>
        <w:rPr>
          <w:rFonts w:ascii="Arial" w:eastAsia="Arial" w:hAnsi="Arial" w:cs="Arial"/>
          <w:color w:val="222222"/>
        </w:rPr>
      </w:pPr>
    </w:p>
    <w:p w14:paraId="3A1B9804" w14:textId="056DD17D" w:rsidR="58FB0A6A" w:rsidRDefault="58FB0A6A" w:rsidP="58FB0A6A">
      <w:pPr>
        <w:rPr>
          <w:rFonts w:ascii="Arial" w:eastAsia="Arial" w:hAnsi="Arial" w:cs="Arial"/>
          <w:color w:val="222222"/>
        </w:rPr>
      </w:pPr>
    </w:p>
    <w:p w14:paraId="29501037" w14:textId="1BD8088F" w:rsidR="58FB0A6A" w:rsidRDefault="58FB0A6A" w:rsidP="58FB0A6A">
      <w:pPr>
        <w:rPr>
          <w:rFonts w:ascii="Arial" w:eastAsia="Arial" w:hAnsi="Arial" w:cs="Arial"/>
          <w:color w:val="222222"/>
        </w:rPr>
      </w:pPr>
    </w:p>
    <w:p w14:paraId="13D74F6E" w14:textId="6EDFBEE0" w:rsidR="58FB0A6A" w:rsidRDefault="58FB0A6A" w:rsidP="58FB0A6A">
      <w:pPr>
        <w:rPr>
          <w:rFonts w:ascii="Arial" w:eastAsia="Arial" w:hAnsi="Arial" w:cs="Arial"/>
          <w:color w:val="222222"/>
        </w:rPr>
      </w:pPr>
    </w:p>
    <w:p w14:paraId="27ACB42A" w14:textId="1A27AB98" w:rsidR="58FB0A6A" w:rsidRDefault="58FB0A6A" w:rsidP="58FB0A6A">
      <w:pPr>
        <w:rPr>
          <w:rFonts w:ascii="Arial" w:eastAsia="Arial" w:hAnsi="Arial" w:cs="Arial"/>
          <w:color w:val="222222"/>
        </w:rPr>
      </w:pPr>
    </w:p>
    <w:p w14:paraId="6F36E4C3" w14:textId="3B293BA2" w:rsidR="58FB0A6A" w:rsidRDefault="58FB0A6A" w:rsidP="58FB0A6A">
      <w:pPr>
        <w:rPr>
          <w:rFonts w:ascii="Arial" w:eastAsia="Arial" w:hAnsi="Arial" w:cs="Arial"/>
          <w:color w:val="222222"/>
        </w:rPr>
      </w:pPr>
    </w:p>
    <w:p w14:paraId="4174F589" w14:textId="4DB79507" w:rsidR="58FB0A6A" w:rsidRDefault="58FB0A6A" w:rsidP="58FB0A6A">
      <w:pPr>
        <w:rPr>
          <w:rFonts w:ascii="Arial" w:eastAsia="Arial" w:hAnsi="Arial" w:cs="Arial"/>
          <w:color w:val="222222"/>
        </w:rPr>
      </w:pPr>
    </w:p>
    <w:p w14:paraId="086521AD" w14:textId="152E9F33" w:rsidR="58FB0A6A" w:rsidRDefault="58FB0A6A" w:rsidP="58FB0A6A">
      <w:pPr>
        <w:rPr>
          <w:rFonts w:ascii="Arial" w:eastAsia="Arial" w:hAnsi="Arial" w:cs="Arial"/>
          <w:color w:val="222222"/>
        </w:rPr>
      </w:pPr>
    </w:p>
    <w:tbl>
      <w:tblPr>
        <w:tblStyle w:val="Tabelgril"/>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800"/>
        <w:gridCol w:w="1800"/>
        <w:gridCol w:w="1800"/>
        <w:gridCol w:w="1800"/>
        <w:gridCol w:w="1800"/>
      </w:tblGrid>
      <w:tr w:rsidR="58FB0A6A" w14:paraId="635D9A40" w14:textId="77777777" w:rsidTr="58FB0A6A">
        <w:trPr>
          <w:trHeight w:val="300"/>
        </w:trPr>
        <w:tc>
          <w:tcPr>
            <w:tcW w:w="1800" w:type="dxa"/>
            <w:tcMar>
              <w:left w:w="105" w:type="dxa"/>
              <w:right w:w="105" w:type="dxa"/>
            </w:tcMar>
          </w:tcPr>
          <w:p w14:paraId="484E2143" w14:textId="4266FC39"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Goal Area </w:t>
            </w:r>
          </w:p>
        </w:tc>
        <w:tc>
          <w:tcPr>
            <w:tcW w:w="1800" w:type="dxa"/>
            <w:tcMar>
              <w:left w:w="105" w:type="dxa"/>
              <w:right w:w="105" w:type="dxa"/>
            </w:tcMar>
          </w:tcPr>
          <w:p w14:paraId="568D3CA7" w14:textId="4C7FCAE1"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Specific Action </w:t>
            </w:r>
          </w:p>
        </w:tc>
        <w:tc>
          <w:tcPr>
            <w:tcW w:w="1800" w:type="dxa"/>
            <w:tcMar>
              <w:left w:w="105" w:type="dxa"/>
              <w:right w:w="105" w:type="dxa"/>
            </w:tcMar>
          </w:tcPr>
          <w:p w14:paraId="6FA36F7F" w14:textId="1D0DE557"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Resources Needed </w:t>
            </w:r>
          </w:p>
        </w:tc>
        <w:tc>
          <w:tcPr>
            <w:tcW w:w="1800" w:type="dxa"/>
            <w:tcMar>
              <w:left w:w="105" w:type="dxa"/>
              <w:right w:w="105" w:type="dxa"/>
            </w:tcMar>
          </w:tcPr>
          <w:p w14:paraId="4BA050F8" w14:textId="6FDD176D"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Timeline</w:t>
            </w:r>
          </w:p>
        </w:tc>
        <w:tc>
          <w:tcPr>
            <w:tcW w:w="1800" w:type="dxa"/>
            <w:tcMar>
              <w:left w:w="105" w:type="dxa"/>
              <w:right w:w="105" w:type="dxa"/>
            </w:tcMar>
          </w:tcPr>
          <w:p w14:paraId="3CCFC927" w14:textId="2AFA4A44"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Succes Indicators </w:t>
            </w:r>
          </w:p>
        </w:tc>
      </w:tr>
      <w:tr w:rsidR="58FB0A6A" w14:paraId="4B32D8FC" w14:textId="77777777" w:rsidTr="58FB0A6A">
        <w:trPr>
          <w:trHeight w:val="300"/>
        </w:trPr>
        <w:tc>
          <w:tcPr>
            <w:tcW w:w="1800" w:type="dxa"/>
            <w:tcMar>
              <w:left w:w="105" w:type="dxa"/>
              <w:right w:w="105" w:type="dxa"/>
            </w:tcMar>
          </w:tcPr>
          <w:p w14:paraId="6FABCDDC" w14:textId="0F6E097F"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In-Depth Inquiry</w:t>
            </w:r>
          </w:p>
        </w:tc>
        <w:tc>
          <w:tcPr>
            <w:tcW w:w="1800" w:type="dxa"/>
            <w:tcMar>
              <w:left w:w="105" w:type="dxa"/>
              <w:right w:w="105" w:type="dxa"/>
            </w:tcMar>
          </w:tcPr>
          <w:p w14:paraId="4E4DFDE6" w14:textId="6E1CE631"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Engage in role-playing exercises that simulate complex coaching scenarios.</w:t>
            </w:r>
            <w:r>
              <w:br/>
            </w:r>
            <w:r w:rsidRPr="58FB0A6A">
              <w:rPr>
                <w:rFonts w:ascii="Arial" w:eastAsia="Arial" w:hAnsi="Arial" w:cs="Arial"/>
                <w:color w:val="222222"/>
              </w:rPr>
              <w:t xml:space="preserve"> Practice asking open-ended questions that encourage deeper reflection.</w:t>
            </w:r>
          </w:p>
        </w:tc>
        <w:tc>
          <w:tcPr>
            <w:tcW w:w="1800" w:type="dxa"/>
            <w:tcMar>
              <w:left w:w="105" w:type="dxa"/>
              <w:right w:w="105" w:type="dxa"/>
            </w:tcMar>
          </w:tcPr>
          <w:p w14:paraId="7B26FDA4" w14:textId="43AABDC3"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Coaching peers for role-play.</w:t>
            </w:r>
            <w:r>
              <w:br/>
            </w:r>
          </w:p>
          <w:p w14:paraId="3A2A8AAA" w14:textId="04EE8563"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List of open-ended, probing questions.</w:t>
            </w:r>
          </w:p>
        </w:tc>
        <w:tc>
          <w:tcPr>
            <w:tcW w:w="1800" w:type="dxa"/>
            <w:tcMar>
              <w:left w:w="105" w:type="dxa"/>
              <w:right w:w="105" w:type="dxa"/>
            </w:tcMar>
          </w:tcPr>
          <w:p w14:paraId="68A25F20" w14:textId="4BE9225D"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3 months </w:t>
            </w:r>
          </w:p>
        </w:tc>
        <w:tc>
          <w:tcPr>
            <w:tcW w:w="1800" w:type="dxa"/>
            <w:tcMar>
              <w:left w:w="105" w:type="dxa"/>
              <w:right w:w="105" w:type="dxa"/>
            </w:tcMar>
          </w:tcPr>
          <w:p w14:paraId="43DC1E57" w14:textId="61B14127"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Ability to identify and explore underlying issues in coaching sessions. </w:t>
            </w:r>
          </w:p>
        </w:tc>
      </w:tr>
      <w:tr w:rsidR="58FB0A6A" w14:paraId="3DD4972B" w14:textId="77777777" w:rsidTr="58FB0A6A">
        <w:trPr>
          <w:trHeight w:val="300"/>
        </w:trPr>
        <w:tc>
          <w:tcPr>
            <w:tcW w:w="1800" w:type="dxa"/>
            <w:tcMar>
              <w:left w:w="105" w:type="dxa"/>
              <w:right w:w="105" w:type="dxa"/>
            </w:tcMar>
          </w:tcPr>
          <w:p w14:paraId="636D5F5B" w14:textId="3BAED490"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Challenging Coaching </w:t>
            </w:r>
          </w:p>
        </w:tc>
        <w:tc>
          <w:tcPr>
            <w:tcW w:w="1800" w:type="dxa"/>
            <w:tcMar>
              <w:left w:w="105" w:type="dxa"/>
              <w:right w:w="105" w:type="dxa"/>
            </w:tcMar>
          </w:tcPr>
          <w:p w14:paraId="431D48D2" w14:textId="0DE47EC0"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 Attend workshops on advanced coaching techniques. Study methods for effectively challenging coachees without causing discomfort or resistance.</w:t>
            </w:r>
          </w:p>
        </w:tc>
        <w:tc>
          <w:tcPr>
            <w:tcW w:w="1800" w:type="dxa"/>
            <w:tcMar>
              <w:left w:w="105" w:type="dxa"/>
              <w:right w:w="105" w:type="dxa"/>
            </w:tcMar>
          </w:tcPr>
          <w:p w14:paraId="17856394" w14:textId="20F57C85"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Access to workshops.</w:t>
            </w:r>
          </w:p>
          <w:p w14:paraId="5115180E" w14:textId="5BEDB60B"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Books and articles on advanced coaching techniques</w:t>
            </w:r>
          </w:p>
        </w:tc>
        <w:tc>
          <w:tcPr>
            <w:tcW w:w="1800" w:type="dxa"/>
            <w:tcMar>
              <w:left w:w="105" w:type="dxa"/>
              <w:right w:w="105" w:type="dxa"/>
            </w:tcMar>
          </w:tcPr>
          <w:p w14:paraId="2765B77B" w14:textId="240924AC"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6 months </w:t>
            </w:r>
          </w:p>
        </w:tc>
        <w:tc>
          <w:tcPr>
            <w:tcW w:w="1800" w:type="dxa"/>
            <w:tcMar>
              <w:left w:w="105" w:type="dxa"/>
              <w:right w:w="105" w:type="dxa"/>
            </w:tcMar>
          </w:tcPr>
          <w:p w14:paraId="6862FDE6" w14:textId="62F90280"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Increased comfort and skill in challenging coachees to step out of their comfort zones</w:t>
            </w:r>
          </w:p>
        </w:tc>
      </w:tr>
      <w:tr w:rsidR="58FB0A6A" w14:paraId="318D508F" w14:textId="77777777" w:rsidTr="58FB0A6A">
        <w:trPr>
          <w:trHeight w:val="300"/>
        </w:trPr>
        <w:tc>
          <w:tcPr>
            <w:tcW w:w="1800" w:type="dxa"/>
            <w:tcMar>
              <w:left w:w="105" w:type="dxa"/>
              <w:right w:w="105" w:type="dxa"/>
            </w:tcMar>
          </w:tcPr>
          <w:p w14:paraId="3DB9EDE0" w14:textId="7CAA578A"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Model Exploration</w:t>
            </w:r>
          </w:p>
        </w:tc>
        <w:tc>
          <w:tcPr>
            <w:tcW w:w="1800" w:type="dxa"/>
            <w:tcMar>
              <w:left w:w="105" w:type="dxa"/>
              <w:right w:w="105" w:type="dxa"/>
            </w:tcMar>
          </w:tcPr>
          <w:p w14:paraId="04EB5519" w14:textId="04384A57"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Research and learn about alternative coaching </w:t>
            </w:r>
            <w:r w:rsidRPr="58FB0A6A">
              <w:rPr>
                <w:rFonts w:ascii="Arial" w:eastAsia="Arial" w:hAnsi="Arial" w:cs="Arial"/>
                <w:color w:val="222222"/>
              </w:rPr>
              <w:lastRenderedPageBreak/>
              <w:t>models like GROW and OSCAR.</w:t>
            </w:r>
            <w:r>
              <w:br/>
            </w:r>
          </w:p>
          <w:p w14:paraId="2B6C4ED8" w14:textId="2251233A"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Apply these models in practice sessions.</w:t>
            </w:r>
          </w:p>
        </w:tc>
        <w:tc>
          <w:tcPr>
            <w:tcW w:w="1800" w:type="dxa"/>
            <w:tcMar>
              <w:left w:w="105" w:type="dxa"/>
              <w:right w:w="105" w:type="dxa"/>
            </w:tcMar>
          </w:tcPr>
          <w:p w14:paraId="132BD5A9" w14:textId="3790BF1D"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lastRenderedPageBreak/>
              <w:t xml:space="preserve">Educational materials on GROW and </w:t>
            </w:r>
            <w:r w:rsidRPr="58FB0A6A">
              <w:rPr>
                <w:rFonts w:ascii="Arial" w:eastAsia="Arial" w:hAnsi="Arial" w:cs="Arial"/>
                <w:color w:val="222222"/>
              </w:rPr>
              <w:lastRenderedPageBreak/>
              <w:t>OSCAR models.</w:t>
            </w:r>
          </w:p>
          <w:p w14:paraId="27093426" w14:textId="5E1D4573" w:rsidR="58FB0A6A" w:rsidRDefault="58FB0A6A" w:rsidP="58FB0A6A">
            <w:pPr>
              <w:spacing w:line="259" w:lineRule="auto"/>
              <w:rPr>
                <w:rFonts w:ascii="Arial" w:eastAsia="Arial" w:hAnsi="Arial" w:cs="Arial"/>
                <w:color w:val="222222"/>
              </w:rPr>
            </w:pPr>
            <w:r>
              <w:br/>
            </w:r>
            <w:r w:rsidRPr="58FB0A6A">
              <w:rPr>
                <w:rFonts w:ascii="Arial" w:eastAsia="Arial" w:hAnsi="Arial" w:cs="Arial"/>
                <w:color w:val="222222"/>
              </w:rPr>
              <w:t>Coaching scenarios for application.,</w:t>
            </w:r>
          </w:p>
        </w:tc>
        <w:tc>
          <w:tcPr>
            <w:tcW w:w="1800" w:type="dxa"/>
            <w:tcMar>
              <w:left w:w="105" w:type="dxa"/>
              <w:right w:w="105" w:type="dxa"/>
            </w:tcMar>
          </w:tcPr>
          <w:p w14:paraId="6FF5E5CF" w14:textId="3C48F274"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lastRenderedPageBreak/>
              <w:t xml:space="preserve">6 months </w:t>
            </w:r>
          </w:p>
        </w:tc>
        <w:tc>
          <w:tcPr>
            <w:tcW w:w="1800" w:type="dxa"/>
            <w:tcMar>
              <w:left w:w="105" w:type="dxa"/>
              <w:right w:w="105" w:type="dxa"/>
            </w:tcMar>
          </w:tcPr>
          <w:p w14:paraId="72024C9B" w14:textId="076E788A"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Ability to effectively use different models based on the </w:t>
            </w:r>
            <w:r w:rsidRPr="58FB0A6A">
              <w:rPr>
                <w:rFonts w:ascii="Arial" w:eastAsia="Arial" w:hAnsi="Arial" w:cs="Arial"/>
                <w:color w:val="222222"/>
              </w:rPr>
              <w:lastRenderedPageBreak/>
              <w:t>coachee’s needs and session goals</w:t>
            </w:r>
          </w:p>
        </w:tc>
      </w:tr>
      <w:tr w:rsidR="58FB0A6A" w14:paraId="29AFEF4C" w14:textId="77777777" w:rsidTr="58FB0A6A">
        <w:trPr>
          <w:trHeight w:val="300"/>
        </w:trPr>
        <w:tc>
          <w:tcPr>
            <w:tcW w:w="1800" w:type="dxa"/>
            <w:tcMar>
              <w:left w:w="105" w:type="dxa"/>
              <w:right w:w="105" w:type="dxa"/>
            </w:tcMar>
          </w:tcPr>
          <w:p w14:paraId="054C8788" w14:textId="12D23BF7"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lastRenderedPageBreak/>
              <w:t>Regular Feedback</w:t>
            </w:r>
          </w:p>
        </w:tc>
        <w:tc>
          <w:tcPr>
            <w:tcW w:w="1800" w:type="dxa"/>
            <w:tcMar>
              <w:left w:w="105" w:type="dxa"/>
              <w:right w:w="105" w:type="dxa"/>
            </w:tcMar>
          </w:tcPr>
          <w:p w14:paraId="29C5E140" w14:textId="2A5B2784"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Seek feedback from peers and mentors after practice sessions. </w:t>
            </w:r>
          </w:p>
          <w:p w14:paraId="2E9C84F8" w14:textId="08DA0A56"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Reflect on feedback to identify areas for improvement.</w:t>
            </w:r>
          </w:p>
        </w:tc>
        <w:tc>
          <w:tcPr>
            <w:tcW w:w="1800" w:type="dxa"/>
            <w:tcMar>
              <w:left w:w="105" w:type="dxa"/>
              <w:right w:w="105" w:type="dxa"/>
            </w:tcMar>
          </w:tcPr>
          <w:p w14:paraId="74E2C511" w14:textId="63A79C8C"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Feedback forms.</w:t>
            </w:r>
            <w:r>
              <w:br/>
            </w:r>
          </w:p>
          <w:p w14:paraId="174C5064" w14:textId="424827E4"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 Mentor or experienced coach for guidance</w:t>
            </w:r>
          </w:p>
        </w:tc>
        <w:tc>
          <w:tcPr>
            <w:tcW w:w="1800" w:type="dxa"/>
            <w:tcMar>
              <w:left w:w="105" w:type="dxa"/>
              <w:right w:w="105" w:type="dxa"/>
            </w:tcMar>
          </w:tcPr>
          <w:p w14:paraId="475ED8CA" w14:textId="773F8D9C"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Ongoing</w:t>
            </w:r>
          </w:p>
        </w:tc>
        <w:tc>
          <w:tcPr>
            <w:tcW w:w="1800" w:type="dxa"/>
            <w:tcMar>
              <w:left w:w="105" w:type="dxa"/>
              <w:right w:w="105" w:type="dxa"/>
            </w:tcMar>
          </w:tcPr>
          <w:p w14:paraId="613D688D" w14:textId="6D0E855C"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Consistent improvement in coaching style as indicated by feedback.</w:t>
            </w:r>
          </w:p>
        </w:tc>
      </w:tr>
      <w:tr w:rsidR="58FB0A6A" w14:paraId="372AD35E" w14:textId="77777777" w:rsidTr="58FB0A6A">
        <w:trPr>
          <w:trHeight w:val="300"/>
        </w:trPr>
        <w:tc>
          <w:tcPr>
            <w:tcW w:w="1800" w:type="dxa"/>
            <w:tcMar>
              <w:left w:w="105" w:type="dxa"/>
              <w:right w:w="105" w:type="dxa"/>
            </w:tcMar>
          </w:tcPr>
          <w:p w14:paraId="7FD76C9E" w14:textId="5AC535FA"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Self-Reflection</w:t>
            </w:r>
          </w:p>
        </w:tc>
        <w:tc>
          <w:tcPr>
            <w:tcW w:w="1800" w:type="dxa"/>
            <w:tcMar>
              <w:left w:w="105" w:type="dxa"/>
              <w:right w:w="105" w:type="dxa"/>
            </w:tcMar>
          </w:tcPr>
          <w:p w14:paraId="720FEA0C" w14:textId="023E8531"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Maintain a reflective journal detailing each coaching session.</w:t>
            </w:r>
            <w:r>
              <w:br/>
            </w:r>
          </w:p>
          <w:p w14:paraId="51504CFF" w14:textId="21EF9220"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Analyze personal performance and areas of growth</w:t>
            </w:r>
          </w:p>
        </w:tc>
        <w:tc>
          <w:tcPr>
            <w:tcW w:w="1800" w:type="dxa"/>
            <w:tcMar>
              <w:left w:w="105" w:type="dxa"/>
              <w:right w:w="105" w:type="dxa"/>
            </w:tcMar>
          </w:tcPr>
          <w:p w14:paraId="4EDE41AF" w14:textId="7710CF8F"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Journal.</w:t>
            </w:r>
          </w:p>
          <w:p w14:paraId="592561B3" w14:textId="48E32F18" w:rsidR="58FB0A6A" w:rsidRDefault="58FB0A6A" w:rsidP="58FB0A6A">
            <w:pPr>
              <w:spacing w:line="259" w:lineRule="auto"/>
              <w:rPr>
                <w:rFonts w:ascii="Arial" w:eastAsia="Arial" w:hAnsi="Arial" w:cs="Arial"/>
                <w:color w:val="222222"/>
              </w:rPr>
            </w:pPr>
          </w:p>
          <w:p w14:paraId="48728977" w14:textId="78CF9357"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 Self-reflection guidelines</w:t>
            </w:r>
          </w:p>
        </w:tc>
        <w:tc>
          <w:tcPr>
            <w:tcW w:w="1800" w:type="dxa"/>
            <w:tcMar>
              <w:left w:w="105" w:type="dxa"/>
              <w:right w:w="105" w:type="dxa"/>
            </w:tcMar>
          </w:tcPr>
          <w:p w14:paraId="7B7CD269" w14:textId="46521335"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Ongoing </w:t>
            </w:r>
          </w:p>
        </w:tc>
        <w:tc>
          <w:tcPr>
            <w:tcW w:w="1800" w:type="dxa"/>
            <w:tcMar>
              <w:left w:w="105" w:type="dxa"/>
              <w:right w:w="105" w:type="dxa"/>
            </w:tcMar>
          </w:tcPr>
          <w:p w14:paraId="106207F0" w14:textId="23DD17A0" w:rsidR="58FB0A6A" w:rsidRDefault="58FB0A6A" w:rsidP="58FB0A6A">
            <w:pPr>
              <w:spacing w:line="259" w:lineRule="auto"/>
              <w:rPr>
                <w:rFonts w:ascii="Arial" w:eastAsia="Arial" w:hAnsi="Arial" w:cs="Arial"/>
                <w:color w:val="222222"/>
              </w:rPr>
            </w:pPr>
            <w:r w:rsidRPr="58FB0A6A">
              <w:rPr>
                <w:rFonts w:ascii="Arial" w:eastAsia="Arial" w:hAnsi="Arial" w:cs="Arial"/>
                <w:color w:val="222222"/>
              </w:rPr>
              <w:t xml:space="preserve">Enhanced self-awareness and identification of personal coaching strengths and weaknesses. </w:t>
            </w:r>
          </w:p>
        </w:tc>
      </w:tr>
    </w:tbl>
    <w:p w14:paraId="20B3BE4E" w14:textId="14F4EEF6" w:rsidR="58FB0A6A" w:rsidRDefault="58FB0A6A" w:rsidP="58FB0A6A">
      <w:pPr>
        <w:rPr>
          <w:rFonts w:ascii="Arial" w:eastAsia="Arial" w:hAnsi="Arial" w:cs="Arial"/>
          <w:color w:val="222222"/>
        </w:rPr>
      </w:pPr>
    </w:p>
    <w:p w14:paraId="29AF505A" w14:textId="3A340CF9" w:rsidR="58FB0A6A" w:rsidRDefault="58FB0A6A" w:rsidP="58FB0A6A">
      <w:pPr>
        <w:rPr>
          <w:rFonts w:ascii="Arial" w:eastAsia="Arial" w:hAnsi="Arial" w:cs="Arial"/>
          <w:color w:val="222222"/>
        </w:rPr>
      </w:pPr>
    </w:p>
    <w:p w14:paraId="78DFD632" w14:textId="59E01713" w:rsidR="2AA84DBB" w:rsidRDefault="2AA84DBB" w:rsidP="2AA84DBB">
      <w:pPr>
        <w:rPr>
          <w:rFonts w:ascii="Arial" w:eastAsia="Arial" w:hAnsi="Arial" w:cs="Arial"/>
          <w:color w:val="222222"/>
          <w:sz w:val="28"/>
          <w:szCs w:val="28"/>
        </w:rPr>
      </w:pPr>
    </w:p>
    <w:p w14:paraId="5016364D" w14:textId="33C737F7" w:rsidR="7133823A" w:rsidRDefault="7133823A" w:rsidP="2AA84DBB">
      <w:pPr>
        <w:rPr>
          <w:rFonts w:ascii="Arial" w:eastAsia="Arial" w:hAnsi="Arial" w:cs="Arial"/>
          <w:b/>
          <w:bCs/>
          <w:color w:val="FF0000"/>
          <w:sz w:val="28"/>
          <w:szCs w:val="28"/>
          <w:u w:val="single"/>
        </w:rPr>
      </w:pPr>
      <w:r w:rsidRPr="2AA84DBB">
        <w:rPr>
          <w:rFonts w:ascii="Arial" w:eastAsia="Arial" w:hAnsi="Arial" w:cs="Arial"/>
          <w:b/>
          <w:bCs/>
          <w:color w:val="FF0000"/>
          <w:sz w:val="28"/>
          <w:szCs w:val="28"/>
          <w:u w:val="single"/>
        </w:rPr>
        <w:t>Action Plan</w:t>
      </w:r>
    </w:p>
    <w:p w14:paraId="00C746D6" w14:textId="33BDDB0A" w:rsidR="7133823A" w:rsidRDefault="7133823A" w:rsidP="2AA84DBB">
      <w:pPr>
        <w:rPr>
          <w:rFonts w:eastAsiaTheme="minorEastAsia"/>
          <w:color w:val="222222"/>
        </w:rPr>
      </w:pPr>
      <w:r w:rsidRPr="58FB0A6A">
        <w:rPr>
          <w:rFonts w:eastAsiaTheme="minorEastAsia"/>
          <w:color w:val="222222"/>
        </w:rPr>
        <w:t xml:space="preserve"> For future sessions, I plan to</w:t>
      </w:r>
      <w:r w:rsidR="73BC45E7" w:rsidRPr="58FB0A6A">
        <w:rPr>
          <w:rFonts w:eastAsiaTheme="minorEastAsia"/>
          <w:color w:val="222222"/>
        </w:rPr>
        <w:t xml:space="preserve"> e</w:t>
      </w:r>
      <w:r w:rsidRPr="58FB0A6A">
        <w:rPr>
          <w:rFonts w:eastAsiaTheme="minorEastAsia"/>
          <w:color w:val="222222"/>
        </w:rPr>
        <w:t xml:space="preserve">ncourage Claudia to set specific, time-bound objectives for tackling interpersonal issues. </w:t>
      </w:r>
    </w:p>
    <w:p w14:paraId="6C376CDD" w14:textId="5DDFE3E9" w:rsidR="7133823A" w:rsidRDefault="7133823A" w:rsidP="2AA84DBB">
      <w:pPr>
        <w:rPr>
          <w:rFonts w:eastAsiaTheme="minorEastAsia"/>
          <w:color w:val="222222"/>
        </w:rPr>
      </w:pPr>
      <w:r w:rsidRPr="58FB0A6A">
        <w:rPr>
          <w:rFonts w:eastAsiaTheme="minorEastAsia"/>
          <w:color w:val="222222"/>
        </w:rPr>
        <w:t xml:space="preserve"> Suggest detailed strategies for enhancing team communication and collaboration. </w:t>
      </w:r>
    </w:p>
    <w:p w14:paraId="5828262C" w14:textId="67218EC3" w:rsidR="7133823A" w:rsidRDefault="7133823A" w:rsidP="2AA84DBB">
      <w:pPr>
        <w:rPr>
          <w:rFonts w:eastAsiaTheme="minorEastAsia"/>
          <w:color w:val="222222"/>
        </w:rPr>
      </w:pPr>
      <w:r w:rsidRPr="58FB0A6A">
        <w:rPr>
          <w:rFonts w:eastAsiaTheme="minorEastAsia"/>
          <w:color w:val="222222"/>
        </w:rPr>
        <w:t>Schedule regular follow-ups to monitor her progress and adjust strategies as necessary. In two weeks, I will review Claudia’s progress.</w:t>
      </w:r>
    </w:p>
    <w:p w14:paraId="210BE862" w14:textId="239A3EAC" w:rsidR="7133823A" w:rsidRDefault="7133823A" w:rsidP="2AA84DBB">
      <w:pPr>
        <w:rPr>
          <w:rFonts w:eastAsiaTheme="minorEastAsia"/>
          <w:color w:val="222222"/>
        </w:rPr>
      </w:pPr>
      <w:r w:rsidRPr="58FB0A6A">
        <w:rPr>
          <w:rFonts w:eastAsiaTheme="minorEastAsia"/>
          <w:color w:val="222222"/>
        </w:rPr>
        <w:t xml:space="preserve"> This will not only help her in her immediate challenges but also contribute to her ongoing development as a resilient and adaptable leader. This reflective practice is crucial for my growth as a coach, as it continually informs and improves my coaching strategies.</w:t>
      </w:r>
    </w:p>
    <w:p w14:paraId="7A4E4DF2" w14:textId="19E1B022" w:rsidR="2AA84DBB" w:rsidRDefault="2AA84DBB" w:rsidP="2AA84DBB">
      <w:pPr>
        <w:rPr>
          <w:rFonts w:ascii="Calibri" w:eastAsia="Calibri" w:hAnsi="Calibri" w:cs="Calibri"/>
          <w:b/>
          <w:bCs/>
          <w:sz w:val="28"/>
          <w:szCs w:val="28"/>
        </w:rPr>
      </w:pPr>
    </w:p>
    <w:p w14:paraId="6887AC9D" w14:textId="6797E94C" w:rsidR="2AA84DBB" w:rsidRDefault="2AA84DBB" w:rsidP="2AA84DBB">
      <w:pPr>
        <w:rPr>
          <w:rFonts w:ascii="Calibri" w:eastAsia="Calibri" w:hAnsi="Calibri" w:cs="Calibri"/>
          <w:b/>
          <w:bCs/>
          <w:sz w:val="28"/>
          <w:szCs w:val="28"/>
        </w:rPr>
      </w:pPr>
    </w:p>
    <w:p w14:paraId="7113137C" w14:textId="596B9439" w:rsidR="0E2973B4" w:rsidRDefault="0E2973B4" w:rsidP="0E2973B4">
      <w:pPr>
        <w:rPr>
          <w:rFonts w:ascii="Calibri" w:eastAsia="Calibri" w:hAnsi="Calibri" w:cs="Calibri"/>
          <w:b/>
          <w:bCs/>
          <w:sz w:val="28"/>
          <w:szCs w:val="28"/>
        </w:rPr>
      </w:pPr>
    </w:p>
    <w:p w14:paraId="18E8F28D" w14:textId="1958559A" w:rsidR="58FB0A6A" w:rsidRDefault="58FB0A6A" w:rsidP="58FB0A6A">
      <w:pPr>
        <w:rPr>
          <w:rFonts w:ascii="Calibri" w:eastAsia="Calibri" w:hAnsi="Calibri" w:cs="Calibri"/>
          <w:b/>
          <w:bCs/>
          <w:sz w:val="28"/>
          <w:szCs w:val="28"/>
        </w:rPr>
      </w:pPr>
    </w:p>
    <w:p w14:paraId="5BD3518A" w14:textId="0DDEBE47" w:rsidR="58FB0A6A" w:rsidRDefault="58FB0A6A" w:rsidP="58FB0A6A">
      <w:pPr>
        <w:rPr>
          <w:rFonts w:ascii="Calibri" w:eastAsia="Calibri" w:hAnsi="Calibri" w:cs="Calibri"/>
          <w:b/>
          <w:bCs/>
          <w:sz w:val="28"/>
          <w:szCs w:val="28"/>
        </w:rPr>
      </w:pPr>
    </w:p>
    <w:p w14:paraId="17FC91B4" w14:textId="721A6C78" w:rsidR="58FB0A6A" w:rsidRDefault="58FB0A6A" w:rsidP="58FB0A6A">
      <w:pPr>
        <w:rPr>
          <w:rFonts w:ascii="Calibri" w:eastAsia="Calibri" w:hAnsi="Calibri" w:cs="Calibri"/>
          <w:b/>
          <w:bCs/>
          <w:sz w:val="28"/>
          <w:szCs w:val="28"/>
        </w:rPr>
      </w:pPr>
    </w:p>
    <w:p w14:paraId="4E8F83EE" w14:textId="14ABCC41" w:rsidR="58FB0A6A" w:rsidRDefault="58FB0A6A" w:rsidP="58FB0A6A">
      <w:pPr>
        <w:rPr>
          <w:rFonts w:ascii="Calibri" w:eastAsia="Calibri" w:hAnsi="Calibri" w:cs="Calibri"/>
          <w:b/>
          <w:bCs/>
          <w:sz w:val="28"/>
          <w:szCs w:val="28"/>
        </w:rPr>
      </w:pPr>
    </w:p>
    <w:p w14:paraId="7C425B0C" w14:textId="58D71CCC" w:rsidR="58FB0A6A" w:rsidRDefault="58FB0A6A" w:rsidP="58FB0A6A">
      <w:pPr>
        <w:rPr>
          <w:rFonts w:ascii="Calibri" w:eastAsia="Calibri" w:hAnsi="Calibri" w:cs="Calibri"/>
          <w:b/>
          <w:bCs/>
          <w:sz w:val="28"/>
          <w:szCs w:val="28"/>
        </w:rPr>
      </w:pPr>
    </w:p>
    <w:p w14:paraId="22082CD4" w14:textId="2AEF3598" w:rsidR="58FB0A6A" w:rsidRDefault="58FB0A6A" w:rsidP="58FB0A6A">
      <w:pPr>
        <w:rPr>
          <w:rFonts w:ascii="Calibri" w:eastAsia="Calibri" w:hAnsi="Calibri" w:cs="Calibri"/>
          <w:b/>
          <w:bCs/>
          <w:sz w:val="28"/>
          <w:szCs w:val="28"/>
        </w:rPr>
      </w:pPr>
    </w:p>
    <w:p w14:paraId="2CCEE3A9" w14:textId="0649E841" w:rsidR="58FB0A6A" w:rsidRDefault="58FB0A6A" w:rsidP="58FB0A6A">
      <w:pPr>
        <w:rPr>
          <w:rFonts w:ascii="Calibri" w:eastAsia="Calibri" w:hAnsi="Calibri" w:cs="Calibri"/>
          <w:b/>
          <w:bCs/>
          <w:sz w:val="28"/>
          <w:szCs w:val="28"/>
        </w:rPr>
      </w:pPr>
    </w:p>
    <w:p w14:paraId="48A62B25" w14:textId="287D24AB" w:rsidR="58FB0A6A" w:rsidRDefault="58FB0A6A" w:rsidP="58FB0A6A">
      <w:pPr>
        <w:rPr>
          <w:rFonts w:ascii="Calibri" w:eastAsia="Calibri" w:hAnsi="Calibri" w:cs="Calibri"/>
          <w:b/>
          <w:bCs/>
          <w:sz w:val="28"/>
          <w:szCs w:val="28"/>
        </w:rPr>
      </w:pPr>
    </w:p>
    <w:p w14:paraId="2BED1748" w14:textId="19977472" w:rsidR="58FB0A6A" w:rsidRDefault="58FB0A6A" w:rsidP="58FB0A6A">
      <w:pPr>
        <w:rPr>
          <w:rFonts w:ascii="Calibri" w:eastAsia="Calibri" w:hAnsi="Calibri" w:cs="Calibri"/>
          <w:b/>
          <w:bCs/>
          <w:sz w:val="28"/>
          <w:szCs w:val="28"/>
        </w:rPr>
      </w:pPr>
    </w:p>
    <w:p w14:paraId="5655C3D3" w14:textId="64D36B8B" w:rsidR="58FB0A6A" w:rsidRDefault="58FB0A6A" w:rsidP="58FB0A6A">
      <w:pPr>
        <w:rPr>
          <w:rFonts w:ascii="Calibri" w:eastAsia="Calibri" w:hAnsi="Calibri" w:cs="Calibri"/>
          <w:b/>
          <w:bCs/>
          <w:sz w:val="28"/>
          <w:szCs w:val="28"/>
        </w:rPr>
      </w:pPr>
    </w:p>
    <w:p w14:paraId="1AB07D8A" w14:textId="1C5131C8" w:rsidR="58FB0A6A" w:rsidRDefault="58FB0A6A" w:rsidP="58FB0A6A">
      <w:pPr>
        <w:rPr>
          <w:rFonts w:ascii="Calibri" w:eastAsia="Calibri" w:hAnsi="Calibri" w:cs="Calibri"/>
          <w:b/>
          <w:bCs/>
          <w:sz w:val="28"/>
          <w:szCs w:val="28"/>
        </w:rPr>
      </w:pPr>
    </w:p>
    <w:p w14:paraId="55F2E73E" w14:textId="0E29C47C" w:rsidR="58FB0A6A" w:rsidRDefault="58FB0A6A" w:rsidP="58FB0A6A">
      <w:pPr>
        <w:rPr>
          <w:rFonts w:ascii="Calibri" w:eastAsia="Calibri" w:hAnsi="Calibri" w:cs="Calibri"/>
          <w:b/>
          <w:bCs/>
          <w:sz w:val="28"/>
          <w:szCs w:val="28"/>
        </w:rPr>
      </w:pPr>
    </w:p>
    <w:p w14:paraId="00269574" w14:textId="5BBD48C9" w:rsidR="58FB0A6A" w:rsidRDefault="58FB0A6A" w:rsidP="58FB0A6A">
      <w:pPr>
        <w:rPr>
          <w:rFonts w:ascii="Calibri" w:eastAsia="Calibri" w:hAnsi="Calibri" w:cs="Calibri"/>
          <w:b/>
          <w:bCs/>
          <w:sz w:val="28"/>
          <w:szCs w:val="28"/>
        </w:rPr>
      </w:pPr>
    </w:p>
    <w:p w14:paraId="51952D74" w14:textId="6BA5CE7B" w:rsidR="58FB0A6A" w:rsidRDefault="58FB0A6A" w:rsidP="58FB0A6A">
      <w:pPr>
        <w:rPr>
          <w:rFonts w:ascii="Calibri" w:eastAsia="Calibri" w:hAnsi="Calibri" w:cs="Calibri"/>
          <w:b/>
          <w:bCs/>
          <w:sz w:val="28"/>
          <w:szCs w:val="28"/>
        </w:rPr>
      </w:pPr>
    </w:p>
    <w:p w14:paraId="4DD648CE" w14:textId="5C6B1A12" w:rsidR="58FB0A6A" w:rsidRDefault="58FB0A6A" w:rsidP="58FB0A6A">
      <w:pPr>
        <w:rPr>
          <w:rFonts w:ascii="Calibri" w:eastAsia="Calibri" w:hAnsi="Calibri" w:cs="Calibri"/>
          <w:b/>
          <w:bCs/>
          <w:sz w:val="28"/>
          <w:szCs w:val="28"/>
        </w:rPr>
      </w:pPr>
    </w:p>
    <w:p w14:paraId="6A191D91" w14:textId="614654C4" w:rsidR="58FB0A6A" w:rsidRDefault="58FB0A6A" w:rsidP="58FB0A6A">
      <w:pPr>
        <w:rPr>
          <w:rFonts w:ascii="Calibri" w:eastAsia="Calibri" w:hAnsi="Calibri" w:cs="Calibri"/>
          <w:b/>
          <w:bCs/>
          <w:sz w:val="28"/>
          <w:szCs w:val="28"/>
        </w:rPr>
      </w:pPr>
    </w:p>
    <w:p w14:paraId="61DA6C6F" w14:textId="0507578C" w:rsidR="58FB0A6A" w:rsidRDefault="58FB0A6A" w:rsidP="58FB0A6A">
      <w:pPr>
        <w:rPr>
          <w:rFonts w:ascii="Calibri" w:eastAsia="Calibri" w:hAnsi="Calibri" w:cs="Calibri"/>
          <w:b/>
          <w:bCs/>
          <w:sz w:val="28"/>
          <w:szCs w:val="28"/>
        </w:rPr>
      </w:pPr>
    </w:p>
    <w:p w14:paraId="188C999B" w14:textId="37624E0A" w:rsidR="58FB0A6A" w:rsidRDefault="58FB0A6A" w:rsidP="58FB0A6A">
      <w:pPr>
        <w:rPr>
          <w:rFonts w:ascii="Calibri" w:eastAsia="Calibri" w:hAnsi="Calibri" w:cs="Calibri"/>
          <w:b/>
          <w:bCs/>
          <w:sz w:val="28"/>
          <w:szCs w:val="28"/>
        </w:rPr>
      </w:pPr>
    </w:p>
    <w:p w14:paraId="64592F66" w14:textId="074119A0" w:rsidR="58FB0A6A" w:rsidRDefault="58FB0A6A" w:rsidP="58FB0A6A">
      <w:pPr>
        <w:rPr>
          <w:rFonts w:ascii="Calibri" w:eastAsia="Calibri" w:hAnsi="Calibri" w:cs="Calibri"/>
          <w:b/>
          <w:bCs/>
          <w:sz w:val="28"/>
          <w:szCs w:val="28"/>
        </w:rPr>
      </w:pPr>
    </w:p>
    <w:p w14:paraId="7DD364C8" w14:textId="00727B2D" w:rsidR="58FB0A6A" w:rsidRDefault="58FB0A6A" w:rsidP="58FB0A6A">
      <w:pPr>
        <w:rPr>
          <w:rFonts w:ascii="Calibri" w:eastAsia="Calibri" w:hAnsi="Calibri" w:cs="Calibri"/>
          <w:b/>
          <w:bCs/>
          <w:sz w:val="28"/>
          <w:szCs w:val="28"/>
        </w:rPr>
      </w:pPr>
    </w:p>
    <w:p w14:paraId="111D443C" w14:textId="679BC990" w:rsidR="58FB0A6A" w:rsidRDefault="58FB0A6A" w:rsidP="58FB0A6A">
      <w:pPr>
        <w:rPr>
          <w:rFonts w:ascii="Calibri" w:eastAsia="Calibri" w:hAnsi="Calibri" w:cs="Calibri"/>
          <w:b/>
          <w:bCs/>
          <w:sz w:val="28"/>
          <w:szCs w:val="28"/>
        </w:rPr>
      </w:pPr>
    </w:p>
    <w:p w14:paraId="7EDA928F" w14:textId="04D27E34" w:rsidR="58FB0A6A" w:rsidRDefault="58FB0A6A" w:rsidP="58FB0A6A">
      <w:pPr>
        <w:rPr>
          <w:rFonts w:ascii="Calibri" w:eastAsia="Calibri" w:hAnsi="Calibri" w:cs="Calibri"/>
          <w:b/>
          <w:bCs/>
          <w:sz w:val="28"/>
          <w:szCs w:val="28"/>
        </w:rPr>
      </w:pPr>
    </w:p>
    <w:p w14:paraId="70B2D781" w14:textId="68B83E69" w:rsidR="31372A89" w:rsidRDefault="31372A89" w:rsidP="0E2973B4">
      <w:pPr>
        <w:rPr>
          <w:rFonts w:ascii="Calibri" w:eastAsia="Calibri" w:hAnsi="Calibri" w:cs="Calibri"/>
          <w:b/>
          <w:bCs/>
          <w:sz w:val="28"/>
          <w:szCs w:val="28"/>
        </w:rPr>
      </w:pPr>
      <w:r w:rsidRPr="0E2973B4">
        <w:rPr>
          <w:rFonts w:ascii="Calibri" w:eastAsia="Calibri" w:hAnsi="Calibri" w:cs="Calibri"/>
          <w:b/>
          <w:bCs/>
          <w:sz w:val="28"/>
          <w:szCs w:val="28"/>
        </w:rPr>
        <w:t>Conclusion</w:t>
      </w:r>
    </w:p>
    <w:p w14:paraId="53776B06" w14:textId="4B14B100" w:rsidR="2AA84DBB" w:rsidRDefault="2AA84DBB" w:rsidP="2AA84DBB">
      <w:pPr>
        <w:rPr>
          <w:rFonts w:ascii="Calibri" w:eastAsia="Calibri" w:hAnsi="Calibri" w:cs="Calibri"/>
          <w:b/>
          <w:bCs/>
          <w:sz w:val="28"/>
          <w:szCs w:val="28"/>
        </w:rPr>
      </w:pPr>
    </w:p>
    <w:p w14:paraId="42534ECB" w14:textId="7C284DAB" w:rsidR="2AA84DBB" w:rsidRDefault="18D8AAF4" w:rsidP="2AA84DBB">
      <w:pPr>
        <w:rPr>
          <w:rFonts w:eastAsiaTheme="minorEastAsia"/>
          <w:color w:val="222222"/>
        </w:rPr>
      </w:pPr>
      <w:r w:rsidRPr="58FB0A6A">
        <w:rPr>
          <w:rFonts w:eastAsiaTheme="minorEastAsia"/>
          <w:color w:val="222222"/>
        </w:rPr>
        <w:t xml:space="preserve">In conclusion this report has intricately explored the distinct yet synergistic roles of coaching and mentoring within organizational frameworks. While </w:t>
      </w:r>
      <w:r w:rsidR="084C64C4" w:rsidRPr="58FB0A6A">
        <w:rPr>
          <w:rFonts w:eastAsiaTheme="minorEastAsia"/>
          <w:color w:val="222222"/>
        </w:rPr>
        <w:t xml:space="preserve">both </w:t>
      </w:r>
      <w:r w:rsidRPr="58FB0A6A">
        <w:rPr>
          <w:rFonts w:eastAsiaTheme="minorEastAsia"/>
          <w:color w:val="222222"/>
        </w:rPr>
        <w:t xml:space="preserve">are pivotal in </w:t>
      </w:r>
      <w:r w:rsidR="084C64C4" w:rsidRPr="58FB0A6A">
        <w:rPr>
          <w:rFonts w:eastAsiaTheme="minorEastAsia"/>
          <w:color w:val="222222"/>
        </w:rPr>
        <w:t xml:space="preserve">personal and professional </w:t>
      </w:r>
      <w:r w:rsidRPr="58FB0A6A">
        <w:rPr>
          <w:rFonts w:eastAsiaTheme="minorEastAsia"/>
          <w:color w:val="222222"/>
        </w:rPr>
        <w:lastRenderedPageBreak/>
        <w:t xml:space="preserve">growth, they </w:t>
      </w:r>
      <w:r w:rsidR="084C64C4" w:rsidRPr="58FB0A6A">
        <w:rPr>
          <w:rFonts w:eastAsiaTheme="minorEastAsia"/>
          <w:color w:val="222222"/>
        </w:rPr>
        <w:t xml:space="preserve">differ in </w:t>
      </w:r>
      <w:r w:rsidRPr="58FB0A6A">
        <w:rPr>
          <w:rFonts w:eastAsiaTheme="minorEastAsia"/>
          <w:color w:val="222222"/>
        </w:rPr>
        <w:t>their approach</w:t>
      </w:r>
      <w:r w:rsidR="084C64C4" w:rsidRPr="58FB0A6A">
        <w:rPr>
          <w:rFonts w:eastAsiaTheme="minorEastAsia"/>
          <w:color w:val="222222"/>
        </w:rPr>
        <w:t xml:space="preserve">, focus, and </w:t>
      </w:r>
      <w:r w:rsidRPr="58FB0A6A">
        <w:rPr>
          <w:rFonts w:eastAsiaTheme="minorEastAsia"/>
          <w:color w:val="222222"/>
        </w:rPr>
        <w:t>execution.</w:t>
      </w:r>
      <w:r w:rsidR="084C64C4" w:rsidRPr="58FB0A6A">
        <w:rPr>
          <w:rFonts w:eastAsiaTheme="minorEastAsia"/>
          <w:color w:val="222222"/>
        </w:rPr>
        <w:t xml:space="preserve"> The </w:t>
      </w:r>
      <w:r w:rsidRPr="58FB0A6A">
        <w:rPr>
          <w:rFonts w:eastAsiaTheme="minorEastAsia"/>
          <w:color w:val="222222"/>
        </w:rPr>
        <w:t xml:space="preserve">incorporation </w:t>
      </w:r>
      <w:r w:rsidR="084C64C4" w:rsidRPr="58FB0A6A">
        <w:rPr>
          <w:rFonts w:eastAsiaTheme="minorEastAsia"/>
          <w:color w:val="222222"/>
        </w:rPr>
        <w:t xml:space="preserve">of Clutterbuck’s Four Styles of Helping </w:t>
      </w:r>
      <w:r w:rsidRPr="58FB0A6A">
        <w:rPr>
          <w:rFonts w:eastAsiaTheme="minorEastAsia"/>
          <w:color w:val="222222"/>
        </w:rPr>
        <w:t xml:space="preserve">shed light on </w:t>
      </w:r>
      <w:r w:rsidR="084C64C4" w:rsidRPr="58FB0A6A">
        <w:rPr>
          <w:rFonts w:eastAsiaTheme="minorEastAsia"/>
          <w:color w:val="222222"/>
        </w:rPr>
        <w:t xml:space="preserve">their practical </w:t>
      </w:r>
      <w:r w:rsidRPr="58FB0A6A">
        <w:rPr>
          <w:rFonts w:eastAsiaTheme="minorEastAsia"/>
          <w:color w:val="222222"/>
        </w:rPr>
        <w:t>implications. A key finding is</w:t>
      </w:r>
      <w:r w:rsidR="084C64C4" w:rsidRPr="58FB0A6A">
        <w:rPr>
          <w:rFonts w:eastAsiaTheme="minorEastAsia"/>
          <w:color w:val="222222"/>
        </w:rPr>
        <w:t xml:space="preserve"> the </w:t>
      </w:r>
      <w:r w:rsidRPr="58FB0A6A">
        <w:rPr>
          <w:rFonts w:eastAsiaTheme="minorEastAsia"/>
          <w:color w:val="222222"/>
        </w:rPr>
        <w:t>multifaceted</w:t>
      </w:r>
      <w:r w:rsidR="084C64C4" w:rsidRPr="58FB0A6A">
        <w:rPr>
          <w:rFonts w:eastAsiaTheme="minorEastAsia"/>
          <w:color w:val="222222"/>
        </w:rPr>
        <w:t xml:space="preserve"> role of line managers as coaches and mentors</w:t>
      </w:r>
      <w:r w:rsidRPr="58FB0A6A">
        <w:rPr>
          <w:rFonts w:eastAsiaTheme="minorEastAsia"/>
          <w:color w:val="222222"/>
        </w:rPr>
        <w:t>, highlighting their influence on</w:t>
      </w:r>
      <w:r w:rsidR="084C64C4" w:rsidRPr="58FB0A6A">
        <w:rPr>
          <w:rFonts w:eastAsiaTheme="minorEastAsia"/>
          <w:color w:val="222222"/>
        </w:rPr>
        <w:t xml:space="preserve"> team dynamics and individual </w:t>
      </w:r>
      <w:r w:rsidRPr="58FB0A6A">
        <w:rPr>
          <w:rFonts w:eastAsiaTheme="minorEastAsia"/>
          <w:color w:val="222222"/>
        </w:rPr>
        <w:t xml:space="preserve">development, alongside the </w:t>
      </w:r>
      <w:r w:rsidR="084C64C4" w:rsidRPr="58FB0A6A">
        <w:rPr>
          <w:rFonts w:eastAsiaTheme="minorEastAsia"/>
          <w:color w:val="222222"/>
        </w:rPr>
        <w:t xml:space="preserve">challenges </w:t>
      </w:r>
      <w:r w:rsidRPr="58FB0A6A">
        <w:rPr>
          <w:rFonts w:eastAsiaTheme="minorEastAsia"/>
          <w:color w:val="222222"/>
        </w:rPr>
        <w:t xml:space="preserve">they face </w:t>
      </w:r>
      <w:r w:rsidR="084C64C4" w:rsidRPr="58FB0A6A">
        <w:rPr>
          <w:rFonts w:eastAsiaTheme="minorEastAsia"/>
          <w:color w:val="222222"/>
        </w:rPr>
        <w:t xml:space="preserve">in </w:t>
      </w:r>
      <w:r w:rsidRPr="58FB0A6A">
        <w:rPr>
          <w:rFonts w:eastAsiaTheme="minorEastAsia"/>
          <w:color w:val="222222"/>
        </w:rPr>
        <w:t>juggling</w:t>
      </w:r>
      <w:r w:rsidR="084C64C4" w:rsidRPr="58FB0A6A">
        <w:rPr>
          <w:rFonts w:eastAsiaTheme="minorEastAsia"/>
          <w:color w:val="222222"/>
        </w:rPr>
        <w:t xml:space="preserve"> managerial and nurturing </w:t>
      </w:r>
      <w:r w:rsidRPr="58FB0A6A">
        <w:rPr>
          <w:rFonts w:eastAsiaTheme="minorEastAsia"/>
          <w:color w:val="222222"/>
        </w:rPr>
        <w:t xml:space="preserve">responsibilities. </w:t>
      </w:r>
      <w:r w:rsidR="084C64C4" w:rsidRPr="58FB0A6A">
        <w:rPr>
          <w:rFonts w:eastAsiaTheme="minorEastAsia"/>
          <w:color w:val="222222"/>
        </w:rPr>
        <w:t xml:space="preserve">This underscores the </w:t>
      </w:r>
      <w:r w:rsidRPr="58FB0A6A">
        <w:rPr>
          <w:rFonts w:eastAsiaTheme="minorEastAsia"/>
          <w:color w:val="222222"/>
        </w:rPr>
        <w:t xml:space="preserve">necessity </w:t>
      </w:r>
      <w:r w:rsidR="084C64C4" w:rsidRPr="58FB0A6A">
        <w:rPr>
          <w:rFonts w:eastAsiaTheme="minorEastAsia"/>
          <w:color w:val="222222"/>
        </w:rPr>
        <w:t xml:space="preserve">for </w:t>
      </w:r>
      <w:r w:rsidRPr="58FB0A6A">
        <w:rPr>
          <w:rFonts w:eastAsiaTheme="minorEastAsia"/>
          <w:color w:val="222222"/>
        </w:rPr>
        <w:t>targeted</w:t>
      </w:r>
      <w:r w:rsidR="084C64C4" w:rsidRPr="58FB0A6A">
        <w:rPr>
          <w:rFonts w:eastAsiaTheme="minorEastAsia"/>
          <w:color w:val="222222"/>
        </w:rPr>
        <w:t xml:space="preserve"> training for line managers to </w:t>
      </w:r>
      <w:r w:rsidRPr="58FB0A6A">
        <w:rPr>
          <w:rFonts w:eastAsiaTheme="minorEastAsia"/>
          <w:color w:val="222222"/>
        </w:rPr>
        <w:t>adeptly assume</w:t>
      </w:r>
      <w:r w:rsidR="084C64C4" w:rsidRPr="58FB0A6A">
        <w:rPr>
          <w:rFonts w:eastAsiaTheme="minorEastAsia"/>
          <w:color w:val="222222"/>
        </w:rPr>
        <w:t xml:space="preserve"> these </w:t>
      </w:r>
      <w:r w:rsidRPr="58FB0A6A">
        <w:rPr>
          <w:rFonts w:eastAsiaTheme="minorEastAsia"/>
          <w:color w:val="222222"/>
        </w:rPr>
        <w:t xml:space="preserve">dual roles. The report also emphasized the critical role of </w:t>
      </w:r>
      <w:r w:rsidR="084C64C4" w:rsidRPr="58FB0A6A">
        <w:rPr>
          <w:rFonts w:eastAsiaTheme="minorEastAsia"/>
          <w:color w:val="222222"/>
        </w:rPr>
        <w:t xml:space="preserve">coaching and mentoring in </w:t>
      </w:r>
      <w:r w:rsidRPr="58FB0A6A">
        <w:rPr>
          <w:rFonts w:eastAsiaTheme="minorEastAsia"/>
          <w:color w:val="222222"/>
        </w:rPr>
        <w:t xml:space="preserve">fostering </w:t>
      </w:r>
      <w:r w:rsidR="084C64C4" w:rsidRPr="58FB0A6A">
        <w:rPr>
          <w:rFonts w:eastAsiaTheme="minorEastAsia"/>
          <w:color w:val="222222"/>
        </w:rPr>
        <w:t>resilience and managing change</w:t>
      </w:r>
      <w:r w:rsidRPr="58FB0A6A">
        <w:rPr>
          <w:rFonts w:eastAsiaTheme="minorEastAsia"/>
          <w:color w:val="222222"/>
        </w:rPr>
        <w:t>, especially in today’s fast-paced</w:t>
      </w:r>
      <w:r w:rsidR="084C64C4" w:rsidRPr="58FB0A6A">
        <w:rPr>
          <w:rFonts w:eastAsiaTheme="minorEastAsia"/>
          <w:color w:val="222222"/>
        </w:rPr>
        <w:t xml:space="preserve"> business environment</w:t>
      </w:r>
      <w:r w:rsidRPr="58FB0A6A">
        <w:rPr>
          <w:rFonts w:eastAsiaTheme="minorEastAsia"/>
          <w:color w:val="222222"/>
        </w:rPr>
        <w:t>. These practices are essential in equipping employees for both immediate challenges and long-term career progression. Personal</w:t>
      </w:r>
      <w:r w:rsidR="084C64C4" w:rsidRPr="58FB0A6A">
        <w:rPr>
          <w:rFonts w:eastAsiaTheme="minorEastAsia"/>
          <w:color w:val="222222"/>
        </w:rPr>
        <w:t xml:space="preserve"> coaching experiences</w:t>
      </w:r>
      <w:r w:rsidRPr="58FB0A6A">
        <w:rPr>
          <w:rFonts w:eastAsiaTheme="minorEastAsia"/>
          <w:color w:val="222222"/>
        </w:rPr>
        <w:t xml:space="preserve"> reinforced the importance of </w:t>
      </w:r>
      <w:r w:rsidR="084C64C4" w:rsidRPr="58FB0A6A">
        <w:rPr>
          <w:rFonts w:eastAsiaTheme="minorEastAsia"/>
          <w:color w:val="222222"/>
        </w:rPr>
        <w:t xml:space="preserve">empathy, active listening, and strategic questioning in </w:t>
      </w:r>
      <w:r w:rsidRPr="58FB0A6A">
        <w:rPr>
          <w:rFonts w:eastAsiaTheme="minorEastAsia"/>
          <w:color w:val="222222"/>
        </w:rPr>
        <w:t xml:space="preserve">effective </w:t>
      </w:r>
      <w:r w:rsidR="084C64C4" w:rsidRPr="58FB0A6A">
        <w:rPr>
          <w:rFonts w:eastAsiaTheme="minorEastAsia"/>
          <w:color w:val="222222"/>
        </w:rPr>
        <w:t xml:space="preserve">coaching. This reflection </w:t>
      </w:r>
      <w:r w:rsidRPr="58FB0A6A">
        <w:rPr>
          <w:rFonts w:eastAsiaTheme="minorEastAsia"/>
          <w:color w:val="222222"/>
        </w:rPr>
        <w:t>further suggests an ongoing</w:t>
      </w:r>
      <w:r w:rsidR="084C64C4" w:rsidRPr="58FB0A6A">
        <w:rPr>
          <w:rFonts w:eastAsiaTheme="minorEastAsia"/>
          <w:color w:val="222222"/>
        </w:rPr>
        <w:t xml:space="preserve"> need for </w:t>
      </w:r>
      <w:r w:rsidRPr="58FB0A6A">
        <w:rPr>
          <w:rFonts w:eastAsiaTheme="minorEastAsia"/>
          <w:color w:val="222222"/>
        </w:rPr>
        <w:t>coaches to evolve and adapt.</w:t>
      </w:r>
      <w:r w:rsidR="084C64C4" w:rsidRPr="58FB0A6A">
        <w:rPr>
          <w:rFonts w:eastAsiaTheme="minorEastAsia"/>
          <w:color w:val="222222"/>
        </w:rPr>
        <w:t xml:space="preserve"> In conclusion, coaching and mentoring </w:t>
      </w:r>
      <w:r w:rsidRPr="58FB0A6A">
        <w:rPr>
          <w:rFonts w:eastAsiaTheme="minorEastAsia"/>
          <w:color w:val="222222"/>
        </w:rPr>
        <w:t>emerge as essential elements in cultivating</w:t>
      </w:r>
      <w:r w:rsidR="084C64C4" w:rsidRPr="58FB0A6A">
        <w:rPr>
          <w:rFonts w:eastAsiaTheme="minorEastAsia"/>
          <w:color w:val="222222"/>
        </w:rPr>
        <w:t xml:space="preserve"> a </w:t>
      </w:r>
      <w:r w:rsidRPr="58FB0A6A">
        <w:rPr>
          <w:rFonts w:eastAsiaTheme="minorEastAsia"/>
          <w:color w:val="222222"/>
        </w:rPr>
        <w:t>constructive</w:t>
      </w:r>
      <w:r w:rsidR="084C64C4" w:rsidRPr="58FB0A6A">
        <w:rPr>
          <w:rFonts w:eastAsiaTheme="minorEastAsia"/>
          <w:color w:val="222222"/>
        </w:rPr>
        <w:t xml:space="preserve"> work </w:t>
      </w:r>
      <w:r w:rsidRPr="58FB0A6A">
        <w:rPr>
          <w:rFonts w:eastAsiaTheme="minorEastAsia"/>
          <w:color w:val="222222"/>
        </w:rPr>
        <w:t>environment, boosting</w:t>
      </w:r>
      <w:r w:rsidR="084C64C4" w:rsidRPr="58FB0A6A">
        <w:rPr>
          <w:rFonts w:eastAsiaTheme="minorEastAsia"/>
          <w:color w:val="222222"/>
        </w:rPr>
        <w:t xml:space="preserve"> employee performance, and ensuring organizational resilience. </w:t>
      </w:r>
      <w:r w:rsidRPr="58FB0A6A">
        <w:rPr>
          <w:rFonts w:eastAsiaTheme="minorEastAsia"/>
          <w:color w:val="222222"/>
        </w:rPr>
        <w:t>Their strategic integration</w:t>
      </w:r>
      <w:r w:rsidR="084C64C4" w:rsidRPr="58FB0A6A">
        <w:rPr>
          <w:rFonts w:eastAsiaTheme="minorEastAsia"/>
          <w:color w:val="222222"/>
        </w:rPr>
        <w:t xml:space="preserve"> into organizational development </w:t>
      </w:r>
      <w:r w:rsidRPr="58FB0A6A">
        <w:rPr>
          <w:rFonts w:eastAsiaTheme="minorEastAsia"/>
          <w:color w:val="222222"/>
        </w:rPr>
        <w:t>initiatives is crucial for maximizing</w:t>
      </w:r>
      <w:r w:rsidR="084C64C4" w:rsidRPr="58FB0A6A">
        <w:rPr>
          <w:rFonts w:eastAsiaTheme="minorEastAsia"/>
          <w:color w:val="222222"/>
        </w:rPr>
        <w:t xml:space="preserve"> their </w:t>
      </w:r>
      <w:r w:rsidRPr="58FB0A6A">
        <w:rPr>
          <w:rFonts w:eastAsiaTheme="minorEastAsia"/>
          <w:color w:val="222222"/>
        </w:rPr>
        <w:t>benefits</w:t>
      </w:r>
      <w:r w:rsidR="084C64C4" w:rsidRPr="58FB0A6A">
        <w:rPr>
          <w:rFonts w:eastAsiaTheme="minorEastAsia"/>
          <w:color w:val="222222"/>
        </w:rPr>
        <w:t xml:space="preserve"> in enhancing individual </w:t>
      </w:r>
      <w:r w:rsidRPr="58FB0A6A">
        <w:rPr>
          <w:rFonts w:eastAsiaTheme="minorEastAsia"/>
          <w:color w:val="222222"/>
        </w:rPr>
        <w:t>skills</w:t>
      </w:r>
      <w:r w:rsidR="084C64C4" w:rsidRPr="58FB0A6A">
        <w:rPr>
          <w:rFonts w:eastAsiaTheme="minorEastAsia"/>
          <w:color w:val="222222"/>
        </w:rPr>
        <w:t xml:space="preserve"> and </w:t>
      </w:r>
      <w:r w:rsidRPr="58FB0A6A">
        <w:rPr>
          <w:rFonts w:eastAsiaTheme="minorEastAsia"/>
          <w:color w:val="222222"/>
        </w:rPr>
        <w:t>meeting broader</w:t>
      </w:r>
      <w:r w:rsidR="084C64C4" w:rsidRPr="58FB0A6A">
        <w:rPr>
          <w:rFonts w:eastAsiaTheme="minorEastAsia"/>
          <w:color w:val="222222"/>
        </w:rPr>
        <w:t xml:space="preserve"> organizational </w:t>
      </w:r>
      <w:r w:rsidRPr="58FB0A6A">
        <w:rPr>
          <w:rFonts w:eastAsiaTheme="minorEastAsia"/>
          <w:color w:val="222222"/>
        </w:rPr>
        <w:t>goals.</w:t>
      </w:r>
    </w:p>
    <w:p w14:paraId="406E3A66" w14:textId="5DD7B6CF" w:rsidR="2AA84DBB" w:rsidRDefault="2AA84DBB" w:rsidP="2AA84DBB">
      <w:pPr>
        <w:rPr>
          <w:rFonts w:ascii="Calibri" w:eastAsia="Calibri" w:hAnsi="Calibri" w:cs="Calibri"/>
          <w:b/>
          <w:bCs/>
          <w:sz w:val="28"/>
          <w:szCs w:val="28"/>
        </w:rPr>
      </w:pPr>
    </w:p>
    <w:p w14:paraId="69962B10" w14:textId="56A10A2B" w:rsidR="2AA84DBB" w:rsidRDefault="2AA84DBB" w:rsidP="2AA84DBB">
      <w:pPr>
        <w:rPr>
          <w:rFonts w:ascii="Calibri" w:eastAsia="Calibri" w:hAnsi="Calibri" w:cs="Calibri"/>
          <w:b/>
          <w:bCs/>
          <w:sz w:val="28"/>
          <w:szCs w:val="28"/>
        </w:rPr>
      </w:pPr>
    </w:p>
    <w:p w14:paraId="3D088AB4" w14:textId="168FAB1F" w:rsidR="2AA84DBB" w:rsidRDefault="2AA84DBB" w:rsidP="2AA84DBB">
      <w:pPr>
        <w:rPr>
          <w:rFonts w:ascii="Calibri" w:eastAsia="Calibri" w:hAnsi="Calibri" w:cs="Calibri"/>
          <w:b/>
          <w:bCs/>
          <w:sz w:val="28"/>
          <w:szCs w:val="28"/>
        </w:rPr>
      </w:pPr>
    </w:p>
    <w:p w14:paraId="435C62F0" w14:textId="23732165" w:rsidR="2AA84DBB" w:rsidRDefault="2AA84DBB" w:rsidP="2AA84DBB">
      <w:pPr>
        <w:rPr>
          <w:rFonts w:ascii="Calibri" w:eastAsia="Calibri" w:hAnsi="Calibri" w:cs="Calibri"/>
          <w:b/>
          <w:bCs/>
          <w:sz w:val="28"/>
          <w:szCs w:val="28"/>
        </w:rPr>
      </w:pPr>
    </w:p>
    <w:p w14:paraId="46F97F92" w14:textId="35E40DED" w:rsidR="2AA84DBB" w:rsidRDefault="2AA84DBB" w:rsidP="2AA84DBB">
      <w:pPr>
        <w:rPr>
          <w:rFonts w:ascii="Calibri" w:eastAsia="Calibri" w:hAnsi="Calibri" w:cs="Calibri"/>
          <w:b/>
          <w:bCs/>
          <w:sz w:val="28"/>
          <w:szCs w:val="28"/>
        </w:rPr>
      </w:pPr>
    </w:p>
    <w:p w14:paraId="73F04497" w14:textId="5730967A" w:rsidR="2AA84DBB" w:rsidRDefault="2AA84DBB" w:rsidP="2AA84DBB">
      <w:pPr>
        <w:rPr>
          <w:rFonts w:ascii="Calibri" w:eastAsia="Calibri" w:hAnsi="Calibri" w:cs="Calibri"/>
          <w:b/>
          <w:bCs/>
          <w:sz w:val="28"/>
          <w:szCs w:val="28"/>
        </w:rPr>
      </w:pPr>
    </w:p>
    <w:p w14:paraId="1DAB9BED" w14:textId="5DF12CC4" w:rsidR="2AA84DBB" w:rsidRDefault="2AA84DBB" w:rsidP="2AA84DBB">
      <w:pPr>
        <w:rPr>
          <w:rFonts w:ascii="Calibri" w:eastAsia="Calibri" w:hAnsi="Calibri" w:cs="Calibri"/>
          <w:b/>
          <w:bCs/>
          <w:sz w:val="28"/>
          <w:szCs w:val="28"/>
        </w:rPr>
      </w:pPr>
    </w:p>
    <w:p w14:paraId="54E1807B" w14:textId="4FA2D6C7" w:rsidR="2AA84DBB" w:rsidRDefault="2AA84DBB" w:rsidP="2AA84DBB">
      <w:pPr>
        <w:rPr>
          <w:rFonts w:ascii="Calibri" w:eastAsia="Calibri" w:hAnsi="Calibri" w:cs="Calibri"/>
          <w:b/>
          <w:bCs/>
          <w:sz w:val="28"/>
          <w:szCs w:val="28"/>
        </w:rPr>
      </w:pPr>
    </w:p>
    <w:p w14:paraId="2498F393" w14:textId="6AE3E6FD" w:rsidR="2AA84DBB" w:rsidRDefault="2AA84DBB" w:rsidP="2AA84DBB">
      <w:pPr>
        <w:rPr>
          <w:rFonts w:ascii="Calibri" w:eastAsia="Calibri" w:hAnsi="Calibri" w:cs="Calibri"/>
          <w:b/>
          <w:bCs/>
          <w:sz w:val="28"/>
          <w:szCs w:val="28"/>
        </w:rPr>
      </w:pPr>
    </w:p>
    <w:p w14:paraId="527E2C1B" w14:textId="6EDF9C64" w:rsidR="2AA84DBB" w:rsidRDefault="2AA84DBB" w:rsidP="2AA84DBB">
      <w:pPr>
        <w:rPr>
          <w:rFonts w:ascii="Calibri" w:eastAsia="Calibri" w:hAnsi="Calibri" w:cs="Calibri"/>
          <w:b/>
          <w:bCs/>
          <w:sz w:val="28"/>
          <w:szCs w:val="28"/>
        </w:rPr>
      </w:pPr>
    </w:p>
    <w:p w14:paraId="027FB8BB" w14:textId="08A32354" w:rsidR="2AA84DBB" w:rsidRDefault="2AA84DBB" w:rsidP="2AA84DBB">
      <w:pPr>
        <w:rPr>
          <w:rFonts w:ascii="Calibri" w:eastAsia="Calibri" w:hAnsi="Calibri" w:cs="Calibri"/>
          <w:b/>
          <w:bCs/>
          <w:sz w:val="28"/>
          <w:szCs w:val="28"/>
        </w:rPr>
      </w:pPr>
    </w:p>
    <w:p w14:paraId="221DFC48" w14:textId="5C7FDEFF" w:rsidR="2AA84DBB" w:rsidRDefault="2AA84DBB" w:rsidP="2AA84DBB">
      <w:pPr>
        <w:rPr>
          <w:rFonts w:ascii="Calibri" w:eastAsia="Calibri" w:hAnsi="Calibri" w:cs="Calibri"/>
          <w:b/>
          <w:bCs/>
          <w:sz w:val="28"/>
          <w:szCs w:val="28"/>
        </w:rPr>
      </w:pPr>
    </w:p>
    <w:p w14:paraId="6D13BB57" w14:textId="5E7FF1B0" w:rsidR="2AA84DBB" w:rsidRDefault="2AA84DBB" w:rsidP="2AA84DBB">
      <w:pPr>
        <w:rPr>
          <w:rFonts w:ascii="Calibri" w:eastAsia="Calibri" w:hAnsi="Calibri" w:cs="Calibri"/>
          <w:b/>
          <w:bCs/>
          <w:sz w:val="28"/>
          <w:szCs w:val="28"/>
        </w:rPr>
      </w:pPr>
    </w:p>
    <w:p w14:paraId="466593B5" w14:textId="3BDD2D06" w:rsidR="2AA84DBB" w:rsidRDefault="2AA84DBB" w:rsidP="2AA84DBB">
      <w:pPr>
        <w:rPr>
          <w:rFonts w:ascii="Calibri" w:eastAsia="Calibri" w:hAnsi="Calibri" w:cs="Calibri"/>
          <w:b/>
          <w:bCs/>
          <w:sz w:val="28"/>
          <w:szCs w:val="28"/>
        </w:rPr>
      </w:pPr>
    </w:p>
    <w:p w14:paraId="4EF13CA5" w14:textId="5E2EAC7E" w:rsidR="2AA84DBB" w:rsidRDefault="2AA84DBB" w:rsidP="2AA84DBB">
      <w:pPr>
        <w:rPr>
          <w:rFonts w:ascii="Calibri" w:eastAsia="Calibri" w:hAnsi="Calibri" w:cs="Calibri"/>
          <w:b/>
          <w:bCs/>
          <w:sz w:val="28"/>
          <w:szCs w:val="28"/>
        </w:rPr>
      </w:pPr>
    </w:p>
    <w:p w14:paraId="430FB76B" w14:textId="37C12663" w:rsidR="2AA84DBB" w:rsidRDefault="2AA84DBB" w:rsidP="2AA84DBB">
      <w:pPr>
        <w:rPr>
          <w:rFonts w:ascii="Calibri" w:eastAsia="Calibri" w:hAnsi="Calibri" w:cs="Calibri"/>
          <w:b/>
          <w:bCs/>
          <w:sz w:val="28"/>
          <w:szCs w:val="28"/>
        </w:rPr>
      </w:pPr>
    </w:p>
    <w:p w14:paraId="052B4F47" w14:textId="3DE862BC" w:rsidR="31372A89" w:rsidRDefault="31372A89" w:rsidP="58FB0A6A">
      <w:pPr>
        <w:rPr>
          <w:rFonts w:ascii="Calibri" w:eastAsia="Calibri" w:hAnsi="Calibri" w:cs="Calibri"/>
          <w:b/>
          <w:bCs/>
          <w:sz w:val="28"/>
          <w:szCs w:val="28"/>
        </w:rPr>
      </w:pPr>
      <w:r w:rsidRPr="2AA84DBB">
        <w:rPr>
          <w:rFonts w:ascii="Calibri" w:eastAsia="Calibri" w:hAnsi="Calibri" w:cs="Calibri"/>
          <w:b/>
          <w:bCs/>
          <w:sz w:val="28"/>
          <w:szCs w:val="28"/>
        </w:rPr>
        <w:t xml:space="preserve">References </w:t>
      </w:r>
    </w:p>
    <w:p w14:paraId="6E059413" w14:textId="7956441B"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lastRenderedPageBreak/>
        <w:t>Anon (2021) Project Management : a strategic managerial approach /. 11th edition. New York, Wiley,.</w:t>
      </w:r>
    </w:p>
    <w:p w14:paraId="79D99C14" w14:textId="61FB1717"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Ates, A. and Bititci, U. (2011) ‘Change process: a key enabler for building resilient SMEs’, International Journal of Production Research, 49(18), pp. 5601-5618. Available at: </w:t>
      </w:r>
      <w:hyperlink r:id="rId5">
        <w:r w:rsidRPr="58FB0A6A">
          <w:rPr>
            <w:rStyle w:val="Hyperlink"/>
            <w:rFonts w:ascii="Calibri" w:eastAsia="Calibri" w:hAnsi="Calibri" w:cs="Calibri"/>
          </w:rPr>
          <w:t>https://doi.org/10.1080/00207543.2011.563825</w:t>
        </w:r>
      </w:hyperlink>
      <w:r w:rsidRPr="58FB0A6A">
        <w:rPr>
          <w:rFonts w:ascii="Calibri" w:eastAsia="Calibri" w:hAnsi="Calibri" w:cs="Calibri"/>
          <w:color w:val="222222"/>
        </w:rPr>
        <w:t xml:space="preserve"> (Accessed: 30 November 2023). </w:t>
      </w:r>
    </w:p>
    <w:p w14:paraId="2A91127F" w14:textId="1816E0EF"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Baringa Partners. (n.d.) ‘If people are your greatest asset, kindness is key’, Baringa. Available at: </w:t>
      </w:r>
      <w:hyperlink r:id="rId6">
        <w:r w:rsidRPr="58FB0A6A">
          <w:rPr>
            <w:rStyle w:val="Hyperlink"/>
            <w:rFonts w:ascii="Calibri" w:eastAsia="Calibri" w:hAnsi="Calibri" w:cs="Calibri"/>
          </w:rPr>
          <w:t>https://www.baringa.com/en/insights/economics-of-kindness/if-people-are-your-greatest-asset-kindness-is-key/?gclid=CjwKCAiAmsurBhBvEiwA6e-WPBMC0pHlQGzy1wX5nINIi_E7XEc9Tf9l-k3Lv6_4_exsoij7FuVSGBoCOPEQAvD_BwE</w:t>
        </w:r>
      </w:hyperlink>
      <w:r w:rsidRPr="58FB0A6A">
        <w:rPr>
          <w:rFonts w:ascii="Calibri" w:eastAsia="Calibri" w:hAnsi="Calibri" w:cs="Calibri"/>
          <w:color w:val="222222"/>
        </w:rPr>
        <w:t xml:space="preserve"> (Accessed:25 November 2023). </w:t>
      </w:r>
    </w:p>
    <w:p w14:paraId="5DDD5443" w14:textId="6F681F28"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Brockbank, A. (2012) Facilitating reflective learning [electronic resource] : coaching, mentoring and supervison . 2nd ed. Philadelphia, Pa. :, Kogan Page Ltd. </w:t>
      </w:r>
    </w:p>
    <w:p w14:paraId="73A3B8EE" w14:textId="6C3FB99A"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Chaudhary, S., Dhir, A., Meenakshi, N., &amp; Christofi, M. (2024) ‘How small firms build resilience to ward off crises: a paradox perspective’, Entrepreneurship &amp; Regional Development, 36(1-2), pp. 182-207. </w:t>
      </w:r>
    </w:p>
    <w:p w14:paraId="19CE6BC8" w14:textId="53182BD3"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Clutterbuck, D. (2019). ‘Everyone needs a mentor’, 5th ed. London: CIPD. </w:t>
      </w:r>
    </w:p>
    <w:p w14:paraId="4D365C10" w14:textId="5F2E65AA"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Clutterbuck, D. (2020). ‘Coaching the team at work 2: The definitive guide to team coaching’, 4th ed. Nicholas Brealey International: Hachette. </w:t>
      </w:r>
    </w:p>
    <w:p w14:paraId="12F9E704" w14:textId="30355B57"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Connor, M., and Pokora, J. (2017) ‘Coaching and Mentoring at Work: Developing Effective Practice’, 3rd ed. Open University Press. </w:t>
      </w:r>
    </w:p>
    <w:p w14:paraId="0270E426" w14:textId="3ECE6E84"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Cook, Sarah. (2009) Coaching for high performance [electronic resource] : how to develop exceptional results through coaching . 1st edition. Ely, U.K. :, IT Governance Pub.</w:t>
      </w:r>
    </w:p>
    <w:p w14:paraId="25E6B6D1" w14:textId="3CFD732D"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Cox, E. (2013) ‘Coaching Understood: A Pragmatic Inquiry into the Coaching Process’. London: SAGE. </w:t>
      </w:r>
    </w:p>
    <w:p w14:paraId="2F273ED0" w14:textId="7598D223"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Cox, E., Bachkirova, T. &amp; Clutterbuck, D., (2018). ‘The complete handbook of coaching’, 3rd ed. London: Sage. </w:t>
      </w:r>
    </w:p>
    <w:p w14:paraId="76953E7B" w14:textId="11D3C0C0"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Dent, F. and Brent, M. (2015). ‘The leader’s guide to coaching and mentoring: how to use soft skills to get hard results’, FT Publishing International: New Jersey, USA. </w:t>
      </w:r>
    </w:p>
    <w:p w14:paraId="55120965" w14:textId="3B304735"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Gopee, N. (2018) ‘Supervision &amp; Mentoring in Healthcare’, 4th ed. London; Thousand Oaks, California: SAGE. </w:t>
      </w:r>
    </w:p>
    <w:p w14:paraId="3DF847D3" w14:textId="0CF554F9"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Elaine Cox editor, Tatiana Bachkirova editor, &amp; David Clutterbuck editor (eds.) (2018) The complete handbook of coaching. Third edition. London, SAGE.</w:t>
      </w:r>
    </w:p>
    <w:p w14:paraId="7C4F4103" w14:textId="4EC7C0BB" w:rsidR="2CB5C446" w:rsidRDefault="2CB5C446" w:rsidP="58FB0A6A">
      <w:pPr>
        <w:rPr>
          <w:rFonts w:ascii="Calibri" w:eastAsia="Calibri" w:hAnsi="Calibri" w:cs="Calibri"/>
          <w:color w:val="222222"/>
        </w:rPr>
      </w:pPr>
      <w:r w:rsidRPr="58FB0A6A">
        <w:rPr>
          <w:rFonts w:ascii="Calibri" w:eastAsia="Calibri" w:hAnsi="Calibri" w:cs="Calibri"/>
          <w:i/>
          <w:iCs/>
          <w:color w:val="222222"/>
        </w:rPr>
        <w:t>Hawkins, P. (2018) Leadership team coaching in practice : case studies on developing high-performing teams . Second edition. New York :, Kogan Page Ltd</w:t>
      </w:r>
      <w:r w:rsidRPr="58FB0A6A">
        <w:rPr>
          <w:rFonts w:ascii="Calibri" w:eastAsia="Calibri" w:hAnsi="Calibri" w:cs="Calibri"/>
          <w:color w:val="222222"/>
        </w:rPr>
        <w:t>.</w:t>
      </w:r>
    </w:p>
    <w:p w14:paraId="490483F5" w14:textId="3F6005CC" w:rsidR="58FB0A6A" w:rsidRDefault="58FB0A6A" w:rsidP="58FB0A6A">
      <w:pPr>
        <w:rPr>
          <w:rFonts w:ascii="Calibri" w:eastAsia="Calibri" w:hAnsi="Calibri" w:cs="Calibri"/>
          <w:color w:val="222222"/>
        </w:rPr>
      </w:pPr>
    </w:p>
    <w:p w14:paraId="3189CC93" w14:textId="35D3868A"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 Jull, J., Jull, J., Köpke, S., Smith, M., Carley, M., et al. (2021) ‘Decision coaching for people making healthcare decisions’, Cochrane Library, 2021(11), CD013385. doi:10.1002/14651858.CD013385.pub2.  (Accesed on 29 November 2023)</w:t>
      </w:r>
    </w:p>
    <w:p w14:paraId="4041B482" w14:textId="7684A535" w:rsidR="2CB5C446" w:rsidRDefault="2CB5C446" w:rsidP="58FB0A6A">
      <w:pPr>
        <w:rPr>
          <w:rFonts w:ascii="Calibri" w:eastAsia="Calibri" w:hAnsi="Calibri" w:cs="Calibri"/>
          <w:i/>
          <w:iCs/>
          <w:color w:val="222222"/>
        </w:rPr>
      </w:pPr>
      <w:r w:rsidRPr="58FB0A6A">
        <w:rPr>
          <w:rFonts w:ascii="Calibri" w:eastAsia="Calibri" w:hAnsi="Calibri" w:cs="Calibri"/>
          <w:color w:val="222222"/>
        </w:rPr>
        <w:t xml:space="preserve"> </w:t>
      </w:r>
      <w:r w:rsidRPr="58FB0A6A">
        <w:rPr>
          <w:rFonts w:ascii="Calibri" w:eastAsia="Calibri" w:hAnsi="Calibri" w:cs="Calibri"/>
          <w:i/>
          <w:iCs/>
          <w:color w:val="222222"/>
        </w:rPr>
        <w:t xml:space="preserve">Landsberg, M. (2015) ‘The Tao of Coaching: Boost your effectiveness at work by inspiring and developing those around you’, London: Profile Books. </w:t>
      </w:r>
    </w:p>
    <w:p w14:paraId="5967A594" w14:textId="221628B7"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lastRenderedPageBreak/>
        <w:t xml:space="preserve">Lee, Graham. (2003) Leadership coaching : from personal insight to organisational performance . London :, Chartered Institute of Personnel and Development. </w:t>
      </w:r>
    </w:p>
    <w:p w14:paraId="6ABB2B38" w14:textId="1E096FAF"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 </w:t>
      </w:r>
      <w:r w:rsidRPr="58FB0A6A">
        <w:rPr>
          <w:rFonts w:ascii="Calibri" w:eastAsia="Calibri" w:hAnsi="Calibri" w:cs="Calibri"/>
          <w:i/>
          <w:iCs/>
          <w:color w:val="222222"/>
        </w:rPr>
        <w:t xml:space="preserve">Megginson, D., and Clutterbuck, D. (2010). ‘Further techniques for coaching and mentoring’, Taylor and Francis: Burlington. </w:t>
      </w:r>
    </w:p>
    <w:p w14:paraId="67D9C239" w14:textId="0700417A" w:rsidR="2CB5C446" w:rsidRDefault="2CB5C446" w:rsidP="58FB0A6A">
      <w:pPr>
        <w:rPr>
          <w:rFonts w:ascii="Arial" w:eastAsia="Arial" w:hAnsi="Arial" w:cs="Arial"/>
          <w:color w:val="222222"/>
        </w:rPr>
      </w:pPr>
      <w:r w:rsidRPr="58FB0A6A">
        <w:rPr>
          <w:rFonts w:ascii="Arial" w:eastAsia="Arial" w:hAnsi="Arial" w:cs="Arial"/>
          <w:color w:val="222222"/>
        </w:rPr>
        <w:t xml:space="preserve">Mobarak Ali, Z. B. (2019) ‘A Review of Teacher Coaching and Mentoring Approach’. Available at: </w:t>
      </w:r>
      <w:hyperlink r:id="rId7">
        <w:r w:rsidRPr="58FB0A6A">
          <w:rPr>
            <w:rStyle w:val="Hyperlink"/>
            <w:rFonts w:ascii="Arial" w:eastAsia="Arial" w:hAnsi="Arial" w:cs="Arial"/>
          </w:rPr>
          <w:t>https://www.researchgate.net/profile/Zubaidah-Bibi-Mobarak-Ali/publication/331033531_A_Review_of_Teacher_Coaching_and_Mentoring_Approach/links/5c6233a0299bf1d14cbf825d/A-Review-of-Teacher-Coaching-and-Mentoring-Approach.pdf</w:t>
        </w:r>
      </w:hyperlink>
      <w:r w:rsidRPr="58FB0A6A">
        <w:rPr>
          <w:rFonts w:ascii="Arial" w:eastAsia="Arial" w:hAnsi="Arial" w:cs="Arial"/>
          <w:color w:val="222222"/>
        </w:rPr>
        <w:t xml:space="preserve"> (Accessed: 27 November 2023). </w:t>
      </w:r>
    </w:p>
    <w:p w14:paraId="4C9EB2C4" w14:textId="0C3F2C1C"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NHS Leadership Academy. (n.d.) ‘Coaching and Mentoring’, NHS Leadership Academy. Available at: </w:t>
      </w:r>
      <w:hyperlink r:id="rId8">
        <w:r w:rsidRPr="58FB0A6A">
          <w:rPr>
            <w:rStyle w:val="Hyperlink"/>
            <w:rFonts w:ascii="Calibri" w:eastAsia="Calibri" w:hAnsi="Calibri" w:cs="Calibri"/>
          </w:rPr>
          <w:t>https://www.leadershipacademy.nhs.uk/programmes/coaching-and-mentoring/</w:t>
        </w:r>
      </w:hyperlink>
      <w:r w:rsidRPr="58FB0A6A">
        <w:rPr>
          <w:rFonts w:ascii="Calibri" w:eastAsia="Calibri" w:hAnsi="Calibri" w:cs="Calibri"/>
          <w:color w:val="222222"/>
        </w:rPr>
        <w:t xml:space="preserve"> (Accessed: 05 December 2023). </w:t>
      </w:r>
    </w:p>
    <w:p w14:paraId="7D232A45" w14:textId="09A459B7" w:rsidR="2CB5C446" w:rsidRDefault="2CB5C446" w:rsidP="58FB0A6A">
      <w:pPr>
        <w:rPr>
          <w:rFonts w:ascii="Calibri" w:eastAsia="Calibri" w:hAnsi="Calibri" w:cs="Calibri"/>
          <w:i/>
          <w:iCs/>
          <w:color w:val="222222"/>
        </w:rPr>
      </w:pPr>
      <w:r w:rsidRPr="58FB0A6A">
        <w:rPr>
          <w:rFonts w:ascii="Calibri" w:eastAsia="Calibri" w:hAnsi="Calibri" w:cs="Calibri"/>
          <w:i/>
          <w:iCs/>
          <w:color w:val="222222"/>
        </w:rPr>
        <w:t xml:space="preserve"> Parslow, E., Leedham, M. and Newell, D. (2022). ‘Coaching and mentoring: practical techniques for developing learning and performance’, 4th ed. Kogan Page Ltd: London. </w:t>
      </w:r>
    </w:p>
    <w:p w14:paraId="19814A78" w14:textId="3364B4F3" w:rsidR="2CB5C446" w:rsidRDefault="2CB5C446" w:rsidP="58FB0A6A">
      <w:pPr>
        <w:rPr>
          <w:rFonts w:ascii="Calibri" w:eastAsia="Calibri" w:hAnsi="Calibri" w:cs="Calibri"/>
          <w:color w:val="222222"/>
        </w:rPr>
      </w:pPr>
      <w:r w:rsidRPr="58FB0A6A">
        <w:rPr>
          <w:rFonts w:ascii="Calibri" w:eastAsia="Calibri" w:hAnsi="Calibri" w:cs="Calibri"/>
          <w:color w:val="222222"/>
        </w:rPr>
        <w:t xml:space="preserve"> PLD Mentoring. (n.d.) ‘Home’, PLD Mentoring. Available at: </w:t>
      </w:r>
      <w:hyperlink r:id="rId9">
        <w:r w:rsidRPr="58FB0A6A">
          <w:rPr>
            <w:rStyle w:val="Hyperlink"/>
            <w:rFonts w:ascii="Calibri" w:eastAsia="Calibri" w:hAnsi="Calibri" w:cs="Calibri"/>
          </w:rPr>
          <w:t>https://www.pldmentoring.com/?utm_term=mentoring%20platform&amp;utm_source=google&amp;utm_medium=cpc&amp;gclid=CjwKCAiAmsurBhBvEiwA6e-WPMBhRk3lwEscrEWYTfmnk9PGT3oHa13uKNipbrYGoDvXKnna8rbcCxoCcXcQAvD_BwE</w:t>
        </w:r>
      </w:hyperlink>
      <w:r w:rsidRPr="58FB0A6A">
        <w:rPr>
          <w:rFonts w:ascii="Calibri" w:eastAsia="Calibri" w:hAnsi="Calibri" w:cs="Calibri"/>
          <w:color w:val="222222"/>
        </w:rPr>
        <w:t xml:space="preserve"> (Accessed: 20 November 2023). </w:t>
      </w:r>
    </w:p>
    <w:p w14:paraId="268F9B1A" w14:textId="40E7AC9B" w:rsidR="2CB5C446" w:rsidRDefault="2CB5C446" w:rsidP="58FB0A6A">
      <w:pPr>
        <w:rPr>
          <w:rFonts w:ascii="Calibri" w:eastAsia="Calibri" w:hAnsi="Calibri" w:cs="Calibri"/>
          <w:color w:val="000000" w:themeColor="text1"/>
        </w:rPr>
      </w:pPr>
      <w:r w:rsidRPr="58FB0A6A">
        <w:rPr>
          <w:rFonts w:ascii="Calibri" w:eastAsia="Calibri" w:hAnsi="Calibri" w:cs="Calibri"/>
          <w:color w:val="000000" w:themeColor="text1"/>
        </w:rPr>
        <w:t xml:space="preserve">Lasater, K., Smith, C., Pijanowski, J., &amp; Brady, K. P. (2021) ‘Redefining mentorship in an era of crisis: responding to COVID-19 through compassionate relationships’, International Journal of Mentoring and Coaching in Education, [Online]. Available at: </w:t>
      </w:r>
      <w:hyperlink r:id="rId10">
        <w:r w:rsidRPr="58FB0A6A">
          <w:rPr>
            <w:rStyle w:val="Hyperlink"/>
            <w:rFonts w:ascii="Calibri" w:eastAsia="Calibri" w:hAnsi="Calibri" w:cs="Calibri"/>
          </w:rPr>
          <w:t>https://www.emerald.com/insight/content/doi/10.1108/IJMCE-11-2020-0078/full/html</w:t>
        </w:r>
      </w:hyperlink>
      <w:r w:rsidRPr="58FB0A6A">
        <w:rPr>
          <w:rFonts w:ascii="Calibri" w:eastAsia="Calibri" w:hAnsi="Calibri" w:cs="Calibri"/>
          <w:color w:val="000000" w:themeColor="text1"/>
        </w:rPr>
        <w:t xml:space="preserve"> (Accessed: 02 December 2023).</w:t>
      </w:r>
    </w:p>
    <w:p w14:paraId="59D7842D" w14:textId="60D73DF0" w:rsidR="58FB0A6A" w:rsidRDefault="58FB0A6A" w:rsidP="58FB0A6A">
      <w:pPr>
        <w:rPr>
          <w:rFonts w:ascii="Calibri" w:eastAsia="Calibri" w:hAnsi="Calibri" w:cs="Calibri"/>
          <w:color w:val="000000" w:themeColor="text1"/>
        </w:rPr>
      </w:pPr>
    </w:p>
    <w:p w14:paraId="59C4B7FA" w14:textId="580AEF26" w:rsidR="2CB5C446" w:rsidRDefault="2CB5C446" w:rsidP="58FB0A6A">
      <w:pPr>
        <w:rPr>
          <w:rFonts w:ascii="sans-serif" w:eastAsia="sans-serif" w:hAnsi="sans-serif" w:cs="sans-serif"/>
          <w:i/>
          <w:iCs/>
          <w:color w:val="222222"/>
        </w:rPr>
      </w:pPr>
      <w:r w:rsidRPr="58FB0A6A">
        <w:rPr>
          <w:rFonts w:ascii="Calibri" w:eastAsia="Calibri" w:hAnsi="Calibri" w:cs="Calibri"/>
          <w:color w:val="222222"/>
        </w:rPr>
        <w:t xml:space="preserve"> </w:t>
      </w:r>
      <w:r w:rsidRPr="58FB0A6A">
        <w:rPr>
          <w:rFonts w:ascii="sans-serif" w:eastAsia="sans-serif" w:hAnsi="sans-serif" w:cs="sans-serif"/>
          <w:i/>
          <w:iCs/>
          <w:color w:val="222222"/>
        </w:rPr>
        <w:t xml:space="preserve">Rolfe, A. (2015). ‘Coaching and mentoring - what is the difference?’, Training &amp; Development, 42(5), pp.12–13. </w:t>
      </w:r>
    </w:p>
    <w:p w14:paraId="119C3EAD" w14:textId="15144DD8" w:rsidR="2CB5C446" w:rsidRDefault="2CB5C446" w:rsidP="58FB0A6A">
      <w:pPr>
        <w:rPr>
          <w:rFonts w:ascii="sans-serif" w:eastAsia="sans-serif" w:hAnsi="sans-serif" w:cs="sans-serif"/>
          <w:i/>
          <w:iCs/>
          <w:color w:val="222222"/>
        </w:rPr>
      </w:pPr>
      <w:r w:rsidRPr="58FB0A6A">
        <w:rPr>
          <w:rFonts w:ascii="sans-serif" w:eastAsia="sans-serif" w:hAnsi="sans-serif" w:cs="sans-serif"/>
          <w:i/>
          <w:iCs/>
          <w:color w:val="222222"/>
        </w:rPr>
        <w:t>Stewart-Lord, A., Baillie, L., &amp; Woods, S. (2017) ’Health care staff perceptions of a coaching and mentoring programme:</w:t>
      </w:r>
    </w:p>
    <w:p w14:paraId="20A981E6" w14:textId="7ED71F7B" w:rsidR="58FB0A6A" w:rsidRDefault="58FB0A6A" w:rsidP="58FB0A6A">
      <w:pPr>
        <w:rPr>
          <w:rFonts w:ascii="sans-serif" w:eastAsia="sans-serif" w:hAnsi="sans-serif" w:cs="sans-serif"/>
          <w:color w:val="222222"/>
        </w:rPr>
      </w:pPr>
    </w:p>
    <w:p w14:paraId="68A17A9D" w14:textId="5809ED8E" w:rsidR="31372A89" w:rsidRDefault="31372A89" w:rsidP="2AA84DBB">
      <w:pPr>
        <w:rPr>
          <w:rFonts w:ascii="Calibri" w:eastAsia="Calibri" w:hAnsi="Calibri" w:cs="Calibri"/>
          <w:b/>
          <w:bCs/>
          <w:sz w:val="28"/>
          <w:szCs w:val="28"/>
        </w:rPr>
      </w:pPr>
    </w:p>
    <w:sectPr w:rsidR="31372A8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ans-serif">
    <w:altName w:val="Cambria"/>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338ACD"/>
    <w:rsid w:val="000F51B4"/>
    <w:rsid w:val="003408CE"/>
    <w:rsid w:val="0060387E"/>
    <w:rsid w:val="00833767"/>
    <w:rsid w:val="00931D75"/>
    <w:rsid w:val="00A23414"/>
    <w:rsid w:val="00BA1DFC"/>
    <w:rsid w:val="00D185FE"/>
    <w:rsid w:val="00ED0073"/>
    <w:rsid w:val="00F8687E"/>
    <w:rsid w:val="00FAED13"/>
    <w:rsid w:val="01056E54"/>
    <w:rsid w:val="016E415F"/>
    <w:rsid w:val="01A00624"/>
    <w:rsid w:val="01AAE807"/>
    <w:rsid w:val="01FB27CB"/>
    <w:rsid w:val="02C7F051"/>
    <w:rsid w:val="03396D04"/>
    <w:rsid w:val="0346B868"/>
    <w:rsid w:val="04A55C08"/>
    <w:rsid w:val="04E288C9"/>
    <w:rsid w:val="04EA6584"/>
    <w:rsid w:val="04EBCEB5"/>
    <w:rsid w:val="05B22E1E"/>
    <w:rsid w:val="05FF9113"/>
    <w:rsid w:val="067E592A"/>
    <w:rsid w:val="0682664C"/>
    <w:rsid w:val="06E9CDCB"/>
    <w:rsid w:val="06EF9AA4"/>
    <w:rsid w:val="07085F9D"/>
    <w:rsid w:val="075E34D9"/>
    <w:rsid w:val="07F305DF"/>
    <w:rsid w:val="0809EAD3"/>
    <w:rsid w:val="084C64C4"/>
    <w:rsid w:val="08EEC039"/>
    <w:rsid w:val="090D2AAD"/>
    <w:rsid w:val="0913EFE6"/>
    <w:rsid w:val="0A267B5A"/>
    <w:rsid w:val="0A61926E"/>
    <w:rsid w:val="0B152FE2"/>
    <w:rsid w:val="0B51CA4D"/>
    <w:rsid w:val="0BCA2D39"/>
    <w:rsid w:val="0C35E799"/>
    <w:rsid w:val="0C6E2542"/>
    <w:rsid w:val="0CFC0239"/>
    <w:rsid w:val="0D10E81B"/>
    <w:rsid w:val="0E2973B4"/>
    <w:rsid w:val="0E744FD4"/>
    <w:rsid w:val="0F51CAC2"/>
    <w:rsid w:val="103784A4"/>
    <w:rsid w:val="1159ECCB"/>
    <w:rsid w:val="13248F57"/>
    <w:rsid w:val="1338D1F2"/>
    <w:rsid w:val="136F2566"/>
    <w:rsid w:val="14027843"/>
    <w:rsid w:val="14E7CA28"/>
    <w:rsid w:val="1514B322"/>
    <w:rsid w:val="15896B71"/>
    <w:rsid w:val="15C10C46"/>
    <w:rsid w:val="15E02074"/>
    <w:rsid w:val="164FE558"/>
    <w:rsid w:val="165EF716"/>
    <w:rsid w:val="176E3388"/>
    <w:rsid w:val="17A08EAD"/>
    <w:rsid w:val="17AF72EC"/>
    <w:rsid w:val="17B2D90A"/>
    <w:rsid w:val="18231FA0"/>
    <w:rsid w:val="18AFE52D"/>
    <w:rsid w:val="18D8AAF4"/>
    <w:rsid w:val="18F2D853"/>
    <w:rsid w:val="18F8B7A0"/>
    <w:rsid w:val="19344B70"/>
    <w:rsid w:val="1B28CAE2"/>
    <w:rsid w:val="1B6AF58E"/>
    <w:rsid w:val="1CDD6866"/>
    <w:rsid w:val="1CFBCEBF"/>
    <w:rsid w:val="1D069CAA"/>
    <w:rsid w:val="1D24326F"/>
    <w:rsid w:val="1D433499"/>
    <w:rsid w:val="1E034847"/>
    <w:rsid w:val="1E60DAB3"/>
    <w:rsid w:val="1E7938C7"/>
    <w:rsid w:val="1E7A8F31"/>
    <w:rsid w:val="1EA26D0B"/>
    <w:rsid w:val="1ED1EA67"/>
    <w:rsid w:val="1EE238FB"/>
    <w:rsid w:val="20262EFF"/>
    <w:rsid w:val="207E095C"/>
    <w:rsid w:val="20843F49"/>
    <w:rsid w:val="20AF9165"/>
    <w:rsid w:val="219A4F7E"/>
    <w:rsid w:val="21DE5983"/>
    <w:rsid w:val="223EF402"/>
    <w:rsid w:val="2288631C"/>
    <w:rsid w:val="22CA6459"/>
    <w:rsid w:val="233FCF4E"/>
    <w:rsid w:val="23B6F995"/>
    <w:rsid w:val="24984A18"/>
    <w:rsid w:val="2501A2A8"/>
    <w:rsid w:val="255EE7EE"/>
    <w:rsid w:val="26274B40"/>
    <w:rsid w:val="264064FA"/>
    <w:rsid w:val="26C825C6"/>
    <w:rsid w:val="278E5B2F"/>
    <w:rsid w:val="28A285AA"/>
    <w:rsid w:val="28E13BD8"/>
    <w:rsid w:val="29BBEB6E"/>
    <w:rsid w:val="2A2CD928"/>
    <w:rsid w:val="2A5D1A72"/>
    <w:rsid w:val="2A79A48F"/>
    <w:rsid w:val="2A9778B6"/>
    <w:rsid w:val="2AA84DBB"/>
    <w:rsid w:val="2AB4B236"/>
    <w:rsid w:val="2AC918C7"/>
    <w:rsid w:val="2B156F6B"/>
    <w:rsid w:val="2B31273F"/>
    <w:rsid w:val="2BDA90A6"/>
    <w:rsid w:val="2C110C4C"/>
    <w:rsid w:val="2C711136"/>
    <w:rsid w:val="2CB5C446"/>
    <w:rsid w:val="2D612B7E"/>
    <w:rsid w:val="2E695A2D"/>
    <w:rsid w:val="2EA3B42E"/>
    <w:rsid w:val="2FC7EB9A"/>
    <w:rsid w:val="2FC80078"/>
    <w:rsid w:val="2FFF2127"/>
    <w:rsid w:val="301ABC64"/>
    <w:rsid w:val="305C4EBC"/>
    <w:rsid w:val="30A5EE19"/>
    <w:rsid w:val="30A9626F"/>
    <w:rsid w:val="31372A89"/>
    <w:rsid w:val="3363CABC"/>
    <w:rsid w:val="33905846"/>
    <w:rsid w:val="33C50788"/>
    <w:rsid w:val="34EE2D87"/>
    <w:rsid w:val="34F9829A"/>
    <w:rsid w:val="354D5EB6"/>
    <w:rsid w:val="3558E1F5"/>
    <w:rsid w:val="356A0867"/>
    <w:rsid w:val="363D41DC"/>
    <w:rsid w:val="364E733B"/>
    <w:rsid w:val="3689FDE8"/>
    <w:rsid w:val="370B5C30"/>
    <w:rsid w:val="375CD361"/>
    <w:rsid w:val="38338ACD"/>
    <w:rsid w:val="3848B319"/>
    <w:rsid w:val="3911337C"/>
    <w:rsid w:val="39281094"/>
    <w:rsid w:val="392A01CA"/>
    <w:rsid w:val="394AE3E1"/>
    <w:rsid w:val="39A05018"/>
    <w:rsid w:val="3A0DD248"/>
    <w:rsid w:val="3A4D1494"/>
    <w:rsid w:val="3A55B811"/>
    <w:rsid w:val="3ABC1216"/>
    <w:rsid w:val="3B2CB887"/>
    <w:rsid w:val="3B2ED25F"/>
    <w:rsid w:val="3B75CD1F"/>
    <w:rsid w:val="3BAD3655"/>
    <w:rsid w:val="3C4D56B2"/>
    <w:rsid w:val="3C52B387"/>
    <w:rsid w:val="3C8284A3"/>
    <w:rsid w:val="3CB58351"/>
    <w:rsid w:val="3DE92713"/>
    <w:rsid w:val="3E283AF8"/>
    <w:rsid w:val="3E2877EE"/>
    <w:rsid w:val="3E636BF2"/>
    <w:rsid w:val="3ECBB9F2"/>
    <w:rsid w:val="3ECDE725"/>
    <w:rsid w:val="3F145028"/>
    <w:rsid w:val="3F8A5449"/>
    <w:rsid w:val="3FA51E5C"/>
    <w:rsid w:val="400A3108"/>
    <w:rsid w:val="40DC6F09"/>
    <w:rsid w:val="40EFB5EC"/>
    <w:rsid w:val="410F1CC9"/>
    <w:rsid w:val="41182847"/>
    <w:rsid w:val="41EBFB1C"/>
    <w:rsid w:val="42129935"/>
    <w:rsid w:val="42492DA6"/>
    <w:rsid w:val="42530705"/>
    <w:rsid w:val="42544B3D"/>
    <w:rsid w:val="432F4D26"/>
    <w:rsid w:val="434236A1"/>
    <w:rsid w:val="4433680F"/>
    <w:rsid w:val="44C479CE"/>
    <w:rsid w:val="4565623B"/>
    <w:rsid w:val="45EE2F4F"/>
    <w:rsid w:val="463FC4EC"/>
    <w:rsid w:val="46CD847F"/>
    <w:rsid w:val="46D7BE47"/>
    <w:rsid w:val="4790B352"/>
    <w:rsid w:val="47C0B677"/>
    <w:rsid w:val="47D4E494"/>
    <w:rsid w:val="49635B23"/>
    <w:rsid w:val="496D8439"/>
    <w:rsid w:val="4990EDD4"/>
    <w:rsid w:val="4A047825"/>
    <w:rsid w:val="4A0C81ED"/>
    <w:rsid w:val="4B60B939"/>
    <w:rsid w:val="4BB6908B"/>
    <w:rsid w:val="4CC4F932"/>
    <w:rsid w:val="4D3C18E7"/>
    <w:rsid w:val="4DE8A0CF"/>
    <w:rsid w:val="4E398872"/>
    <w:rsid w:val="4F9E2C41"/>
    <w:rsid w:val="4FB0FF1E"/>
    <w:rsid w:val="4FB47B61"/>
    <w:rsid w:val="4FD63314"/>
    <w:rsid w:val="50C767FE"/>
    <w:rsid w:val="510825DD"/>
    <w:rsid w:val="514A0889"/>
    <w:rsid w:val="51A2FCD6"/>
    <w:rsid w:val="52436811"/>
    <w:rsid w:val="52A3D783"/>
    <w:rsid w:val="52A51BCC"/>
    <w:rsid w:val="52D1B75E"/>
    <w:rsid w:val="52E5D8EA"/>
    <w:rsid w:val="530CFBFF"/>
    <w:rsid w:val="533ECD37"/>
    <w:rsid w:val="537AD814"/>
    <w:rsid w:val="53AD5696"/>
    <w:rsid w:val="560D6DC5"/>
    <w:rsid w:val="56766DF9"/>
    <w:rsid w:val="56B39920"/>
    <w:rsid w:val="56BB90E8"/>
    <w:rsid w:val="57DEA26D"/>
    <w:rsid w:val="5814A9A6"/>
    <w:rsid w:val="5880C7B9"/>
    <w:rsid w:val="5884A305"/>
    <w:rsid w:val="58FB0A6A"/>
    <w:rsid w:val="5909FD5C"/>
    <w:rsid w:val="59765D56"/>
    <w:rsid w:val="59A68853"/>
    <w:rsid w:val="5AE0DEE8"/>
    <w:rsid w:val="5BC42975"/>
    <w:rsid w:val="5C1D67D8"/>
    <w:rsid w:val="5C74ACC3"/>
    <w:rsid w:val="5C8F3054"/>
    <w:rsid w:val="5CC6C5D4"/>
    <w:rsid w:val="5CD3686D"/>
    <w:rsid w:val="5CFADC21"/>
    <w:rsid w:val="5D946964"/>
    <w:rsid w:val="5E28AC76"/>
    <w:rsid w:val="5E2CD747"/>
    <w:rsid w:val="5E460A3C"/>
    <w:rsid w:val="5F1476E4"/>
    <w:rsid w:val="5F5C1A74"/>
    <w:rsid w:val="5F676843"/>
    <w:rsid w:val="5FC8A7A8"/>
    <w:rsid w:val="607D8507"/>
    <w:rsid w:val="6124F675"/>
    <w:rsid w:val="619D4353"/>
    <w:rsid w:val="6288C453"/>
    <w:rsid w:val="63915985"/>
    <w:rsid w:val="63F4D370"/>
    <w:rsid w:val="6440E2D4"/>
    <w:rsid w:val="64A62239"/>
    <w:rsid w:val="64C1D4F9"/>
    <w:rsid w:val="65C817AD"/>
    <w:rsid w:val="67066186"/>
    <w:rsid w:val="678DC860"/>
    <w:rsid w:val="679E42A0"/>
    <w:rsid w:val="67CD9E02"/>
    <w:rsid w:val="680329EF"/>
    <w:rsid w:val="68D406FA"/>
    <w:rsid w:val="695344AE"/>
    <w:rsid w:val="695A5FB5"/>
    <w:rsid w:val="696F89EE"/>
    <w:rsid w:val="69C796E8"/>
    <w:rsid w:val="6A062EE8"/>
    <w:rsid w:val="6A79BD4F"/>
    <w:rsid w:val="6ABA0F54"/>
    <w:rsid w:val="6AC55D93"/>
    <w:rsid w:val="6B0B5A4F"/>
    <w:rsid w:val="6B4F224E"/>
    <w:rsid w:val="6B4F6F39"/>
    <w:rsid w:val="6BA8AB9D"/>
    <w:rsid w:val="6BDBD6A0"/>
    <w:rsid w:val="6D9DD5C1"/>
    <w:rsid w:val="6DAC0EDB"/>
    <w:rsid w:val="6DB135A8"/>
    <w:rsid w:val="6EBF39ED"/>
    <w:rsid w:val="70659222"/>
    <w:rsid w:val="70AF47C3"/>
    <w:rsid w:val="7133823A"/>
    <w:rsid w:val="72A9DF00"/>
    <w:rsid w:val="72D865B1"/>
    <w:rsid w:val="7335E509"/>
    <w:rsid w:val="73BC45E7"/>
    <w:rsid w:val="746886E6"/>
    <w:rsid w:val="747A0F16"/>
    <w:rsid w:val="74C47778"/>
    <w:rsid w:val="75E96D48"/>
    <w:rsid w:val="7601D614"/>
    <w:rsid w:val="76213CF1"/>
    <w:rsid w:val="769F8343"/>
    <w:rsid w:val="77853DA9"/>
    <w:rsid w:val="784CF3D6"/>
    <w:rsid w:val="78606EED"/>
    <w:rsid w:val="792E04B9"/>
    <w:rsid w:val="7955336E"/>
    <w:rsid w:val="795CFB3E"/>
    <w:rsid w:val="7B2B67CA"/>
    <w:rsid w:val="7B6E414E"/>
    <w:rsid w:val="7BE7C112"/>
    <w:rsid w:val="7BFFBA7F"/>
    <w:rsid w:val="7C154BA4"/>
    <w:rsid w:val="7C71B6DC"/>
    <w:rsid w:val="7CE597E5"/>
    <w:rsid w:val="7DC7E652"/>
    <w:rsid w:val="7E508B6A"/>
    <w:rsid w:val="7E9A6FF3"/>
    <w:rsid w:val="7F0EF146"/>
    <w:rsid w:val="7F2D9DE6"/>
    <w:rsid w:val="7F5F562D"/>
    <w:rsid w:val="7F91347B"/>
    <w:rsid w:val="7F949B1D"/>
    <w:rsid w:val="7FFED8E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38ACD"/>
  <w15:chartTrackingRefBased/>
  <w15:docId w15:val="{9EEC1263-15B4-8340-854F-6DCA1B1C4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A2341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Fontdeparagrafimplicit"/>
    <w:uiPriority w:val="99"/>
    <w:unhideWhenUsed/>
    <w:rsid w:val="00A234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dershipacademy.nhs.uk/programmes/coaching-and-mentoring/" TargetMode="External"/><Relationship Id="rId3" Type="http://schemas.openxmlformats.org/officeDocument/2006/relationships/settings" Target="settings.xml"/><Relationship Id="rId7" Type="http://schemas.openxmlformats.org/officeDocument/2006/relationships/hyperlink" Target="https://www.researchgate.net/profile/Zubaidah-Bibi-Mobarak-Ali/publication/331033531_A_Review_of_Teacher_Coaching_and_Mentoring_Approach/links/5c6233a0299bf1d14cbf825d/A-Review-of-Teacher-Coaching-and-Mentoring-Approach.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ringa.com/en/insights/economics-of-kindness/if-people-are-your-greatest-asset-kindness-is-key/?gclid=CjwKCAiAmsurBhBvEiwA6e-WPBMC0pHlQGzy1wX5nINIi_E7XEc9Tf9l-k3Lv6_4_exsoij7FuVSGBoCOPEQAvD_BwE" TargetMode="External"/><Relationship Id="rId11" Type="http://schemas.openxmlformats.org/officeDocument/2006/relationships/fontTable" Target="fontTable.xml"/><Relationship Id="rId5" Type="http://schemas.openxmlformats.org/officeDocument/2006/relationships/hyperlink" Target="https://doi.org/10.1080/00207543.2011.563825" TargetMode="External"/><Relationship Id="rId10" Type="http://schemas.openxmlformats.org/officeDocument/2006/relationships/hyperlink" Target="https://www.emerald.com/insight/content/doi/10.1108/IJMCE-11-2020-0078/full/html" TargetMode="External"/><Relationship Id="rId4" Type="http://schemas.openxmlformats.org/officeDocument/2006/relationships/webSettings" Target="webSettings.xml"/><Relationship Id="rId9" Type="http://schemas.openxmlformats.org/officeDocument/2006/relationships/hyperlink" Target="https://www.pldmentoring.com/?utm_term=mentoring%20platform&amp;utm_source=google&amp;utm_medium=cpc&amp;gclid=CjwKCAiAmsurBhBvEiwA6e-WPMBhRk3lwEscrEWYTfmnk9PGT3oHa13uKNipbrYGoDvXKnna8rbcCxoCcXc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4004</Words>
  <Characters>23226</Characters>
  <Application>Microsoft Office Word</Application>
  <DocSecurity>0</DocSecurity>
  <Lines>193</Lines>
  <Paragraphs>54</Paragraphs>
  <ScaleCrop>false</ScaleCrop>
  <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 (2108840)</dc:creator>
  <cp:keywords/>
  <dc:description/>
  <cp:lastModifiedBy>Alina Mucenic (2108840)</cp:lastModifiedBy>
  <cp:revision>2</cp:revision>
  <dcterms:created xsi:type="dcterms:W3CDTF">2023-12-08T14:42:00Z</dcterms:created>
  <dcterms:modified xsi:type="dcterms:W3CDTF">2023-12-08T14:42:00Z</dcterms:modified>
</cp:coreProperties>
</file>