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29CF" w:rsidP="000129CF" w:rsidRDefault="000129CF" w14:paraId="16A9D7B9" w14:textId="77777777">
      <w:pPr>
        <w:pStyle w:val="Normal1"/>
        <w:spacing w:after="160" w:line="360" w:lineRule="auto"/>
        <w:ind w:firstLine="720"/>
        <w:jc w:val="center"/>
        <w:rPr>
          <w:b/>
        </w:rPr>
      </w:pPr>
    </w:p>
    <w:p w:rsidR="000129CF" w:rsidP="000129CF" w:rsidRDefault="000129CF" w14:paraId="13C495CA" w14:textId="77777777">
      <w:pPr>
        <w:pStyle w:val="Normal1"/>
        <w:spacing w:after="160" w:line="360" w:lineRule="auto"/>
        <w:ind w:firstLine="720"/>
        <w:jc w:val="center"/>
        <w:rPr>
          <w:b/>
        </w:rPr>
      </w:pPr>
    </w:p>
    <w:p w:rsidR="000129CF" w:rsidP="000129CF" w:rsidRDefault="000129CF" w14:paraId="2D193CEA" w14:textId="77777777">
      <w:pPr>
        <w:pStyle w:val="Normal1"/>
        <w:spacing w:after="160" w:line="360" w:lineRule="auto"/>
        <w:ind w:firstLine="720"/>
        <w:jc w:val="center"/>
        <w:rPr>
          <w:b/>
        </w:rPr>
      </w:pPr>
    </w:p>
    <w:p w:rsidR="000129CF" w:rsidP="000129CF" w:rsidRDefault="000129CF" w14:paraId="64178F67" w14:textId="77777777">
      <w:pPr>
        <w:pStyle w:val="Normal1"/>
        <w:spacing w:after="160" w:line="360" w:lineRule="auto"/>
        <w:ind w:firstLine="720"/>
        <w:jc w:val="center"/>
        <w:rPr>
          <w:b/>
        </w:rPr>
      </w:pPr>
    </w:p>
    <w:p w:rsidR="000129CF" w:rsidP="000129CF" w:rsidRDefault="000129CF" w14:paraId="552E2BA9" w14:textId="77777777">
      <w:pPr>
        <w:pStyle w:val="Normal1"/>
        <w:spacing w:after="160" w:line="360" w:lineRule="auto"/>
        <w:ind w:firstLine="720"/>
        <w:jc w:val="center"/>
        <w:rPr>
          <w:b/>
        </w:rPr>
      </w:pPr>
    </w:p>
    <w:p w:rsidR="000129CF" w:rsidP="000129CF" w:rsidRDefault="000129CF" w14:paraId="32CE3B5C" w14:textId="77777777">
      <w:pPr>
        <w:pStyle w:val="Normal1"/>
        <w:spacing w:after="160" w:line="360" w:lineRule="auto"/>
        <w:ind w:firstLine="720"/>
        <w:jc w:val="center"/>
        <w:rPr>
          <w:b/>
        </w:rPr>
      </w:pPr>
    </w:p>
    <w:p w:rsidR="000129CF" w:rsidP="000129CF" w:rsidRDefault="000129CF" w14:paraId="1299A434" w14:textId="77777777">
      <w:pPr>
        <w:pStyle w:val="Normal1"/>
        <w:spacing w:after="160" w:line="360" w:lineRule="auto"/>
        <w:ind w:firstLine="720"/>
        <w:jc w:val="center"/>
        <w:rPr>
          <w:b/>
        </w:rPr>
      </w:pPr>
    </w:p>
    <w:p w:rsidR="000129CF" w:rsidP="000129CF" w:rsidRDefault="000129CF" w14:paraId="63BF51BF" w14:textId="77777777">
      <w:pPr>
        <w:pStyle w:val="Normal1"/>
        <w:spacing w:after="160" w:line="360" w:lineRule="auto"/>
        <w:ind w:firstLine="720"/>
        <w:jc w:val="center"/>
        <w:rPr>
          <w:b/>
        </w:rPr>
      </w:pPr>
    </w:p>
    <w:p w:rsidR="000129CF" w:rsidP="000129CF" w:rsidRDefault="000129CF" w14:paraId="221FB9B9" w14:textId="77777777">
      <w:pPr>
        <w:pStyle w:val="Normal1"/>
        <w:spacing w:after="160" w:line="360" w:lineRule="auto"/>
        <w:ind w:firstLine="720"/>
        <w:jc w:val="center"/>
        <w:rPr>
          <w:b/>
        </w:rPr>
      </w:pPr>
    </w:p>
    <w:p w:rsidR="006A6167" w:rsidP="000129CF" w:rsidRDefault="00826576" w14:paraId="00000001" w14:textId="3DAFF390">
      <w:pPr>
        <w:pStyle w:val="Normal1"/>
        <w:spacing w:after="160" w:line="360" w:lineRule="auto"/>
        <w:ind w:firstLine="720"/>
        <w:jc w:val="center"/>
        <w:rPr>
          <w:b/>
        </w:rPr>
      </w:pPr>
      <w:r>
        <w:rPr>
          <w:b/>
        </w:rPr>
        <w:t>Impact of partnership working and information sharing</w:t>
      </w:r>
    </w:p>
    <w:p w:rsidR="006A6167" w:rsidP="000129CF" w:rsidRDefault="006A6167" w14:paraId="00000002" w14:textId="466479C0">
      <w:pPr>
        <w:pStyle w:val="Normal1"/>
        <w:spacing w:after="160" w:line="360" w:lineRule="auto"/>
        <w:ind w:firstLine="720"/>
        <w:jc w:val="center"/>
        <w:rPr>
          <w:b/>
        </w:rPr>
      </w:pPr>
    </w:p>
    <w:p w:rsidR="000129CF" w:rsidP="000129CF" w:rsidRDefault="000129CF" w14:paraId="179FA287" w14:textId="77777777">
      <w:pPr>
        <w:pStyle w:val="Normal1"/>
        <w:spacing w:after="160" w:line="360" w:lineRule="auto"/>
        <w:ind w:firstLine="720"/>
        <w:jc w:val="center"/>
        <w:rPr>
          <w:b/>
        </w:rPr>
      </w:pPr>
    </w:p>
    <w:p w:rsidRPr="000129CF" w:rsidR="000129CF" w:rsidP="000129CF" w:rsidRDefault="000129CF" w14:paraId="17F50F79" w14:textId="26DC0500">
      <w:pPr>
        <w:pStyle w:val="Normal1"/>
        <w:spacing w:after="200" w:line="360" w:lineRule="auto"/>
        <w:jc w:val="center"/>
      </w:pPr>
      <w:r w:rsidR="6670C1B3">
        <w:rPr/>
        <w:t>Catalin Teodorescu</w:t>
      </w:r>
    </w:p>
    <w:p w:rsidR="006A6167" w:rsidP="5C64C34E" w:rsidRDefault="006A6167" w14:paraId="0000000C" w14:textId="22B2325E">
      <w:pPr>
        <w:pStyle w:val="Normal1"/>
        <w:spacing w:after="200" w:line="360" w:lineRule="auto"/>
        <w:jc w:val="center"/>
      </w:pPr>
      <w:r w:rsidR="000129CF">
        <w:rPr/>
        <w:t>I</w:t>
      </w:r>
    </w:p>
    <w:p w:rsidR="006A6167" w:rsidRDefault="006A6167" w14:paraId="0000000D" w14:textId="77777777">
      <w:pPr>
        <w:pStyle w:val="Normal1"/>
        <w:spacing w:after="200" w:line="360" w:lineRule="auto"/>
        <w:jc w:val="both"/>
        <w:rPr>
          <w:b/>
        </w:rPr>
      </w:pPr>
    </w:p>
    <w:p w:rsidR="006A6167" w:rsidRDefault="006A6167" w14:paraId="0000000E" w14:textId="77777777">
      <w:pPr>
        <w:pStyle w:val="Normal1"/>
        <w:spacing w:after="200" w:line="360" w:lineRule="auto"/>
        <w:jc w:val="both"/>
        <w:rPr>
          <w:b/>
        </w:rPr>
      </w:pPr>
    </w:p>
    <w:p w:rsidR="006A6167" w:rsidRDefault="006A6167" w14:paraId="0000000F" w14:textId="77777777">
      <w:pPr>
        <w:pStyle w:val="Normal1"/>
        <w:spacing w:after="200" w:line="360" w:lineRule="auto"/>
        <w:jc w:val="both"/>
        <w:rPr>
          <w:b/>
        </w:rPr>
      </w:pPr>
    </w:p>
    <w:p w:rsidR="006A6167" w:rsidRDefault="006A6167" w14:paraId="00000010" w14:textId="77777777">
      <w:pPr>
        <w:pStyle w:val="Normal1"/>
        <w:spacing w:after="200" w:line="360" w:lineRule="auto"/>
        <w:jc w:val="both"/>
        <w:rPr>
          <w:b/>
        </w:rPr>
      </w:pPr>
    </w:p>
    <w:p w:rsidR="006A6167" w:rsidRDefault="006A6167" w14:paraId="00000011" w14:textId="77777777">
      <w:pPr>
        <w:pStyle w:val="Normal1"/>
        <w:spacing w:after="200" w:line="360" w:lineRule="auto"/>
        <w:jc w:val="both"/>
        <w:rPr>
          <w:b/>
        </w:rPr>
      </w:pPr>
    </w:p>
    <w:p w:rsidR="006A6167" w:rsidP="000129CF" w:rsidRDefault="000129CF" w14:paraId="1DDF46D6" w14:textId="68A8D794">
      <w:pPr>
        <w:rPr>
          <w:b/>
        </w:rPr>
      </w:pPr>
      <w:r>
        <w:rPr>
          <w:b/>
        </w:rPr>
        <w:br w:type="page"/>
      </w:r>
    </w:p>
    <w:p w:rsidR="006A6167" w:rsidRDefault="00826576" w14:paraId="00000017" w14:textId="77777777">
      <w:pPr>
        <w:pStyle w:val="Normal1"/>
        <w:spacing w:after="200" w:line="360" w:lineRule="auto"/>
        <w:jc w:val="center"/>
        <w:rPr>
          <w:b/>
        </w:rPr>
      </w:pPr>
      <w:r>
        <w:rPr>
          <w:b/>
        </w:rPr>
        <w:lastRenderedPageBreak/>
        <w:t xml:space="preserve"> </w:t>
      </w:r>
      <w:r>
        <w:rPr>
          <w:b/>
        </w:rPr>
        <w:t xml:space="preserve"> Introduction</w:t>
      </w:r>
    </w:p>
    <w:p w:rsidR="006A6167" w:rsidRDefault="00826576" w14:paraId="00000018" w14:textId="77777777">
      <w:pPr>
        <w:pStyle w:val="Normal1"/>
        <w:spacing w:after="200" w:line="360" w:lineRule="auto"/>
        <w:jc w:val="both"/>
      </w:pPr>
      <w:r>
        <w:t xml:space="preserve">In the past few decades, the police service has established partnerships with governmental, corporate, and nonprofit agencies. This has increased efficiency, handled a complex web of issues and improved public safety and security through the collaboration </w:t>
      </w:r>
      <w:r>
        <w:t xml:space="preserve">of efforts (Farrell, 2024). Partnership have been instrumental in tackling crime and disorder at both local and national levels, becoming a central theme in the public theme discourse. </w:t>
      </w:r>
    </w:p>
    <w:p w:rsidR="006A6167" w:rsidRDefault="00826576" w14:paraId="00000019" w14:textId="77777777">
      <w:pPr>
        <w:pStyle w:val="Normal1"/>
        <w:spacing w:after="200" w:line="360" w:lineRule="auto"/>
        <w:jc w:val="both"/>
      </w:pPr>
      <w:r>
        <w:t>The interest in the policing partnership has been reignited by the rem</w:t>
      </w:r>
      <w:r>
        <w:t>arkable reductions in police budgets and cuts, the escalating social inequality discourse, and the economic downturn. The main objective of this collaborative effort is to foster community safety and address any issues detrimental to public society(Farrell</w:t>
      </w:r>
      <w:r>
        <w:t>, 2024). The community safety partnership comprises representatives such as the Fire and Rescue Service, Probation Services, Local Authority, Health and the Police.</w:t>
      </w:r>
    </w:p>
    <w:p w:rsidR="006A6167" w:rsidRDefault="00826576" w14:paraId="0000001A" w14:textId="77777777">
      <w:pPr>
        <w:pStyle w:val="Normal1"/>
        <w:spacing w:after="200" w:line="360" w:lineRule="auto"/>
        <w:jc w:val="both"/>
        <w:rPr>
          <w:b/>
        </w:rPr>
      </w:pPr>
      <w:r>
        <w:t>Traditionally, the policing system in decision-making was centred heavily on experience and</w:t>
      </w:r>
      <w:r>
        <w:t xml:space="preserve"> intuition. However, partnerships involve resource and information sharing to achieve efficient and effective policing endeavours (Stenshol et al., 2023). Partnerships are essential in enhancing the utilization of resources and expertise from multisectoral</w:t>
      </w:r>
      <w:r>
        <w:t xml:space="preserve"> organizations, fostering trust within the community and creating a holistic approach aimed at crime prevention.</w:t>
      </w:r>
    </w:p>
    <w:p w:rsidR="006A6167" w:rsidRDefault="00826576" w14:paraId="0000001B" w14:textId="77777777">
      <w:pPr>
        <w:pStyle w:val="Normal1"/>
        <w:spacing w:after="200" w:line="360" w:lineRule="auto"/>
        <w:jc w:val="center"/>
        <w:rPr>
          <w:b/>
        </w:rPr>
      </w:pPr>
      <w:r>
        <w:rPr>
          <w:b/>
        </w:rPr>
        <w:t>Aspects of Partnership Initiatives</w:t>
      </w:r>
    </w:p>
    <w:p w:rsidR="006A6167" w:rsidRDefault="00826576" w14:paraId="0000001C" w14:textId="77777777">
      <w:pPr>
        <w:pStyle w:val="Normal1"/>
        <w:spacing w:after="200" w:line="360" w:lineRule="auto"/>
        <w:jc w:val="both"/>
      </w:pPr>
      <w:r>
        <w:t>The partnership incorporates collaboration from joint forces, which is very salient in problem-solving and y</w:t>
      </w:r>
      <w:r>
        <w:t>early identifying the root causes of local crime. Paternshp is crucial and utilizes skills and specialization from different organizations to solve problems and deliver services. It is an integrated method that not only involves information-sharing agreeme</w:t>
      </w:r>
      <w:r>
        <w:t xml:space="preserve">nts (ISAs) between the police force and partner agencies but also incorporates an integrated approach to tackle crime and ensure the community's well-being (Plecas et al., 2011). </w:t>
      </w:r>
    </w:p>
    <w:p w:rsidR="006A6167" w:rsidRDefault="00826576" w14:paraId="0000001D" w14:textId="77777777">
      <w:pPr>
        <w:pStyle w:val="Normal1"/>
        <w:spacing w:after="200" w:line="360" w:lineRule="auto"/>
        <w:jc w:val="both"/>
      </w:pPr>
      <w:r>
        <w:t>There are different types of partnership initiatives, such as community poli</w:t>
      </w:r>
      <w:r>
        <w:t>cing. Community partnership involves the collaboration efforts of the police force and the community members in identifying problems and providing solutions (Plecas et al., 2011). The comprehensive understanding of the salient needs and concerns of the com</w:t>
      </w:r>
      <w:r>
        <w:t xml:space="preserve">munity is enabled through stronger relations that have been established between the police force and the general community, leading to policing strategies that are efficient and targeted for better solutions. However, multiagency collaboration initiatives </w:t>
      </w:r>
      <w:r>
        <w:t>are geared toward addressing specific problems such as drug abuse or issues related to domestic violence and, therefore, involve collaboration between governmental and non-governmental associations.</w:t>
      </w:r>
    </w:p>
    <w:p w:rsidR="006A6167" w:rsidRDefault="00826576" w14:paraId="0000001E" w14:textId="77777777">
      <w:pPr>
        <w:pStyle w:val="Normal1"/>
        <w:spacing w:after="200" w:line="360" w:lineRule="auto"/>
        <w:jc w:val="both"/>
      </w:pPr>
      <w:r>
        <w:lastRenderedPageBreak/>
        <w:t>Multiagency partnerships are very strategi have more oper</w:t>
      </w:r>
      <w:r>
        <w:t>ational focus and can involve collaborative efforts of Police and different stakeholders such as medical practitioners, social services and housing agencies to provide comprehensive support to individuals suffering from poverty, addiction or issues that ar</w:t>
      </w:r>
      <w:r>
        <w:t xml:space="preserve">e related to mental health, which is considered to be root causes of crime. Interagency partnerships, however, involve working alongside other law enforcement agencies, and this may involve other police forces or agencies, which is very salient in dealing </w:t>
      </w:r>
      <w:r>
        <w:t>with organized crimes or crimes that are considered to be central.</w:t>
      </w:r>
    </w:p>
    <w:p w:rsidR="006A6167" w:rsidRDefault="00826576" w14:paraId="0000001F" w14:textId="77777777">
      <w:pPr>
        <w:pStyle w:val="Normal1"/>
        <w:spacing w:after="200" w:line="360" w:lineRule="auto"/>
        <w:jc w:val="both"/>
      </w:pPr>
      <w:r>
        <w:t>Examples of partnership initiatives include the Boston  Gun Project (Operation Ceasefire), which began in 1990. It was a combined effort of Boston police forces, community initiatives and a</w:t>
      </w:r>
      <w:r>
        <w:t>cademic communities, which was successful in curbing youth violence, including gun crimes (Braga et al., 2017). The Troubled Families Programme in the UK was a multiagency collaboration that was very salient in ending in providing support to families to en</w:t>
      </w:r>
      <w:r>
        <w:t>d problems associated with poverty, truancy, unemployment and other anti-social behaviours, which played a significant role in ending crime and enhancing outcomes of the families (Braga et al., 2017).</w:t>
      </w:r>
    </w:p>
    <w:p w:rsidR="006A6167" w:rsidRDefault="00826576" w14:paraId="00000020" w14:textId="77777777">
      <w:pPr>
        <w:pStyle w:val="Normal1"/>
        <w:spacing w:after="200" w:line="360" w:lineRule="auto"/>
        <w:jc w:val="both"/>
      </w:pPr>
      <w:r>
        <w:t xml:space="preserve">Partnerships are essential in collecting and gathering </w:t>
      </w:r>
      <w:r>
        <w:t>information, crime reduction methods and building public trust and legitimacy between the police force and the people. However, partnership agencies may have different objectives and may be affected by communication barriers and other issues associated wit</w:t>
      </w:r>
      <w:r>
        <w:t>h data-sharing protocols.</w:t>
      </w:r>
    </w:p>
    <w:p w:rsidR="006A6167" w:rsidRDefault="00826576" w14:paraId="00000021" w14:textId="77777777">
      <w:pPr>
        <w:pStyle w:val="Normal1"/>
        <w:spacing w:after="200" w:line="360" w:lineRule="auto"/>
        <w:jc w:val="center"/>
        <w:rPr>
          <w:b/>
        </w:rPr>
      </w:pPr>
      <w:r>
        <w:rPr>
          <w:b/>
        </w:rPr>
        <w:t xml:space="preserve">Information Sharing in Policing </w:t>
      </w:r>
    </w:p>
    <w:p w:rsidR="006A6167" w:rsidRDefault="00826576" w14:paraId="00000022" w14:textId="77777777">
      <w:pPr>
        <w:pStyle w:val="Normal1"/>
        <w:spacing w:after="200" w:line="360" w:lineRule="auto"/>
        <w:jc w:val="both"/>
      </w:pPr>
      <w:r>
        <w:t>This refers to the method in which the Police or other law enforcement agencies exchange data between several departments inside an organization or the disclosure of data to a third-party organizat</w:t>
      </w:r>
      <w:r>
        <w:t>ion or organization (College of Policing, 2024). It could involve ongoing or one-time information processing between partners to accomplish a shared goal. The collaborative efforts ensure that information regarding crimes and prevention strategies is widel</w:t>
      </w:r>
      <w:r>
        <w:t>y circulated across all the partners. In policing, information sharing forms the cornerstone of intelligence gathering, minimizes response time and improves decision-making (College of Policing, 2024). However, sharing information between different agencie</w:t>
      </w:r>
      <w:r>
        <w:t>s may lead to privacy issues and data concerns, trust issues between different agencies and finally, incompatible systems and technologies, leading to a technological barrier. However, solutions to these problems are essential in ensuring collaborative eff</w:t>
      </w:r>
      <w:r>
        <w:t>orts and improving security accountability and transparency in the policing system.</w:t>
      </w:r>
    </w:p>
    <w:p w:rsidR="006A6167" w:rsidRDefault="00826576" w14:paraId="00000023" w14:textId="77777777">
      <w:pPr>
        <w:pStyle w:val="Normal1"/>
        <w:spacing w:after="200" w:line="360" w:lineRule="auto"/>
        <w:jc w:val="both"/>
      </w:pPr>
      <w:r>
        <w:t>The UK Police National Database (PND) enables sharing of salient information in the UK. The database ensures more comprehensive access to information between the police for</w:t>
      </w:r>
      <w:r>
        <w:t xml:space="preserve">ce and </w:t>
      </w:r>
      <w:r>
        <w:lastRenderedPageBreak/>
        <w:t>other law enforcement agencies at the national level. The system has centralized data, which has been very effective in providing common platforms where stakeholders can track criminal activities, transfer intelligence information, and ensure a coor</w:t>
      </w:r>
      <w:r>
        <w:t>dinated response to a crime. The system has improved information gathering and cured challenges related to information sharing.</w:t>
      </w:r>
    </w:p>
    <w:p w:rsidR="006A6167" w:rsidRDefault="00826576" w14:paraId="00000024" w14:textId="77777777">
      <w:pPr>
        <w:pStyle w:val="Normal1"/>
        <w:spacing w:after="200" w:line="360" w:lineRule="auto"/>
        <w:jc w:val="center"/>
        <w:rPr>
          <w:b/>
        </w:rPr>
      </w:pPr>
      <w:r>
        <w:rPr>
          <w:b/>
        </w:rPr>
        <w:t>Effective communication in Policing</w:t>
      </w:r>
    </w:p>
    <w:p w:rsidR="006A6167" w:rsidRDefault="00826576" w14:paraId="00000025" w14:textId="77777777">
      <w:pPr>
        <w:pStyle w:val="Normal1"/>
        <w:spacing w:after="200" w:line="360" w:lineRule="auto"/>
        <w:jc w:val="both"/>
      </w:pPr>
      <w:r>
        <w:t>Effective communication is essential for every partnership to succeed and share crucial info</w:t>
      </w:r>
      <w:r>
        <w:t>rmation(Hine &amp; Bragias, 2021). In policing, a two-way communication approach ensures a channel for sharing concerns, insights and feedback between the Police and the community. Effective communication in partnership policing builds trust between stakeholde</w:t>
      </w:r>
      <w:r>
        <w:t>rs, ensures clarity, eliminates potential misunderstandings, and ensures practical cooperation(Hine and Bragias, 2021). The communication strategies should entail regular meetings by different stakeholders, clear protocol, deployment of modern communicatio</w:t>
      </w:r>
      <w:r>
        <w:t xml:space="preserve">n tools, Microsoft Teams, regular training and development, and feedback mechanisms. </w:t>
      </w:r>
    </w:p>
    <w:p w:rsidR="006A6167" w:rsidRDefault="00826576" w14:paraId="00000026" w14:textId="77777777">
      <w:pPr>
        <w:pStyle w:val="Normal1"/>
        <w:spacing w:after="200" w:line="360" w:lineRule="auto"/>
        <w:jc w:val="both"/>
      </w:pPr>
      <w:r>
        <w:t>In the UK, the Multiagency Safeguarding Hubs (MASH) have illustrated the benefits of effective communication. The primary objective behind its establishment was to protec</w:t>
      </w:r>
      <w:r>
        <w:t>t children and adults at risk (Home Office, 2014). The multiagency in achieving this objective has dimensions of information sharing, risk assessment, and decision-making (Home Office, 2014). MASH has agency representatives from organizations such as child</w:t>
      </w:r>
      <w:r>
        <w:t>ren and adult social care, health services, Police and other services such as housing and probation (The Journal of Adult Protection, 2024). Effective communication within the MASH hub is vital since it ensures the corrupt and prompt transfer of informatio</w:t>
      </w:r>
      <w:r>
        <w:t xml:space="preserve">n of individuals who are at risk, fostering a coordinated and quick response to the pressing needs of these vulnerable individuals. The </w:t>
      </w:r>
    </w:p>
    <w:p w:rsidR="006A6167" w:rsidRDefault="00826576" w14:paraId="00000027" w14:textId="77777777">
      <w:pPr>
        <w:pStyle w:val="Normal1"/>
        <w:spacing w:after="200" w:line="360" w:lineRule="auto"/>
        <w:jc w:val="center"/>
      </w:pPr>
      <w:r>
        <w:rPr>
          <w:b/>
        </w:rPr>
        <w:t>The National Decision-Making Model (NDM)</w:t>
      </w:r>
    </w:p>
    <w:p w:rsidR="006A6167" w:rsidRDefault="00826576" w14:paraId="00000028" w14:textId="77777777">
      <w:pPr>
        <w:pStyle w:val="Normal1"/>
        <w:spacing w:after="200" w:line="360" w:lineRule="auto"/>
        <w:jc w:val="both"/>
      </w:pPr>
      <w:r>
        <w:t xml:space="preserve">The national decision model (NDM) is appropriate for all decisions and should </w:t>
      </w:r>
      <w:r>
        <w:t>be utilized by all law enforcement personnel (College of Policing, 2024). It is an essential framework in policing that guides the decision-making process. It applies to unplanned events or actions a person or group carries out in operational and non-opera</w:t>
      </w:r>
      <w:r>
        <w:t xml:space="preserve">tional circumstances (Fan et al., 2010). Decision-makers can use the NDM to organize a justification for their actions during an occurrence. NDM has salient elements such as a code of ethics, information gathering and intelligence, assessment of risks and </w:t>
      </w:r>
      <w:r>
        <w:t xml:space="preserve">threats, options, policy and powers and finally, actions and review. Police use the NDM as their primary decision model. However, Multiagency efforts between Police, fire and rescue, and ambulance services typically collaborate to resolve emergencies when </w:t>
      </w:r>
      <w:r>
        <w:t xml:space="preserve">they occur. </w:t>
      </w:r>
    </w:p>
    <w:p w:rsidR="006A6167" w:rsidRDefault="00826576" w14:paraId="00000029" w14:textId="77777777">
      <w:pPr>
        <w:pStyle w:val="Normal1"/>
        <w:spacing w:after="200" w:line="360" w:lineRule="auto"/>
        <w:jc w:val="both"/>
      </w:pPr>
      <w:r>
        <w:lastRenderedPageBreak/>
        <w:t>The NDM approach is very systematic and gives police officers a methodology that is key in assessing circumstances, collecting relevant information and data, considering available options and making an informed decision. NDM is paramount in en</w:t>
      </w:r>
      <w:r>
        <w:t>suring transparent decision-making, which is rational and grounded in objective criteria and facts rather than feelings or intuition (College of Policing, 2024). NDM is critical in evidence-based policy since it underscores the significance of evidence-gat</w:t>
      </w:r>
      <w:r>
        <w:t>hering and evaluation prior to decision-making. The approach discourages the police force from relying on their judgement or their experiences of the past to make a decision; instead, they ground their actions on scientific evidence such as research findin</w:t>
      </w:r>
      <w:r>
        <w:t xml:space="preserve">gs, empirical studies, and practices that are considered the best. </w:t>
      </w:r>
    </w:p>
    <w:p w:rsidR="00264CD9" w:rsidP="00264CD9" w:rsidRDefault="00AA6F89" w14:paraId="653DBB69" w14:textId="53FC6151">
      <w:pPr>
        <w:pStyle w:val="Normal1"/>
        <w:spacing w:after="200" w:line="360" w:lineRule="auto"/>
        <w:jc w:val="both"/>
      </w:pPr>
      <w:r w:rsidRPr="00AA6F89">
        <w:t xml:space="preserve">NDMs are also vital to problem-fixing methods because they ensure that the underlying reasons for present-day troubles or crimes are methodically located so that suitable action can be taken. By ensuring that the multiagencies use a comparable </w:t>
      </w:r>
      <w:r>
        <w:t>selection framework</w:t>
      </w:r>
      <w:r w:rsidRPr="00AA6F89">
        <w:t>, NDM guarantees that the choices made align with the investigations' desires (College of Policing, 2024). To improve corporation performance, the shared common NDM may be implemented, for instance, in a multiagency focused on preventing organised crime to evaluate intelligence, plan operations, and allocate assets (Edwards, 2021). NDM performs a leading position sharing by enhancing the evaluation of the methodical statistics. This is completed and allows you to make a given end. NDM, for example, can be used in intelligence operations, allowing counterterrorism businesses to speak and coordinate responses and determine threat degrees.</w:t>
      </w:r>
    </w:p>
    <w:p w:rsidR="00264CD9" w:rsidP="00264CD9" w:rsidRDefault="00264CD9" w14:paraId="0C4B995E" w14:textId="662F8962">
      <w:pPr>
        <w:pStyle w:val="Normal1"/>
        <w:spacing w:after="200" w:line="360" w:lineRule="auto"/>
        <w:jc w:val="center"/>
        <w:rPr>
          <w:b/>
        </w:rPr>
      </w:pPr>
      <w:r w:rsidRPr="00264CD9">
        <w:rPr>
          <w:b/>
        </w:rPr>
        <w:t>Conclusion</w:t>
      </w:r>
    </w:p>
    <w:p w:rsidRPr="00AA6F89" w:rsidR="00AA6F89" w:rsidP="00AA6F89" w:rsidRDefault="00AA6F89" w14:paraId="48B66512" w14:textId="4E7F9DCD">
      <w:pPr>
        <w:pStyle w:val="Normal1"/>
        <w:spacing w:after="200" w:line="360" w:lineRule="auto"/>
      </w:pPr>
      <w:bookmarkStart w:name="_GoBack" w:id="0"/>
      <w:bookmarkEnd w:id="0"/>
      <w:r w:rsidRPr="00AA6F89">
        <w:t>Organisational cooperation, data alternate, and sharing are essential to address complex troubles relating to network protection and policing. Opinions and carers' opinions are not blanketed inside the selection-making technique supplied using the National Decision Model. Using the NDM, groups and stakeholders can see that choices are based on reasoned analysis and facts to encourage them to take a proactive technique. It improves the effectiveness of preventative measures, allows organisations to coordinate their efforts better, and expands their ability to deal with challenging issues on network safety and law enforcement.</w:t>
      </w:r>
    </w:p>
    <w:p w:rsidR="00AA6F89" w:rsidRDefault="00AA6F89" w14:paraId="60C5D96D" w14:textId="77777777">
      <w:pPr>
        <w:rPr>
          <w:b/>
        </w:rPr>
      </w:pPr>
      <w:r>
        <w:rPr>
          <w:b/>
        </w:rPr>
        <w:br w:type="page"/>
      </w:r>
    </w:p>
    <w:p w:rsidR="006A6167" w:rsidP="5C64C34E" w:rsidRDefault="00826576" w14:paraId="0000002F" w14:textId="4305109A">
      <w:pPr>
        <w:pStyle w:val="Normal1"/>
        <w:spacing w:after="200" w:line="360" w:lineRule="auto"/>
        <w:jc w:val="center"/>
        <w:rPr>
          <w:b w:val="1"/>
          <w:bCs w:val="1"/>
        </w:rPr>
      </w:pPr>
      <w:r w:rsidRPr="5C64C34E" w:rsidR="44736FB9">
        <w:rPr>
          <w:b w:val="1"/>
          <w:bCs w:val="1"/>
        </w:rPr>
        <w:t>References</w:t>
      </w:r>
    </w:p>
    <w:p w:rsidR="006A6167" w:rsidP="5C64C34E" w:rsidRDefault="00826576" w14:paraId="00000030" w14:textId="4DC3F225">
      <w:pPr>
        <w:pStyle w:val="Normal1"/>
        <w:numPr>
          <w:ilvl w:val="0"/>
          <w:numId w:val="2"/>
        </w:numPr>
        <w:spacing w:before="240" w:line="360" w:lineRule="auto"/>
        <w:ind/>
        <w:jc w:val="both"/>
        <w:rPr/>
      </w:pPr>
      <w:r w:rsidR="00826576">
        <w:rPr/>
        <w:t xml:space="preserve">Braga, A.A., et al., 2017. Problem-oriented policing, deterrence, and youth violence: An evaluation of Boston's Operation Ceasefire. In: </w:t>
      </w:r>
      <w:r w:rsidRPr="5C64C34E" w:rsidR="00826576">
        <w:rPr>
          <w:i w:val="1"/>
          <w:iCs w:val="1"/>
        </w:rPr>
        <w:t>Gangs</w:t>
      </w:r>
      <w:r w:rsidR="00826576">
        <w:rPr/>
        <w:t>. Routledge, pp.513-543.</w:t>
      </w:r>
    </w:p>
    <w:p w:rsidR="006A6167" w:rsidP="5C64C34E" w:rsidRDefault="00826576" w14:paraId="00000031" w14:textId="28BF57F7">
      <w:pPr>
        <w:pStyle w:val="Normal1"/>
        <w:numPr>
          <w:ilvl w:val="0"/>
          <w:numId w:val="2"/>
        </w:numPr>
        <w:spacing w:line="360" w:lineRule="auto"/>
        <w:ind/>
        <w:jc w:val="both"/>
        <w:rPr/>
      </w:pPr>
      <w:r w:rsidR="00826576">
        <w:rPr/>
        <w:t>College of Pol</w:t>
      </w:r>
      <w:r w:rsidR="00826576">
        <w:rPr/>
        <w:t xml:space="preserve">icing, 2024. </w:t>
      </w:r>
      <w:r w:rsidRPr="5C64C34E" w:rsidR="00826576">
        <w:rPr>
          <w:i w:val="1"/>
          <w:iCs w:val="1"/>
        </w:rPr>
        <w:t>National decision model</w:t>
      </w:r>
      <w:r w:rsidR="00826576">
        <w:rPr/>
        <w:t>. [online] Available at:</w:t>
      </w:r>
      <w:hyperlink r:id="R549b62edda664438">
        <w:r w:rsidR="00826576">
          <w:rPr/>
          <w:t xml:space="preserve"> </w:t>
        </w:r>
      </w:hyperlink>
      <w:hyperlink r:id="R3f82bcb1214c4edc">
        <w:r w:rsidRPr="5C64C34E" w:rsidR="00826576">
          <w:rPr>
            <w:color w:val="1155CC"/>
            <w:u w:val="single"/>
          </w:rPr>
          <w:t>https://www.college.police.uk/app/national-decision-model/national-decision-model</w:t>
        </w:r>
      </w:hyperlink>
      <w:r w:rsidR="00826576">
        <w:rPr/>
        <w:t xml:space="preserve"> </w:t>
      </w:r>
    </w:p>
    <w:p w:rsidR="006A6167" w:rsidP="5C64C34E" w:rsidRDefault="00826576" w14:paraId="00000032" w14:textId="03EC4AD1">
      <w:pPr>
        <w:pStyle w:val="Normal1"/>
        <w:numPr>
          <w:ilvl w:val="0"/>
          <w:numId w:val="2"/>
        </w:numPr>
        <w:spacing w:line="360" w:lineRule="auto"/>
        <w:ind/>
        <w:jc w:val="both"/>
        <w:rPr/>
      </w:pPr>
      <w:r w:rsidR="00826576">
        <w:rPr/>
        <w:t xml:space="preserve">College of Policing, 2024. </w:t>
      </w:r>
      <w:r w:rsidRPr="5C64C34E" w:rsidR="00826576">
        <w:rPr>
          <w:i w:val="1"/>
          <w:iCs w:val="1"/>
        </w:rPr>
        <w:t>National decision model</w:t>
      </w:r>
      <w:r w:rsidR="00826576">
        <w:rPr/>
        <w:t>. [online] Available at:</w:t>
      </w:r>
      <w:hyperlink r:id="Rd0dc12212075409a">
        <w:r w:rsidR="00826576">
          <w:rPr/>
          <w:t xml:space="preserve"> </w:t>
        </w:r>
      </w:hyperlink>
      <w:hyperlink r:id="Rc03e1cebb9334bab">
        <w:r w:rsidRPr="5C64C34E" w:rsidR="00826576">
          <w:rPr>
            <w:color w:val="1155CC"/>
            <w:u w:val="single"/>
          </w:rPr>
          <w:t>https://www.college.police.uk/app/information-management/informat</w:t>
        </w:r>
        <w:r w:rsidRPr="5C64C34E" w:rsidR="00826576">
          <w:rPr>
            <w:color w:val="1155CC"/>
            <w:u w:val="single"/>
          </w:rPr>
          <w:t>ion-sharing</w:t>
        </w:r>
      </w:hyperlink>
      <w:r w:rsidR="000129CF">
        <w:rPr/>
        <w:t xml:space="preserve"> </w:t>
      </w:r>
    </w:p>
    <w:p w:rsidR="006A6167" w:rsidP="5C64C34E" w:rsidRDefault="00826576" w14:paraId="00000033" w14:textId="2325F169">
      <w:pPr>
        <w:pStyle w:val="Normal1"/>
        <w:numPr>
          <w:ilvl w:val="0"/>
          <w:numId w:val="2"/>
        </w:numPr>
        <w:spacing w:line="360" w:lineRule="auto"/>
        <w:ind/>
        <w:jc w:val="both"/>
        <w:rPr/>
      </w:pPr>
      <w:r w:rsidR="00826576">
        <w:rPr/>
        <w:t xml:space="preserve">Edwards, J., 2021. </w:t>
      </w:r>
      <w:r w:rsidRPr="5C64C34E" w:rsidR="00826576">
        <w:rPr>
          <w:i w:val="1"/>
          <w:iCs w:val="1"/>
        </w:rPr>
        <w:t>Practitioner perspectives of the national decision model's utility in criminal investigations and response policing</w:t>
      </w:r>
      <w:r w:rsidR="00826576">
        <w:rPr/>
        <w:t>. Master's thesis, Canterbury Christ Church University (United Kingdom).</w:t>
      </w:r>
    </w:p>
    <w:p w:rsidR="006A6167" w:rsidP="5C64C34E" w:rsidRDefault="00826576" w14:paraId="00000034" w14:textId="19395B40">
      <w:pPr>
        <w:pStyle w:val="Normal1"/>
        <w:numPr>
          <w:ilvl w:val="0"/>
          <w:numId w:val="2"/>
        </w:numPr>
        <w:spacing w:line="360" w:lineRule="auto"/>
        <w:ind/>
        <w:jc w:val="both"/>
        <w:rPr/>
      </w:pPr>
      <w:r w:rsidR="00826576">
        <w:rPr/>
        <w:t xml:space="preserve">Fan, X., McNeese, M. and Yen, J., 2010. NDM-based cognitive agents for supporting decision-making teams. </w:t>
      </w:r>
      <w:r w:rsidRPr="5C64C34E" w:rsidR="00826576">
        <w:rPr>
          <w:i w:val="1"/>
          <w:iCs w:val="1"/>
        </w:rPr>
        <w:t>Human–Computer Interaction</w:t>
      </w:r>
      <w:r w:rsidR="00826576">
        <w:rPr/>
        <w:t>, 25(3), pp.195-234.</w:t>
      </w:r>
    </w:p>
    <w:p w:rsidR="006A6167" w:rsidP="5C64C34E" w:rsidRDefault="00826576" w14:paraId="00000035" w14:textId="0FB0D91E">
      <w:pPr>
        <w:pStyle w:val="Normal1"/>
        <w:numPr>
          <w:ilvl w:val="0"/>
          <w:numId w:val="2"/>
        </w:numPr>
        <w:spacing w:line="360" w:lineRule="auto"/>
        <w:ind/>
        <w:jc w:val="both"/>
        <w:rPr/>
      </w:pPr>
      <w:r w:rsidR="00826576">
        <w:rPr/>
        <w:t xml:space="preserve">Farrell, C., 2024. Policing &amp; Partnership Working – Why is this important. </w:t>
      </w:r>
      <w:r w:rsidRPr="5C64C34E" w:rsidR="00826576">
        <w:rPr>
          <w:i w:val="1"/>
          <w:iCs w:val="1"/>
        </w:rPr>
        <w:t>Careers in Blue</w:t>
      </w:r>
      <w:r w:rsidR="00826576">
        <w:rPr/>
        <w:t>. [online] 8 A</w:t>
      </w:r>
      <w:r w:rsidR="00826576">
        <w:rPr/>
        <w:t>pril. Available at:</w:t>
      </w:r>
      <w:hyperlink r:id="R06c64e0583004280">
        <w:r w:rsidR="00826576">
          <w:rPr/>
          <w:t xml:space="preserve"> </w:t>
        </w:r>
      </w:hyperlink>
      <w:hyperlink r:id="Ra9f0ded935b84d79">
        <w:r w:rsidRPr="5C64C34E" w:rsidR="00826576">
          <w:rPr>
            <w:color w:val="1155CC"/>
            <w:u w:val="single"/>
          </w:rPr>
          <w:t>https://careersinblue.co.uk/partnership-working-why-is-t</w:t>
        </w:r>
        <w:r w:rsidRPr="5C64C34E" w:rsidR="00826576">
          <w:rPr>
            <w:color w:val="1155CC"/>
            <w:u w:val="single"/>
          </w:rPr>
          <w:t>his-important/</w:t>
        </w:r>
      </w:hyperlink>
      <w:r w:rsidR="00826576">
        <w:rPr/>
        <w:t xml:space="preserve"> [Accessed 19 July 2024].</w:t>
      </w:r>
    </w:p>
    <w:p w:rsidR="006A6167" w:rsidP="5C64C34E" w:rsidRDefault="00826576" w14:paraId="00000036" w14:textId="460D0B60">
      <w:pPr>
        <w:pStyle w:val="Normal1"/>
        <w:numPr>
          <w:ilvl w:val="0"/>
          <w:numId w:val="2"/>
        </w:numPr>
        <w:spacing w:line="360" w:lineRule="auto"/>
        <w:ind/>
        <w:jc w:val="both"/>
        <w:rPr/>
      </w:pPr>
      <w:r w:rsidR="00826576">
        <w:rPr/>
        <w:t xml:space="preserve">Hine, K.A. and Bragias, A., 2021. Effective communication during significant crises: a systematic literature review to identify best practices for Police. </w:t>
      </w:r>
      <w:r w:rsidRPr="5C64C34E" w:rsidR="00826576">
        <w:rPr>
          <w:i w:val="1"/>
          <w:iCs w:val="1"/>
        </w:rPr>
        <w:t>Police Practice and Research</w:t>
      </w:r>
      <w:r w:rsidR="00826576">
        <w:rPr/>
        <w:t>, 22(5), pp.1492-1507.</w:t>
      </w:r>
    </w:p>
    <w:p w:rsidR="006A6167" w:rsidP="5C64C34E" w:rsidRDefault="00826576" w14:paraId="00000037" w14:textId="43BCEB3A">
      <w:pPr>
        <w:pStyle w:val="Normal1"/>
        <w:numPr>
          <w:ilvl w:val="0"/>
          <w:numId w:val="2"/>
        </w:numPr>
        <w:spacing w:line="360" w:lineRule="auto"/>
        <w:ind/>
        <w:jc w:val="both"/>
        <w:rPr/>
      </w:pPr>
      <w:r w:rsidR="00826576">
        <w:rPr/>
        <w:t>Home Offic</w:t>
      </w:r>
      <w:r w:rsidR="00826576">
        <w:rPr/>
        <w:t xml:space="preserve">e, 2014. </w:t>
      </w:r>
      <w:r w:rsidRPr="5C64C34E" w:rsidR="00826576">
        <w:rPr>
          <w:i w:val="1"/>
          <w:iCs w:val="1"/>
        </w:rPr>
        <w:t>Multiagency Working and Information Sharing Project: Final report</w:t>
      </w:r>
      <w:r w:rsidR="00826576">
        <w:rPr/>
        <w:t>. [online] Available at:</w:t>
      </w:r>
      <w:hyperlink r:id="R35073a47469245c6">
        <w:r w:rsidR="00826576">
          <w:rPr/>
          <w:t xml:space="preserve"> </w:t>
        </w:r>
      </w:hyperlink>
      <w:hyperlink r:id="Rbe88452ebe404183">
        <w:r w:rsidRPr="5C64C34E" w:rsidR="00826576">
          <w:rPr>
            <w:color w:val="1155CC"/>
            <w:u w:val="single"/>
          </w:rPr>
          <w:t>https://assets.publishing.service.gov.uk/media/5a750ddb40f0b6360e472fa5/MASH.pdf</w:t>
        </w:r>
      </w:hyperlink>
      <w:r w:rsidR="00826576">
        <w:rPr/>
        <w:t xml:space="preserve"> </w:t>
      </w:r>
    </w:p>
    <w:p w:rsidR="006A6167" w:rsidP="5C64C34E" w:rsidRDefault="00826576" w14:paraId="00000038" w14:textId="4C6826AE">
      <w:pPr>
        <w:pStyle w:val="Normal1"/>
        <w:numPr>
          <w:ilvl w:val="0"/>
          <w:numId w:val="2"/>
        </w:numPr>
        <w:spacing w:line="360" w:lineRule="auto"/>
        <w:ind/>
        <w:jc w:val="both"/>
        <w:rPr/>
      </w:pPr>
      <w:r w:rsidR="00826576">
        <w:rPr/>
        <w:t xml:space="preserve">Plecas, D., et al., 2011. Evidence‐based solution to information sharing between law enforcement agencies. </w:t>
      </w:r>
      <w:r w:rsidRPr="5C64C34E" w:rsidR="00826576">
        <w:rPr>
          <w:i w:val="1"/>
          <w:iCs w:val="1"/>
        </w:rPr>
        <w:t>Policing: An International Journal of Police Strategies &amp; Management</w:t>
      </w:r>
      <w:r w:rsidR="00826576">
        <w:rPr/>
        <w:t>, 34(1), pp.120-134.</w:t>
      </w:r>
    </w:p>
    <w:p w:rsidR="006A6167" w:rsidP="5C64C34E" w:rsidRDefault="00826576" w14:paraId="00000039" w14:textId="176F3DDE">
      <w:pPr>
        <w:pStyle w:val="Normal1"/>
        <w:numPr>
          <w:ilvl w:val="0"/>
          <w:numId w:val="2"/>
        </w:numPr>
        <w:spacing w:line="360" w:lineRule="auto"/>
        <w:ind/>
        <w:jc w:val="both"/>
        <w:rPr/>
      </w:pPr>
      <w:r w:rsidR="00826576">
        <w:rPr/>
        <w:t>Stenshol</w:t>
      </w:r>
      <w:r w:rsidR="00826576">
        <w:rPr/>
        <w:t xml:space="preserve">, K., Risan, P., Knudsen, S. and </w:t>
      </w:r>
      <w:r w:rsidR="00826576">
        <w:rPr/>
        <w:t>Sætrevik</w:t>
      </w:r>
      <w:r w:rsidR="00826576">
        <w:rPr/>
        <w:t xml:space="preserve">, B., 2023. An explorative study of Police student’s decision-making in a critical incident scenario simulation. </w:t>
      </w:r>
      <w:r w:rsidRPr="5C64C34E" w:rsidR="00826576">
        <w:rPr>
          <w:i w:val="1"/>
          <w:iCs w:val="1"/>
        </w:rPr>
        <w:t>Polic</w:t>
      </w:r>
      <w:r w:rsidRPr="5C64C34E" w:rsidR="00826576">
        <w:rPr>
          <w:i w:val="1"/>
          <w:iCs w:val="1"/>
        </w:rPr>
        <w:t>ing: An International Journal of Police Strategies &amp; Management</w:t>
      </w:r>
      <w:r w:rsidR="00826576">
        <w:rPr/>
        <w:t>, 46(3), pp.401-418. Available at:</w:t>
      </w:r>
      <w:hyperlink r:id="Rf59f6fed2fb2488e">
        <w:r w:rsidR="00826576">
          <w:rPr/>
          <w:t xml:space="preserve"> </w:t>
        </w:r>
      </w:hyperlink>
      <w:hyperlink r:id="R2cf95552895840ce">
        <w:r w:rsidRPr="5C64C34E" w:rsidR="00826576">
          <w:rPr>
            <w:color w:val="1155CC"/>
            <w:u w:val="single"/>
          </w:rPr>
          <w:t>https://doi.org/10.1080/1561</w:t>
        </w:r>
        <w:r w:rsidRPr="5C64C34E" w:rsidR="00826576">
          <w:rPr>
            <w:color w:val="1155CC"/>
            <w:u w:val="single"/>
          </w:rPr>
          <w:t>4263.2023.2268789</w:t>
        </w:r>
      </w:hyperlink>
      <w:r w:rsidR="000129CF">
        <w:rPr/>
        <w:t xml:space="preserve"> </w:t>
      </w:r>
    </w:p>
    <w:p w:rsidR="006A6167" w:rsidP="5C64C34E" w:rsidRDefault="00826576" w14:paraId="0000003B" w14:textId="2C7D11D3">
      <w:pPr>
        <w:pStyle w:val="Normal1"/>
        <w:numPr>
          <w:ilvl w:val="0"/>
          <w:numId w:val="2"/>
        </w:numPr>
        <w:spacing w:after="240" w:line="360" w:lineRule="auto"/>
        <w:ind/>
        <w:jc w:val="both"/>
        <w:rPr/>
      </w:pPr>
      <w:r w:rsidR="00826576">
        <w:rPr/>
        <w:t xml:space="preserve">The Journal of Adult Protection, 2024. Practitioner perspectives of Multiagency Safeguarding Hubs (MASH). </w:t>
      </w:r>
      <w:r w:rsidRPr="5C64C34E" w:rsidR="00826576">
        <w:rPr>
          <w:i w:val="1"/>
          <w:iCs w:val="1"/>
        </w:rPr>
        <w:t>Central Lancashire Online Knowledge (</w:t>
      </w:r>
      <w:r w:rsidRPr="5C64C34E" w:rsidR="00826576">
        <w:rPr>
          <w:i w:val="1"/>
          <w:iCs w:val="1"/>
        </w:rPr>
        <w:t>CLoK</w:t>
      </w:r>
      <w:r w:rsidRPr="5C64C34E" w:rsidR="00826576">
        <w:rPr>
          <w:i w:val="1"/>
          <w:iCs w:val="1"/>
        </w:rPr>
        <w:t>)</w:t>
      </w:r>
      <w:r w:rsidR="00826576">
        <w:rPr/>
        <w:t>. [online] Available at:</w:t>
      </w:r>
      <w:hyperlink r:id="Rec82be5efd824e42">
        <w:r w:rsidR="00826576">
          <w:rPr/>
          <w:t xml:space="preserve"> </w:t>
        </w:r>
      </w:hyperlink>
      <w:hyperlink r:id="Rda58cb2658434924">
        <w:r w:rsidRPr="5C64C34E" w:rsidR="00826576">
          <w:rPr>
            <w:color w:val="1155CC"/>
            <w:u w:val="single"/>
          </w:rPr>
          <w:t>https://clok.uclan.ac.uk/31074/1/Accepted%20Proof%20Copy.pdf</w:t>
        </w:r>
      </w:hyperlink>
      <w:r w:rsidR="00826576">
        <w:rPr/>
        <w:t xml:space="preserve"> </w:t>
      </w:r>
    </w:p>
    <w:sectPr w:rsidR="006A6167">
      <w:headerReference w:type="default" r:id="rId19"/>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6576" w:rsidP="000129CF" w:rsidRDefault="00826576" w14:paraId="35C35E3E" w14:textId="77777777">
      <w:pPr>
        <w:spacing w:line="240" w:lineRule="auto"/>
      </w:pPr>
      <w:r>
        <w:separator/>
      </w:r>
    </w:p>
  </w:endnote>
  <w:endnote w:type="continuationSeparator" w:id="0">
    <w:p w:rsidR="00826576" w:rsidP="000129CF" w:rsidRDefault="00826576" w14:paraId="4F6B4D6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6576" w:rsidP="000129CF" w:rsidRDefault="00826576" w14:paraId="3E04A7BB" w14:textId="77777777">
      <w:pPr>
        <w:spacing w:line="240" w:lineRule="auto"/>
      </w:pPr>
      <w:r>
        <w:separator/>
      </w:r>
    </w:p>
  </w:footnote>
  <w:footnote w:type="continuationSeparator" w:id="0">
    <w:p w:rsidR="00826576" w:rsidP="000129CF" w:rsidRDefault="00826576" w14:paraId="44C4B77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3028849"/>
      <w:docPartObj>
        <w:docPartGallery w:val="Page Numbers (Top of Page)"/>
        <w:docPartUnique/>
      </w:docPartObj>
    </w:sdtPr>
    <w:sdtEndPr>
      <w:rPr>
        <w:noProof/>
      </w:rPr>
    </w:sdtEndPr>
    <w:sdtContent>
      <w:p w:rsidR="000129CF" w:rsidRDefault="000129CF" w14:paraId="3E361E98" w14:textId="11761985">
        <w:pPr>
          <w:pStyle w:val="Header"/>
          <w:jc w:val="right"/>
        </w:pPr>
        <w:r>
          <w:fldChar w:fldCharType="begin"/>
        </w:r>
        <w:r>
          <w:instrText xml:space="preserve"> PAGE   \* MERGEFORMAT </w:instrText>
        </w:r>
        <w:r>
          <w:fldChar w:fldCharType="separate"/>
        </w:r>
        <w:r w:rsidR="00AA6F89">
          <w:rPr>
            <w:noProof/>
          </w:rPr>
          <w:t>5</w:t>
        </w:r>
        <w:r>
          <w:rPr>
            <w:noProof/>
          </w:rPr>
          <w:fldChar w:fldCharType="end"/>
        </w:r>
      </w:p>
    </w:sdtContent>
  </w:sdt>
  <w:p w:rsidR="000129CF" w:rsidRDefault="000129CF" w14:paraId="7AD5A1B1" w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1">
    <w:nsid w:val="212ce3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E0C5DE3"/>
    <w:multiLevelType w:val="hybridMultilevel"/>
    <w:tmpl w:val="00000000"/>
    <w:lvl w:ilvl="0" w:tplc="D8000FC6">
      <w:start w:val="1"/>
      <w:numFmt w:val="decimal"/>
      <w:lvlText w:val="%1."/>
      <w:lvlJc w:val="left"/>
      <w:pPr>
        <w:ind w:left="720" w:hanging="360"/>
      </w:pPr>
      <w:rPr>
        <w:u w:val="none"/>
      </w:rPr>
    </w:lvl>
    <w:lvl w:ilvl="1" w:tplc="780A8210">
      <w:start w:val="1"/>
      <w:numFmt w:val="lowerLetter"/>
      <w:lvlText w:val="%2."/>
      <w:lvlJc w:val="left"/>
      <w:pPr>
        <w:ind w:left="1440" w:hanging="360"/>
      </w:pPr>
      <w:rPr>
        <w:u w:val="none"/>
      </w:rPr>
    </w:lvl>
    <w:lvl w:ilvl="2" w:tplc="22AECD10">
      <w:start w:val="1"/>
      <w:numFmt w:val="lowerRoman"/>
      <w:lvlText w:val="%3."/>
      <w:lvlJc w:val="right"/>
      <w:pPr>
        <w:ind w:left="2160" w:hanging="360"/>
      </w:pPr>
      <w:rPr>
        <w:u w:val="none"/>
      </w:rPr>
    </w:lvl>
    <w:lvl w:ilvl="3" w:tplc="8B54B390">
      <w:start w:val="1"/>
      <w:numFmt w:val="decimal"/>
      <w:lvlText w:val="%4."/>
      <w:lvlJc w:val="left"/>
      <w:pPr>
        <w:ind w:left="2880" w:hanging="360"/>
      </w:pPr>
      <w:rPr>
        <w:u w:val="none"/>
      </w:rPr>
    </w:lvl>
    <w:lvl w:ilvl="4" w:tplc="4D32C702">
      <w:start w:val="1"/>
      <w:numFmt w:val="lowerLetter"/>
      <w:lvlText w:val="%5."/>
      <w:lvlJc w:val="left"/>
      <w:pPr>
        <w:ind w:left="3600" w:hanging="360"/>
      </w:pPr>
      <w:rPr>
        <w:u w:val="none"/>
      </w:rPr>
    </w:lvl>
    <w:lvl w:ilvl="5" w:tplc="3676BAEE">
      <w:start w:val="1"/>
      <w:numFmt w:val="lowerRoman"/>
      <w:lvlText w:val="%6."/>
      <w:lvlJc w:val="right"/>
      <w:pPr>
        <w:ind w:left="4320" w:hanging="360"/>
      </w:pPr>
      <w:rPr>
        <w:u w:val="none"/>
      </w:rPr>
    </w:lvl>
    <w:lvl w:ilvl="6" w:tplc="B3AA145E">
      <w:start w:val="1"/>
      <w:numFmt w:val="decimal"/>
      <w:lvlText w:val="%7."/>
      <w:lvlJc w:val="left"/>
      <w:pPr>
        <w:ind w:left="5040" w:hanging="360"/>
      </w:pPr>
      <w:rPr>
        <w:u w:val="none"/>
      </w:rPr>
    </w:lvl>
    <w:lvl w:ilvl="7" w:tplc="A686D60E">
      <w:start w:val="1"/>
      <w:numFmt w:val="lowerLetter"/>
      <w:lvlText w:val="%8."/>
      <w:lvlJc w:val="left"/>
      <w:pPr>
        <w:ind w:left="5760" w:hanging="360"/>
      </w:pPr>
      <w:rPr>
        <w:u w:val="none"/>
      </w:rPr>
    </w:lvl>
    <w:lvl w:ilvl="8" w:tplc="8D706778">
      <w:start w:val="1"/>
      <w:numFmt w:val="lowerRoman"/>
      <w:lvlText w:val="%9."/>
      <w:lvlJc w:val="right"/>
      <w:pPr>
        <w:ind w:left="6480" w:hanging="360"/>
      </w:pPr>
      <w:rPr>
        <w:u w:val="none"/>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6167"/>
    <w:rsid w:val="000129CF"/>
    <w:rsid w:val="00264CD9"/>
    <w:rsid w:val="006A6167"/>
    <w:rsid w:val="00826576"/>
    <w:rsid w:val="00A7531B"/>
    <w:rsid w:val="00AA6F89"/>
    <w:rsid w:val="44736FB9"/>
    <w:rsid w:val="5C60608E"/>
    <w:rsid w:val="5C64C34E"/>
    <w:rsid w:val="6670C1B3"/>
    <w:rsid w:val="680C570E"/>
    <w:rsid w:val="6AB92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CCF2B2"/>
  <w15:docId w15:val="{0D417BEC-D85F-48EB-8E07-E270B0008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129CF"/>
    <w:pPr>
      <w:tabs>
        <w:tab w:val="center" w:pos="4680"/>
        <w:tab w:val="right" w:pos="9360"/>
      </w:tabs>
      <w:spacing w:line="240" w:lineRule="auto"/>
    </w:pPr>
  </w:style>
  <w:style w:type="character" w:styleId="HeaderChar" w:customStyle="1">
    <w:name w:val="Header Char"/>
    <w:basedOn w:val="DefaultParagraphFont"/>
    <w:link w:val="Header"/>
    <w:uiPriority w:val="99"/>
    <w:rsid w:val="000129CF"/>
  </w:style>
  <w:style w:type="paragraph" w:styleId="Footer">
    <w:name w:val="footer"/>
    <w:basedOn w:val="Normal"/>
    <w:link w:val="FooterChar"/>
    <w:uiPriority w:val="99"/>
    <w:unhideWhenUsed/>
    <w:rsid w:val="000129CF"/>
    <w:pPr>
      <w:tabs>
        <w:tab w:val="center" w:pos="4680"/>
        <w:tab w:val="right" w:pos="9360"/>
      </w:tabs>
      <w:spacing w:line="240" w:lineRule="auto"/>
    </w:pPr>
  </w:style>
  <w:style w:type="character" w:styleId="FooterChar" w:customStyle="1">
    <w:name w:val="Footer Char"/>
    <w:basedOn w:val="DefaultParagraphFont"/>
    <w:link w:val="Footer"/>
    <w:uiPriority w:val="99"/>
    <w:rsid w:val="00012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hyperlink" Target="https://www.college.police.uk/app/national-decision-model/national-decision-model" TargetMode="External" Id="R549b62edda664438" /><Relationship Type="http://schemas.openxmlformats.org/officeDocument/2006/relationships/hyperlink" Target="https://www.college.police.uk/app/national-decision-model/national-decision-model" TargetMode="External" Id="R3f82bcb1214c4edc" /><Relationship Type="http://schemas.openxmlformats.org/officeDocument/2006/relationships/hyperlink" Target="https://www.college.police.uk/app/information-management/information-sharing" TargetMode="External" Id="Rd0dc12212075409a" /><Relationship Type="http://schemas.openxmlformats.org/officeDocument/2006/relationships/hyperlink" Target="https://www.college.police.uk/app/information-management/information-sharing" TargetMode="External" Id="Rc03e1cebb9334bab" /><Relationship Type="http://schemas.openxmlformats.org/officeDocument/2006/relationships/hyperlink" Target="https://careersinblue.co.uk/partnership-working-why-is-this-important/" TargetMode="External" Id="R06c64e0583004280" /><Relationship Type="http://schemas.openxmlformats.org/officeDocument/2006/relationships/hyperlink" Target="https://careersinblue.co.uk/partnership-working-why-is-this-important/" TargetMode="External" Id="Ra9f0ded935b84d79" /><Relationship Type="http://schemas.openxmlformats.org/officeDocument/2006/relationships/hyperlink" Target="https://assets.publishing.service.gov.uk/media/5a750ddb40f0b6360e472fa5/MASH.pdf" TargetMode="External" Id="R35073a47469245c6" /><Relationship Type="http://schemas.openxmlformats.org/officeDocument/2006/relationships/hyperlink" Target="https://assets.publishing.service.gov.uk/media/5a750ddb40f0b6360e472fa5/MASH.pdf" TargetMode="External" Id="Rbe88452ebe404183" /><Relationship Type="http://schemas.openxmlformats.org/officeDocument/2006/relationships/hyperlink" Target="https://doi.org/10.1080/15614263.2023.2268789" TargetMode="External" Id="Rf59f6fed2fb2488e" /><Relationship Type="http://schemas.openxmlformats.org/officeDocument/2006/relationships/hyperlink" Target="https://doi.org/10.1080/15614263.2023.2268789" TargetMode="External" Id="R2cf95552895840ce" /><Relationship Type="http://schemas.openxmlformats.org/officeDocument/2006/relationships/hyperlink" Target="https://clok.uclan.ac.uk/31074/1/Accepted%20Proof%20Copy.pdf" TargetMode="External" Id="Rec82be5efd824e42" /><Relationship Type="http://schemas.openxmlformats.org/officeDocument/2006/relationships/hyperlink" Target="https://clok.uclan.ac.uk/31074/1/Accepted%20Proof%20Copy.pdf" TargetMode="External" Id="Rda58cb26584349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FIDEL</dc:creator>
  <lastModifiedBy>Teo Catalin</lastModifiedBy>
  <revision>3</revision>
  <dcterms:created xsi:type="dcterms:W3CDTF">2024-07-19T10:13:00.0000000Z</dcterms:created>
  <dcterms:modified xsi:type="dcterms:W3CDTF">2024-07-19T15:11:36.3908757Z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c66111f4b4e3703581fc0231ea4f0401d288ebc129b62e5f207f466000da04ff</vt:lpwstr>
  </property>
</Properties>
</file>