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6439989"/>
        <w:docPartObj>
          <w:docPartGallery w:val="Cover Pages"/>
          <w:docPartUnique/>
        </w:docPartObj>
      </w:sdtPr>
      <w:sdtEndPr>
        <w:rPr>
          <w:rFonts w:ascii="Amasis MT Pro" w:hAnsi="Amasis MT Pro"/>
          <w:b/>
          <w:i/>
          <w:iCs/>
          <w:sz w:val="36"/>
          <w:szCs w:val="36"/>
          <w:u w:val="single"/>
        </w:rPr>
      </w:sdtEndPr>
      <w:sdtContent>
        <w:p w14:paraId="2B23B784" w14:textId="60903ABC" w:rsidR="008E03B8" w:rsidRDefault="008E03B8">
          <w:r>
            <w:rPr>
              <w:noProof/>
            </w:rPr>
            <mc:AlternateContent>
              <mc:Choice Requires="wpg">
                <w:drawing>
                  <wp:anchor distT="0" distB="0" distL="114300" distR="114300" simplePos="0" relativeHeight="251659264" behindDoc="1" locked="0" layoutInCell="1" allowOverlap="1" wp14:anchorId="14440A96" wp14:editId="1156E8D9">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8AE06F8" w14:textId="6082B6BF" w:rsidR="008E03B8" w:rsidRDefault="008E03B8">
                                      <w:pPr>
                                        <w:pStyle w:val="NoSpacing"/>
                                        <w:rPr>
                                          <w:color w:val="FFFFFF" w:themeColor="background1"/>
                                          <w:sz w:val="32"/>
                                          <w:szCs w:val="32"/>
                                        </w:rPr>
                                      </w:pPr>
                                      <w:r>
                                        <w:rPr>
                                          <w:color w:val="FFFFFF" w:themeColor="background1"/>
                                          <w:sz w:val="32"/>
                                          <w:szCs w:val="32"/>
                                        </w:rPr>
                                        <w:t>Denyss Nagy</w:t>
                                      </w:r>
                                    </w:p>
                                  </w:sdtContent>
                                </w:sdt>
                                <w:p w14:paraId="174E0C19" w14:textId="1ED6D100" w:rsidR="008E03B8" w:rsidRDefault="008E03B8">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badi" w:eastAsiaTheme="majorEastAsia" w:hAnsi="Abadi" w:cstheme="majorBidi"/>
                                      <w:color w:val="404040" w:themeColor="text1" w:themeTint="BF"/>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08151BE" w14:textId="35CD6BF8" w:rsidR="008E03B8" w:rsidRPr="008E03B8" w:rsidRDefault="008E03B8">
                                      <w:pPr>
                                        <w:pStyle w:val="NoSpacing"/>
                                        <w:pBdr>
                                          <w:bottom w:val="single" w:sz="6" w:space="4" w:color="7F7F7F" w:themeColor="text1" w:themeTint="80"/>
                                        </w:pBdr>
                                        <w:rPr>
                                          <w:rFonts w:ascii="Abadi" w:eastAsiaTheme="majorEastAsia" w:hAnsi="Abadi" w:cstheme="majorBidi"/>
                                          <w:color w:val="404040" w:themeColor="text1" w:themeTint="BF"/>
                                          <w:sz w:val="108"/>
                                          <w:szCs w:val="108"/>
                                        </w:rPr>
                                      </w:pPr>
                                      <w:r w:rsidRPr="008E03B8">
                                        <w:rPr>
                                          <w:rFonts w:ascii="Abadi" w:eastAsiaTheme="majorEastAsia" w:hAnsi="Abadi" w:cstheme="majorBidi"/>
                                          <w:color w:val="404040" w:themeColor="text1" w:themeTint="BF"/>
                                          <w:sz w:val="108"/>
                                          <w:szCs w:val="108"/>
                                        </w:rPr>
                                        <w:t>Public Law</w:t>
                                      </w:r>
                                    </w:p>
                                  </w:sdtContent>
                                </w:sdt>
                                <w:sdt>
                                  <w:sdtPr>
                                    <w:rPr>
                                      <w:i/>
                                      <w:sz w:val="28"/>
                                      <w:szCs w:val="28"/>
                                      <w:lang w:val="en-GB" w:eastAsia="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C29B6DF" w14:textId="00EBC70D" w:rsidR="008E03B8" w:rsidRDefault="008E03B8">
                                      <w:pPr>
                                        <w:pStyle w:val="NoSpacing"/>
                                        <w:spacing w:before="240"/>
                                        <w:rPr>
                                          <w:caps/>
                                          <w:color w:val="44546A" w:themeColor="text2"/>
                                          <w:sz w:val="36"/>
                                          <w:szCs w:val="36"/>
                                        </w:rPr>
                                      </w:pPr>
                                      <w:r w:rsidRPr="008E03B8">
                                        <w:rPr>
                                          <w:i/>
                                          <w:sz w:val="28"/>
                                          <w:szCs w:val="28"/>
                                          <w:lang w:val="en-GB" w:eastAsia="en-GB"/>
                                        </w:rPr>
                                        <w:t>‘Constructive relationships between the three arms of government—the executive, the legislature</w:t>
                                      </w:r>
                                      <w:r>
                                        <w:rPr>
                                          <w:i/>
                                          <w:sz w:val="28"/>
                                          <w:szCs w:val="28"/>
                                          <w:lang w:val="en-GB" w:eastAsia="en-GB"/>
                                        </w:rPr>
                                        <w:t>,</w:t>
                                      </w:r>
                                      <w:r w:rsidRPr="008E03B8">
                                        <w:rPr>
                                          <w:i/>
                                          <w:sz w:val="28"/>
                                          <w:szCs w:val="28"/>
                                          <w:lang w:val="en-GB" w:eastAsia="en-GB"/>
                                        </w:rPr>
                                        <w:t xml:space="preserve"> and the judiciary—are essential to the effective maintenance of the constitution and the rule of law. In recent years, the character of these relationships has changed significantly, both because of changes in governance and because of wider societal change’ (UK Government, 2007).</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4440A96"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8AE06F8" w14:textId="6082B6BF" w:rsidR="008E03B8" w:rsidRDefault="008E03B8">
                                <w:pPr>
                                  <w:pStyle w:val="NoSpacing"/>
                                  <w:rPr>
                                    <w:color w:val="FFFFFF" w:themeColor="background1"/>
                                    <w:sz w:val="32"/>
                                    <w:szCs w:val="32"/>
                                  </w:rPr>
                                </w:pPr>
                                <w:r>
                                  <w:rPr>
                                    <w:color w:val="FFFFFF" w:themeColor="background1"/>
                                    <w:sz w:val="32"/>
                                    <w:szCs w:val="32"/>
                                  </w:rPr>
                                  <w:t>Denyss Nagy</w:t>
                                </w:r>
                              </w:p>
                            </w:sdtContent>
                          </w:sdt>
                          <w:p w14:paraId="174E0C19" w14:textId="1ED6D100" w:rsidR="008E03B8" w:rsidRDefault="008E03B8">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badi" w:eastAsiaTheme="majorEastAsia" w:hAnsi="Abadi" w:cstheme="majorBidi"/>
                                <w:color w:val="404040" w:themeColor="text1" w:themeTint="BF"/>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08151BE" w14:textId="35CD6BF8" w:rsidR="008E03B8" w:rsidRPr="008E03B8" w:rsidRDefault="008E03B8">
                                <w:pPr>
                                  <w:pStyle w:val="NoSpacing"/>
                                  <w:pBdr>
                                    <w:bottom w:val="single" w:sz="6" w:space="4" w:color="7F7F7F" w:themeColor="text1" w:themeTint="80"/>
                                  </w:pBdr>
                                  <w:rPr>
                                    <w:rFonts w:ascii="Abadi" w:eastAsiaTheme="majorEastAsia" w:hAnsi="Abadi" w:cstheme="majorBidi"/>
                                    <w:color w:val="404040" w:themeColor="text1" w:themeTint="BF"/>
                                    <w:sz w:val="108"/>
                                    <w:szCs w:val="108"/>
                                  </w:rPr>
                                </w:pPr>
                                <w:r w:rsidRPr="008E03B8">
                                  <w:rPr>
                                    <w:rFonts w:ascii="Abadi" w:eastAsiaTheme="majorEastAsia" w:hAnsi="Abadi" w:cstheme="majorBidi"/>
                                    <w:color w:val="404040" w:themeColor="text1" w:themeTint="BF"/>
                                    <w:sz w:val="108"/>
                                    <w:szCs w:val="108"/>
                                  </w:rPr>
                                  <w:t>Public Law</w:t>
                                </w:r>
                              </w:p>
                            </w:sdtContent>
                          </w:sdt>
                          <w:sdt>
                            <w:sdtPr>
                              <w:rPr>
                                <w:i/>
                                <w:sz w:val="28"/>
                                <w:szCs w:val="28"/>
                                <w:lang w:val="en-GB" w:eastAsia="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C29B6DF" w14:textId="00EBC70D" w:rsidR="008E03B8" w:rsidRDefault="008E03B8">
                                <w:pPr>
                                  <w:pStyle w:val="NoSpacing"/>
                                  <w:spacing w:before="240"/>
                                  <w:rPr>
                                    <w:caps/>
                                    <w:color w:val="44546A" w:themeColor="text2"/>
                                    <w:sz w:val="36"/>
                                    <w:szCs w:val="36"/>
                                  </w:rPr>
                                </w:pPr>
                                <w:r w:rsidRPr="008E03B8">
                                  <w:rPr>
                                    <w:i/>
                                    <w:sz w:val="28"/>
                                    <w:szCs w:val="28"/>
                                    <w:lang w:val="en-GB" w:eastAsia="en-GB"/>
                                  </w:rPr>
                                  <w:t>‘Constructive relationships between the three arms of government—the executive, the legislature</w:t>
                                </w:r>
                                <w:r>
                                  <w:rPr>
                                    <w:i/>
                                    <w:sz w:val="28"/>
                                    <w:szCs w:val="28"/>
                                    <w:lang w:val="en-GB" w:eastAsia="en-GB"/>
                                  </w:rPr>
                                  <w:t>,</w:t>
                                </w:r>
                                <w:r w:rsidRPr="008E03B8">
                                  <w:rPr>
                                    <w:i/>
                                    <w:sz w:val="28"/>
                                    <w:szCs w:val="28"/>
                                    <w:lang w:val="en-GB" w:eastAsia="en-GB"/>
                                  </w:rPr>
                                  <w:t xml:space="preserve"> and the judiciary—are essential to the effective maintenance of the constitution and the rule of law. In recent years, the character of these relationships has changed significantly, both because of changes in governance and because of wider societal change’ (UK Government, 2007).</w:t>
                                </w:r>
                              </w:p>
                            </w:sdtContent>
                          </w:sdt>
                        </w:txbxContent>
                      </v:textbox>
                    </v:shape>
                    <w10:wrap anchorx="page" anchory="page"/>
                  </v:group>
                </w:pict>
              </mc:Fallback>
            </mc:AlternateContent>
          </w:r>
        </w:p>
        <w:p w14:paraId="75598BD2" w14:textId="0FE1424C" w:rsidR="008E03B8" w:rsidRDefault="008E03B8">
          <w:pPr>
            <w:rPr>
              <w:rFonts w:ascii="Amasis MT Pro" w:hAnsi="Amasis MT Pro"/>
              <w:b/>
              <w:i/>
              <w:iCs/>
              <w:sz w:val="36"/>
              <w:szCs w:val="36"/>
              <w:u w:val="single"/>
            </w:rPr>
          </w:pPr>
          <w:r>
            <w:rPr>
              <w:rFonts w:ascii="Amasis MT Pro" w:hAnsi="Amasis MT Pro"/>
              <w:b/>
              <w:i/>
              <w:iCs/>
              <w:sz w:val="36"/>
              <w:szCs w:val="36"/>
              <w:u w:val="single"/>
            </w:rPr>
            <w:br w:type="page"/>
          </w:r>
        </w:p>
      </w:sdtContent>
    </w:sdt>
    <w:p w14:paraId="5D30AB91" w14:textId="570EFF00" w:rsidR="00202EED" w:rsidRDefault="00202EED" w:rsidP="00202EED">
      <w:pPr>
        <w:rPr>
          <w:rFonts w:ascii="Amasis MT Pro" w:hAnsi="Amasis MT Pro"/>
          <w:b/>
          <w:i/>
          <w:iCs/>
          <w:sz w:val="36"/>
          <w:szCs w:val="36"/>
          <w:u w:val="single"/>
        </w:rPr>
      </w:pPr>
      <w:r w:rsidRPr="00202EED">
        <w:rPr>
          <w:rFonts w:ascii="Amasis MT Pro" w:hAnsi="Amasis MT Pro"/>
          <w:b/>
          <w:i/>
          <w:iCs/>
          <w:sz w:val="36"/>
          <w:szCs w:val="36"/>
          <w:u w:val="single"/>
        </w:rPr>
        <w:lastRenderedPageBreak/>
        <w:t>Reflecting on the above statement, assess whether the relationship between the Legislature and the Executive adheres to the separation of powers theory.</w:t>
      </w:r>
    </w:p>
    <w:p w14:paraId="760A84A7" w14:textId="0DB46919" w:rsidR="00202EED" w:rsidRPr="00202EED" w:rsidRDefault="00202EED" w:rsidP="00202EED">
      <w:pPr>
        <w:rPr>
          <w:rFonts w:ascii="Amasis MT Pro" w:hAnsi="Amasis MT Pro"/>
          <w:b/>
          <w:i/>
          <w:iCs/>
          <w:sz w:val="36"/>
          <w:szCs w:val="36"/>
          <w:u w:val="single"/>
          <w:lang w:val="en-GB"/>
        </w:rPr>
      </w:pPr>
      <w:r w:rsidRPr="00202EED">
        <w:rPr>
          <w:rFonts w:ascii="Amasis MT Pro" w:hAnsi="Amasis MT Pro"/>
          <w:b/>
          <w:i/>
          <w:iCs/>
          <w:sz w:val="36"/>
          <w:szCs w:val="36"/>
          <w:u w:val="single"/>
        </w:rPr>
        <w:t xml:space="preserve"> </w:t>
      </w:r>
    </w:p>
    <w:p w14:paraId="4CCE7ECE" w14:textId="6535F8A7" w:rsidR="00986FF2" w:rsidRPr="00E924E3" w:rsidRDefault="002116D2" w:rsidP="00CC67A1">
      <w:pPr>
        <w:spacing w:before="120" w:after="120"/>
        <w:rPr>
          <w:rFonts w:ascii="Candara" w:hAnsi="Candara" w:cs="Arial"/>
          <w:color w:val="000000" w:themeColor="text1"/>
          <w:lang w:val="en-US"/>
        </w:rPr>
      </w:pPr>
      <w:r w:rsidRPr="00E924E3">
        <w:rPr>
          <w:rFonts w:ascii="Candara" w:hAnsi="Candara"/>
          <w:color w:val="000000" w:themeColor="text1"/>
        </w:rPr>
        <w:t xml:space="preserve">The manner in which </w:t>
      </w:r>
      <w:r w:rsidR="003373BA">
        <w:rPr>
          <w:rFonts w:ascii="Candara" w:hAnsi="Candara"/>
          <w:color w:val="000000" w:themeColor="text1"/>
        </w:rPr>
        <w:t xml:space="preserve">the </w:t>
      </w:r>
      <w:r w:rsidRPr="00E924E3">
        <w:rPr>
          <w:rFonts w:ascii="Candara" w:hAnsi="Candara"/>
          <w:color w:val="000000" w:themeColor="text1"/>
        </w:rPr>
        <w:t>theory of separation of powers is applied in the English constitutional law, begs the question as to whether the theory is applied in the pure sense</w:t>
      </w:r>
      <w:r w:rsidR="00AD0282">
        <w:rPr>
          <w:rFonts w:ascii="Candara" w:hAnsi="Candara"/>
          <w:color w:val="000000" w:themeColor="text1"/>
        </w:rPr>
        <w:t>,</w:t>
      </w:r>
      <w:r w:rsidRPr="00E924E3">
        <w:rPr>
          <w:rFonts w:ascii="Candara" w:hAnsi="Candara"/>
          <w:color w:val="000000" w:themeColor="text1"/>
        </w:rPr>
        <w:t xml:space="preserve"> and if not, then how does it reflect on the way relations are </w:t>
      </w:r>
      <w:r w:rsidR="00AD0282">
        <w:rPr>
          <w:rFonts w:ascii="Candara" w:hAnsi="Candara"/>
          <w:color w:val="000000" w:themeColor="text1"/>
        </w:rPr>
        <w:t>organized</w:t>
      </w:r>
      <w:r w:rsidRPr="00E924E3">
        <w:rPr>
          <w:rFonts w:ascii="Candara" w:hAnsi="Candara"/>
          <w:color w:val="000000" w:themeColor="text1"/>
        </w:rPr>
        <w:t xml:space="preserve"> between the three organs of the state: legislature, judiciary</w:t>
      </w:r>
      <w:r w:rsidR="00AD0282">
        <w:rPr>
          <w:rFonts w:ascii="Candara" w:hAnsi="Candara"/>
          <w:color w:val="000000" w:themeColor="text1"/>
        </w:rPr>
        <w:t>,</w:t>
      </w:r>
      <w:r w:rsidRPr="00E924E3">
        <w:rPr>
          <w:rFonts w:ascii="Candara" w:hAnsi="Candara"/>
          <w:color w:val="000000" w:themeColor="text1"/>
        </w:rPr>
        <w:t xml:space="preserve"> and the executive. At the outset, it would be worthwhile to note that the theory is not applied in the pure and strict sense in the UK</w:t>
      </w:r>
      <w:r w:rsidR="00AD0282">
        <w:rPr>
          <w:rFonts w:ascii="Candara" w:hAnsi="Candara"/>
          <w:color w:val="000000" w:themeColor="text1"/>
        </w:rPr>
        <w:t>,</w:t>
      </w:r>
      <w:r w:rsidRPr="00E924E3">
        <w:rPr>
          <w:rFonts w:ascii="Candara" w:hAnsi="Candara"/>
          <w:color w:val="000000" w:themeColor="text1"/>
        </w:rPr>
        <w:t xml:space="preserve"> and nor has it been considered to be practical to apply it in the pure sense</w:t>
      </w:r>
      <w:sdt>
        <w:sdtPr>
          <w:rPr>
            <w:rFonts w:ascii="Candara" w:hAnsi="Candara" w:cs="Arial"/>
            <w:color w:val="000000" w:themeColor="text1"/>
            <w:lang w:val="en-US"/>
          </w:rPr>
          <w:id w:val="1356541160"/>
          <w:citation/>
        </w:sdtPr>
        <w:sdtEndPr/>
        <w:sdtContent>
          <w:r w:rsidRPr="00E924E3">
            <w:rPr>
              <w:rFonts w:ascii="Candara" w:hAnsi="Candara" w:cs="Arial"/>
              <w:color w:val="000000" w:themeColor="text1"/>
              <w:lang w:val="en-US"/>
            </w:rPr>
            <w:fldChar w:fldCharType="begin"/>
          </w:r>
          <w:r w:rsidRPr="00E924E3">
            <w:rPr>
              <w:rFonts w:ascii="Candara" w:hAnsi="Candara" w:cs="Arial"/>
              <w:color w:val="000000" w:themeColor="text1"/>
              <w:lang w:val="en-US"/>
            </w:rPr>
            <w:instrText xml:space="preserve"> CITATION TRS16 \l 1033 </w:instrText>
          </w:r>
          <w:r w:rsidRPr="00E924E3">
            <w:rPr>
              <w:rFonts w:ascii="Candara" w:hAnsi="Candara" w:cs="Arial"/>
              <w:color w:val="000000" w:themeColor="text1"/>
              <w:lang w:val="en-US"/>
            </w:rPr>
            <w:fldChar w:fldCharType="separate"/>
          </w:r>
          <w:r w:rsidRPr="00E924E3">
            <w:rPr>
              <w:rFonts w:ascii="Candara" w:hAnsi="Candara" w:cs="Arial"/>
              <w:noProof/>
              <w:color w:val="000000" w:themeColor="text1"/>
              <w:lang w:val="en-US"/>
            </w:rPr>
            <w:t xml:space="preserve"> (Allan, 2016)</w:t>
          </w:r>
          <w:r w:rsidRPr="00E924E3">
            <w:rPr>
              <w:rFonts w:ascii="Candara" w:hAnsi="Candara" w:cs="Arial"/>
              <w:color w:val="000000" w:themeColor="text1"/>
              <w:lang w:val="en-US"/>
            </w:rPr>
            <w:fldChar w:fldCharType="end"/>
          </w:r>
        </w:sdtContent>
      </w:sdt>
      <w:r w:rsidRPr="00E924E3">
        <w:rPr>
          <w:rFonts w:ascii="Candara" w:hAnsi="Candara" w:cs="Arial"/>
          <w:color w:val="000000" w:themeColor="text1"/>
          <w:lang w:val="en-US"/>
        </w:rPr>
        <w:t xml:space="preserve">. This is not to say that partial application of the theory of separation of powers, </w:t>
      </w:r>
      <w:r w:rsidR="00D53570" w:rsidRPr="00E924E3">
        <w:rPr>
          <w:rFonts w:ascii="Candara" w:hAnsi="Candara" w:cs="Arial"/>
          <w:color w:val="000000" w:themeColor="text1"/>
          <w:lang w:val="en-US"/>
        </w:rPr>
        <w:t xml:space="preserve">seen especially in the overlapping of legislative and executive </w:t>
      </w:r>
      <w:r w:rsidRPr="00E924E3">
        <w:rPr>
          <w:rFonts w:ascii="Candara" w:hAnsi="Candara" w:cs="Arial"/>
          <w:color w:val="000000" w:themeColor="text1"/>
          <w:lang w:val="en-US"/>
        </w:rPr>
        <w:t>personnel</w:t>
      </w:r>
      <w:r w:rsidR="00D53570" w:rsidRPr="00E924E3">
        <w:rPr>
          <w:rFonts w:ascii="Candara" w:hAnsi="Candara" w:cs="Arial"/>
          <w:color w:val="000000" w:themeColor="text1"/>
          <w:lang w:val="en-US"/>
        </w:rPr>
        <w:t xml:space="preserve"> and</w:t>
      </w:r>
      <w:r w:rsidRPr="00E924E3">
        <w:rPr>
          <w:rFonts w:ascii="Candara" w:hAnsi="Candara" w:cs="Arial"/>
          <w:color w:val="000000" w:themeColor="text1"/>
          <w:lang w:val="en-US"/>
        </w:rPr>
        <w:t xml:space="preserve"> functions</w:t>
      </w:r>
      <w:r w:rsidR="00D53570" w:rsidRPr="00E924E3">
        <w:rPr>
          <w:rFonts w:ascii="Candara" w:hAnsi="Candara" w:cs="Arial"/>
          <w:color w:val="000000" w:themeColor="text1"/>
          <w:lang w:val="en-US"/>
        </w:rPr>
        <w:t xml:space="preserve">, reflects on the </w:t>
      </w:r>
      <w:r w:rsidR="00AD0282">
        <w:rPr>
          <w:rFonts w:ascii="Candara" w:hAnsi="Candara" w:cs="Arial"/>
          <w:color w:val="000000" w:themeColor="text1"/>
          <w:lang w:val="en-US"/>
        </w:rPr>
        <w:t>non-application</w:t>
      </w:r>
      <w:r w:rsidR="00D53570" w:rsidRPr="00E924E3">
        <w:rPr>
          <w:rFonts w:ascii="Candara" w:hAnsi="Candara" w:cs="Arial"/>
          <w:color w:val="000000" w:themeColor="text1"/>
          <w:lang w:val="en-US"/>
        </w:rPr>
        <w:t xml:space="preserve"> of the theory since it is accepted that the</w:t>
      </w:r>
      <w:r w:rsidRPr="00E924E3">
        <w:rPr>
          <w:rFonts w:ascii="Candara" w:hAnsi="Candara" w:cs="Arial"/>
          <w:color w:val="000000" w:themeColor="text1"/>
          <w:lang w:val="en-US"/>
        </w:rPr>
        <w:t xml:space="preserve"> </w:t>
      </w:r>
      <w:r w:rsidR="00D53570" w:rsidRPr="00E924E3">
        <w:rPr>
          <w:rFonts w:ascii="Candara" w:hAnsi="Candara" w:cs="Arial"/>
          <w:color w:val="000000" w:themeColor="text1"/>
          <w:lang w:val="en-US"/>
        </w:rPr>
        <w:t>“</w:t>
      </w:r>
      <w:r w:rsidRPr="00E924E3">
        <w:rPr>
          <w:rFonts w:ascii="Candara" w:hAnsi="Candara" w:cs="Arial"/>
          <w:color w:val="000000" w:themeColor="text1"/>
          <w:lang w:val="en-US"/>
        </w:rPr>
        <w:t>hermetic division of governmental functions</w:t>
      </w:r>
      <w:r w:rsidR="00D53570" w:rsidRPr="00E924E3">
        <w:rPr>
          <w:rFonts w:ascii="Candara" w:hAnsi="Candara" w:cs="Arial"/>
          <w:color w:val="000000" w:themeColor="text1"/>
          <w:lang w:val="en-US"/>
        </w:rPr>
        <w:t>” is neither desirable nor possible in the practical sense</w:t>
      </w:r>
      <w:sdt>
        <w:sdtPr>
          <w:rPr>
            <w:rFonts w:ascii="Candara" w:hAnsi="Candara" w:cs="Arial"/>
            <w:color w:val="000000" w:themeColor="text1"/>
            <w:lang w:val="en-US"/>
          </w:rPr>
          <w:id w:val="688956298"/>
          <w:citation/>
        </w:sdtPr>
        <w:sdtEndPr/>
        <w:sdtContent>
          <w:r w:rsidRPr="00E924E3">
            <w:rPr>
              <w:rFonts w:ascii="Candara" w:hAnsi="Candara" w:cs="Arial"/>
              <w:color w:val="000000" w:themeColor="text1"/>
              <w:lang w:val="en-US"/>
            </w:rPr>
            <w:fldChar w:fldCharType="begin"/>
          </w:r>
          <w:r w:rsidRPr="00E924E3">
            <w:rPr>
              <w:rFonts w:ascii="Candara" w:hAnsi="Candara" w:cs="Arial"/>
              <w:color w:val="000000" w:themeColor="text1"/>
              <w:lang w:val="en-US"/>
            </w:rPr>
            <w:instrText xml:space="preserve">CITATION Eoi09 \p 19 \l 1033 </w:instrText>
          </w:r>
          <w:r w:rsidRPr="00E924E3">
            <w:rPr>
              <w:rFonts w:ascii="Candara" w:hAnsi="Candara" w:cs="Arial"/>
              <w:color w:val="000000" w:themeColor="text1"/>
              <w:lang w:val="en-US"/>
            </w:rPr>
            <w:fldChar w:fldCharType="separate"/>
          </w:r>
          <w:r w:rsidRPr="00E924E3">
            <w:rPr>
              <w:rFonts w:ascii="Candara" w:hAnsi="Candara" w:cs="Arial"/>
              <w:noProof/>
              <w:color w:val="000000" w:themeColor="text1"/>
              <w:lang w:val="en-US"/>
            </w:rPr>
            <w:t xml:space="preserve"> (Carolan, 2009, p. 19)</w:t>
          </w:r>
          <w:r w:rsidRPr="00E924E3">
            <w:rPr>
              <w:rFonts w:ascii="Candara" w:hAnsi="Candara" w:cs="Arial"/>
              <w:color w:val="000000" w:themeColor="text1"/>
              <w:lang w:val="en-US"/>
            </w:rPr>
            <w:fldChar w:fldCharType="end"/>
          </w:r>
        </w:sdtContent>
      </w:sdt>
      <w:r w:rsidRPr="00E924E3">
        <w:rPr>
          <w:rFonts w:ascii="Candara" w:hAnsi="Candara" w:cs="Arial"/>
          <w:color w:val="000000" w:themeColor="text1"/>
          <w:lang w:val="en-US"/>
        </w:rPr>
        <w:t>.</w:t>
      </w:r>
      <w:r w:rsidR="00D53570" w:rsidRPr="00E924E3">
        <w:rPr>
          <w:rFonts w:ascii="Candara" w:hAnsi="Candara" w:cs="Arial"/>
          <w:color w:val="000000" w:themeColor="text1"/>
          <w:lang w:val="en-US"/>
        </w:rPr>
        <w:t xml:space="preserve"> </w:t>
      </w:r>
    </w:p>
    <w:p w14:paraId="2E2EDA56" w14:textId="6C140F8F" w:rsidR="002116D2" w:rsidRPr="00E924E3" w:rsidRDefault="00D53570" w:rsidP="00CC67A1">
      <w:pPr>
        <w:spacing w:before="120" w:after="120"/>
        <w:rPr>
          <w:rStyle w:val="None"/>
          <w:rFonts w:ascii="Candara" w:hAnsi="Candara"/>
          <w:color w:val="000000" w:themeColor="text1"/>
        </w:rPr>
      </w:pPr>
      <w:r w:rsidRPr="00E924E3">
        <w:rPr>
          <w:rFonts w:ascii="Candara" w:hAnsi="Candara" w:cs="Arial"/>
          <w:color w:val="000000" w:themeColor="text1"/>
          <w:lang w:val="en-US"/>
        </w:rPr>
        <w:t xml:space="preserve">This essay </w:t>
      </w:r>
      <w:r w:rsidR="00E65774" w:rsidRPr="00E924E3">
        <w:rPr>
          <w:rFonts w:ascii="Candara" w:hAnsi="Candara" w:cs="Arial"/>
          <w:color w:val="000000" w:themeColor="text1"/>
          <w:lang w:val="en-US"/>
        </w:rPr>
        <w:t xml:space="preserve">discusses </w:t>
      </w:r>
      <w:r w:rsidR="00B15B81" w:rsidRPr="00E924E3">
        <w:rPr>
          <w:rFonts w:ascii="Candara" w:hAnsi="Candara" w:cs="Arial"/>
          <w:color w:val="000000" w:themeColor="text1"/>
          <w:lang w:val="en-US"/>
        </w:rPr>
        <w:t xml:space="preserve">the overlapping of functions between the legislature and the executive as one of the crucial aspects of the way relations are </w:t>
      </w:r>
      <w:r w:rsidR="00AD0282">
        <w:rPr>
          <w:rFonts w:ascii="Candara" w:hAnsi="Candara" w:cs="Arial"/>
          <w:color w:val="000000" w:themeColor="text1"/>
          <w:lang w:val="en-US"/>
        </w:rPr>
        <w:t>organized</w:t>
      </w:r>
      <w:r w:rsidR="00B15B81" w:rsidRPr="00E924E3">
        <w:rPr>
          <w:rFonts w:ascii="Candara" w:hAnsi="Candara" w:cs="Arial"/>
          <w:color w:val="000000" w:themeColor="text1"/>
          <w:lang w:val="en-US"/>
        </w:rPr>
        <w:t xml:space="preserve"> between them while discussing the wider implications of the separation of powers and the system of checks and balances in place to prevent abuse of power through </w:t>
      </w:r>
      <w:r w:rsidR="00AD0282">
        <w:rPr>
          <w:rFonts w:ascii="Candara" w:hAnsi="Candara" w:cs="Arial"/>
          <w:color w:val="000000" w:themeColor="text1"/>
          <w:lang w:val="en-US"/>
        </w:rPr>
        <w:t>over-centralization</w:t>
      </w:r>
      <w:r w:rsidR="00B15B81" w:rsidRPr="00E924E3">
        <w:rPr>
          <w:rFonts w:ascii="Candara" w:hAnsi="Candara" w:cs="Arial"/>
          <w:color w:val="000000" w:themeColor="text1"/>
          <w:lang w:val="en-US"/>
        </w:rPr>
        <w:t xml:space="preserve"> of powers in any one organ of the state.</w:t>
      </w:r>
      <w:r w:rsidR="003B773D" w:rsidRPr="00E924E3">
        <w:rPr>
          <w:rFonts w:ascii="Candara" w:hAnsi="Candara" w:cs="Arial"/>
          <w:color w:val="000000" w:themeColor="text1"/>
          <w:lang w:val="en-US"/>
        </w:rPr>
        <w:t xml:space="preserve"> The essay first discusses the separation of powers theory before delving into how personnel and functions continue to overlap between the legislature and the executive.</w:t>
      </w:r>
    </w:p>
    <w:p w14:paraId="3868F1EC" w14:textId="63C63B66" w:rsidR="001F21C5" w:rsidRPr="00E924E3" w:rsidRDefault="003B773D" w:rsidP="00CC67A1">
      <w:pPr>
        <w:spacing w:before="120" w:after="120"/>
        <w:rPr>
          <w:rFonts w:ascii="Candara" w:hAnsi="Candara"/>
          <w:color w:val="000000" w:themeColor="text1"/>
        </w:rPr>
      </w:pPr>
      <w:r w:rsidRPr="00E924E3">
        <w:rPr>
          <w:rFonts w:ascii="Candara" w:hAnsi="Candara"/>
          <w:color w:val="000000" w:themeColor="text1"/>
        </w:rPr>
        <w:t xml:space="preserve">The UK Government accepts that the </w:t>
      </w:r>
      <w:r w:rsidR="00E54B5C" w:rsidRPr="00E924E3">
        <w:rPr>
          <w:rFonts w:ascii="Candara" w:hAnsi="Candara"/>
          <w:color w:val="000000" w:themeColor="text1"/>
        </w:rPr>
        <w:t>“e</w:t>
      </w:r>
      <w:r w:rsidRPr="00E924E3">
        <w:rPr>
          <w:rFonts w:ascii="Candara" w:hAnsi="Candara"/>
          <w:color w:val="000000" w:themeColor="text1"/>
        </w:rPr>
        <w:t>ffective maintenance of the constitution and the rule of law</w:t>
      </w:r>
      <w:r w:rsidR="00E54B5C" w:rsidRPr="00E924E3">
        <w:rPr>
          <w:rFonts w:ascii="Candara" w:hAnsi="Candara"/>
          <w:color w:val="000000" w:themeColor="text1"/>
        </w:rPr>
        <w:t xml:space="preserve">” requires the maintenance of the constructive relationships between </w:t>
      </w:r>
      <w:r w:rsidR="00AD0282">
        <w:rPr>
          <w:rFonts w:ascii="Candara" w:hAnsi="Candara"/>
          <w:color w:val="000000" w:themeColor="text1"/>
        </w:rPr>
        <w:t xml:space="preserve">the </w:t>
      </w:r>
      <w:r w:rsidR="00E54B5C" w:rsidRPr="00E924E3">
        <w:rPr>
          <w:rFonts w:ascii="Candara" w:hAnsi="Candara"/>
          <w:color w:val="000000" w:themeColor="text1"/>
        </w:rPr>
        <w:t>executive, legislature</w:t>
      </w:r>
      <w:r w:rsidR="00AD0282">
        <w:rPr>
          <w:rFonts w:ascii="Candara" w:hAnsi="Candara"/>
          <w:color w:val="000000" w:themeColor="text1"/>
        </w:rPr>
        <w:t>,</w:t>
      </w:r>
      <w:r w:rsidR="00E54B5C" w:rsidRPr="00E924E3">
        <w:rPr>
          <w:rFonts w:ascii="Candara" w:hAnsi="Candara"/>
          <w:color w:val="000000" w:themeColor="text1"/>
        </w:rPr>
        <w:t xml:space="preserve"> and judiciary </w:t>
      </w:r>
      <w:sdt>
        <w:sdtPr>
          <w:rPr>
            <w:rFonts w:ascii="Candara" w:hAnsi="Candara"/>
            <w:color w:val="000000" w:themeColor="text1"/>
          </w:rPr>
          <w:id w:val="-1546063756"/>
          <w:citation/>
        </w:sdtPr>
        <w:sdtEndPr/>
        <w:sdtContent>
          <w:r w:rsidRPr="00E924E3">
            <w:rPr>
              <w:rFonts w:ascii="Candara" w:hAnsi="Candara"/>
              <w:color w:val="000000" w:themeColor="text1"/>
            </w:rPr>
            <w:fldChar w:fldCharType="begin"/>
          </w:r>
          <w:r w:rsidR="00E54B5C" w:rsidRPr="00E924E3">
            <w:rPr>
              <w:rFonts w:ascii="Candara" w:hAnsi="Candara"/>
              <w:color w:val="000000" w:themeColor="text1"/>
              <w:lang w:val="en-US"/>
            </w:rPr>
            <w:instrText xml:space="preserve">CITATION Hou07 \p 2 \l 1033 </w:instrText>
          </w:r>
          <w:r w:rsidRPr="00E924E3">
            <w:rPr>
              <w:rFonts w:ascii="Candara" w:hAnsi="Candara"/>
              <w:color w:val="000000" w:themeColor="text1"/>
            </w:rPr>
            <w:fldChar w:fldCharType="separate"/>
          </w:r>
          <w:r w:rsidR="00E54B5C" w:rsidRPr="00E924E3">
            <w:rPr>
              <w:rFonts w:ascii="Candara" w:hAnsi="Candara"/>
              <w:noProof/>
              <w:color w:val="000000" w:themeColor="text1"/>
              <w:lang w:val="en-US"/>
            </w:rPr>
            <w:t>(House of Lords, 2007, p. 2)</w:t>
          </w:r>
          <w:r w:rsidRPr="00E924E3">
            <w:rPr>
              <w:rFonts w:ascii="Candara" w:hAnsi="Candara"/>
              <w:color w:val="000000" w:themeColor="text1"/>
            </w:rPr>
            <w:fldChar w:fldCharType="end"/>
          </w:r>
        </w:sdtContent>
      </w:sdt>
      <w:r w:rsidRPr="00E924E3">
        <w:rPr>
          <w:rFonts w:ascii="Candara" w:hAnsi="Candara"/>
          <w:color w:val="000000" w:themeColor="text1"/>
        </w:rPr>
        <w:t xml:space="preserve">. </w:t>
      </w:r>
      <w:r w:rsidR="00E54B5C" w:rsidRPr="00E924E3">
        <w:rPr>
          <w:rFonts w:ascii="Candara" w:hAnsi="Candara"/>
          <w:color w:val="000000" w:themeColor="text1"/>
        </w:rPr>
        <w:t xml:space="preserve">This statement, along with other judicial statements and </w:t>
      </w:r>
      <w:r w:rsidR="004B44EE" w:rsidRPr="00E924E3">
        <w:rPr>
          <w:rFonts w:ascii="Candara" w:hAnsi="Candara"/>
          <w:color w:val="000000" w:themeColor="text1"/>
        </w:rPr>
        <w:t>academic literature, can be seen to affirm the application of the theory of separation of powers in the UK. To explain the theory first, separation of powers relates to the separation of legislative, judicial</w:t>
      </w:r>
      <w:r w:rsidR="00AD0282">
        <w:rPr>
          <w:rFonts w:ascii="Candara" w:hAnsi="Candara"/>
          <w:color w:val="000000" w:themeColor="text1"/>
        </w:rPr>
        <w:t>,</w:t>
      </w:r>
      <w:r w:rsidR="004B44EE" w:rsidRPr="00E924E3">
        <w:rPr>
          <w:rFonts w:ascii="Candara" w:hAnsi="Candara"/>
          <w:color w:val="000000" w:themeColor="text1"/>
        </w:rPr>
        <w:t xml:space="preserve"> and executive functions </w:t>
      </w:r>
      <w:r w:rsidR="001F21C5" w:rsidRPr="00E924E3">
        <w:rPr>
          <w:rFonts w:ascii="Candara" w:hAnsi="Candara"/>
          <w:color w:val="000000" w:themeColor="text1"/>
        </w:rPr>
        <w:t xml:space="preserve">and </w:t>
      </w:r>
      <w:r w:rsidR="004B44EE" w:rsidRPr="00E924E3">
        <w:rPr>
          <w:rFonts w:ascii="Candara" w:hAnsi="Candara"/>
          <w:color w:val="000000" w:themeColor="text1"/>
        </w:rPr>
        <w:t xml:space="preserve">(personnel and institutions) </w:t>
      </w:r>
      <w:r w:rsidR="001F21C5" w:rsidRPr="00E924E3">
        <w:rPr>
          <w:rFonts w:ascii="Candara" w:hAnsi="Candara"/>
          <w:color w:val="000000" w:themeColor="text1"/>
        </w:rPr>
        <w:t xml:space="preserve">with a view to ensuring that no one organ has </w:t>
      </w:r>
      <w:r w:rsidR="00AD0282">
        <w:rPr>
          <w:rFonts w:ascii="Candara" w:hAnsi="Candara"/>
          <w:color w:val="000000" w:themeColor="text1"/>
        </w:rPr>
        <w:t>over-centralization</w:t>
      </w:r>
      <w:r w:rsidR="001F21C5" w:rsidRPr="00E924E3">
        <w:rPr>
          <w:rFonts w:ascii="Candara" w:hAnsi="Candara"/>
          <w:color w:val="000000" w:themeColor="text1"/>
        </w:rPr>
        <w:t xml:space="preserve"> of powers and also ensuring a system of checks and balances. </w:t>
      </w:r>
    </w:p>
    <w:p w14:paraId="3C3750BC" w14:textId="6D6CF760" w:rsidR="00986FF2" w:rsidRPr="00E924E3" w:rsidRDefault="001F21C5" w:rsidP="00CC67A1">
      <w:pPr>
        <w:spacing w:before="120" w:after="120"/>
        <w:rPr>
          <w:rFonts w:ascii="Candara" w:hAnsi="Candara"/>
          <w:color w:val="000000" w:themeColor="text1"/>
        </w:rPr>
      </w:pPr>
      <w:r w:rsidRPr="00E924E3">
        <w:rPr>
          <w:rFonts w:ascii="Candara" w:hAnsi="Candara"/>
          <w:color w:val="000000" w:themeColor="text1"/>
        </w:rPr>
        <w:t xml:space="preserve">Important constitutional experts from Dicey to Bagehot </w:t>
      </w:r>
      <w:r w:rsidR="00CC67A1" w:rsidRPr="00E924E3">
        <w:rPr>
          <w:rFonts w:ascii="Candara" w:hAnsi="Candara"/>
          <w:color w:val="000000" w:themeColor="text1"/>
        </w:rPr>
        <w:t xml:space="preserve">have noted the significance of the application of separation of powers in English constitutional law. For instance, Dicey wrote that </w:t>
      </w:r>
      <w:r w:rsidR="002116D2" w:rsidRPr="00E924E3">
        <w:rPr>
          <w:rFonts w:ascii="Candara" w:hAnsi="Candara"/>
          <w:color w:val="000000" w:themeColor="text1"/>
          <w:lang w:val="en-US"/>
        </w:rPr>
        <w:t xml:space="preserve">separation of powers </w:t>
      </w:r>
      <w:r w:rsidR="00CC67A1" w:rsidRPr="00E924E3">
        <w:rPr>
          <w:rFonts w:ascii="Candara" w:hAnsi="Candara"/>
          <w:color w:val="000000" w:themeColor="text1"/>
          <w:lang w:val="en-US"/>
        </w:rPr>
        <w:t>is central to the</w:t>
      </w:r>
      <w:r w:rsidR="002116D2" w:rsidRPr="00E924E3">
        <w:rPr>
          <w:rFonts w:ascii="Candara" w:hAnsi="Candara"/>
          <w:color w:val="000000" w:themeColor="text1"/>
          <w:lang w:val="en-US"/>
        </w:rPr>
        <w:t xml:space="preserve"> constitution </w:t>
      </w:r>
      <w:r w:rsidR="00CC67A1" w:rsidRPr="00E924E3">
        <w:rPr>
          <w:rFonts w:ascii="Candara" w:hAnsi="Candara"/>
          <w:color w:val="000000" w:themeColor="text1"/>
          <w:lang w:val="en-US"/>
        </w:rPr>
        <w:t>and is one of the two important principles of the English Constitutional law, the other being the</w:t>
      </w:r>
      <w:r w:rsidR="002116D2" w:rsidRPr="00E924E3">
        <w:rPr>
          <w:rFonts w:ascii="Candara" w:hAnsi="Candara"/>
          <w:color w:val="000000" w:themeColor="text1"/>
          <w:lang w:val="en-US"/>
        </w:rPr>
        <w:t xml:space="preserve"> rule of law) </w:t>
      </w:r>
      <w:sdt>
        <w:sdtPr>
          <w:rPr>
            <w:rFonts w:ascii="Candara" w:hAnsi="Candara"/>
            <w:color w:val="000000" w:themeColor="text1"/>
            <w:lang w:val="en-US"/>
          </w:rPr>
          <w:id w:val="1492524791"/>
          <w:citation/>
        </w:sdtPr>
        <w:sdtEndPr/>
        <w:sdtContent>
          <w:r w:rsidR="002116D2" w:rsidRPr="00E924E3">
            <w:rPr>
              <w:rFonts w:ascii="Candara" w:hAnsi="Candara"/>
              <w:color w:val="000000" w:themeColor="text1"/>
              <w:lang w:val="en-US"/>
            </w:rPr>
            <w:fldChar w:fldCharType="begin"/>
          </w:r>
          <w:r w:rsidR="002116D2" w:rsidRPr="00E924E3">
            <w:rPr>
              <w:rFonts w:ascii="Candara" w:hAnsi="Candara"/>
              <w:color w:val="000000" w:themeColor="text1"/>
              <w:lang w:val="en-US"/>
            </w:rPr>
            <w:instrText xml:space="preserve"> CITATION Alb13 \l 1033 </w:instrText>
          </w:r>
          <w:r w:rsidR="002116D2" w:rsidRPr="00E924E3">
            <w:rPr>
              <w:rFonts w:ascii="Candara" w:hAnsi="Candara"/>
              <w:color w:val="000000" w:themeColor="text1"/>
              <w:lang w:val="en-US"/>
            </w:rPr>
            <w:fldChar w:fldCharType="separate"/>
          </w:r>
          <w:r w:rsidR="002116D2" w:rsidRPr="00E924E3">
            <w:rPr>
              <w:rFonts w:ascii="Candara" w:hAnsi="Candara"/>
              <w:noProof/>
              <w:color w:val="000000" w:themeColor="text1"/>
              <w:lang w:val="en-US"/>
            </w:rPr>
            <w:t>(Dicey, 2013)</w:t>
          </w:r>
          <w:r w:rsidR="002116D2" w:rsidRPr="00E924E3">
            <w:rPr>
              <w:rFonts w:ascii="Candara" w:hAnsi="Candara"/>
              <w:color w:val="000000" w:themeColor="text1"/>
              <w:lang w:val="en-US"/>
            </w:rPr>
            <w:fldChar w:fldCharType="end"/>
          </w:r>
        </w:sdtContent>
      </w:sdt>
      <w:r w:rsidR="002116D2" w:rsidRPr="00E924E3">
        <w:rPr>
          <w:rFonts w:ascii="Candara" w:hAnsi="Candara"/>
          <w:color w:val="000000" w:themeColor="text1"/>
          <w:lang w:val="en-US"/>
        </w:rPr>
        <w:t xml:space="preserve">. </w:t>
      </w:r>
      <w:r w:rsidR="004358DE" w:rsidRPr="00E924E3">
        <w:rPr>
          <w:rFonts w:ascii="Candara" w:hAnsi="Candara"/>
          <w:color w:val="000000" w:themeColor="text1"/>
          <w:lang w:val="en-US"/>
        </w:rPr>
        <w:t xml:space="preserve">While Dicey was writing about the theory of separation of powers in a different time and age, more recently, the British Parliament has </w:t>
      </w:r>
      <w:r w:rsidR="00206840" w:rsidRPr="00E924E3">
        <w:rPr>
          <w:rFonts w:ascii="Candara" w:hAnsi="Candara"/>
          <w:color w:val="000000" w:themeColor="text1"/>
          <w:lang w:val="en-US"/>
        </w:rPr>
        <w:t xml:space="preserve">not only confirmed the continued application of the principle but also made its application somewhat clearer than before in the </w:t>
      </w:r>
      <w:r w:rsidR="002116D2" w:rsidRPr="00E924E3">
        <w:rPr>
          <w:rFonts w:ascii="Candara" w:hAnsi="Candara"/>
          <w:color w:val="000000" w:themeColor="text1"/>
          <w:shd w:val="clear" w:color="auto" w:fill="FFFFFF"/>
        </w:rPr>
        <w:t>Constitutional Reforms Act 2005</w:t>
      </w:r>
      <w:r w:rsidR="00206840" w:rsidRPr="00E924E3">
        <w:rPr>
          <w:rFonts w:ascii="Candara" w:hAnsi="Candara"/>
          <w:i/>
          <w:color w:val="000000" w:themeColor="text1"/>
          <w:shd w:val="clear" w:color="auto" w:fill="FFFFFF"/>
        </w:rPr>
        <w:t xml:space="preserve"> </w:t>
      </w:r>
      <w:r w:rsidR="00206840" w:rsidRPr="00E924E3">
        <w:rPr>
          <w:rFonts w:ascii="Candara" w:hAnsi="Candara"/>
          <w:color w:val="000000" w:themeColor="text1"/>
          <w:shd w:val="clear" w:color="auto" w:fill="FFFFFF"/>
        </w:rPr>
        <w:t xml:space="preserve">by abolishing the </w:t>
      </w:r>
      <w:r w:rsidR="00A20002" w:rsidRPr="00E924E3">
        <w:rPr>
          <w:rFonts w:ascii="Candara" w:hAnsi="Candara"/>
          <w:color w:val="000000" w:themeColor="text1"/>
          <w:shd w:val="clear" w:color="auto" w:fill="FFFFFF"/>
        </w:rPr>
        <w:t>positions of head of judiciary and speaker of House of Lords for the Lord Chancellor</w:t>
      </w:r>
      <w:r w:rsidR="002116D2" w:rsidRPr="00E924E3">
        <w:rPr>
          <w:rFonts w:ascii="Candara" w:hAnsi="Candara"/>
          <w:color w:val="000000" w:themeColor="text1"/>
        </w:rPr>
        <w:t xml:space="preserve">. </w:t>
      </w:r>
    </w:p>
    <w:p w14:paraId="588D4865" w14:textId="2F70392B" w:rsidR="00A20002" w:rsidRPr="00E924E3" w:rsidRDefault="00A20002" w:rsidP="00CC67A1">
      <w:pPr>
        <w:spacing w:before="120" w:after="120"/>
        <w:rPr>
          <w:rFonts w:ascii="Candara" w:hAnsi="Candara"/>
          <w:color w:val="000000" w:themeColor="text1"/>
        </w:rPr>
      </w:pPr>
      <w:r w:rsidRPr="00E924E3">
        <w:rPr>
          <w:rFonts w:ascii="Candara" w:hAnsi="Candara"/>
          <w:color w:val="000000" w:themeColor="text1"/>
        </w:rPr>
        <w:t xml:space="preserve">The </w:t>
      </w:r>
      <w:r w:rsidRPr="00E924E3">
        <w:rPr>
          <w:rFonts w:ascii="Candara" w:hAnsi="Candara"/>
          <w:color w:val="000000" w:themeColor="text1"/>
          <w:shd w:val="clear" w:color="auto" w:fill="FFFFFF"/>
        </w:rPr>
        <w:t xml:space="preserve">Constitutional Reforms Act 2005 also established the Supreme Court as the supreme appellate authority in the UK where that </w:t>
      </w:r>
      <w:r w:rsidR="0030371E" w:rsidRPr="00E924E3">
        <w:rPr>
          <w:rFonts w:ascii="Candara" w:hAnsi="Candara"/>
          <w:color w:val="000000" w:themeColor="text1"/>
          <w:shd w:val="clear" w:color="auto" w:fill="FFFFFF"/>
        </w:rPr>
        <w:t xml:space="preserve">authority was earlier placed in the House of Lords. Through these changes made in the Constitutional Reforms Act 2005, the Parliament has </w:t>
      </w:r>
      <w:r w:rsidR="00AD0282">
        <w:rPr>
          <w:rFonts w:ascii="Candara" w:hAnsi="Candara"/>
          <w:color w:val="000000" w:themeColor="text1"/>
          <w:shd w:val="clear" w:color="auto" w:fill="FFFFFF"/>
        </w:rPr>
        <w:t>reorganized</w:t>
      </w:r>
      <w:r w:rsidR="0030371E" w:rsidRPr="00E924E3">
        <w:rPr>
          <w:rFonts w:ascii="Candara" w:hAnsi="Candara"/>
          <w:color w:val="000000" w:themeColor="text1"/>
          <w:shd w:val="clear" w:color="auto" w:fill="FFFFFF"/>
        </w:rPr>
        <w:t xml:space="preserve"> the relations between the legislature, executive</w:t>
      </w:r>
      <w:r w:rsidR="00AD0282">
        <w:rPr>
          <w:rFonts w:ascii="Candara" w:hAnsi="Candara"/>
          <w:color w:val="000000" w:themeColor="text1"/>
          <w:shd w:val="clear" w:color="auto" w:fill="FFFFFF"/>
        </w:rPr>
        <w:t>,</w:t>
      </w:r>
      <w:r w:rsidR="0030371E" w:rsidRPr="00E924E3">
        <w:rPr>
          <w:rFonts w:ascii="Candara" w:hAnsi="Candara"/>
          <w:color w:val="000000" w:themeColor="text1"/>
          <w:shd w:val="clear" w:color="auto" w:fill="FFFFFF"/>
        </w:rPr>
        <w:t xml:space="preserve"> and the </w:t>
      </w:r>
      <w:r w:rsidR="0030371E" w:rsidRPr="00E924E3">
        <w:rPr>
          <w:rFonts w:ascii="Candara" w:hAnsi="Candara"/>
          <w:color w:val="000000" w:themeColor="text1"/>
          <w:shd w:val="clear" w:color="auto" w:fill="FFFFFF"/>
        </w:rPr>
        <w:lastRenderedPageBreak/>
        <w:t>judiciary, with the separation of powers most clearly and strictly provided in the relations between the judiciary and the other organs of the state</w:t>
      </w:r>
      <w:r w:rsidR="00466332" w:rsidRPr="00E924E3">
        <w:rPr>
          <w:rFonts w:ascii="Candara" w:hAnsi="Candara"/>
          <w:color w:val="000000" w:themeColor="text1"/>
          <w:shd w:val="clear" w:color="auto" w:fill="FFFFFF"/>
        </w:rPr>
        <w:t xml:space="preserve">. At the same time, the relations between the legislature and the executive continued to be </w:t>
      </w:r>
      <w:r w:rsidR="00AD0282">
        <w:rPr>
          <w:rFonts w:ascii="Candara" w:hAnsi="Candara"/>
          <w:color w:val="000000" w:themeColor="text1"/>
          <w:shd w:val="clear" w:color="auto" w:fill="FFFFFF"/>
        </w:rPr>
        <w:t>organized</w:t>
      </w:r>
      <w:r w:rsidR="00466332" w:rsidRPr="00E924E3">
        <w:rPr>
          <w:rFonts w:ascii="Candara" w:hAnsi="Candara"/>
          <w:color w:val="000000" w:themeColor="text1"/>
          <w:shd w:val="clear" w:color="auto" w:fill="FFFFFF"/>
        </w:rPr>
        <w:t xml:space="preserve"> in </w:t>
      </w:r>
      <w:r w:rsidR="00AD0282">
        <w:rPr>
          <w:rFonts w:ascii="Candara" w:hAnsi="Candara"/>
          <w:color w:val="000000" w:themeColor="text1"/>
          <w:shd w:val="clear" w:color="auto" w:fill="FFFFFF"/>
        </w:rPr>
        <w:t>a</w:t>
      </w:r>
      <w:r w:rsidR="00466332" w:rsidRPr="00E924E3">
        <w:rPr>
          <w:rFonts w:ascii="Candara" w:hAnsi="Candara"/>
          <w:color w:val="000000" w:themeColor="text1"/>
          <w:shd w:val="clear" w:color="auto" w:fill="FFFFFF"/>
        </w:rPr>
        <w:t xml:space="preserve"> way that sees overlapping of personnel and functions between the two organs. However, can this be seen </w:t>
      </w:r>
      <w:r w:rsidR="00794166" w:rsidRPr="00E924E3">
        <w:rPr>
          <w:rFonts w:ascii="Candara" w:hAnsi="Candara"/>
          <w:color w:val="000000" w:themeColor="text1"/>
          <w:shd w:val="clear" w:color="auto" w:fill="FFFFFF"/>
        </w:rPr>
        <w:t xml:space="preserve">as a way to </w:t>
      </w:r>
      <w:r w:rsidR="00AD0282">
        <w:rPr>
          <w:rFonts w:ascii="Candara" w:hAnsi="Candara"/>
          <w:color w:val="000000" w:themeColor="text1"/>
          <w:shd w:val="clear" w:color="auto" w:fill="FFFFFF"/>
        </w:rPr>
        <w:t>over-centralize</w:t>
      </w:r>
      <w:r w:rsidR="00794166" w:rsidRPr="00E924E3">
        <w:rPr>
          <w:rFonts w:ascii="Candara" w:hAnsi="Candara"/>
          <w:color w:val="000000" w:themeColor="text1"/>
          <w:shd w:val="clear" w:color="auto" w:fill="FFFFFF"/>
        </w:rPr>
        <w:t xml:space="preserve"> powers in one organ, or does the constitutional law provide a system of checks and balances that prevent </w:t>
      </w:r>
      <w:r w:rsidR="00AD0282">
        <w:rPr>
          <w:rFonts w:ascii="Candara" w:hAnsi="Candara"/>
          <w:color w:val="000000" w:themeColor="text1"/>
          <w:shd w:val="clear" w:color="auto" w:fill="FFFFFF"/>
        </w:rPr>
        <w:t>over-centralization</w:t>
      </w:r>
      <w:r w:rsidR="00794166" w:rsidRPr="00E924E3">
        <w:rPr>
          <w:rFonts w:ascii="Candara" w:hAnsi="Candara"/>
          <w:color w:val="000000" w:themeColor="text1"/>
          <w:shd w:val="clear" w:color="auto" w:fill="FFFFFF"/>
        </w:rPr>
        <w:t xml:space="preserve"> of powers and misuse of powers by any one organ of the state</w:t>
      </w:r>
      <w:r w:rsidR="00AD0282">
        <w:rPr>
          <w:rFonts w:ascii="Candara" w:hAnsi="Candara"/>
          <w:color w:val="000000" w:themeColor="text1"/>
          <w:shd w:val="clear" w:color="auto" w:fill="FFFFFF"/>
        </w:rPr>
        <w:t>?</w:t>
      </w:r>
      <w:r w:rsidR="00794166" w:rsidRPr="00E924E3">
        <w:rPr>
          <w:rFonts w:ascii="Candara" w:hAnsi="Candara"/>
          <w:color w:val="000000" w:themeColor="text1"/>
          <w:shd w:val="clear" w:color="auto" w:fill="FFFFFF"/>
        </w:rPr>
        <w:t xml:space="preserve"> These questions are considered in the following sections of the essay. </w:t>
      </w:r>
    </w:p>
    <w:p w14:paraId="348B2562" w14:textId="402F0601" w:rsidR="00BF325E" w:rsidRPr="00E924E3" w:rsidRDefault="008A53B7" w:rsidP="00CC67A1">
      <w:pPr>
        <w:spacing w:before="120" w:after="120"/>
        <w:rPr>
          <w:rFonts w:ascii="Candara" w:hAnsi="Candara"/>
          <w:color w:val="000000" w:themeColor="text1"/>
        </w:rPr>
      </w:pPr>
      <w:r w:rsidRPr="00E924E3">
        <w:rPr>
          <w:rFonts w:ascii="Candara" w:hAnsi="Candara"/>
          <w:color w:val="000000" w:themeColor="text1"/>
          <w:lang w:val="en-US"/>
        </w:rPr>
        <w:t>That the relations between the judiciary and the other two organs of the government are more strictly separated and afford little scope for overlapping is seen in the way</w:t>
      </w:r>
      <w:r w:rsidR="001F21C5" w:rsidRPr="00E924E3">
        <w:rPr>
          <w:rFonts w:ascii="Candara" w:hAnsi="Candara"/>
          <w:color w:val="000000" w:themeColor="text1"/>
          <w:lang w:val="en-US"/>
        </w:rPr>
        <w:t xml:space="preserve"> </w:t>
      </w:r>
      <w:r w:rsidR="001F21C5" w:rsidRPr="00E924E3">
        <w:rPr>
          <w:rFonts w:ascii="Candara" w:hAnsi="Candara"/>
          <w:color w:val="000000" w:themeColor="text1"/>
        </w:rPr>
        <w:t xml:space="preserve">Lord Diplock defined separation of powers </w:t>
      </w:r>
      <w:r w:rsidRPr="00E924E3">
        <w:rPr>
          <w:rFonts w:ascii="Candara" w:hAnsi="Candara"/>
          <w:color w:val="000000" w:themeColor="text1"/>
        </w:rPr>
        <w:t xml:space="preserve">in </w:t>
      </w:r>
      <w:r w:rsidRPr="00E924E3">
        <w:rPr>
          <w:rFonts w:ascii="Candara" w:hAnsi="Candara"/>
          <w:i/>
          <w:noProof/>
          <w:color w:val="000000" w:themeColor="text1"/>
          <w:lang w:val="en-US"/>
        </w:rPr>
        <w:t>Duport Ltd v Sirs</w:t>
      </w:r>
      <w:r w:rsidRPr="00E924E3">
        <w:rPr>
          <w:rFonts w:ascii="Candara" w:hAnsi="Candara"/>
          <w:color w:val="000000" w:themeColor="text1"/>
        </w:rPr>
        <w:t xml:space="preserve"> </w:t>
      </w:r>
      <w:r w:rsidR="001F21C5" w:rsidRPr="00E924E3">
        <w:rPr>
          <w:rFonts w:ascii="Candara" w:hAnsi="Candara"/>
          <w:color w:val="000000" w:themeColor="text1"/>
        </w:rPr>
        <w:t xml:space="preserve">as </w:t>
      </w:r>
      <w:r w:rsidRPr="00E924E3">
        <w:rPr>
          <w:rFonts w:ascii="Candara" w:hAnsi="Candara"/>
          <w:color w:val="000000" w:themeColor="text1"/>
        </w:rPr>
        <w:t>the</w:t>
      </w:r>
      <w:r w:rsidR="001F21C5" w:rsidRPr="00E924E3">
        <w:rPr>
          <w:rFonts w:ascii="Candara" w:hAnsi="Candara"/>
          <w:color w:val="000000" w:themeColor="text1"/>
        </w:rPr>
        <w:t xml:space="preserve"> principle </w:t>
      </w:r>
      <w:r w:rsidR="00B217C7" w:rsidRPr="00E924E3">
        <w:rPr>
          <w:rFonts w:ascii="Candara" w:hAnsi="Candara"/>
          <w:color w:val="000000" w:themeColor="text1"/>
        </w:rPr>
        <w:t xml:space="preserve">under which </w:t>
      </w:r>
      <w:r w:rsidR="00AD0282">
        <w:rPr>
          <w:rFonts w:ascii="Candara" w:hAnsi="Candara"/>
          <w:color w:val="000000" w:themeColor="text1"/>
        </w:rPr>
        <w:t>law-making</w:t>
      </w:r>
      <w:r w:rsidR="00B217C7" w:rsidRPr="00E924E3">
        <w:rPr>
          <w:rFonts w:ascii="Candara" w:hAnsi="Candara"/>
          <w:color w:val="000000" w:themeColor="text1"/>
        </w:rPr>
        <w:t xml:space="preserve"> is done by the</w:t>
      </w:r>
      <w:r w:rsidR="001F21C5" w:rsidRPr="00E924E3">
        <w:rPr>
          <w:rFonts w:ascii="Candara" w:hAnsi="Candara"/>
          <w:color w:val="000000" w:themeColor="text1"/>
        </w:rPr>
        <w:t xml:space="preserve"> Parliament </w:t>
      </w:r>
      <w:r w:rsidR="00B217C7" w:rsidRPr="00E924E3">
        <w:rPr>
          <w:rFonts w:ascii="Candara" w:hAnsi="Candara"/>
          <w:color w:val="000000" w:themeColor="text1"/>
        </w:rPr>
        <w:t>and its interpretation is done by the</w:t>
      </w:r>
      <w:r w:rsidR="001F21C5" w:rsidRPr="00E924E3">
        <w:rPr>
          <w:rFonts w:ascii="Candara" w:hAnsi="Candara"/>
          <w:color w:val="000000" w:themeColor="text1"/>
        </w:rPr>
        <w:t xml:space="preserve"> judiciary</w:t>
      </w:r>
      <w:r w:rsidR="00B217C7" w:rsidRPr="00E924E3">
        <w:rPr>
          <w:rFonts w:ascii="Candara" w:hAnsi="Candara"/>
          <w:color w:val="000000" w:themeColor="text1"/>
        </w:rPr>
        <w:t xml:space="preserve"> </w:t>
      </w:r>
      <w:sdt>
        <w:sdtPr>
          <w:rPr>
            <w:rFonts w:ascii="Candara" w:hAnsi="Candara"/>
            <w:color w:val="000000" w:themeColor="text1"/>
          </w:rPr>
          <w:id w:val="-395356483"/>
          <w:citation/>
        </w:sdtPr>
        <w:sdtEndPr/>
        <w:sdtContent>
          <w:r w:rsidR="001F21C5" w:rsidRPr="00E924E3">
            <w:rPr>
              <w:rFonts w:ascii="Candara" w:hAnsi="Candara"/>
              <w:color w:val="000000" w:themeColor="text1"/>
            </w:rPr>
            <w:fldChar w:fldCharType="begin"/>
          </w:r>
          <w:r w:rsidR="00B217C7" w:rsidRPr="00E924E3">
            <w:rPr>
              <w:rFonts w:ascii="Candara" w:hAnsi="Candara"/>
              <w:color w:val="000000" w:themeColor="text1"/>
              <w:lang w:val="en-US"/>
            </w:rPr>
            <w:instrText xml:space="preserve">CITATION Dup801 \l 1033 </w:instrText>
          </w:r>
          <w:r w:rsidR="001F21C5" w:rsidRPr="00E924E3">
            <w:rPr>
              <w:rFonts w:ascii="Candara" w:hAnsi="Candara"/>
              <w:color w:val="000000" w:themeColor="text1"/>
            </w:rPr>
            <w:fldChar w:fldCharType="separate"/>
          </w:r>
          <w:r w:rsidR="00B217C7" w:rsidRPr="00E924E3">
            <w:rPr>
              <w:rFonts w:ascii="Candara" w:hAnsi="Candara"/>
              <w:noProof/>
              <w:color w:val="000000" w:themeColor="text1"/>
              <w:lang w:val="en-US"/>
            </w:rPr>
            <w:t>(Duport Ltd v Sirs [1980] 1 WLR 142, 1980)</w:t>
          </w:r>
          <w:r w:rsidR="001F21C5" w:rsidRPr="00E924E3">
            <w:rPr>
              <w:rFonts w:ascii="Candara" w:hAnsi="Candara"/>
              <w:color w:val="000000" w:themeColor="text1"/>
            </w:rPr>
            <w:fldChar w:fldCharType="end"/>
          </w:r>
        </w:sdtContent>
      </w:sdt>
      <w:r w:rsidR="001F21C5" w:rsidRPr="00E924E3">
        <w:rPr>
          <w:rFonts w:ascii="Candara" w:hAnsi="Candara"/>
          <w:color w:val="000000" w:themeColor="text1"/>
        </w:rPr>
        <w:t>.</w:t>
      </w:r>
      <w:r w:rsidR="00B217C7" w:rsidRPr="00E924E3">
        <w:rPr>
          <w:rFonts w:ascii="Candara" w:hAnsi="Candara"/>
          <w:color w:val="000000" w:themeColor="text1"/>
        </w:rPr>
        <w:t xml:space="preserve"> More than a century prior to this observation by Lord Diplock, Bagehot (1867) also noted that the </w:t>
      </w:r>
      <w:r w:rsidR="002116D2" w:rsidRPr="00E924E3">
        <w:rPr>
          <w:rFonts w:ascii="Candara" w:hAnsi="Candara"/>
          <w:color w:val="000000" w:themeColor="text1"/>
        </w:rPr>
        <w:t>constitutio</w:t>
      </w:r>
      <w:r w:rsidR="00B217C7" w:rsidRPr="00E924E3">
        <w:rPr>
          <w:rFonts w:ascii="Candara" w:hAnsi="Candara"/>
          <w:color w:val="000000" w:themeColor="text1"/>
        </w:rPr>
        <w:t>n</w:t>
      </w:r>
      <w:r w:rsidR="002116D2" w:rsidRPr="00E924E3">
        <w:rPr>
          <w:rFonts w:ascii="Candara" w:hAnsi="Candara"/>
          <w:color w:val="000000" w:themeColor="text1"/>
        </w:rPr>
        <w:t xml:space="preserve"> does not have </w:t>
      </w:r>
      <w:r w:rsidR="00B217C7" w:rsidRPr="00E924E3">
        <w:rPr>
          <w:rFonts w:ascii="Candara" w:hAnsi="Candara"/>
          <w:color w:val="000000" w:themeColor="text1"/>
        </w:rPr>
        <w:t>pure</w:t>
      </w:r>
      <w:r w:rsidR="002116D2" w:rsidRPr="00E924E3">
        <w:rPr>
          <w:rFonts w:ascii="Candara" w:hAnsi="Candara"/>
          <w:color w:val="000000" w:themeColor="text1"/>
        </w:rPr>
        <w:t xml:space="preserve"> separation of powers </w:t>
      </w:r>
      <w:r w:rsidR="00B217C7" w:rsidRPr="00E924E3">
        <w:rPr>
          <w:rFonts w:ascii="Candara" w:hAnsi="Candara"/>
          <w:color w:val="000000" w:themeColor="text1"/>
        </w:rPr>
        <w:t xml:space="preserve">as seen in the way the relations are </w:t>
      </w:r>
      <w:r w:rsidR="00AD0282">
        <w:rPr>
          <w:rFonts w:ascii="Candara" w:hAnsi="Candara"/>
          <w:color w:val="000000" w:themeColor="text1"/>
        </w:rPr>
        <w:t>organized</w:t>
      </w:r>
      <w:r w:rsidR="00B217C7" w:rsidRPr="00E924E3">
        <w:rPr>
          <w:rFonts w:ascii="Candara" w:hAnsi="Candara"/>
          <w:color w:val="000000" w:themeColor="text1"/>
        </w:rPr>
        <w:t xml:space="preserve"> between the Parliament and the executive</w:t>
      </w:r>
      <w:r w:rsidR="002116D2" w:rsidRPr="00E924E3">
        <w:rPr>
          <w:rFonts w:ascii="Candara" w:hAnsi="Candara"/>
          <w:color w:val="000000" w:themeColor="text1"/>
        </w:rPr>
        <w:t xml:space="preserve">. </w:t>
      </w:r>
      <w:r w:rsidR="00B217C7" w:rsidRPr="00E924E3">
        <w:rPr>
          <w:rFonts w:ascii="Candara" w:hAnsi="Candara"/>
          <w:color w:val="000000" w:themeColor="text1"/>
        </w:rPr>
        <w:t xml:space="preserve">In other words, even though the theory of separation of powers is applied in the UK, the </w:t>
      </w:r>
      <w:r w:rsidR="00BF325E" w:rsidRPr="00E924E3">
        <w:rPr>
          <w:rFonts w:ascii="Candara" w:hAnsi="Candara"/>
          <w:color w:val="000000" w:themeColor="text1"/>
        </w:rPr>
        <w:t xml:space="preserve">existence of overlapping functions between the Parliament and the executive as well as the fact that the principal party in the House of Commons is also the party in government means that the theory is not applied in the absolute sense. </w:t>
      </w:r>
    </w:p>
    <w:p w14:paraId="0D49C9D0" w14:textId="1F25CF40" w:rsidR="00095FBD" w:rsidRPr="00E924E3" w:rsidRDefault="00BF325E" w:rsidP="00CC67A1">
      <w:pPr>
        <w:spacing w:before="120" w:after="120"/>
        <w:rPr>
          <w:rFonts w:ascii="Candara" w:hAnsi="Candara" w:cstheme="minorHAnsi"/>
        </w:rPr>
      </w:pPr>
      <w:r w:rsidRPr="00E924E3">
        <w:rPr>
          <w:rFonts w:ascii="Candara" w:hAnsi="Candara"/>
          <w:color w:val="000000" w:themeColor="text1"/>
        </w:rPr>
        <w:t xml:space="preserve">One may also note that the </w:t>
      </w:r>
      <w:r w:rsidR="002116D2" w:rsidRPr="00E924E3">
        <w:rPr>
          <w:rFonts w:ascii="Candara" w:hAnsi="Candara"/>
          <w:color w:val="000000" w:themeColor="text1"/>
        </w:rPr>
        <w:t xml:space="preserve">Prime Minister and </w:t>
      </w:r>
      <w:r w:rsidRPr="00E924E3">
        <w:rPr>
          <w:rFonts w:ascii="Candara" w:hAnsi="Candara"/>
          <w:color w:val="000000" w:themeColor="text1"/>
        </w:rPr>
        <w:t>the principal section of the ministers of government are</w:t>
      </w:r>
      <w:r w:rsidR="002116D2" w:rsidRPr="00E924E3">
        <w:rPr>
          <w:rFonts w:ascii="Candara" w:hAnsi="Candara"/>
          <w:color w:val="000000" w:themeColor="text1"/>
        </w:rPr>
        <w:t xml:space="preserve"> </w:t>
      </w:r>
      <w:r w:rsidRPr="00E924E3">
        <w:rPr>
          <w:rFonts w:ascii="Candara" w:hAnsi="Candara"/>
          <w:color w:val="000000" w:themeColor="text1"/>
        </w:rPr>
        <w:t>members of Parliament</w:t>
      </w:r>
      <w:sdt>
        <w:sdtPr>
          <w:rPr>
            <w:rFonts w:ascii="Candara" w:hAnsi="Candara"/>
            <w:color w:val="000000" w:themeColor="text1"/>
          </w:rPr>
          <w:id w:val="-2116050980"/>
          <w:citation/>
        </w:sdtPr>
        <w:sdtEndPr/>
        <w:sdtContent>
          <w:r w:rsidR="002116D2" w:rsidRPr="00E924E3">
            <w:rPr>
              <w:rFonts w:ascii="Candara" w:hAnsi="Candara"/>
              <w:color w:val="000000" w:themeColor="text1"/>
            </w:rPr>
            <w:fldChar w:fldCharType="begin"/>
          </w:r>
          <w:r w:rsidR="002116D2" w:rsidRPr="00E924E3">
            <w:rPr>
              <w:rFonts w:ascii="Candara" w:hAnsi="Candara"/>
              <w:color w:val="000000" w:themeColor="text1"/>
              <w:lang w:val="en-US"/>
            </w:rPr>
            <w:instrText xml:space="preserve"> CITATION Ric112 \l 1033 </w:instrText>
          </w:r>
          <w:r w:rsidR="002116D2" w:rsidRPr="00E924E3">
            <w:rPr>
              <w:rFonts w:ascii="Candara" w:hAnsi="Candara"/>
              <w:color w:val="000000" w:themeColor="text1"/>
            </w:rPr>
            <w:fldChar w:fldCharType="separate"/>
          </w:r>
          <w:r w:rsidR="002116D2" w:rsidRPr="00E924E3">
            <w:rPr>
              <w:rFonts w:ascii="Candara" w:hAnsi="Candara"/>
              <w:noProof/>
              <w:color w:val="000000" w:themeColor="text1"/>
              <w:lang w:val="en-US"/>
            </w:rPr>
            <w:t xml:space="preserve"> (Benwell &amp; Gay, 2011)</w:t>
          </w:r>
          <w:r w:rsidR="002116D2" w:rsidRPr="00E924E3">
            <w:rPr>
              <w:rFonts w:ascii="Candara" w:hAnsi="Candara"/>
              <w:color w:val="000000" w:themeColor="text1"/>
            </w:rPr>
            <w:fldChar w:fldCharType="end"/>
          </w:r>
        </w:sdtContent>
      </w:sdt>
      <w:r w:rsidR="002116D2" w:rsidRPr="00E924E3">
        <w:rPr>
          <w:rFonts w:ascii="Candara" w:hAnsi="Candara"/>
          <w:color w:val="000000" w:themeColor="text1"/>
        </w:rPr>
        <w:t xml:space="preserve">. The Prime Minister is the head of the </w:t>
      </w:r>
      <w:r w:rsidRPr="00E924E3">
        <w:rPr>
          <w:rFonts w:ascii="Candara" w:hAnsi="Candara"/>
          <w:color w:val="000000" w:themeColor="text1"/>
        </w:rPr>
        <w:t>Cabinet and the government</w:t>
      </w:r>
      <w:r w:rsidR="002116D2" w:rsidRPr="00E924E3">
        <w:rPr>
          <w:rFonts w:ascii="Candara" w:hAnsi="Candara"/>
          <w:color w:val="000000" w:themeColor="text1"/>
        </w:rPr>
        <w:t xml:space="preserve">. </w:t>
      </w:r>
      <w:r w:rsidRPr="00E924E3">
        <w:rPr>
          <w:rFonts w:ascii="Candara" w:hAnsi="Candara"/>
          <w:color w:val="000000" w:themeColor="text1"/>
        </w:rPr>
        <w:t xml:space="preserve">Therefore, the Parliament and the executive share personnel. They also share functions because the Parliament can delegate the power of </w:t>
      </w:r>
      <w:r w:rsidR="00AD0282">
        <w:rPr>
          <w:rFonts w:ascii="Candara" w:hAnsi="Candara"/>
          <w:color w:val="000000" w:themeColor="text1"/>
        </w:rPr>
        <w:t>law-making</w:t>
      </w:r>
      <w:r w:rsidRPr="00E924E3">
        <w:rPr>
          <w:rFonts w:ascii="Candara" w:hAnsi="Candara"/>
          <w:color w:val="000000" w:themeColor="text1"/>
        </w:rPr>
        <w:t xml:space="preserve"> to the executive in the form of delegated legislation</w:t>
      </w:r>
      <w:sdt>
        <w:sdtPr>
          <w:rPr>
            <w:rFonts w:ascii="Candara" w:hAnsi="Candara"/>
            <w:color w:val="000000" w:themeColor="text1"/>
          </w:rPr>
          <w:id w:val="-930272922"/>
          <w:citation/>
        </w:sdtPr>
        <w:sdtEndPr/>
        <w:sdtContent>
          <w:r w:rsidR="00986FF2" w:rsidRPr="00E924E3">
            <w:rPr>
              <w:rFonts w:ascii="Candara" w:hAnsi="Candara"/>
              <w:color w:val="000000" w:themeColor="text1"/>
            </w:rPr>
            <w:fldChar w:fldCharType="begin"/>
          </w:r>
          <w:r w:rsidR="00986FF2" w:rsidRPr="00E924E3">
            <w:rPr>
              <w:rFonts w:ascii="Candara" w:hAnsi="Candara"/>
              <w:color w:val="000000" w:themeColor="text1"/>
              <w:lang w:val="en-US"/>
            </w:rPr>
            <w:instrText xml:space="preserve"> CITATION Mas101 \l 1033 </w:instrText>
          </w:r>
          <w:r w:rsidR="00986FF2" w:rsidRPr="00E924E3">
            <w:rPr>
              <w:rFonts w:ascii="Candara" w:hAnsi="Candara"/>
              <w:color w:val="000000" w:themeColor="text1"/>
            </w:rPr>
            <w:fldChar w:fldCharType="separate"/>
          </w:r>
          <w:r w:rsidR="00986FF2" w:rsidRPr="00E924E3">
            <w:rPr>
              <w:rFonts w:ascii="Candara" w:hAnsi="Candara"/>
              <w:noProof/>
              <w:color w:val="000000" w:themeColor="text1"/>
              <w:lang w:val="en-US"/>
            </w:rPr>
            <w:t xml:space="preserve"> (Masterman, 2010)</w:t>
          </w:r>
          <w:r w:rsidR="00986FF2" w:rsidRPr="00E924E3">
            <w:rPr>
              <w:rFonts w:ascii="Candara" w:hAnsi="Candara"/>
              <w:color w:val="000000" w:themeColor="text1"/>
            </w:rPr>
            <w:fldChar w:fldCharType="end"/>
          </w:r>
        </w:sdtContent>
      </w:sdt>
      <w:r w:rsidRPr="00E924E3">
        <w:rPr>
          <w:rFonts w:ascii="Candara" w:hAnsi="Candara"/>
          <w:color w:val="000000" w:themeColor="text1"/>
        </w:rPr>
        <w:t xml:space="preserve">.  This is a practical requirement considering the technical requirements of some laws or the more technical details required to be </w:t>
      </w:r>
      <w:r w:rsidR="0099415B" w:rsidRPr="00E924E3">
        <w:rPr>
          <w:rFonts w:ascii="Candara" w:hAnsi="Candara"/>
          <w:color w:val="000000" w:themeColor="text1"/>
        </w:rPr>
        <w:t>addressed by the government, which necessitates the use of delegated legislation.</w:t>
      </w:r>
      <w:r w:rsidR="00C81059" w:rsidRPr="00E924E3">
        <w:rPr>
          <w:rFonts w:ascii="Candara" w:hAnsi="Candara"/>
          <w:color w:val="000000" w:themeColor="text1"/>
        </w:rPr>
        <w:t xml:space="preserve"> Delegated legislation may be done by the </w:t>
      </w:r>
      <w:r w:rsidR="00C81059" w:rsidRPr="00E924E3">
        <w:rPr>
          <w:rFonts w:ascii="Candara" w:hAnsi="Candara" w:cstheme="minorHAnsi"/>
        </w:rPr>
        <w:t>Orders in Council are made by the Queen and the Privy Council, the latter body including the prime minister and other ministers; Statutory Instruments made by ministers</w:t>
      </w:r>
      <w:r w:rsidR="000F68E9" w:rsidRPr="00E924E3">
        <w:rPr>
          <w:rFonts w:ascii="Candara" w:hAnsi="Candara" w:cstheme="minorHAnsi"/>
        </w:rPr>
        <w:t xml:space="preserve">; and </w:t>
      </w:r>
      <w:r w:rsidR="00C81059" w:rsidRPr="00E924E3">
        <w:rPr>
          <w:rFonts w:ascii="Candara" w:hAnsi="Candara" w:cstheme="minorHAnsi"/>
        </w:rPr>
        <w:t xml:space="preserve">Bylaws made by local authorities. </w:t>
      </w:r>
      <w:r w:rsidR="000F68E9" w:rsidRPr="00E924E3">
        <w:rPr>
          <w:rFonts w:ascii="Candara" w:hAnsi="Candara" w:cstheme="minorHAnsi"/>
        </w:rPr>
        <w:t xml:space="preserve">Since a significant portion of the law is also made through such delegated legislation, there is an overlapping of functions between Parliament and the executive as well. </w:t>
      </w:r>
    </w:p>
    <w:p w14:paraId="374404E6" w14:textId="66A9EFAB" w:rsidR="004D2190" w:rsidRPr="00E924E3" w:rsidRDefault="00591424" w:rsidP="00CC67A1">
      <w:pPr>
        <w:spacing w:before="120" w:after="120"/>
        <w:rPr>
          <w:rFonts w:ascii="Candara" w:hAnsi="Candara"/>
          <w:color w:val="000000" w:themeColor="text1"/>
        </w:rPr>
      </w:pPr>
      <w:r w:rsidRPr="00E924E3">
        <w:rPr>
          <w:rFonts w:ascii="Candara" w:hAnsi="Candara" w:cstheme="minorHAnsi"/>
        </w:rPr>
        <w:t xml:space="preserve">Therefore, the statement that there is a </w:t>
      </w:r>
      <w:r w:rsidRPr="00E924E3">
        <w:rPr>
          <w:rFonts w:ascii="Candara" w:hAnsi="Candara"/>
          <w:color w:val="000000" w:themeColor="text1"/>
        </w:rPr>
        <w:t xml:space="preserve">“nearly </w:t>
      </w:r>
      <w:r w:rsidR="002116D2" w:rsidRPr="00E924E3">
        <w:rPr>
          <w:rFonts w:ascii="Candara" w:hAnsi="Candara"/>
          <w:color w:val="000000" w:themeColor="text1"/>
        </w:rPr>
        <w:t>complete fusion of the executive and legislative powers</w:t>
      </w:r>
      <w:r w:rsidRPr="00E924E3">
        <w:rPr>
          <w:rFonts w:ascii="Candara" w:hAnsi="Candara"/>
          <w:color w:val="000000" w:themeColor="text1"/>
        </w:rPr>
        <w:t xml:space="preserve">” </w:t>
      </w:r>
      <w:sdt>
        <w:sdtPr>
          <w:rPr>
            <w:rFonts w:ascii="Candara" w:hAnsi="Candara"/>
            <w:color w:val="000000" w:themeColor="text1"/>
          </w:rPr>
          <w:id w:val="1751463113"/>
          <w:citation/>
        </w:sdtPr>
        <w:sdtEndPr/>
        <w:sdtContent>
          <w:r w:rsidR="002116D2" w:rsidRPr="00E924E3">
            <w:rPr>
              <w:rFonts w:ascii="Candara" w:hAnsi="Candara"/>
              <w:color w:val="000000" w:themeColor="text1"/>
            </w:rPr>
            <w:fldChar w:fldCharType="begin"/>
          </w:r>
          <w:r w:rsidR="002116D2" w:rsidRPr="00E924E3">
            <w:rPr>
              <w:rFonts w:ascii="Candara" w:hAnsi="Candara"/>
              <w:color w:val="000000" w:themeColor="text1"/>
              <w:lang w:val="en-US"/>
            </w:rPr>
            <w:instrText xml:space="preserve">CITATION Wal671 \p 12 \l 1033 </w:instrText>
          </w:r>
          <w:r w:rsidR="002116D2" w:rsidRPr="00E924E3">
            <w:rPr>
              <w:rFonts w:ascii="Candara" w:hAnsi="Candara"/>
              <w:color w:val="000000" w:themeColor="text1"/>
            </w:rPr>
            <w:fldChar w:fldCharType="separate"/>
          </w:r>
          <w:r w:rsidR="002116D2" w:rsidRPr="00E924E3">
            <w:rPr>
              <w:rFonts w:ascii="Candara" w:hAnsi="Candara"/>
              <w:noProof/>
              <w:color w:val="000000" w:themeColor="text1"/>
              <w:lang w:val="en-US"/>
            </w:rPr>
            <w:t>(Bagehot, 1867, p. 12)</w:t>
          </w:r>
          <w:r w:rsidR="002116D2" w:rsidRPr="00E924E3">
            <w:rPr>
              <w:rFonts w:ascii="Candara" w:hAnsi="Candara"/>
              <w:color w:val="000000" w:themeColor="text1"/>
            </w:rPr>
            <w:fldChar w:fldCharType="end"/>
          </w:r>
        </w:sdtContent>
      </w:sdt>
      <w:r w:rsidRPr="00E924E3">
        <w:rPr>
          <w:rFonts w:ascii="Candara" w:hAnsi="Candara"/>
          <w:color w:val="000000" w:themeColor="text1"/>
        </w:rPr>
        <w:t>, is as true today as it was more than a century ago.</w:t>
      </w:r>
      <w:r w:rsidR="002116D2" w:rsidRPr="00E924E3">
        <w:rPr>
          <w:rFonts w:ascii="Candara" w:hAnsi="Candara"/>
          <w:color w:val="000000" w:themeColor="text1"/>
        </w:rPr>
        <w:t xml:space="preserve"> </w:t>
      </w:r>
      <w:r w:rsidR="008407F4" w:rsidRPr="00E924E3">
        <w:rPr>
          <w:rFonts w:ascii="Candara" w:hAnsi="Candara"/>
          <w:color w:val="000000" w:themeColor="text1"/>
        </w:rPr>
        <w:t>It may also be noted that the functions of legislation, adjudication</w:t>
      </w:r>
      <w:r w:rsidR="00AD0282">
        <w:rPr>
          <w:rFonts w:ascii="Candara" w:hAnsi="Candara"/>
          <w:color w:val="000000" w:themeColor="text1"/>
        </w:rPr>
        <w:t>,</w:t>
      </w:r>
      <w:r w:rsidR="008407F4" w:rsidRPr="00E924E3">
        <w:rPr>
          <w:rFonts w:ascii="Candara" w:hAnsi="Candara"/>
          <w:color w:val="000000" w:themeColor="text1"/>
        </w:rPr>
        <w:t xml:space="preserve"> and execution may not be capable of precise separation because they are not capable of “precise definition”</w:t>
      </w:r>
      <w:sdt>
        <w:sdtPr>
          <w:rPr>
            <w:rFonts w:ascii="Candara" w:hAnsi="Candara"/>
            <w:color w:val="000000" w:themeColor="text1"/>
          </w:rPr>
          <w:id w:val="174772837"/>
          <w:citation/>
        </w:sdtPr>
        <w:sdtEndPr/>
        <w:sdtContent>
          <w:r w:rsidR="008407F4" w:rsidRPr="00E924E3">
            <w:rPr>
              <w:rFonts w:ascii="Candara" w:hAnsi="Candara"/>
              <w:color w:val="000000" w:themeColor="text1"/>
            </w:rPr>
            <w:fldChar w:fldCharType="begin"/>
          </w:r>
          <w:r w:rsidR="008407F4" w:rsidRPr="00E924E3">
            <w:rPr>
              <w:rFonts w:ascii="Candara" w:hAnsi="Candara"/>
              <w:color w:val="000000" w:themeColor="text1"/>
              <w:lang w:val="en-US"/>
            </w:rPr>
            <w:instrText xml:space="preserve">CITATION Hil141 \p 133 \l 1033 </w:instrText>
          </w:r>
          <w:r w:rsidR="008407F4" w:rsidRPr="00E924E3">
            <w:rPr>
              <w:rFonts w:ascii="Candara" w:hAnsi="Candara"/>
              <w:color w:val="000000" w:themeColor="text1"/>
            </w:rPr>
            <w:fldChar w:fldCharType="separate"/>
          </w:r>
          <w:r w:rsidR="008407F4" w:rsidRPr="00E924E3">
            <w:rPr>
              <w:rFonts w:ascii="Candara" w:hAnsi="Candara"/>
              <w:noProof/>
              <w:color w:val="000000" w:themeColor="text1"/>
              <w:lang w:val="en-US"/>
            </w:rPr>
            <w:t xml:space="preserve"> (Barnett, 2014, p. 133)</w:t>
          </w:r>
          <w:r w:rsidR="008407F4" w:rsidRPr="00E924E3">
            <w:rPr>
              <w:rFonts w:ascii="Candara" w:hAnsi="Candara"/>
              <w:color w:val="000000" w:themeColor="text1"/>
            </w:rPr>
            <w:fldChar w:fldCharType="end"/>
          </w:r>
        </w:sdtContent>
      </w:sdt>
      <w:r w:rsidR="008407F4" w:rsidRPr="00E924E3">
        <w:rPr>
          <w:rFonts w:ascii="Candara" w:hAnsi="Candara"/>
          <w:color w:val="000000" w:themeColor="text1"/>
        </w:rPr>
        <w:t>.</w:t>
      </w:r>
      <w:r w:rsidR="004D2190" w:rsidRPr="00E924E3">
        <w:rPr>
          <w:rFonts w:ascii="Candara" w:hAnsi="Candara"/>
          <w:color w:val="000000" w:themeColor="text1"/>
        </w:rPr>
        <w:t xml:space="preserve"> Due to the practical difficulties involved in any precise separation of powers, it is also accepted by the judiciary that the British constitution does not rigidly apply separation of powers</w:t>
      </w:r>
      <w:sdt>
        <w:sdtPr>
          <w:rPr>
            <w:rFonts w:ascii="Candara" w:hAnsi="Candara"/>
            <w:color w:val="000000" w:themeColor="text1"/>
          </w:rPr>
          <w:id w:val="-2086205708"/>
          <w:citation/>
        </w:sdtPr>
        <w:sdtEndPr/>
        <w:sdtContent>
          <w:r w:rsidR="004D2190" w:rsidRPr="00E924E3">
            <w:rPr>
              <w:rFonts w:ascii="Candara" w:hAnsi="Candara"/>
              <w:color w:val="000000" w:themeColor="text1"/>
            </w:rPr>
            <w:fldChar w:fldCharType="begin"/>
          </w:r>
          <w:r w:rsidR="004D2190" w:rsidRPr="00E924E3">
            <w:rPr>
              <w:rFonts w:ascii="Candara" w:hAnsi="Candara"/>
              <w:color w:val="000000" w:themeColor="text1"/>
              <w:lang w:val="en-US"/>
            </w:rPr>
            <w:instrText xml:space="preserve"> CITATION RAn02 \l 1033 </w:instrText>
          </w:r>
          <w:r w:rsidR="004D2190" w:rsidRPr="00E924E3">
            <w:rPr>
              <w:rFonts w:ascii="Candara" w:hAnsi="Candara"/>
              <w:color w:val="000000" w:themeColor="text1"/>
            </w:rPr>
            <w:fldChar w:fldCharType="separate"/>
          </w:r>
          <w:r w:rsidR="004D2190" w:rsidRPr="00E924E3">
            <w:rPr>
              <w:rFonts w:ascii="Candara" w:hAnsi="Candara"/>
              <w:noProof/>
              <w:color w:val="000000" w:themeColor="text1"/>
              <w:lang w:val="en-US"/>
            </w:rPr>
            <w:t xml:space="preserve"> (R (Anderson) v Home Secretary[2002] UKHL 46, 2002)</w:t>
          </w:r>
          <w:r w:rsidR="004D2190" w:rsidRPr="00E924E3">
            <w:rPr>
              <w:rFonts w:ascii="Candara" w:hAnsi="Candara"/>
              <w:color w:val="000000" w:themeColor="text1"/>
            </w:rPr>
            <w:fldChar w:fldCharType="end"/>
          </w:r>
        </w:sdtContent>
      </w:sdt>
      <w:r w:rsidR="004D2190" w:rsidRPr="00E924E3">
        <w:rPr>
          <w:rFonts w:ascii="Candara" w:hAnsi="Candara"/>
          <w:color w:val="000000" w:themeColor="text1"/>
        </w:rPr>
        <w:t xml:space="preserve">. </w:t>
      </w:r>
      <w:r w:rsidR="001E6BFA" w:rsidRPr="00E924E3">
        <w:rPr>
          <w:rFonts w:ascii="Candara" w:hAnsi="Candara"/>
          <w:color w:val="000000" w:themeColor="text1"/>
        </w:rPr>
        <w:t>At the same time, it is not possible to apply such strict application of the principle of separation of powers because of the need of oversight, which is more generally done by the Parliament over the actions of the Executive, while the judiciary also applies</w:t>
      </w:r>
      <w:r w:rsidR="00AD0282">
        <w:rPr>
          <w:rFonts w:ascii="Candara" w:hAnsi="Candara"/>
          <w:color w:val="000000" w:themeColor="text1"/>
        </w:rPr>
        <w:t xml:space="preserve"> for</w:t>
      </w:r>
      <w:r w:rsidR="001E6BFA" w:rsidRPr="00E924E3">
        <w:rPr>
          <w:rFonts w:ascii="Candara" w:hAnsi="Candara"/>
          <w:color w:val="000000" w:themeColor="text1"/>
        </w:rPr>
        <w:t xml:space="preserve"> judicial review as a way of ensuring that the executive does not act </w:t>
      </w:r>
      <w:r w:rsidR="001E6BFA" w:rsidRPr="00E924E3">
        <w:rPr>
          <w:rFonts w:ascii="Candara" w:hAnsi="Candara"/>
          <w:i/>
          <w:color w:val="000000" w:themeColor="text1"/>
        </w:rPr>
        <w:t xml:space="preserve">ultra vires </w:t>
      </w:r>
      <w:r w:rsidR="001E6BFA" w:rsidRPr="00E924E3">
        <w:rPr>
          <w:rFonts w:ascii="Candara" w:hAnsi="Candara"/>
          <w:color w:val="000000" w:themeColor="text1"/>
        </w:rPr>
        <w:t>the powers given it by the Parliament</w:t>
      </w:r>
      <w:sdt>
        <w:sdtPr>
          <w:rPr>
            <w:rFonts w:ascii="Candara" w:hAnsi="Candara"/>
            <w:color w:val="000000" w:themeColor="text1"/>
          </w:rPr>
          <w:id w:val="-1979600138"/>
          <w:citation/>
        </w:sdtPr>
        <w:sdtEndPr/>
        <w:sdtContent>
          <w:r w:rsidR="001E6BFA" w:rsidRPr="00E924E3">
            <w:rPr>
              <w:rFonts w:ascii="Candara" w:hAnsi="Candara"/>
              <w:color w:val="000000" w:themeColor="text1"/>
            </w:rPr>
            <w:fldChar w:fldCharType="begin"/>
          </w:r>
          <w:r w:rsidR="001E6BFA" w:rsidRPr="00E924E3">
            <w:rPr>
              <w:rFonts w:ascii="Candara" w:hAnsi="Candara"/>
              <w:color w:val="000000" w:themeColor="text1"/>
              <w:lang w:val="en-US"/>
            </w:rPr>
            <w:instrText xml:space="preserve"> CITATION Mas101 \l 1033 </w:instrText>
          </w:r>
          <w:r w:rsidR="001E6BFA" w:rsidRPr="00E924E3">
            <w:rPr>
              <w:rFonts w:ascii="Candara" w:hAnsi="Candara"/>
              <w:color w:val="000000" w:themeColor="text1"/>
            </w:rPr>
            <w:fldChar w:fldCharType="separate"/>
          </w:r>
          <w:r w:rsidR="001E6BFA" w:rsidRPr="00E924E3">
            <w:rPr>
              <w:rFonts w:ascii="Candara" w:hAnsi="Candara"/>
              <w:noProof/>
              <w:color w:val="000000" w:themeColor="text1"/>
              <w:lang w:val="en-US"/>
            </w:rPr>
            <w:t xml:space="preserve"> (Masterman, 2010)</w:t>
          </w:r>
          <w:r w:rsidR="001E6BFA" w:rsidRPr="00E924E3">
            <w:rPr>
              <w:rFonts w:ascii="Candara" w:hAnsi="Candara"/>
              <w:color w:val="000000" w:themeColor="text1"/>
            </w:rPr>
            <w:fldChar w:fldCharType="end"/>
          </w:r>
        </w:sdtContent>
      </w:sdt>
      <w:r w:rsidR="001E6BFA" w:rsidRPr="00E924E3">
        <w:rPr>
          <w:rFonts w:ascii="Candara" w:hAnsi="Candara"/>
          <w:color w:val="000000" w:themeColor="text1"/>
        </w:rPr>
        <w:t xml:space="preserve">. </w:t>
      </w:r>
    </w:p>
    <w:p w14:paraId="15C241E2" w14:textId="03840FC5" w:rsidR="004473A5" w:rsidRPr="00E924E3" w:rsidRDefault="008E215F" w:rsidP="00F35E4C">
      <w:pPr>
        <w:spacing w:before="120" w:after="120"/>
        <w:rPr>
          <w:rFonts w:ascii="Candara" w:hAnsi="Candara"/>
          <w:color w:val="000000" w:themeColor="text1"/>
        </w:rPr>
      </w:pPr>
      <w:r w:rsidRPr="00E924E3">
        <w:rPr>
          <w:rFonts w:ascii="Candara" w:hAnsi="Candara"/>
          <w:color w:val="000000" w:themeColor="text1"/>
        </w:rPr>
        <w:lastRenderedPageBreak/>
        <w:t>Due to the overlapping of the personnel and functions between the Parliament and the executive, it can be said that there is no pure application of</w:t>
      </w:r>
      <w:r w:rsidR="002116D2" w:rsidRPr="00E924E3">
        <w:rPr>
          <w:rFonts w:ascii="Candara" w:hAnsi="Candara"/>
          <w:color w:val="000000" w:themeColor="text1"/>
        </w:rPr>
        <w:t xml:space="preserve"> separation of powers</w:t>
      </w:r>
      <w:r w:rsidRPr="00E924E3">
        <w:rPr>
          <w:rFonts w:ascii="Candara" w:hAnsi="Candara"/>
          <w:color w:val="000000" w:themeColor="text1"/>
        </w:rPr>
        <w:t xml:space="preserve"> in the UK</w:t>
      </w:r>
      <w:r w:rsidR="002116D2" w:rsidRPr="00E924E3">
        <w:rPr>
          <w:rFonts w:ascii="Candara" w:hAnsi="Candara"/>
          <w:color w:val="000000" w:themeColor="text1"/>
        </w:rPr>
        <w:t xml:space="preserve"> </w:t>
      </w:r>
      <w:sdt>
        <w:sdtPr>
          <w:rPr>
            <w:rFonts w:ascii="Candara" w:hAnsi="Candara"/>
            <w:color w:val="000000" w:themeColor="text1"/>
          </w:rPr>
          <w:id w:val="141708218"/>
          <w:citation/>
        </w:sdtPr>
        <w:sdtEndPr/>
        <w:sdtContent>
          <w:r w:rsidR="002116D2" w:rsidRPr="00E924E3">
            <w:rPr>
              <w:rFonts w:ascii="Candara" w:hAnsi="Candara"/>
              <w:color w:val="000000" w:themeColor="text1"/>
            </w:rPr>
            <w:fldChar w:fldCharType="begin"/>
          </w:r>
          <w:r w:rsidR="00C22AF3" w:rsidRPr="00E924E3">
            <w:rPr>
              <w:rFonts w:ascii="Candara" w:hAnsi="Candara"/>
              <w:color w:val="000000" w:themeColor="text1"/>
              <w:lang w:val="en-US"/>
            </w:rPr>
            <w:instrText xml:space="preserve">CITATION Daw981 \l 1033 </w:instrText>
          </w:r>
          <w:r w:rsidR="002116D2" w:rsidRPr="00E924E3">
            <w:rPr>
              <w:rFonts w:ascii="Candara" w:hAnsi="Candara"/>
              <w:color w:val="000000" w:themeColor="text1"/>
            </w:rPr>
            <w:fldChar w:fldCharType="separate"/>
          </w:r>
          <w:r w:rsidR="00C22AF3" w:rsidRPr="00E924E3">
            <w:rPr>
              <w:rFonts w:ascii="Candara" w:hAnsi="Candara"/>
              <w:noProof/>
              <w:color w:val="000000" w:themeColor="text1"/>
              <w:lang w:val="en-US"/>
            </w:rPr>
            <w:t>(Oliver &amp; Drewry, 1998)</w:t>
          </w:r>
          <w:r w:rsidR="002116D2" w:rsidRPr="00E924E3">
            <w:rPr>
              <w:rFonts w:ascii="Candara" w:hAnsi="Candara"/>
              <w:color w:val="000000" w:themeColor="text1"/>
            </w:rPr>
            <w:fldChar w:fldCharType="end"/>
          </w:r>
        </w:sdtContent>
      </w:sdt>
      <w:r w:rsidR="002116D2" w:rsidRPr="00E924E3">
        <w:rPr>
          <w:rFonts w:ascii="Candara" w:hAnsi="Candara"/>
          <w:color w:val="000000" w:themeColor="text1"/>
        </w:rPr>
        <w:t xml:space="preserve">. </w:t>
      </w:r>
      <w:r w:rsidR="004720E6" w:rsidRPr="00E924E3">
        <w:rPr>
          <w:rFonts w:ascii="Candara" w:hAnsi="Candara"/>
          <w:color w:val="000000" w:themeColor="text1"/>
        </w:rPr>
        <w:t xml:space="preserve">Does that mean that there is </w:t>
      </w:r>
      <w:r w:rsidR="00AD0282">
        <w:rPr>
          <w:rFonts w:ascii="Candara" w:hAnsi="Candara"/>
          <w:color w:val="000000" w:themeColor="text1"/>
        </w:rPr>
        <w:t>over-centralization</w:t>
      </w:r>
      <w:r w:rsidR="004720E6" w:rsidRPr="00E924E3">
        <w:rPr>
          <w:rFonts w:ascii="Candara" w:hAnsi="Candara"/>
          <w:color w:val="000000" w:themeColor="text1"/>
        </w:rPr>
        <w:t xml:space="preserve"> of powers</w:t>
      </w:r>
      <w:r w:rsidR="00F35E4C" w:rsidRPr="00E924E3">
        <w:rPr>
          <w:rFonts w:ascii="Candara" w:hAnsi="Candara"/>
          <w:color w:val="000000" w:themeColor="text1"/>
        </w:rPr>
        <w:t xml:space="preserve"> and potential abuse of powers or does the system of checks and balances </w:t>
      </w:r>
      <w:r w:rsidR="00AD0282">
        <w:rPr>
          <w:rFonts w:ascii="Candara" w:hAnsi="Candara"/>
          <w:color w:val="000000" w:themeColor="text1"/>
        </w:rPr>
        <w:t>provide</w:t>
      </w:r>
      <w:r w:rsidR="00F35E4C" w:rsidRPr="00E924E3">
        <w:rPr>
          <w:rFonts w:ascii="Candara" w:hAnsi="Candara"/>
          <w:color w:val="000000" w:themeColor="text1"/>
        </w:rPr>
        <w:t xml:space="preserve"> a </w:t>
      </w:r>
      <w:r w:rsidR="00AD0282">
        <w:rPr>
          <w:rFonts w:ascii="Candara" w:hAnsi="Candara"/>
          <w:color w:val="000000" w:themeColor="text1"/>
        </w:rPr>
        <w:t>counterbalance</w:t>
      </w:r>
      <w:r w:rsidR="00F35E4C" w:rsidRPr="00E924E3">
        <w:rPr>
          <w:rFonts w:ascii="Candara" w:hAnsi="Candara"/>
          <w:color w:val="000000" w:themeColor="text1"/>
        </w:rPr>
        <w:t xml:space="preserve"> to such </w:t>
      </w:r>
      <w:r w:rsidR="00AD0282">
        <w:rPr>
          <w:rFonts w:ascii="Candara" w:hAnsi="Candara"/>
          <w:color w:val="000000" w:themeColor="text1"/>
        </w:rPr>
        <w:t xml:space="preserve">a </w:t>
      </w:r>
      <w:r w:rsidR="00F35E4C" w:rsidRPr="00E924E3">
        <w:rPr>
          <w:rFonts w:ascii="Candara" w:hAnsi="Candara"/>
          <w:color w:val="000000" w:themeColor="text1"/>
        </w:rPr>
        <w:t xml:space="preserve">situation? It is generally accepted that there is avoidance of </w:t>
      </w:r>
      <w:r w:rsidR="00AD0282">
        <w:rPr>
          <w:rFonts w:ascii="Candara" w:hAnsi="Candara"/>
          <w:color w:val="000000" w:themeColor="text1"/>
        </w:rPr>
        <w:t>over-centralization</w:t>
      </w:r>
      <w:r w:rsidR="002116D2" w:rsidRPr="00E924E3">
        <w:rPr>
          <w:rFonts w:ascii="Candara" w:hAnsi="Candara"/>
          <w:color w:val="000000" w:themeColor="text1"/>
          <w:lang w:val="en-US"/>
        </w:rPr>
        <w:t xml:space="preserve"> of powers in any one orga</w:t>
      </w:r>
      <w:r w:rsidR="00F35E4C" w:rsidRPr="00E924E3">
        <w:rPr>
          <w:rFonts w:ascii="Candara" w:hAnsi="Candara"/>
          <w:color w:val="000000" w:themeColor="text1"/>
          <w:lang w:val="en-US"/>
        </w:rPr>
        <w:t>n</w:t>
      </w:r>
      <w:sdt>
        <w:sdtPr>
          <w:rPr>
            <w:rFonts w:ascii="Candara" w:hAnsi="Candara"/>
            <w:color w:val="000000" w:themeColor="text1"/>
            <w:lang w:val="en-US"/>
          </w:rPr>
          <w:id w:val="2116634259"/>
          <w:citation/>
        </w:sdtPr>
        <w:sdtEndPr/>
        <w:sdtContent>
          <w:r w:rsidR="002116D2" w:rsidRPr="00E924E3">
            <w:rPr>
              <w:rFonts w:ascii="Candara" w:hAnsi="Candara"/>
              <w:color w:val="000000" w:themeColor="text1"/>
              <w:lang w:val="en-US"/>
            </w:rPr>
            <w:fldChar w:fldCharType="begin"/>
          </w:r>
          <w:r w:rsidR="00F35E4C" w:rsidRPr="00E924E3">
            <w:rPr>
              <w:rFonts w:ascii="Candara" w:hAnsi="Candara"/>
              <w:color w:val="000000" w:themeColor="text1"/>
              <w:lang w:val="en-US"/>
            </w:rPr>
            <w:instrText xml:space="preserve">CITATION Bil14 \l 1033 </w:instrText>
          </w:r>
          <w:r w:rsidR="002116D2" w:rsidRPr="00E924E3">
            <w:rPr>
              <w:rFonts w:ascii="Candara" w:hAnsi="Candara"/>
              <w:color w:val="000000" w:themeColor="text1"/>
              <w:lang w:val="en-US"/>
            </w:rPr>
            <w:fldChar w:fldCharType="separate"/>
          </w:r>
          <w:r w:rsidR="00F35E4C" w:rsidRPr="00E924E3">
            <w:rPr>
              <w:rFonts w:ascii="Candara" w:hAnsi="Candara"/>
              <w:noProof/>
              <w:color w:val="000000" w:themeColor="text1"/>
              <w:lang w:val="en-US"/>
            </w:rPr>
            <w:t xml:space="preserve"> (Jones &amp; Norton, 2014)</w:t>
          </w:r>
          <w:r w:rsidR="002116D2" w:rsidRPr="00E924E3">
            <w:rPr>
              <w:rFonts w:ascii="Candara" w:hAnsi="Candara"/>
              <w:color w:val="000000" w:themeColor="text1"/>
              <w:lang w:val="en-US"/>
            </w:rPr>
            <w:fldChar w:fldCharType="end"/>
          </w:r>
        </w:sdtContent>
      </w:sdt>
      <w:r w:rsidR="00F35E4C" w:rsidRPr="00E924E3">
        <w:rPr>
          <w:rFonts w:ascii="Candara" w:hAnsi="Candara"/>
          <w:color w:val="000000" w:themeColor="text1"/>
          <w:lang w:val="en-US"/>
        </w:rPr>
        <w:t xml:space="preserve"> partly through the</w:t>
      </w:r>
      <w:r w:rsidR="002116D2" w:rsidRPr="00E924E3">
        <w:rPr>
          <w:rFonts w:ascii="Candara" w:hAnsi="Candara"/>
          <w:color w:val="000000" w:themeColor="text1"/>
          <w:lang w:val="en-US"/>
        </w:rPr>
        <w:t xml:space="preserve"> </w:t>
      </w:r>
      <w:r w:rsidR="00F35E4C" w:rsidRPr="00E924E3">
        <w:rPr>
          <w:rFonts w:ascii="Candara" w:hAnsi="Candara"/>
          <w:color w:val="000000" w:themeColor="text1"/>
          <w:lang w:val="en-US"/>
        </w:rPr>
        <w:t xml:space="preserve">application of oversight </w:t>
      </w:r>
      <w:r w:rsidR="006E4C77" w:rsidRPr="00E924E3">
        <w:rPr>
          <w:rFonts w:ascii="Candara" w:hAnsi="Candara"/>
          <w:color w:val="000000" w:themeColor="text1"/>
          <w:lang w:val="en-US"/>
        </w:rPr>
        <w:t>as part of checks and balances under</w:t>
      </w:r>
      <w:r w:rsidR="002116D2" w:rsidRPr="00E924E3">
        <w:rPr>
          <w:rFonts w:ascii="Candara" w:hAnsi="Candara"/>
          <w:color w:val="000000" w:themeColor="text1"/>
          <w:lang w:val="en-US"/>
        </w:rPr>
        <w:t xml:space="preserve"> separation of powers </w:t>
      </w:r>
      <w:sdt>
        <w:sdtPr>
          <w:rPr>
            <w:rFonts w:ascii="Candara" w:hAnsi="Candara"/>
            <w:color w:val="000000" w:themeColor="text1"/>
            <w:lang w:val="en-US"/>
          </w:rPr>
          <w:id w:val="-677804987"/>
          <w:citation/>
        </w:sdtPr>
        <w:sdtEndPr/>
        <w:sdtContent>
          <w:r w:rsidR="002116D2" w:rsidRPr="00E924E3">
            <w:rPr>
              <w:rFonts w:ascii="Candara" w:hAnsi="Candara"/>
              <w:color w:val="000000" w:themeColor="text1"/>
              <w:lang w:val="en-US"/>
            </w:rPr>
            <w:fldChar w:fldCharType="begin"/>
          </w:r>
          <w:r w:rsidR="006E4C77" w:rsidRPr="00E924E3">
            <w:rPr>
              <w:rFonts w:ascii="Candara" w:hAnsi="Candara"/>
              <w:color w:val="000000" w:themeColor="text1"/>
              <w:lang w:val="en-US"/>
            </w:rPr>
            <w:instrText xml:space="preserve">CITATION Ric112 \l 1033 </w:instrText>
          </w:r>
          <w:r w:rsidR="002116D2" w:rsidRPr="00E924E3">
            <w:rPr>
              <w:rFonts w:ascii="Candara" w:hAnsi="Candara"/>
              <w:color w:val="000000" w:themeColor="text1"/>
              <w:lang w:val="en-US"/>
            </w:rPr>
            <w:fldChar w:fldCharType="separate"/>
          </w:r>
          <w:r w:rsidR="006E4C77" w:rsidRPr="00E924E3">
            <w:rPr>
              <w:rFonts w:ascii="Candara" w:hAnsi="Candara"/>
              <w:noProof/>
              <w:color w:val="000000" w:themeColor="text1"/>
              <w:lang w:val="en-US"/>
            </w:rPr>
            <w:t>(Benwell &amp; Gay, 2011)</w:t>
          </w:r>
          <w:r w:rsidR="002116D2" w:rsidRPr="00E924E3">
            <w:rPr>
              <w:rFonts w:ascii="Candara" w:hAnsi="Candara"/>
              <w:color w:val="000000" w:themeColor="text1"/>
              <w:lang w:val="en-US"/>
            </w:rPr>
            <w:fldChar w:fldCharType="end"/>
          </w:r>
        </w:sdtContent>
      </w:sdt>
      <w:r w:rsidR="002116D2" w:rsidRPr="00E924E3">
        <w:rPr>
          <w:rFonts w:ascii="Candara" w:hAnsi="Candara"/>
          <w:color w:val="000000" w:themeColor="text1"/>
          <w:lang w:val="en-US"/>
        </w:rPr>
        <w:t xml:space="preserve">. </w:t>
      </w:r>
      <w:r w:rsidR="006E4C77" w:rsidRPr="00E924E3">
        <w:rPr>
          <w:rFonts w:ascii="Candara" w:hAnsi="Candara"/>
          <w:color w:val="000000" w:themeColor="text1"/>
          <w:lang w:val="en-US"/>
        </w:rPr>
        <w:t xml:space="preserve">Thus, the theory of separation of powers itself can be used for ensuring checks and balances. </w:t>
      </w:r>
      <w:r w:rsidR="004473A5" w:rsidRPr="00E924E3">
        <w:rPr>
          <w:rFonts w:ascii="Candara" w:hAnsi="Candara"/>
          <w:color w:val="000000" w:themeColor="text1"/>
          <w:lang w:val="en-US"/>
        </w:rPr>
        <w:t xml:space="preserve">This is also advised in the words of John Locke when he wrote that </w:t>
      </w:r>
      <w:r w:rsidR="004473A5" w:rsidRPr="00E924E3">
        <w:rPr>
          <w:rFonts w:ascii="Candara" w:hAnsi="Candara"/>
          <w:color w:val="000000" w:themeColor="text1"/>
        </w:rPr>
        <w:t>“it may be too great a temptation to human frailty…for the same persons who have the power of making laws, to have also their hands the power to execute them, whereby they may exempt themselves from obedience to the laws they make, and suit the law, both in its making and execution”</w:t>
      </w:r>
      <w:sdt>
        <w:sdtPr>
          <w:rPr>
            <w:rFonts w:ascii="Candara" w:hAnsi="Candara"/>
            <w:color w:val="000000" w:themeColor="text1"/>
          </w:rPr>
          <w:id w:val="337501198"/>
          <w:citation/>
        </w:sdtPr>
        <w:sdtEndPr/>
        <w:sdtContent>
          <w:r w:rsidR="004473A5" w:rsidRPr="00E924E3">
            <w:rPr>
              <w:rFonts w:ascii="Candara" w:hAnsi="Candara"/>
              <w:color w:val="000000" w:themeColor="text1"/>
            </w:rPr>
            <w:fldChar w:fldCharType="begin"/>
          </w:r>
          <w:r w:rsidR="004473A5" w:rsidRPr="00E924E3">
            <w:rPr>
              <w:rFonts w:ascii="Candara" w:hAnsi="Candara"/>
              <w:color w:val="000000" w:themeColor="text1"/>
              <w:lang w:val="en-US"/>
            </w:rPr>
            <w:instrText xml:space="preserve">CITATION Joh21 \p 383 \l 1033 </w:instrText>
          </w:r>
          <w:r w:rsidR="004473A5" w:rsidRPr="00E924E3">
            <w:rPr>
              <w:rFonts w:ascii="Candara" w:hAnsi="Candara"/>
              <w:color w:val="000000" w:themeColor="text1"/>
            </w:rPr>
            <w:fldChar w:fldCharType="separate"/>
          </w:r>
          <w:r w:rsidR="004473A5" w:rsidRPr="00E924E3">
            <w:rPr>
              <w:rFonts w:ascii="Candara" w:hAnsi="Candara"/>
              <w:noProof/>
              <w:color w:val="000000" w:themeColor="text1"/>
              <w:lang w:val="en-US"/>
            </w:rPr>
            <w:t xml:space="preserve"> (Locke, 1821, p. 383)</w:t>
          </w:r>
          <w:r w:rsidR="004473A5" w:rsidRPr="00E924E3">
            <w:rPr>
              <w:rFonts w:ascii="Candara" w:hAnsi="Candara"/>
              <w:color w:val="000000" w:themeColor="text1"/>
            </w:rPr>
            <w:fldChar w:fldCharType="end"/>
          </w:r>
        </w:sdtContent>
      </w:sdt>
      <w:r w:rsidR="004473A5" w:rsidRPr="00E924E3">
        <w:rPr>
          <w:rFonts w:ascii="Candara" w:hAnsi="Candara"/>
          <w:color w:val="000000" w:themeColor="text1"/>
        </w:rPr>
        <w:t xml:space="preserve">. </w:t>
      </w:r>
    </w:p>
    <w:p w14:paraId="30A0AA4A" w14:textId="7C5DA73E" w:rsidR="00F176F9" w:rsidRPr="00E924E3" w:rsidRDefault="006E4C77" w:rsidP="004473A5">
      <w:pPr>
        <w:spacing w:before="120" w:after="120"/>
        <w:rPr>
          <w:rFonts w:ascii="Candara" w:hAnsi="Candara"/>
          <w:i/>
          <w:color w:val="000000" w:themeColor="text1"/>
          <w:lang w:val="en-US"/>
        </w:rPr>
      </w:pPr>
      <w:r w:rsidRPr="00E924E3">
        <w:rPr>
          <w:rFonts w:ascii="Candara" w:hAnsi="Candara"/>
          <w:color w:val="000000" w:themeColor="text1"/>
          <w:lang w:val="en-US"/>
        </w:rPr>
        <w:t xml:space="preserve">One way of </w:t>
      </w:r>
      <w:r w:rsidR="001E6BFA" w:rsidRPr="00E924E3">
        <w:rPr>
          <w:rFonts w:ascii="Candara" w:hAnsi="Candara"/>
          <w:color w:val="000000" w:themeColor="text1"/>
          <w:lang w:val="en-US"/>
        </w:rPr>
        <w:t>applying a system of</w:t>
      </w:r>
      <w:r w:rsidR="004473A5" w:rsidRPr="00E924E3">
        <w:rPr>
          <w:rFonts w:ascii="Candara" w:hAnsi="Candara"/>
          <w:color w:val="000000" w:themeColor="text1"/>
          <w:lang w:val="en-US"/>
        </w:rPr>
        <w:t xml:space="preserve"> checks and balances is</w:t>
      </w:r>
      <w:r w:rsidRPr="00E924E3">
        <w:rPr>
          <w:rFonts w:ascii="Candara" w:hAnsi="Candara"/>
          <w:color w:val="000000" w:themeColor="text1"/>
          <w:lang w:val="en-US"/>
        </w:rPr>
        <w:t xml:space="preserve"> through the application of judicial review by the courts over the actions of the executive</w:t>
      </w:r>
      <w:r w:rsidR="004473A5" w:rsidRPr="00E924E3">
        <w:rPr>
          <w:rFonts w:ascii="Candara" w:hAnsi="Candara"/>
          <w:color w:val="000000" w:themeColor="text1"/>
          <w:lang w:val="en-US"/>
        </w:rPr>
        <w:t xml:space="preserve"> albeit as a part of the principle of parliamentary supremacy </w:t>
      </w:r>
      <w:sdt>
        <w:sdtPr>
          <w:rPr>
            <w:rFonts w:ascii="Candara" w:hAnsi="Candara"/>
            <w:color w:val="000000" w:themeColor="text1"/>
            <w:lang w:val="en-US"/>
          </w:rPr>
          <w:id w:val="588275145"/>
          <w:citation/>
        </w:sdtPr>
        <w:sdtEndPr/>
        <w:sdtContent>
          <w:r w:rsidR="004473A5" w:rsidRPr="00E924E3">
            <w:rPr>
              <w:rFonts w:ascii="Candara" w:hAnsi="Candara"/>
              <w:color w:val="000000" w:themeColor="text1"/>
              <w:lang w:val="en-US"/>
            </w:rPr>
            <w:fldChar w:fldCharType="begin"/>
          </w:r>
          <w:r w:rsidR="004473A5" w:rsidRPr="00E924E3">
            <w:rPr>
              <w:rFonts w:ascii="Candara" w:hAnsi="Candara"/>
              <w:color w:val="000000" w:themeColor="text1"/>
              <w:lang w:val="en-US"/>
            </w:rPr>
            <w:instrText xml:space="preserve"> CITATION Pic74 \l 1033 </w:instrText>
          </w:r>
          <w:r w:rsidR="004473A5" w:rsidRPr="00E924E3">
            <w:rPr>
              <w:rFonts w:ascii="Candara" w:hAnsi="Candara"/>
              <w:color w:val="000000" w:themeColor="text1"/>
              <w:lang w:val="en-US"/>
            </w:rPr>
            <w:fldChar w:fldCharType="separate"/>
          </w:r>
          <w:r w:rsidR="004473A5" w:rsidRPr="00E924E3">
            <w:rPr>
              <w:rFonts w:ascii="Candara" w:hAnsi="Candara"/>
              <w:noProof/>
              <w:color w:val="000000" w:themeColor="text1"/>
              <w:lang w:val="en-US"/>
            </w:rPr>
            <w:t>(Pickin v British Railways Board [1974] AC 765, 1974)</w:t>
          </w:r>
          <w:r w:rsidR="004473A5" w:rsidRPr="00E924E3">
            <w:rPr>
              <w:rFonts w:ascii="Candara" w:hAnsi="Candara"/>
              <w:color w:val="000000" w:themeColor="text1"/>
              <w:lang w:val="en-US"/>
            </w:rPr>
            <w:fldChar w:fldCharType="end"/>
          </w:r>
        </w:sdtContent>
      </w:sdt>
      <w:r w:rsidR="004473A5" w:rsidRPr="00E924E3">
        <w:rPr>
          <w:rFonts w:ascii="Candara" w:hAnsi="Candara"/>
          <w:color w:val="000000" w:themeColor="text1"/>
          <w:lang w:val="en-US"/>
        </w:rPr>
        <w:t xml:space="preserve">. </w:t>
      </w:r>
      <w:r w:rsidR="00F176F9" w:rsidRPr="00E924E3">
        <w:rPr>
          <w:rFonts w:ascii="Candara" w:hAnsi="Candara"/>
          <w:color w:val="000000" w:themeColor="text1"/>
          <w:lang w:val="en-US"/>
        </w:rPr>
        <w:t xml:space="preserve">It is also important to note that although judges are constitutionally subordinate to the Parliament and cannot review the acts of the Parliament </w:t>
      </w:r>
      <w:sdt>
        <w:sdtPr>
          <w:rPr>
            <w:rFonts w:ascii="Candara" w:hAnsi="Candara"/>
            <w:color w:val="000000" w:themeColor="text1"/>
            <w:lang w:val="en-US"/>
          </w:rPr>
          <w:id w:val="-488558032"/>
          <w:citation/>
        </w:sdtPr>
        <w:sdtEndPr/>
        <w:sdtContent>
          <w:r w:rsidR="00F176F9" w:rsidRPr="00E924E3">
            <w:rPr>
              <w:rFonts w:ascii="Candara" w:hAnsi="Candara"/>
              <w:color w:val="000000" w:themeColor="text1"/>
              <w:lang w:val="en-US"/>
            </w:rPr>
            <w:fldChar w:fldCharType="begin"/>
          </w:r>
          <w:r w:rsidR="00F176F9" w:rsidRPr="00E924E3">
            <w:rPr>
              <w:rFonts w:ascii="Candara" w:hAnsi="Candara"/>
              <w:color w:val="000000" w:themeColor="text1"/>
              <w:lang w:val="en-US"/>
            </w:rPr>
            <w:instrText xml:space="preserve"> CITATION Pic74 \l 1033 </w:instrText>
          </w:r>
          <w:r w:rsidR="00F176F9" w:rsidRPr="00E924E3">
            <w:rPr>
              <w:rFonts w:ascii="Candara" w:hAnsi="Candara"/>
              <w:color w:val="000000" w:themeColor="text1"/>
              <w:lang w:val="en-US"/>
            </w:rPr>
            <w:fldChar w:fldCharType="separate"/>
          </w:r>
          <w:r w:rsidR="00F176F9" w:rsidRPr="00E924E3">
            <w:rPr>
              <w:rFonts w:ascii="Candara" w:hAnsi="Candara"/>
              <w:noProof/>
              <w:color w:val="000000" w:themeColor="text1"/>
              <w:lang w:val="en-US"/>
            </w:rPr>
            <w:t>(Pickin v British Railways Board [1974] AC 765, 1974)</w:t>
          </w:r>
          <w:r w:rsidR="00F176F9" w:rsidRPr="00E924E3">
            <w:rPr>
              <w:rFonts w:ascii="Candara" w:hAnsi="Candara"/>
              <w:color w:val="000000" w:themeColor="text1"/>
              <w:lang w:val="en-US"/>
            </w:rPr>
            <w:fldChar w:fldCharType="end"/>
          </w:r>
        </w:sdtContent>
      </w:sdt>
      <w:r w:rsidR="00F176F9" w:rsidRPr="00E924E3">
        <w:rPr>
          <w:rFonts w:ascii="Candara" w:hAnsi="Candara"/>
          <w:color w:val="000000" w:themeColor="text1"/>
          <w:lang w:val="en-US"/>
        </w:rPr>
        <w:t xml:space="preserve">, there </w:t>
      </w:r>
      <w:r w:rsidR="009E3776" w:rsidRPr="00E924E3">
        <w:rPr>
          <w:rFonts w:ascii="Candara" w:hAnsi="Candara"/>
          <w:color w:val="000000" w:themeColor="text1"/>
          <w:lang w:val="en-US"/>
        </w:rPr>
        <w:t>are</w:t>
      </w:r>
      <w:r w:rsidR="00F176F9" w:rsidRPr="00E924E3">
        <w:rPr>
          <w:rFonts w:ascii="Candara" w:hAnsi="Candara"/>
          <w:color w:val="000000" w:themeColor="text1"/>
          <w:lang w:val="en-US"/>
        </w:rPr>
        <w:t xml:space="preserve"> some ways in which the courts can still exercise some balance to the power of the parliament, particularly through the application of the Human Rights Act 1998, which allows the courts to issue declarations of incompatibility between the </w:t>
      </w:r>
      <w:r w:rsidR="00765F9E" w:rsidRPr="00E924E3">
        <w:rPr>
          <w:rFonts w:ascii="Candara" w:hAnsi="Candara"/>
          <w:color w:val="000000" w:themeColor="text1"/>
          <w:lang w:val="en-US"/>
        </w:rPr>
        <w:t>legislation and the European Convention of Human Rights.</w:t>
      </w:r>
      <w:r w:rsidR="009E3776" w:rsidRPr="00E924E3">
        <w:rPr>
          <w:rFonts w:ascii="Candara" w:hAnsi="Candara"/>
          <w:color w:val="000000" w:themeColor="text1"/>
          <w:lang w:val="en-US"/>
        </w:rPr>
        <w:t xml:space="preserve"> Two important examples can be seen in the cases of </w:t>
      </w:r>
      <w:r w:rsidR="009E3776" w:rsidRPr="00E924E3">
        <w:rPr>
          <w:rFonts w:ascii="Candara" w:hAnsi="Candara"/>
          <w:i/>
          <w:color w:val="000000" w:themeColor="text1"/>
          <w:lang w:val="en-US"/>
        </w:rPr>
        <w:t>R v Secre</w:t>
      </w:r>
      <w:r w:rsidR="001E5262" w:rsidRPr="00E924E3">
        <w:rPr>
          <w:rFonts w:ascii="Candara" w:hAnsi="Candara"/>
          <w:i/>
          <w:color w:val="000000" w:themeColor="text1"/>
          <w:lang w:val="en-US"/>
        </w:rPr>
        <w:t xml:space="preserve">tary of State for Employment </w:t>
      </w:r>
      <w:r w:rsidR="001E5262" w:rsidRPr="00E924E3">
        <w:rPr>
          <w:rFonts w:ascii="Candara" w:hAnsi="Candara"/>
          <w:color w:val="000000" w:themeColor="text1"/>
          <w:lang w:val="en-US"/>
        </w:rPr>
        <w:t xml:space="preserve">and </w:t>
      </w:r>
      <w:r w:rsidR="001E5262" w:rsidRPr="00E924E3">
        <w:rPr>
          <w:rFonts w:ascii="Candara" w:hAnsi="Candara"/>
          <w:i/>
          <w:color w:val="000000" w:themeColor="text1"/>
          <w:lang w:val="en-US"/>
        </w:rPr>
        <w:t xml:space="preserve">A v Secretary of State for Home Department </w:t>
      </w:r>
      <w:sdt>
        <w:sdtPr>
          <w:rPr>
            <w:rFonts w:ascii="Candara" w:hAnsi="Candara" w:cs="Segoe UI"/>
            <w:color w:val="000000" w:themeColor="text1"/>
            <w:shd w:val="clear" w:color="auto" w:fill="FFFFFF"/>
          </w:rPr>
          <w:id w:val="-1568256954"/>
          <w:citation/>
        </w:sdtPr>
        <w:sdtEndPr/>
        <w:sdtContent>
          <w:r w:rsidR="009E3776" w:rsidRPr="00E924E3">
            <w:rPr>
              <w:rFonts w:ascii="Candara" w:hAnsi="Candara" w:cs="Segoe UI"/>
              <w:color w:val="000000" w:themeColor="text1"/>
              <w:shd w:val="clear" w:color="auto" w:fill="FFFFFF"/>
            </w:rPr>
            <w:fldChar w:fldCharType="begin"/>
          </w:r>
          <w:r w:rsidR="009E3776" w:rsidRPr="00E924E3">
            <w:rPr>
              <w:rFonts w:ascii="Candara" w:hAnsi="Candara" w:cs="Segoe UI"/>
              <w:color w:val="000000" w:themeColor="text1"/>
              <w:shd w:val="clear" w:color="auto" w:fill="FFFFFF"/>
              <w:lang w:val="en-US"/>
            </w:rPr>
            <w:instrText xml:space="preserve"> CITATION RvS951 \l 1033  \m AOt042</w:instrText>
          </w:r>
          <w:r w:rsidR="009E3776" w:rsidRPr="00E924E3">
            <w:rPr>
              <w:rFonts w:ascii="Candara" w:hAnsi="Candara" w:cs="Segoe UI"/>
              <w:color w:val="000000" w:themeColor="text1"/>
              <w:shd w:val="clear" w:color="auto" w:fill="FFFFFF"/>
            </w:rPr>
            <w:fldChar w:fldCharType="separate"/>
          </w:r>
          <w:r w:rsidR="009E3776" w:rsidRPr="00E924E3">
            <w:rPr>
              <w:rFonts w:ascii="Candara" w:hAnsi="Candara" w:cs="Segoe UI"/>
              <w:noProof/>
              <w:color w:val="000000" w:themeColor="text1"/>
              <w:shd w:val="clear" w:color="auto" w:fill="FFFFFF"/>
              <w:lang w:val="en-US"/>
            </w:rPr>
            <w:t>(R v Secretary of State for Employment, ex p Equal Opportunities Commission (1995) 1 AC 1, 1995; A &amp; Others v. Secretary of the State for the Home Department [2004] UKHL 43, 2004)</w:t>
          </w:r>
          <w:r w:rsidR="009E3776" w:rsidRPr="00E924E3">
            <w:rPr>
              <w:rFonts w:ascii="Candara" w:hAnsi="Candara" w:cs="Segoe UI"/>
              <w:color w:val="000000" w:themeColor="text1"/>
              <w:shd w:val="clear" w:color="auto" w:fill="FFFFFF"/>
            </w:rPr>
            <w:fldChar w:fldCharType="end"/>
          </w:r>
        </w:sdtContent>
      </w:sdt>
      <w:r w:rsidR="001E5262" w:rsidRPr="00E924E3">
        <w:rPr>
          <w:rFonts w:ascii="Candara" w:hAnsi="Candara"/>
          <w:color w:val="000000" w:themeColor="text1"/>
          <w:lang w:val="en-US"/>
        </w:rPr>
        <w:t>. The latter of the two cases is particularly interesting because the House of Lords declared incompatibility related to sensitive legislation</w:t>
      </w:r>
      <w:r w:rsidR="00E924E3" w:rsidRPr="00E924E3">
        <w:rPr>
          <w:rFonts w:ascii="Candara" w:hAnsi="Candara"/>
          <w:color w:val="000000" w:themeColor="text1"/>
          <w:lang w:val="en-US"/>
        </w:rPr>
        <w:t xml:space="preserve"> on terrorism and the ECHR. </w:t>
      </w:r>
    </w:p>
    <w:p w14:paraId="5E9B5217" w14:textId="352C9CCB" w:rsidR="00E924E3" w:rsidRDefault="004473A5" w:rsidP="00E924E3">
      <w:pPr>
        <w:spacing w:before="120" w:after="120"/>
        <w:rPr>
          <w:rFonts w:ascii="Candara" w:hAnsi="Candara"/>
          <w:color w:val="000000" w:themeColor="text1"/>
          <w:lang w:val="en-US"/>
        </w:rPr>
      </w:pPr>
      <w:r w:rsidRPr="00E924E3">
        <w:rPr>
          <w:rFonts w:ascii="Candara" w:hAnsi="Candara"/>
          <w:color w:val="000000" w:themeColor="text1"/>
          <w:lang w:val="en-US"/>
        </w:rPr>
        <w:t xml:space="preserve">There are other ways in which checks and balances are provided in constitutional law. </w:t>
      </w:r>
      <w:r w:rsidR="001E1C49" w:rsidRPr="00E924E3">
        <w:rPr>
          <w:rFonts w:ascii="Candara" w:hAnsi="Candara"/>
          <w:color w:val="000000" w:themeColor="text1"/>
          <w:lang w:val="en-US"/>
        </w:rPr>
        <w:t xml:space="preserve">One of the important ways of doing this </w:t>
      </w:r>
      <w:r w:rsidR="00AD0282">
        <w:rPr>
          <w:rFonts w:ascii="Candara" w:hAnsi="Candara"/>
          <w:color w:val="000000" w:themeColor="text1"/>
          <w:lang w:val="en-US"/>
        </w:rPr>
        <w:t xml:space="preserve">is </w:t>
      </w:r>
      <w:r w:rsidR="001E1C49" w:rsidRPr="00E924E3">
        <w:rPr>
          <w:rFonts w:ascii="Candara" w:hAnsi="Candara"/>
          <w:color w:val="000000" w:themeColor="text1"/>
          <w:lang w:val="en-US"/>
        </w:rPr>
        <w:t>through the system of ministerial responsibility under which the ministers are individually responsible to the Parliament for the actions of the government</w:t>
      </w:r>
      <w:r w:rsidR="006D2996" w:rsidRPr="00E924E3">
        <w:rPr>
          <w:rFonts w:ascii="Candara" w:hAnsi="Candara"/>
          <w:color w:val="000000" w:themeColor="text1"/>
        </w:rPr>
        <w:t xml:space="preserve"> scrutiny </w:t>
      </w:r>
      <w:sdt>
        <w:sdtPr>
          <w:rPr>
            <w:rFonts w:ascii="Candara" w:hAnsi="Candara"/>
            <w:color w:val="000000" w:themeColor="text1"/>
          </w:rPr>
          <w:id w:val="869416366"/>
          <w:citation/>
        </w:sdtPr>
        <w:sdtEndPr/>
        <w:sdtContent>
          <w:r w:rsidR="006D2996" w:rsidRPr="00E924E3">
            <w:rPr>
              <w:rFonts w:ascii="Candara" w:hAnsi="Candara"/>
              <w:color w:val="000000" w:themeColor="text1"/>
            </w:rPr>
            <w:fldChar w:fldCharType="begin"/>
          </w:r>
          <w:r w:rsidR="006D2996" w:rsidRPr="00E924E3">
            <w:rPr>
              <w:rFonts w:ascii="Candara" w:hAnsi="Candara"/>
              <w:color w:val="000000" w:themeColor="text1"/>
              <w:lang w:val="en-US"/>
            </w:rPr>
            <w:instrText xml:space="preserve">CITATION Mas101 \l 1033 </w:instrText>
          </w:r>
          <w:r w:rsidR="006D2996" w:rsidRPr="00E924E3">
            <w:rPr>
              <w:rFonts w:ascii="Candara" w:hAnsi="Candara"/>
              <w:color w:val="000000" w:themeColor="text1"/>
            </w:rPr>
            <w:fldChar w:fldCharType="separate"/>
          </w:r>
          <w:r w:rsidR="006D2996" w:rsidRPr="00E924E3">
            <w:rPr>
              <w:rFonts w:ascii="Candara" w:hAnsi="Candara"/>
              <w:noProof/>
              <w:color w:val="000000" w:themeColor="text1"/>
              <w:lang w:val="en-US"/>
            </w:rPr>
            <w:t>(Masterman, 2010)</w:t>
          </w:r>
          <w:r w:rsidR="006D2996" w:rsidRPr="00E924E3">
            <w:rPr>
              <w:rFonts w:ascii="Candara" w:hAnsi="Candara"/>
              <w:color w:val="000000" w:themeColor="text1"/>
            </w:rPr>
            <w:fldChar w:fldCharType="end"/>
          </w:r>
        </w:sdtContent>
      </w:sdt>
      <w:r w:rsidR="001E1C49" w:rsidRPr="00E924E3">
        <w:rPr>
          <w:rFonts w:ascii="Candara" w:hAnsi="Candara"/>
          <w:color w:val="000000" w:themeColor="text1"/>
          <w:lang w:val="en-US"/>
        </w:rPr>
        <w:t xml:space="preserve">. This ensures that the ministers have to explain to the Parliament, which also includes opposition members, the decisions taken by the government as well as the actions taken by them as part of delegated legislation. </w:t>
      </w:r>
      <w:r w:rsidR="005A0332" w:rsidRPr="00E924E3">
        <w:rPr>
          <w:rFonts w:ascii="Candara" w:hAnsi="Candara"/>
          <w:color w:val="000000" w:themeColor="text1"/>
          <w:lang w:val="en-US"/>
        </w:rPr>
        <w:t xml:space="preserve">It may also be noted that any system of checks and balances in the context of the three organs of the state also requires a degree of </w:t>
      </w:r>
      <w:r w:rsidR="007C151E" w:rsidRPr="00E924E3">
        <w:rPr>
          <w:rFonts w:ascii="Candara" w:hAnsi="Candara"/>
          <w:color w:val="000000" w:themeColor="text1"/>
          <w:lang w:val="en-US"/>
        </w:rPr>
        <w:t xml:space="preserve">oversight and consequently, ‘interference’ by one organ of the state in the other </w:t>
      </w:r>
      <w:sdt>
        <w:sdtPr>
          <w:rPr>
            <w:rFonts w:ascii="Candara" w:hAnsi="Candara"/>
            <w:color w:val="000000" w:themeColor="text1"/>
            <w:lang w:val="en-US"/>
          </w:rPr>
          <w:id w:val="894476845"/>
          <w:citation/>
        </w:sdtPr>
        <w:sdtEndPr/>
        <w:sdtContent>
          <w:r w:rsidR="007C151E" w:rsidRPr="00E924E3">
            <w:rPr>
              <w:rFonts w:ascii="Candara" w:hAnsi="Candara"/>
              <w:color w:val="000000" w:themeColor="text1"/>
              <w:lang w:val="en-US"/>
            </w:rPr>
            <w:fldChar w:fldCharType="begin"/>
          </w:r>
          <w:r w:rsidR="007C151E" w:rsidRPr="00E924E3">
            <w:rPr>
              <w:rFonts w:ascii="Candara" w:hAnsi="Candara"/>
              <w:color w:val="000000" w:themeColor="text1"/>
              <w:lang w:val="en-US"/>
            </w:rPr>
            <w:instrText xml:space="preserve"> CITATION GMa71 \l 1033 </w:instrText>
          </w:r>
          <w:r w:rsidR="007C151E" w:rsidRPr="00E924E3">
            <w:rPr>
              <w:rFonts w:ascii="Candara" w:hAnsi="Candara"/>
              <w:color w:val="000000" w:themeColor="text1"/>
              <w:lang w:val="en-US"/>
            </w:rPr>
            <w:fldChar w:fldCharType="separate"/>
          </w:r>
          <w:r w:rsidR="007C151E" w:rsidRPr="00E924E3">
            <w:rPr>
              <w:rFonts w:ascii="Candara" w:hAnsi="Candara"/>
              <w:noProof/>
              <w:color w:val="000000" w:themeColor="text1"/>
              <w:lang w:val="en-US"/>
            </w:rPr>
            <w:t>(Marshall, 1971)</w:t>
          </w:r>
          <w:r w:rsidR="007C151E" w:rsidRPr="00E924E3">
            <w:rPr>
              <w:rFonts w:ascii="Candara" w:hAnsi="Candara"/>
              <w:color w:val="000000" w:themeColor="text1"/>
              <w:lang w:val="en-US"/>
            </w:rPr>
            <w:fldChar w:fldCharType="end"/>
          </w:r>
        </w:sdtContent>
      </w:sdt>
      <w:r w:rsidR="007C151E" w:rsidRPr="00E924E3">
        <w:rPr>
          <w:rFonts w:ascii="Candara" w:hAnsi="Candara"/>
          <w:color w:val="000000" w:themeColor="text1"/>
          <w:lang w:val="en-US"/>
        </w:rPr>
        <w:t>.</w:t>
      </w:r>
      <w:r w:rsidR="006D2996" w:rsidRPr="00E924E3">
        <w:rPr>
          <w:rFonts w:ascii="Candara" w:hAnsi="Candara"/>
          <w:color w:val="000000" w:themeColor="text1"/>
          <w:lang w:val="en-US"/>
        </w:rPr>
        <w:t xml:space="preserve"> Therefore, in effect application of separation of powers, while requiring non-interference by one organ in the functions of the other, an effective system of checks and balances </w:t>
      </w:r>
      <w:r w:rsidR="00AD0282">
        <w:rPr>
          <w:rFonts w:ascii="Candara" w:hAnsi="Candara"/>
          <w:color w:val="000000" w:themeColor="text1"/>
          <w:lang w:val="en-US"/>
        </w:rPr>
        <w:t>is</w:t>
      </w:r>
      <w:r w:rsidR="006D2996" w:rsidRPr="00E924E3">
        <w:rPr>
          <w:rFonts w:ascii="Candara" w:hAnsi="Candara"/>
          <w:color w:val="000000" w:themeColor="text1"/>
          <w:lang w:val="en-US"/>
        </w:rPr>
        <w:t xml:space="preserve"> not possible without some interference. </w:t>
      </w:r>
    </w:p>
    <w:p w14:paraId="75D8393E" w14:textId="15A62FA8" w:rsidR="00765F9E" w:rsidRPr="00E924E3" w:rsidRDefault="001E1C49" w:rsidP="00E924E3">
      <w:pPr>
        <w:spacing w:before="120" w:after="120"/>
        <w:rPr>
          <w:rFonts w:ascii="Candara" w:hAnsi="Candara"/>
          <w:color w:val="000000" w:themeColor="text1"/>
          <w:lang w:val="en-US"/>
        </w:rPr>
      </w:pPr>
      <w:r w:rsidRPr="00E924E3">
        <w:rPr>
          <w:rFonts w:ascii="Candara" w:hAnsi="Candara"/>
        </w:rPr>
        <w:t>Statutory provisions are also responsible for building on the system of checks and balances</w:t>
      </w:r>
      <w:r w:rsidR="002211F7" w:rsidRPr="00E924E3">
        <w:rPr>
          <w:rFonts w:ascii="Candara" w:hAnsi="Candara"/>
        </w:rPr>
        <w:t xml:space="preserve">. The </w:t>
      </w:r>
      <w:r w:rsidR="002211F7" w:rsidRPr="00E924E3">
        <w:rPr>
          <w:rFonts w:ascii="Candara" w:hAnsi="Candara"/>
          <w:color w:val="000000" w:themeColor="text1"/>
        </w:rPr>
        <w:t>House of Commons (Disqualification) Act 1975</w:t>
      </w:r>
      <w:r w:rsidR="002211F7" w:rsidRPr="00E924E3">
        <w:rPr>
          <w:rFonts w:ascii="Candara" w:hAnsi="Candara"/>
          <w:i/>
          <w:color w:val="000000" w:themeColor="text1"/>
        </w:rPr>
        <w:t xml:space="preserve"> </w:t>
      </w:r>
      <w:r w:rsidR="002211F7" w:rsidRPr="00E924E3">
        <w:rPr>
          <w:rFonts w:ascii="Candara" w:hAnsi="Candara"/>
          <w:color w:val="000000" w:themeColor="text1"/>
        </w:rPr>
        <w:t xml:space="preserve">provides that the number of salaried ministers </w:t>
      </w:r>
      <w:r w:rsidR="00AD0282">
        <w:rPr>
          <w:rFonts w:ascii="Candara" w:hAnsi="Candara"/>
          <w:color w:val="000000" w:themeColor="text1"/>
        </w:rPr>
        <w:t>is</w:t>
      </w:r>
      <w:r w:rsidR="002211F7" w:rsidRPr="00E924E3">
        <w:rPr>
          <w:rFonts w:ascii="Candara" w:hAnsi="Candara"/>
          <w:color w:val="000000" w:themeColor="text1"/>
        </w:rPr>
        <w:t xml:space="preserve"> to be limited in the House of Commons, which is useful for </w:t>
      </w:r>
      <w:r w:rsidR="002116D2" w:rsidRPr="00E924E3">
        <w:rPr>
          <w:rFonts w:ascii="Candara" w:hAnsi="Candara" w:cs="Segoe UI"/>
          <w:color w:val="000000" w:themeColor="text1"/>
          <w:shd w:val="clear" w:color="auto" w:fill="FFFFFF"/>
        </w:rPr>
        <w:t>prevent</w:t>
      </w:r>
      <w:r w:rsidR="002211F7" w:rsidRPr="00E924E3">
        <w:rPr>
          <w:rFonts w:ascii="Candara" w:hAnsi="Candara" w:cs="Segoe UI"/>
          <w:color w:val="000000" w:themeColor="text1"/>
          <w:shd w:val="clear" w:color="auto" w:fill="FFFFFF"/>
        </w:rPr>
        <w:t>ing</w:t>
      </w:r>
      <w:r w:rsidR="002116D2" w:rsidRPr="00E924E3">
        <w:rPr>
          <w:rFonts w:ascii="Candara" w:hAnsi="Candara" w:cs="Segoe UI"/>
          <w:color w:val="000000" w:themeColor="text1"/>
          <w:shd w:val="clear" w:color="auto" w:fill="FFFFFF"/>
        </w:rPr>
        <w:t xml:space="preserve"> the </w:t>
      </w:r>
      <w:r w:rsidR="002211F7" w:rsidRPr="00E924E3">
        <w:rPr>
          <w:rFonts w:ascii="Candara" w:hAnsi="Candara" w:cs="Segoe UI"/>
          <w:color w:val="000000" w:themeColor="text1"/>
          <w:shd w:val="clear" w:color="auto" w:fill="FFFFFF"/>
        </w:rPr>
        <w:t>government</w:t>
      </w:r>
      <w:r w:rsidR="002116D2" w:rsidRPr="00E924E3">
        <w:rPr>
          <w:rFonts w:ascii="Candara" w:hAnsi="Candara" w:cs="Segoe UI"/>
          <w:color w:val="000000" w:themeColor="text1"/>
          <w:shd w:val="clear" w:color="auto" w:fill="FFFFFF"/>
        </w:rPr>
        <w:t xml:space="preserve"> from controlling the Parliament</w:t>
      </w:r>
      <w:r w:rsidR="002116D2" w:rsidRPr="00E924E3">
        <w:rPr>
          <w:rFonts w:ascii="Candara" w:hAnsi="Candara"/>
          <w:color w:val="000000" w:themeColor="text1"/>
        </w:rPr>
        <w:t xml:space="preserve">. </w:t>
      </w:r>
      <w:r w:rsidR="002211F7" w:rsidRPr="00E924E3">
        <w:rPr>
          <w:rFonts w:ascii="Candara" w:hAnsi="Candara"/>
          <w:color w:val="000000" w:themeColor="text1"/>
        </w:rPr>
        <w:t>The</w:t>
      </w:r>
      <w:r w:rsidR="002116D2" w:rsidRPr="00E924E3">
        <w:rPr>
          <w:rFonts w:ascii="Candara" w:hAnsi="Candara"/>
          <w:color w:val="000000" w:themeColor="text1"/>
          <w:lang w:val="en-US"/>
        </w:rPr>
        <w:t xml:space="preserve"> </w:t>
      </w:r>
      <w:r w:rsidR="002116D2" w:rsidRPr="00152B72">
        <w:rPr>
          <w:rStyle w:val="Emphasis"/>
          <w:rFonts w:ascii="Candara" w:hAnsi="Candara" w:cs="Arial"/>
          <w:bCs/>
          <w:i w:val="0"/>
          <w:iCs w:val="0"/>
          <w:color w:val="000000" w:themeColor="text1"/>
          <w:shd w:val="clear" w:color="auto" w:fill="FFFFFF"/>
        </w:rPr>
        <w:t>Fixed</w:t>
      </w:r>
      <w:r w:rsidR="002116D2" w:rsidRPr="00152B72">
        <w:rPr>
          <w:rFonts w:ascii="Candara" w:hAnsi="Candara" w:cs="Arial"/>
          <w:i/>
          <w:color w:val="000000" w:themeColor="text1"/>
          <w:shd w:val="clear" w:color="auto" w:fill="FFFFFF"/>
        </w:rPr>
        <w:t>-</w:t>
      </w:r>
      <w:r w:rsidR="002116D2" w:rsidRPr="00152B72">
        <w:rPr>
          <w:rStyle w:val="Emphasis"/>
          <w:rFonts w:ascii="Candara" w:hAnsi="Candara" w:cs="Arial"/>
          <w:bCs/>
          <w:i w:val="0"/>
          <w:iCs w:val="0"/>
          <w:color w:val="000000" w:themeColor="text1"/>
          <w:shd w:val="clear" w:color="auto" w:fill="FFFFFF"/>
        </w:rPr>
        <w:t>term Parliaments Act 2011</w:t>
      </w:r>
      <w:r w:rsidR="002116D2" w:rsidRPr="00152B72">
        <w:rPr>
          <w:rFonts w:ascii="Candara" w:hAnsi="Candara" w:cs="Arial"/>
          <w:i/>
          <w:color w:val="000000" w:themeColor="text1"/>
          <w:shd w:val="clear" w:color="auto" w:fill="FFFFFF"/>
        </w:rPr>
        <w:t> </w:t>
      </w:r>
      <w:r w:rsidR="002211F7" w:rsidRPr="00E924E3">
        <w:rPr>
          <w:rFonts w:ascii="Candara" w:hAnsi="Candara" w:cs="Arial"/>
          <w:color w:val="000000" w:themeColor="text1"/>
          <w:shd w:val="clear" w:color="auto" w:fill="FFFFFF"/>
        </w:rPr>
        <w:t>provides that government cannot use their influence in the Parliament (through their MPs) from declaring elections before</w:t>
      </w:r>
      <w:r w:rsidR="002116D2" w:rsidRPr="00E924E3">
        <w:rPr>
          <w:rFonts w:ascii="Candara" w:hAnsi="Candara" w:cs="Arial"/>
          <w:color w:val="000000" w:themeColor="text1"/>
          <w:shd w:val="clear" w:color="auto" w:fill="FFFFFF"/>
        </w:rPr>
        <w:t xml:space="preserve"> a period of five </w:t>
      </w:r>
      <w:r w:rsidR="00AD0282">
        <w:rPr>
          <w:rFonts w:ascii="Candara" w:hAnsi="Candara" w:cs="Arial"/>
          <w:color w:val="000000" w:themeColor="text1"/>
          <w:shd w:val="clear" w:color="auto" w:fill="FFFFFF"/>
        </w:rPr>
        <w:t>years</w:t>
      </w:r>
      <w:r w:rsidR="002116D2" w:rsidRPr="00E924E3">
        <w:rPr>
          <w:rFonts w:ascii="Candara" w:hAnsi="Candara" w:cs="Arial"/>
          <w:color w:val="000000" w:themeColor="text1"/>
          <w:shd w:val="clear" w:color="auto" w:fill="FFFFFF"/>
        </w:rPr>
        <w:t xml:space="preserve"> </w:t>
      </w:r>
      <w:r w:rsidR="002211F7" w:rsidRPr="00E924E3">
        <w:rPr>
          <w:rFonts w:ascii="Candara" w:hAnsi="Candara" w:cs="Arial"/>
          <w:color w:val="000000" w:themeColor="text1"/>
          <w:shd w:val="clear" w:color="auto" w:fill="FFFFFF"/>
        </w:rPr>
        <w:t xml:space="preserve">has passed unless this </w:t>
      </w:r>
      <w:r w:rsidR="002211F7" w:rsidRPr="00E924E3">
        <w:rPr>
          <w:rFonts w:ascii="Candara" w:hAnsi="Candara" w:cs="Arial"/>
          <w:color w:val="000000" w:themeColor="text1"/>
          <w:shd w:val="clear" w:color="auto" w:fill="FFFFFF"/>
        </w:rPr>
        <w:lastRenderedPageBreak/>
        <w:t>has to be done for</w:t>
      </w:r>
      <w:r w:rsidR="002116D2" w:rsidRPr="00E924E3">
        <w:rPr>
          <w:rFonts w:ascii="Candara" w:hAnsi="Candara" w:cs="Arial"/>
          <w:color w:val="000000" w:themeColor="text1"/>
          <w:shd w:val="clear" w:color="auto" w:fill="FFFFFF"/>
        </w:rPr>
        <w:t xml:space="preserve"> </w:t>
      </w:r>
      <w:r w:rsidR="002211F7" w:rsidRPr="00E924E3">
        <w:rPr>
          <w:rFonts w:ascii="Candara" w:hAnsi="Candara" w:cs="Arial"/>
          <w:color w:val="000000" w:themeColor="text1"/>
          <w:shd w:val="clear" w:color="auto" w:fill="FFFFFF"/>
        </w:rPr>
        <w:t>certain</w:t>
      </w:r>
      <w:r w:rsidR="002116D2" w:rsidRPr="00E924E3">
        <w:rPr>
          <w:rFonts w:ascii="Candara" w:hAnsi="Candara" w:cs="Arial"/>
          <w:color w:val="000000" w:themeColor="text1"/>
          <w:shd w:val="clear" w:color="auto" w:fill="FFFFFF"/>
        </w:rPr>
        <w:t xml:space="preserve"> specified circumstances</w:t>
      </w:r>
      <w:r w:rsidR="002211F7" w:rsidRPr="00E924E3">
        <w:rPr>
          <w:rFonts w:ascii="Candara" w:hAnsi="Candara" w:cs="Arial"/>
          <w:color w:val="000000" w:themeColor="text1"/>
          <w:shd w:val="clear" w:color="auto" w:fill="FFFFFF"/>
        </w:rPr>
        <w:t xml:space="preserve">. </w:t>
      </w:r>
      <w:r w:rsidR="00765F9E" w:rsidRPr="00E924E3">
        <w:rPr>
          <w:rFonts w:ascii="Candara" w:hAnsi="Candara" w:cs="Arial"/>
          <w:color w:val="000000" w:themeColor="text1"/>
          <w:shd w:val="clear" w:color="auto" w:fill="FFFFFF"/>
        </w:rPr>
        <w:t xml:space="preserve">The Constitutional Reforms Act 2005 also established the </w:t>
      </w:r>
      <w:r w:rsidR="00765F9E" w:rsidRPr="00E924E3">
        <w:rPr>
          <w:rFonts w:ascii="Candara" w:hAnsi="Candara"/>
        </w:rPr>
        <w:t>independent Judicial Appointments Commission for England and Wales, which means that the judicial appointments are no longer made on the recommendation of the Lord Chancellor, who is a Government Minister</w:t>
      </w:r>
      <w:sdt>
        <w:sdtPr>
          <w:rPr>
            <w:rFonts w:ascii="Candara" w:hAnsi="Candara"/>
          </w:rPr>
          <w:id w:val="-1385163878"/>
          <w:citation/>
        </w:sdtPr>
        <w:sdtEndPr/>
        <w:sdtContent>
          <w:r w:rsidR="00765F9E" w:rsidRPr="00E924E3">
            <w:rPr>
              <w:rFonts w:ascii="Candara" w:hAnsi="Candara"/>
            </w:rPr>
            <w:fldChar w:fldCharType="begin"/>
          </w:r>
          <w:r w:rsidR="00765F9E" w:rsidRPr="00E924E3">
            <w:rPr>
              <w:rFonts w:ascii="Candara" w:hAnsi="Candara"/>
              <w:lang w:val="en-US"/>
            </w:rPr>
            <w:instrText xml:space="preserve"> CITATION Ric112 \l 1033 </w:instrText>
          </w:r>
          <w:r w:rsidR="00765F9E" w:rsidRPr="00E924E3">
            <w:rPr>
              <w:rFonts w:ascii="Candara" w:hAnsi="Candara"/>
            </w:rPr>
            <w:fldChar w:fldCharType="separate"/>
          </w:r>
          <w:r w:rsidR="00765F9E" w:rsidRPr="00E924E3">
            <w:rPr>
              <w:rFonts w:ascii="Candara" w:hAnsi="Candara"/>
              <w:noProof/>
              <w:lang w:val="en-US"/>
            </w:rPr>
            <w:t xml:space="preserve"> (Benwell &amp; Gay, 2011)</w:t>
          </w:r>
          <w:r w:rsidR="00765F9E" w:rsidRPr="00E924E3">
            <w:rPr>
              <w:rFonts w:ascii="Candara" w:hAnsi="Candara"/>
            </w:rPr>
            <w:fldChar w:fldCharType="end"/>
          </w:r>
        </w:sdtContent>
      </w:sdt>
      <w:r w:rsidR="00765F9E" w:rsidRPr="00E924E3">
        <w:rPr>
          <w:rFonts w:ascii="Candara" w:hAnsi="Candara"/>
        </w:rPr>
        <w:t xml:space="preserve">. </w:t>
      </w:r>
    </w:p>
    <w:p w14:paraId="6E2F191F" w14:textId="237EFA2D" w:rsidR="00E924E3" w:rsidRDefault="00E924E3" w:rsidP="00765F9E">
      <w:pPr>
        <w:rPr>
          <w:rFonts w:ascii="Candara" w:hAnsi="Candara" w:cs="Arial"/>
          <w:color w:val="000000" w:themeColor="text1"/>
          <w:shd w:val="clear" w:color="auto" w:fill="FFFFFF"/>
        </w:rPr>
      </w:pPr>
      <w:r>
        <w:rPr>
          <w:rFonts w:ascii="Candara" w:hAnsi="Candara"/>
        </w:rPr>
        <w:t xml:space="preserve">To conclude, the theory of separation of powers is a part of English constitutional law and can be seen in the </w:t>
      </w:r>
      <w:r w:rsidR="003373BA">
        <w:rPr>
          <w:rFonts w:ascii="Candara" w:hAnsi="Candara"/>
        </w:rPr>
        <w:t>organization</w:t>
      </w:r>
      <w:r>
        <w:rPr>
          <w:rFonts w:ascii="Candara" w:hAnsi="Candara"/>
        </w:rPr>
        <w:t xml:space="preserve"> of the relations between the three organs of the government. The Constitutional Reforms Act 2005 has lent further </w:t>
      </w:r>
      <w:r w:rsidR="00BC12D4">
        <w:rPr>
          <w:rFonts w:ascii="Candara" w:hAnsi="Candara"/>
        </w:rPr>
        <w:t xml:space="preserve">applicability to this theory by abolishing two of the functions of the Lord Chancellor, thus, reducing sharing of personnel in an important post. However, overlapping of the legislative and executive arms is a necessary aspect of the UK constitutional system since the Parliament and the Executive do share both personnel and functions. The system of checks and balances does seek to create a necessary </w:t>
      </w:r>
      <w:r w:rsidR="00152B72">
        <w:rPr>
          <w:rFonts w:ascii="Candara" w:hAnsi="Candara"/>
        </w:rPr>
        <w:t xml:space="preserve">divide between the two and statutes like </w:t>
      </w:r>
      <w:r w:rsidR="00152B72" w:rsidRPr="00152B72">
        <w:rPr>
          <w:rStyle w:val="Emphasis"/>
          <w:rFonts w:ascii="Candara" w:hAnsi="Candara" w:cs="Arial"/>
          <w:bCs/>
          <w:i w:val="0"/>
          <w:iCs w:val="0"/>
          <w:color w:val="000000" w:themeColor="text1"/>
          <w:shd w:val="clear" w:color="auto" w:fill="FFFFFF"/>
        </w:rPr>
        <w:t>Fixed</w:t>
      </w:r>
      <w:r w:rsidR="00152B72" w:rsidRPr="00152B72">
        <w:rPr>
          <w:rFonts w:ascii="Candara" w:hAnsi="Candara" w:cs="Arial"/>
          <w:i/>
          <w:color w:val="000000" w:themeColor="text1"/>
          <w:shd w:val="clear" w:color="auto" w:fill="FFFFFF"/>
        </w:rPr>
        <w:t>-</w:t>
      </w:r>
      <w:r w:rsidR="00152B72" w:rsidRPr="00152B72">
        <w:rPr>
          <w:rStyle w:val="Emphasis"/>
          <w:rFonts w:ascii="Candara" w:hAnsi="Candara" w:cs="Arial"/>
          <w:bCs/>
          <w:i w:val="0"/>
          <w:iCs w:val="0"/>
          <w:color w:val="000000" w:themeColor="text1"/>
          <w:shd w:val="clear" w:color="auto" w:fill="FFFFFF"/>
        </w:rPr>
        <w:t>term Parliaments Act 2011</w:t>
      </w:r>
      <w:r w:rsidR="00152B72">
        <w:rPr>
          <w:rFonts w:ascii="Candara" w:hAnsi="Candara" w:cs="Arial"/>
          <w:i/>
          <w:color w:val="000000" w:themeColor="text1"/>
          <w:shd w:val="clear" w:color="auto" w:fill="FFFFFF"/>
        </w:rPr>
        <w:t xml:space="preserve"> </w:t>
      </w:r>
      <w:r w:rsidR="00152B72">
        <w:rPr>
          <w:rFonts w:ascii="Candara" w:hAnsi="Candara" w:cs="Arial"/>
          <w:color w:val="000000" w:themeColor="text1"/>
          <w:shd w:val="clear" w:color="auto" w:fill="FFFFFF"/>
        </w:rPr>
        <w:t xml:space="preserve">seek to ensure that the executive does not become dominant in the parliament. Since the government is formed by the majority party in the parliament, such legislations have been a significant aspect of the system of checks and balances. A delicate balance is thus seen in both separating the </w:t>
      </w:r>
      <w:r w:rsidR="00FC414F">
        <w:rPr>
          <w:rFonts w:ascii="Candara" w:hAnsi="Candara" w:cs="Arial"/>
          <w:color w:val="000000" w:themeColor="text1"/>
          <w:shd w:val="clear" w:color="auto" w:fill="FFFFFF"/>
        </w:rPr>
        <w:t>organs and preventing misuse of powers.</w:t>
      </w:r>
    </w:p>
    <w:p w14:paraId="7733232F" w14:textId="7FD9A906" w:rsidR="00FC414F" w:rsidRDefault="00FC414F" w:rsidP="00765F9E">
      <w:pPr>
        <w:rPr>
          <w:rFonts w:ascii="Candara" w:hAnsi="Candara"/>
        </w:rPr>
      </w:pPr>
    </w:p>
    <w:p w14:paraId="5C363B32" w14:textId="2789DC49" w:rsidR="00FC414F" w:rsidRDefault="00FC414F" w:rsidP="00765F9E">
      <w:pPr>
        <w:rPr>
          <w:rFonts w:ascii="Candara" w:hAnsi="Candara"/>
        </w:rPr>
      </w:pPr>
    </w:p>
    <w:p w14:paraId="6ED49E4E" w14:textId="6DCA029B" w:rsidR="00FC414F" w:rsidRDefault="00FC414F" w:rsidP="00765F9E">
      <w:pPr>
        <w:rPr>
          <w:rFonts w:ascii="Candara" w:hAnsi="Candara"/>
        </w:rPr>
      </w:pPr>
    </w:p>
    <w:p w14:paraId="79D2E047" w14:textId="29F2FA42" w:rsidR="00FC414F" w:rsidRDefault="00FC414F" w:rsidP="00765F9E">
      <w:pPr>
        <w:rPr>
          <w:rFonts w:ascii="Candara" w:hAnsi="Candara"/>
        </w:rPr>
      </w:pPr>
    </w:p>
    <w:p w14:paraId="69777032" w14:textId="26180D2D" w:rsidR="00FC414F" w:rsidRDefault="00FC414F" w:rsidP="00765F9E">
      <w:pPr>
        <w:rPr>
          <w:rFonts w:ascii="Candara" w:hAnsi="Candara"/>
        </w:rPr>
      </w:pPr>
    </w:p>
    <w:p w14:paraId="03BE371E" w14:textId="33551D1E" w:rsidR="00FC414F" w:rsidRDefault="00FC414F" w:rsidP="00765F9E">
      <w:pPr>
        <w:rPr>
          <w:rFonts w:ascii="Candara" w:hAnsi="Candara"/>
        </w:rPr>
      </w:pPr>
    </w:p>
    <w:p w14:paraId="634AC99C" w14:textId="47254AFA" w:rsidR="00FC414F" w:rsidRDefault="00FC414F" w:rsidP="00765F9E">
      <w:pPr>
        <w:rPr>
          <w:rFonts w:ascii="Candara" w:hAnsi="Candara"/>
        </w:rPr>
      </w:pPr>
    </w:p>
    <w:p w14:paraId="7CBA2279" w14:textId="0BC96B01" w:rsidR="00FC414F" w:rsidRDefault="00FC414F" w:rsidP="00765F9E">
      <w:pPr>
        <w:rPr>
          <w:rFonts w:ascii="Candara" w:hAnsi="Candara"/>
        </w:rPr>
      </w:pPr>
    </w:p>
    <w:p w14:paraId="491AC055" w14:textId="225154D9" w:rsidR="00FC414F" w:rsidRDefault="00FC414F" w:rsidP="00765F9E">
      <w:pPr>
        <w:rPr>
          <w:rFonts w:ascii="Candara" w:hAnsi="Candara"/>
        </w:rPr>
      </w:pPr>
    </w:p>
    <w:p w14:paraId="2530C5C0" w14:textId="5B1F2413" w:rsidR="00FC414F" w:rsidRDefault="00FC414F" w:rsidP="00765F9E">
      <w:pPr>
        <w:rPr>
          <w:rFonts w:ascii="Candara" w:hAnsi="Candara"/>
        </w:rPr>
      </w:pPr>
    </w:p>
    <w:p w14:paraId="54B7D820" w14:textId="2BEB1AB1" w:rsidR="00FC414F" w:rsidRDefault="00FC414F" w:rsidP="00765F9E">
      <w:pPr>
        <w:rPr>
          <w:rFonts w:ascii="Candara" w:hAnsi="Candara"/>
        </w:rPr>
      </w:pPr>
    </w:p>
    <w:p w14:paraId="756BD4AF" w14:textId="44CB3C5A" w:rsidR="00FC414F" w:rsidRDefault="00FC414F" w:rsidP="00765F9E">
      <w:pPr>
        <w:rPr>
          <w:rFonts w:ascii="Candara" w:hAnsi="Candara"/>
        </w:rPr>
      </w:pPr>
    </w:p>
    <w:p w14:paraId="43D72F6C" w14:textId="31431D33" w:rsidR="00FC414F" w:rsidRDefault="00FC414F" w:rsidP="00765F9E">
      <w:pPr>
        <w:rPr>
          <w:rFonts w:ascii="Candara" w:hAnsi="Candara"/>
        </w:rPr>
      </w:pPr>
    </w:p>
    <w:p w14:paraId="76C3F4A2" w14:textId="568CD327" w:rsidR="00FC414F" w:rsidRDefault="00FC414F" w:rsidP="00765F9E">
      <w:pPr>
        <w:rPr>
          <w:rFonts w:ascii="Candara" w:hAnsi="Candara"/>
        </w:rPr>
      </w:pPr>
    </w:p>
    <w:p w14:paraId="738D5303" w14:textId="0FB67DBF" w:rsidR="00FC414F" w:rsidRDefault="00FC414F" w:rsidP="00765F9E">
      <w:pPr>
        <w:rPr>
          <w:rFonts w:ascii="Candara" w:hAnsi="Candara"/>
        </w:rPr>
      </w:pPr>
    </w:p>
    <w:p w14:paraId="6702D257" w14:textId="724C3828" w:rsidR="00FC414F" w:rsidRDefault="00FC414F" w:rsidP="00765F9E">
      <w:pPr>
        <w:rPr>
          <w:rFonts w:ascii="Candara" w:hAnsi="Candara"/>
        </w:rPr>
      </w:pPr>
    </w:p>
    <w:p w14:paraId="71134D97" w14:textId="0C948BD3" w:rsidR="00FC414F" w:rsidRDefault="00FC414F" w:rsidP="00765F9E">
      <w:pPr>
        <w:rPr>
          <w:rFonts w:ascii="Candara" w:hAnsi="Candara"/>
        </w:rPr>
      </w:pPr>
    </w:p>
    <w:p w14:paraId="39C4DBC5" w14:textId="502FDE4C" w:rsidR="00FC414F" w:rsidRDefault="00FC414F" w:rsidP="00765F9E">
      <w:pPr>
        <w:rPr>
          <w:rFonts w:ascii="Candara" w:hAnsi="Candara"/>
        </w:rPr>
      </w:pPr>
    </w:p>
    <w:p w14:paraId="576FD942" w14:textId="78EE9609" w:rsidR="00FC414F" w:rsidRDefault="00FC414F" w:rsidP="00765F9E">
      <w:pPr>
        <w:rPr>
          <w:rFonts w:ascii="Candara" w:hAnsi="Candara"/>
        </w:rPr>
      </w:pPr>
    </w:p>
    <w:p w14:paraId="73FEC809" w14:textId="104CE959" w:rsidR="00FC414F" w:rsidRDefault="00FC414F" w:rsidP="00765F9E">
      <w:pPr>
        <w:rPr>
          <w:rFonts w:ascii="Candara" w:hAnsi="Candara"/>
        </w:rPr>
      </w:pPr>
    </w:p>
    <w:p w14:paraId="71A0BA58" w14:textId="3E19B8F5" w:rsidR="00FC414F" w:rsidRDefault="00FC414F" w:rsidP="00765F9E">
      <w:pPr>
        <w:rPr>
          <w:rFonts w:ascii="Candara" w:hAnsi="Candara"/>
        </w:rPr>
      </w:pPr>
    </w:p>
    <w:p w14:paraId="7BD9538F" w14:textId="5B679CDE" w:rsidR="00FC414F" w:rsidRDefault="00FC414F" w:rsidP="00765F9E">
      <w:pPr>
        <w:rPr>
          <w:rFonts w:ascii="Candara" w:hAnsi="Candara"/>
        </w:rPr>
      </w:pPr>
    </w:p>
    <w:p w14:paraId="30F9DDAC" w14:textId="7CB9CDF9" w:rsidR="00FC414F" w:rsidRDefault="00FC414F" w:rsidP="00765F9E">
      <w:pPr>
        <w:rPr>
          <w:rFonts w:ascii="Candara" w:hAnsi="Candara"/>
        </w:rPr>
      </w:pPr>
    </w:p>
    <w:p w14:paraId="7F1FB606" w14:textId="7E970C05" w:rsidR="00FC414F" w:rsidRDefault="00FC414F" w:rsidP="00765F9E">
      <w:pPr>
        <w:rPr>
          <w:rFonts w:ascii="Candara" w:hAnsi="Candara"/>
        </w:rPr>
      </w:pPr>
    </w:p>
    <w:p w14:paraId="03B52829" w14:textId="57D2689C" w:rsidR="00FC414F" w:rsidRDefault="00FC414F" w:rsidP="00765F9E">
      <w:pPr>
        <w:rPr>
          <w:rFonts w:ascii="Candara" w:hAnsi="Candara"/>
        </w:rPr>
      </w:pPr>
    </w:p>
    <w:p w14:paraId="3E041FF5" w14:textId="3F4ADA70" w:rsidR="00FC414F" w:rsidRDefault="00FC414F" w:rsidP="00765F9E">
      <w:pPr>
        <w:rPr>
          <w:rFonts w:ascii="Candara" w:hAnsi="Candara"/>
        </w:rPr>
      </w:pPr>
    </w:p>
    <w:p w14:paraId="35AACBC3" w14:textId="7457BFD8" w:rsidR="00FC414F" w:rsidRDefault="00FC414F" w:rsidP="00765F9E">
      <w:pPr>
        <w:rPr>
          <w:rFonts w:ascii="Candara" w:hAnsi="Candara"/>
        </w:rPr>
      </w:pPr>
    </w:p>
    <w:p w14:paraId="6567B0A9" w14:textId="55F13283" w:rsidR="00FC414F" w:rsidRDefault="00FC414F" w:rsidP="00765F9E">
      <w:pPr>
        <w:rPr>
          <w:rFonts w:ascii="Candara" w:hAnsi="Candara"/>
        </w:rPr>
      </w:pPr>
    </w:p>
    <w:p w14:paraId="212BB3BE" w14:textId="249B45EF" w:rsidR="00FC414F" w:rsidRDefault="00FC414F" w:rsidP="00765F9E">
      <w:pPr>
        <w:rPr>
          <w:rFonts w:ascii="Candara" w:hAnsi="Candara"/>
        </w:rPr>
      </w:pPr>
    </w:p>
    <w:p w14:paraId="73D6A75B" w14:textId="0CDF3D7B" w:rsidR="00FC414F" w:rsidRDefault="00FC414F" w:rsidP="00765F9E">
      <w:pPr>
        <w:rPr>
          <w:rFonts w:ascii="Candara" w:hAnsi="Candara"/>
        </w:rPr>
      </w:pPr>
    </w:p>
    <w:p w14:paraId="6B464F0E" w14:textId="0353AED8" w:rsidR="00FC414F" w:rsidRDefault="00FC414F" w:rsidP="00765F9E">
      <w:pPr>
        <w:rPr>
          <w:rFonts w:ascii="Candara" w:hAnsi="Candara"/>
        </w:rPr>
      </w:pPr>
    </w:p>
    <w:p w14:paraId="3C675788" w14:textId="6395C5B0" w:rsidR="00FC414F" w:rsidRDefault="00FC414F" w:rsidP="00765F9E">
      <w:pPr>
        <w:rPr>
          <w:rFonts w:ascii="Candara" w:hAnsi="Candara"/>
        </w:rPr>
      </w:pPr>
    </w:p>
    <w:p w14:paraId="03CDD426" w14:textId="0A5055CD" w:rsidR="00FC414F" w:rsidRDefault="00FC414F" w:rsidP="00765F9E">
      <w:pPr>
        <w:rPr>
          <w:rFonts w:ascii="Candara" w:hAnsi="Candara"/>
        </w:rPr>
      </w:pPr>
    </w:p>
    <w:p w14:paraId="46F86274" w14:textId="41E5D2D5" w:rsidR="00FC414F" w:rsidRDefault="00FC414F" w:rsidP="00765F9E">
      <w:pPr>
        <w:rPr>
          <w:rFonts w:ascii="Candara" w:hAnsi="Candara"/>
        </w:rPr>
      </w:pPr>
    </w:p>
    <w:p w14:paraId="28D6154A" w14:textId="37FB7E8A" w:rsidR="00FC414F" w:rsidRDefault="00FC414F" w:rsidP="00765F9E">
      <w:pPr>
        <w:rPr>
          <w:rFonts w:ascii="Candara" w:hAnsi="Candara"/>
        </w:rPr>
      </w:pPr>
    </w:p>
    <w:p w14:paraId="463258FC" w14:textId="148CA81F" w:rsidR="00FC414F" w:rsidRDefault="00FC414F" w:rsidP="00765F9E">
      <w:pPr>
        <w:rPr>
          <w:rFonts w:ascii="Candara" w:hAnsi="Candara"/>
        </w:rPr>
      </w:pPr>
    </w:p>
    <w:p w14:paraId="731A684D" w14:textId="57205745" w:rsidR="00FC414F" w:rsidRDefault="00FC414F" w:rsidP="00765F9E">
      <w:pPr>
        <w:rPr>
          <w:rFonts w:ascii="Candara" w:hAnsi="Candara"/>
        </w:rPr>
      </w:pPr>
    </w:p>
    <w:sdt>
      <w:sdtPr>
        <w:rPr>
          <w:rFonts w:ascii="Times New Roman" w:eastAsia="Times New Roman" w:hAnsi="Times New Roman" w:cs="Times New Roman"/>
          <w:b w:val="0"/>
          <w:bCs w:val="0"/>
          <w:color w:val="auto"/>
          <w:sz w:val="24"/>
          <w:szCs w:val="24"/>
          <w:lang w:val="en-IN" w:bidi="ar-SA"/>
        </w:rPr>
        <w:id w:val="-927809860"/>
        <w:docPartObj>
          <w:docPartGallery w:val="Bibliographies"/>
          <w:docPartUnique/>
        </w:docPartObj>
      </w:sdtPr>
      <w:sdtEndPr/>
      <w:sdtContent>
        <w:p w14:paraId="3FFDBA18" w14:textId="55D4EB74" w:rsidR="00FC414F" w:rsidRDefault="00FC414F">
          <w:pPr>
            <w:pStyle w:val="Heading1"/>
          </w:pPr>
          <w:r>
            <w:t>Bibliography</w:t>
          </w:r>
        </w:p>
        <w:sdt>
          <w:sdtPr>
            <w:id w:val="111145805"/>
            <w:bibliography/>
          </w:sdtPr>
          <w:sdtEndPr/>
          <w:sdtContent>
            <w:p w14:paraId="0C2DC246" w14:textId="77777777" w:rsidR="00FC414F" w:rsidRDefault="00FC414F" w:rsidP="00FC414F">
              <w:pPr>
                <w:pStyle w:val="Bibliography"/>
                <w:spacing w:before="120" w:after="120"/>
                <w:ind w:left="720" w:hanging="720"/>
                <w:rPr>
                  <w:noProof/>
                  <w:lang w:val="en-US"/>
                </w:rPr>
              </w:pPr>
              <w:r>
                <w:rPr>
                  <w:noProof/>
                  <w:lang w:val="en-US"/>
                </w:rPr>
                <w:t>A &amp; Others v. Secretary of the State for the Home Department [2004] UKHL 43 (2004).</w:t>
              </w:r>
            </w:p>
            <w:p w14:paraId="141AFAD7" w14:textId="77777777" w:rsidR="00FC414F" w:rsidRDefault="00FC414F" w:rsidP="00FC414F">
              <w:pPr>
                <w:pStyle w:val="Bibliography"/>
                <w:spacing w:before="120" w:after="120"/>
                <w:ind w:left="720" w:hanging="720"/>
                <w:rPr>
                  <w:noProof/>
                  <w:lang w:val="en-US"/>
                </w:rPr>
              </w:pPr>
              <w:r>
                <w:rPr>
                  <w:noProof/>
                  <w:lang w:val="en-US"/>
                </w:rPr>
                <w:t xml:space="preserve">Allan, T. (2016). The Rule of Law. In D. Dyzenhaus, &amp; M. Thorburn, </w:t>
              </w:r>
              <w:r>
                <w:rPr>
                  <w:i/>
                  <w:iCs/>
                  <w:noProof/>
                  <w:lang w:val="en-US"/>
                </w:rPr>
                <w:t>Philosophical Foundations of Constitutional Law.</w:t>
              </w:r>
              <w:r>
                <w:rPr>
                  <w:noProof/>
                  <w:lang w:val="en-US"/>
                </w:rPr>
                <w:t xml:space="preserve"> Oxford : Oxford University Press.</w:t>
              </w:r>
            </w:p>
            <w:p w14:paraId="78EE93A7" w14:textId="77777777" w:rsidR="00FC414F" w:rsidRDefault="00FC414F" w:rsidP="00FC414F">
              <w:pPr>
                <w:pStyle w:val="Bibliography"/>
                <w:spacing w:before="120" w:after="120"/>
                <w:ind w:left="720" w:hanging="720"/>
                <w:rPr>
                  <w:noProof/>
                  <w:lang w:val="en-US"/>
                </w:rPr>
              </w:pPr>
              <w:r>
                <w:rPr>
                  <w:noProof/>
                  <w:lang w:val="en-US"/>
                </w:rPr>
                <w:t xml:space="preserve">Bagehot, W. (1867). </w:t>
              </w:r>
              <w:r>
                <w:rPr>
                  <w:i/>
                  <w:iCs/>
                  <w:noProof/>
                  <w:lang w:val="en-US"/>
                </w:rPr>
                <w:t>The English Constitution .</w:t>
              </w:r>
              <w:r>
                <w:rPr>
                  <w:noProof/>
                  <w:lang w:val="en-US"/>
                </w:rPr>
                <w:t xml:space="preserve"> Chapman &amp; Hall.</w:t>
              </w:r>
            </w:p>
            <w:p w14:paraId="2DC4E632" w14:textId="77777777" w:rsidR="00FC414F" w:rsidRDefault="00FC414F" w:rsidP="00FC414F">
              <w:pPr>
                <w:pStyle w:val="Bibliography"/>
                <w:spacing w:before="120" w:after="120"/>
                <w:ind w:left="720" w:hanging="720"/>
                <w:rPr>
                  <w:noProof/>
                  <w:lang w:val="en-US"/>
                </w:rPr>
              </w:pPr>
              <w:r>
                <w:rPr>
                  <w:noProof/>
                  <w:lang w:val="en-US"/>
                </w:rPr>
                <w:t xml:space="preserve">Barnett, H. (2014). </w:t>
              </w:r>
              <w:r>
                <w:rPr>
                  <w:i/>
                  <w:iCs/>
                  <w:noProof/>
                  <w:lang w:val="en-US"/>
                </w:rPr>
                <w:t>Constitutional and Administrative Law.</w:t>
              </w:r>
              <w:r>
                <w:rPr>
                  <w:noProof/>
                  <w:lang w:val="en-US"/>
                </w:rPr>
                <w:t xml:space="preserve"> Oxon: Routledge.</w:t>
              </w:r>
            </w:p>
            <w:p w14:paraId="23882C85" w14:textId="519343D5" w:rsidR="00FC414F" w:rsidRDefault="00FC414F" w:rsidP="00FC414F">
              <w:pPr>
                <w:pStyle w:val="Bibliography"/>
                <w:spacing w:before="120" w:after="120"/>
                <w:ind w:left="720" w:hanging="720"/>
                <w:rPr>
                  <w:noProof/>
                  <w:lang w:val="en-US"/>
                </w:rPr>
              </w:pPr>
              <w:r>
                <w:rPr>
                  <w:noProof/>
                  <w:lang w:val="en-US"/>
                </w:rPr>
                <w:t>Benwell, R.</w:t>
              </w:r>
              <w:r w:rsidR="006502E5">
                <w:rPr>
                  <w:noProof/>
                  <w:lang w:val="en-US"/>
                </w:rPr>
                <w:t xml:space="preserve"> ,</w:t>
              </w:r>
              <w:r>
                <w:rPr>
                  <w:noProof/>
                  <w:lang w:val="en-US"/>
                </w:rPr>
                <w:t xml:space="preserve"> </w:t>
              </w:r>
              <w:r w:rsidR="006502E5">
                <w:rPr>
                  <w:noProof/>
                  <w:lang w:val="en-US"/>
                </w:rPr>
                <w:t>and</w:t>
              </w:r>
              <w:r>
                <w:rPr>
                  <w:noProof/>
                  <w:lang w:val="en-US"/>
                </w:rPr>
                <w:t xml:space="preserve"> Gay, O. (2011). </w:t>
              </w:r>
              <w:r>
                <w:rPr>
                  <w:i/>
                  <w:iCs/>
                  <w:noProof/>
                  <w:lang w:val="en-US"/>
                </w:rPr>
                <w:t>The Separation of Powers, SN/PC/06053.</w:t>
              </w:r>
              <w:r>
                <w:rPr>
                  <w:noProof/>
                  <w:lang w:val="en-US"/>
                </w:rPr>
                <w:t xml:space="preserve"> House of Commons.</w:t>
              </w:r>
            </w:p>
            <w:p w14:paraId="11EBDF2C" w14:textId="77777777" w:rsidR="00FC414F" w:rsidRDefault="00FC414F" w:rsidP="00FC414F">
              <w:pPr>
                <w:pStyle w:val="Bibliography"/>
                <w:spacing w:before="120" w:after="120"/>
                <w:ind w:left="720" w:hanging="720"/>
                <w:rPr>
                  <w:noProof/>
                  <w:lang w:val="en-US"/>
                </w:rPr>
              </w:pPr>
              <w:r>
                <w:rPr>
                  <w:noProof/>
                  <w:lang w:val="en-US"/>
                </w:rPr>
                <w:t xml:space="preserve">Carolan, E. (2009). </w:t>
              </w:r>
              <w:r>
                <w:rPr>
                  <w:i/>
                  <w:iCs/>
                  <w:noProof/>
                  <w:lang w:val="en-US"/>
                </w:rPr>
                <w:t>The New Separation of Powers: A Theory for the Modern State.</w:t>
              </w:r>
              <w:r>
                <w:rPr>
                  <w:noProof/>
                  <w:lang w:val="en-US"/>
                </w:rPr>
                <w:t xml:space="preserve"> Oxford : Oxford University Press.</w:t>
              </w:r>
            </w:p>
            <w:p w14:paraId="69020E27" w14:textId="77777777" w:rsidR="00FC414F" w:rsidRDefault="00FC414F" w:rsidP="00FC414F">
              <w:pPr>
                <w:pStyle w:val="Bibliography"/>
                <w:spacing w:before="120" w:after="120"/>
                <w:ind w:left="720" w:hanging="720"/>
                <w:rPr>
                  <w:noProof/>
                  <w:lang w:val="en-US"/>
                </w:rPr>
              </w:pPr>
              <w:r>
                <w:rPr>
                  <w:noProof/>
                  <w:lang w:val="en-US"/>
                </w:rPr>
                <w:t xml:space="preserve">Dicey, A. V. (2013). </w:t>
              </w:r>
              <w:r>
                <w:rPr>
                  <w:i/>
                  <w:iCs/>
                  <w:noProof/>
                  <w:lang w:val="en-US"/>
                </w:rPr>
                <w:t>The law of the Constitution, Vol. 1 .</w:t>
              </w:r>
              <w:r>
                <w:rPr>
                  <w:noProof/>
                  <w:lang w:val="en-US"/>
                </w:rPr>
                <w:t xml:space="preserve"> OUP.</w:t>
              </w:r>
            </w:p>
            <w:p w14:paraId="57FD26BF" w14:textId="77777777" w:rsidR="00FC414F" w:rsidRDefault="00FC414F" w:rsidP="00FC414F">
              <w:pPr>
                <w:pStyle w:val="Bibliography"/>
                <w:spacing w:before="120" w:after="120"/>
                <w:ind w:left="720" w:hanging="720"/>
                <w:rPr>
                  <w:noProof/>
                  <w:lang w:val="en-US"/>
                </w:rPr>
              </w:pPr>
              <w:r>
                <w:rPr>
                  <w:noProof/>
                  <w:lang w:val="en-US"/>
                </w:rPr>
                <w:t>Duport Ltd v Sirs [1980] 1 WLR 142 (1980).</w:t>
              </w:r>
            </w:p>
            <w:p w14:paraId="41376793" w14:textId="77777777" w:rsidR="00FC414F" w:rsidRDefault="00FC414F" w:rsidP="00FC414F">
              <w:pPr>
                <w:pStyle w:val="Bibliography"/>
                <w:spacing w:before="120" w:after="120"/>
                <w:ind w:left="720" w:hanging="720"/>
                <w:rPr>
                  <w:noProof/>
                  <w:lang w:val="en-US"/>
                </w:rPr>
              </w:pPr>
              <w:r>
                <w:fldChar w:fldCharType="begin"/>
              </w:r>
              <w:r>
                <w:instrText xml:space="preserve"> BIBLIOGRAPHY </w:instrText>
              </w:r>
              <w:r>
                <w:fldChar w:fldCharType="separate"/>
              </w:r>
              <w:r>
                <w:rPr>
                  <w:noProof/>
                  <w:lang w:val="en-US"/>
                </w:rPr>
                <w:t xml:space="preserve">House of Lords. (2007). </w:t>
              </w:r>
              <w:r>
                <w:rPr>
                  <w:i/>
                  <w:iCs/>
                  <w:noProof/>
                  <w:lang w:val="en-US"/>
                </w:rPr>
                <w:t>Select Committee on Constitution Sixth Report.</w:t>
              </w:r>
              <w:r>
                <w:rPr>
                  <w:noProof/>
                  <w:lang w:val="en-US"/>
                </w:rPr>
                <w:t xml:space="preserve"> House of Lords.</w:t>
              </w:r>
            </w:p>
            <w:p w14:paraId="3BA94BE0" w14:textId="1E4F4BA0" w:rsidR="00FC414F" w:rsidRDefault="00FC414F" w:rsidP="00FC414F">
              <w:pPr>
                <w:pStyle w:val="Bibliography"/>
                <w:spacing w:before="120" w:after="120"/>
                <w:ind w:left="720" w:hanging="720"/>
                <w:rPr>
                  <w:noProof/>
                  <w:lang w:val="en-US"/>
                </w:rPr>
              </w:pPr>
              <w:r>
                <w:rPr>
                  <w:noProof/>
                  <w:lang w:val="en-US"/>
                </w:rPr>
                <w:t>Jones, B.</w:t>
              </w:r>
              <w:r w:rsidR="006502E5">
                <w:rPr>
                  <w:noProof/>
                  <w:lang w:val="en-US"/>
                </w:rPr>
                <w:t xml:space="preserve"> ,</w:t>
              </w:r>
              <w:r>
                <w:rPr>
                  <w:noProof/>
                  <w:lang w:val="en-US"/>
                </w:rPr>
                <w:t xml:space="preserve"> </w:t>
              </w:r>
              <w:r w:rsidR="006502E5">
                <w:rPr>
                  <w:noProof/>
                  <w:lang w:val="en-US"/>
                </w:rPr>
                <w:t>and</w:t>
              </w:r>
              <w:r>
                <w:rPr>
                  <w:noProof/>
                  <w:lang w:val="en-US"/>
                </w:rPr>
                <w:t xml:space="preserve"> Norton, P. (2014). </w:t>
              </w:r>
              <w:r>
                <w:rPr>
                  <w:i/>
                  <w:iCs/>
                  <w:noProof/>
                  <w:lang w:val="en-US"/>
                </w:rPr>
                <w:t>Politics UK.</w:t>
              </w:r>
              <w:r>
                <w:rPr>
                  <w:noProof/>
                  <w:lang w:val="en-US"/>
                </w:rPr>
                <w:t xml:space="preserve"> Oxon: Routledge.</w:t>
              </w:r>
            </w:p>
            <w:p w14:paraId="248CBAC8" w14:textId="1F6E7324" w:rsidR="00FC414F" w:rsidRDefault="00FC414F" w:rsidP="00FC414F">
              <w:pPr>
                <w:pStyle w:val="Bibliography"/>
                <w:spacing w:before="120" w:after="120"/>
                <w:ind w:left="720" w:hanging="720"/>
                <w:rPr>
                  <w:noProof/>
                  <w:lang w:val="en-US"/>
                </w:rPr>
              </w:pPr>
              <w:r>
                <w:rPr>
                  <w:noProof/>
                  <w:lang w:val="en-US"/>
                </w:rPr>
                <w:t xml:space="preserve">Locke, J. (1821). </w:t>
              </w:r>
              <w:r>
                <w:rPr>
                  <w:i/>
                  <w:iCs/>
                  <w:noProof/>
                  <w:lang w:val="en-US"/>
                </w:rPr>
                <w:t>The Two Treatises of Government.</w:t>
              </w:r>
              <w:r>
                <w:rPr>
                  <w:noProof/>
                  <w:lang w:val="en-US"/>
                </w:rPr>
                <w:t xml:space="preserve"> Whitmore and Fenn, and C. Brown.</w:t>
              </w:r>
            </w:p>
            <w:p w14:paraId="049C4F60" w14:textId="77777777" w:rsidR="00FC414F" w:rsidRDefault="00FC414F" w:rsidP="00FC414F">
              <w:pPr>
                <w:pStyle w:val="Bibliography"/>
                <w:spacing w:before="120" w:after="120"/>
                <w:ind w:left="720" w:hanging="720"/>
                <w:rPr>
                  <w:noProof/>
                  <w:lang w:val="en-US"/>
                </w:rPr>
              </w:pPr>
              <w:r>
                <w:rPr>
                  <w:noProof/>
                  <w:lang w:val="en-US"/>
                </w:rPr>
                <w:t xml:space="preserve">Marshall, G. (1971). </w:t>
              </w:r>
              <w:r>
                <w:rPr>
                  <w:i/>
                  <w:iCs/>
                  <w:noProof/>
                  <w:lang w:val="en-US"/>
                </w:rPr>
                <w:t>Constitutional Theory.</w:t>
              </w:r>
              <w:r>
                <w:rPr>
                  <w:noProof/>
                  <w:lang w:val="en-US"/>
                </w:rPr>
                <w:t xml:space="preserve"> Clarendon Press.</w:t>
              </w:r>
            </w:p>
            <w:p w14:paraId="6EA71A59" w14:textId="77777777" w:rsidR="00FC414F" w:rsidRDefault="00FC414F" w:rsidP="00FC414F">
              <w:pPr>
                <w:pStyle w:val="Bibliography"/>
                <w:spacing w:before="120" w:after="120"/>
                <w:ind w:left="720" w:hanging="720"/>
                <w:rPr>
                  <w:noProof/>
                  <w:lang w:val="en-US"/>
                </w:rPr>
              </w:pPr>
              <w:r>
                <w:rPr>
                  <w:noProof/>
                  <w:lang w:val="en-US"/>
                </w:rPr>
                <w:t xml:space="preserve">Masterman, R. (2010). </w:t>
              </w:r>
              <w:r>
                <w:rPr>
                  <w:i/>
                  <w:iCs/>
                  <w:noProof/>
                  <w:lang w:val="en-US"/>
                </w:rPr>
                <w:t>The separation of powers in the contemporary constitution: Judicial competence and independence in the United Kingdom.</w:t>
              </w:r>
              <w:r>
                <w:rPr>
                  <w:noProof/>
                  <w:lang w:val="en-US"/>
                </w:rPr>
                <w:t xml:space="preserve"> Cambridge University Press.</w:t>
              </w:r>
            </w:p>
            <w:p w14:paraId="5CE4D1AC" w14:textId="77777777" w:rsidR="00FC414F" w:rsidRDefault="00FC414F" w:rsidP="00FC414F">
              <w:pPr>
                <w:pStyle w:val="Bibliography"/>
                <w:spacing w:before="120" w:after="120"/>
                <w:ind w:left="720" w:hanging="720"/>
                <w:rPr>
                  <w:noProof/>
                  <w:lang w:val="en-US"/>
                </w:rPr>
              </w:pPr>
              <w:r>
                <w:rPr>
                  <w:noProof/>
                  <w:lang w:val="en-US"/>
                </w:rPr>
                <w:t>Pickin v British Railways Board [1974] AC 765 (1974).</w:t>
              </w:r>
            </w:p>
            <w:p w14:paraId="0BACA34C" w14:textId="70023314" w:rsidR="00FC414F" w:rsidRDefault="00FC414F" w:rsidP="00FC414F">
              <w:pPr>
                <w:pStyle w:val="Bibliography"/>
                <w:spacing w:before="120" w:after="120"/>
                <w:ind w:left="720" w:hanging="720"/>
                <w:rPr>
                  <w:noProof/>
                  <w:lang w:val="en-US"/>
                </w:rPr>
              </w:pPr>
              <w:r>
                <w:rPr>
                  <w:noProof/>
                  <w:lang w:val="en-US"/>
                </w:rPr>
                <w:t>Oliver, D.</w:t>
              </w:r>
              <w:r w:rsidR="00202EED">
                <w:rPr>
                  <w:noProof/>
                  <w:lang w:val="en-US"/>
                </w:rPr>
                <w:t xml:space="preserve"> </w:t>
              </w:r>
              <w:r w:rsidR="006502E5">
                <w:rPr>
                  <w:noProof/>
                  <w:lang w:val="en-US"/>
                </w:rPr>
                <w:t>,</w:t>
              </w:r>
              <w:r>
                <w:rPr>
                  <w:noProof/>
                  <w:lang w:val="en-US"/>
                </w:rPr>
                <w:t xml:space="preserve"> </w:t>
              </w:r>
              <w:r w:rsidR="006502E5">
                <w:rPr>
                  <w:noProof/>
                  <w:lang w:val="en-US"/>
                </w:rPr>
                <w:t>and</w:t>
              </w:r>
              <w:r>
                <w:rPr>
                  <w:noProof/>
                  <w:lang w:val="en-US"/>
                </w:rPr>
                <w:t xml:space="preserve"> Drewry, G. (1998). </w:t>
              </w:r>
              <w:r>
                <w:rPr>
                  <w:i/>
                  <w:iCs/>
                  <w:noProof/>
                  <w:lang w:val="en-US"/>
                </w:rPr>
                <w:t>The Law and Parliament.</w:t>
              </w:r>
              <w:r>
                <w:rPr>
                  <w:noProof/>
                  <w:lang w:val="en-US"/>
                </w:rPr>
                <w:t xml:space="preserve"> Cambridge University Press.</w:t>
              </w:r>
            </w:p>
            <w:p w14:paraId="00A58F7D" w14:textId="77777777" w:rsidR="00FC414F" w:rsidRDefault="00FC414F" w:rsidP="00FC414F">
              <w:pPr>
                <w:pStyle w:val="Bibliography"/>
                <w:spacing w:before="120" w:after="120"/>
                <w:ind w:left="720" w:hanging="720"/>
                <w:rPr>
                  <w:noProof/>
                  <w:lang w:val="en-US"/>
                </w:rPr>
              </w:pPr>
              <w:r>
                <w:rPr>
                  <w:noProof/>
                  <w:lang w:val="en-US"/>
                </w:rPr>
                <w:t>R (Anderson) v Home Secretary[2002] UKHL 46 (2002).</w:t>
              </w:r>
            </w:p>
            <w:p w14:paraId="32D45CCA" w14:textId="77777777" w:rsidR="00FC414F" w:rsidRDefault="00FC414F" w:rsidP="00FC414F">
              <w:pPr>
                <w:pStyle w:val="Bibliography"/>
                <w:spacing w:before="120" w:after="120"/>
                <w:ind w:left="720" w:hanging="720"/>
                <w:rPr>
                  <w:noProof/>
                  <w:lang w:val="en-US"/>
                </w:rPr>
              </w:pPr>
              <w:r>
                <w:rPr>
                  <w:noProof/>
                  <w:lang w:val="en-US"/>
                </w:rPr>
                <w:t>R v Secretary of State for Employment, ex p Equal Opportunities Commission (1995) 1 AC 1 (1995).</w:t>
              </w:r>
            </w:p>
            <w:p w14:paraId="03D9096F" w14:textId="1DD37FA7" w:rsidR="00FC414F" w:rsidRDefault="00FC414F" w:rsidP="00FC414F">
              <w:pPr>
                <w:spacing w:before="120" w:after="120"/>
              </w:pPr>
              <w:r>
                <w:rPr>
                  <w:b/>
                  <w:bCs/>
                  <w:noProof/>
                </w:rPr>
                <w:fldChar w:fldCharType="end"/>
              </w:r>
            </w:p>
          </w:sdtContent>
        </w:sdt>
      </w:sdtContent>
    </w:sdt>
    <w:p w14:paraId="0EC0D14E" w14:textId="162A4BA5" w:rsidR="00FC414F" w:rsidRDefault="00FC414F" w:rsidP="00765F9E">
      <w:pPr>
        <w:rPr>
          <w:rFonts w:ascii="Candara" w:hAnsi="Candara"/>
        </w:rPr>
      </w:pPr>
    </w:p>
    <w:p w14:paraId="6FA4B628" w14:textId="77777777" w:rsidR="00FC414F" w:rsidRPr="00152B72" w:rsidRDefault="00FC414F" w:rsidP="00765F9E">
      <w:pPr>
        <w:rPr>
          <w:rFonts w:ascii="Candara" w:hAnsi="Candara"/>
        </w:rPr>
      </w:pPr>
    </w:p>
    <w:p w14:paraId="3A7737C0" w14:textId="68C32016" w:rsidR="0050186F" w:rsidRPr="00E924E3" w:rsidRDefault="00364608" w:rsidP="00CC67A1">
      <w:pPr>
        <w:spacing w:before="120" w:after="120"/>
        <w:rPr>
          <w:rFonts w:ascii="Candara" w:hAnsi="Candara"/>
        </w:rPr>
      </w:pPr>
    </w:p>
    <w:sectPr w:rsidR="0050186F" w:rsidRPr="00E924E3" w:rsidSect="008E03B8">
      <w:footerReference w:type="default" r:id="rId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7791C" w14:textId="77777777" w:rsidR="00364608" w:rsidRDefault="00364608" w:rsidP="002116D2">
      <w:r>
        <w:separator/>
      </w:r>
    </w:p>
  </w:endnote>
  <w:endnote w:type="continuationSeparator" w:id="0">
    <w:p w14:paraId="66F763A0" w14:textId="77777777" w:rsidR="00364608" w:rsidRDefault="00364608" w:rsidP="00211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00000001" w:usb1="08070000" w:usb2="00000010" w:usb3="00000000" w:csb0="00020000" w:csb1="00000000"/>
  </w:font>
  <w:font w:name="Amasis MT Pro">
    <w:charset w:val="00"/>
    <w:family w:val="roman"/>
    <w:pitch w:val="variable"/>
    <w:sig w:usb0="A00000AF" w:usb1="4000205B" w:usb2="00000000" w:usb3="00000000" w:csb0="00000093" w:csb1="00000000"/>
  </w:font>
  <w:font w:name="Abadi">
    <w:charset w:val="00"/>
    <w:family w:val="swiss"/>
    <w:pitch w:val="variable"/>
    <w:sig w:usb0="80000003" w:usb1="00000000" w:usb2="00000000" w:usb3="00000000" w:csb0="00000001" w:csb1="00000000"/>
  </w:font>
  <w:font w:name="Candara">
    <w:panose1 w:val="020E0502030303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6782257"/>
      <w:docPartObj>
        <w:docPartGallery w:val="Page Numbers (Bottom of Page)"/>
        <w:docPartUnique/>
      </w:docPartObj>
    </w:sdtPr>
    <w:sdtEndPr>
      <w:rPr>
        <w:noProof/>
      </w:rPr>
    </w:sdtEndPr>
    <w:sdtContent>
      <w:p w14:paraId="652E4C5B" w14:textId="38BCBDEC" w:rsidR="00202EED" w:rsidRDefault="00202E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A5DB52" w14:textId="77777777" w:rsidR="00202EED" w:rsidRDefault="00202E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50C61" w14:textId="77777777" w:rsidR="00364608" w:rsidRDefault="00364608" w:rsidP="002116D2">
      <w:r>
        <w:separator/>
      </w:r>
    </w:p>
  </w:footnote>
  <w:footnote w:type="continuationSeparator" w:id="0">
    <w:p w14:paraId="4DF35F8F" w14:textId="77777777" w:rsidR="00364608" w:rsidRDefault="00364608" w:rsidP="002116D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381"/>
    <w:rsid w:val="00022D11"/>
    <w:rsid w:val="000426A3"/>
    <w:rsid w:val="00095FBD"/>
    <w:rsid w:val="000F5EA2"/>
    <w:rsid w:val="000F68E9"/>
    <w:rsid w:val="00152B72"/>
    <w:rsid w:val="00181E17"/>
    <w:rsid w:val="001E1C49"/>
    <w:rsid w:val="001E5262"/>
    <w:rsid w:val="001E6BFA"/>
    <w:rsid w:val="001F21C5"/>
    <w:rsid w:val="00202EED"/>
    <w:rsid w:val="00203AD2"/>
    <w:rsid w:val="00206840"/>
    <w:rsid w:val="002116D2"/>
    <w:rsid w:val="002211F7"/>
    <w:rsid w:val="002A38F3"/>
    <w:rsid w:val="0030371E"/>
    <w:rsid w:val="003373BA"/>
    <w:rsid w:val="00364608"/>
    <w:rsid w:val="003950A0"/>
    <w:rsid w:val="003B773D"/>
    <w:rsid w:val="004358DE"/>
    <w:rsid w:val="004473A5"/>
    <w:rsid w:val="00447E16"/>
    <w:rsid w:val="004519DB"/>
    <w:rsid w:val="00466332"/>
    <w:rsid w:val="004720E6"/>
    <w:rsid w:val="004A3F9B"/>
    <w:rsid w:val="004A5296"/>
    <w:rsid w:val="004B44EE"/>
    <w:rsid w:val="004D2190"/>
    <w:rsid w:val="00591424"/>
    <w:rsid w:val="005A0332"/>
    <w:rsid w:val="005C29FB"/>
    <w:rsid w:val="005C5981"/>
    <w:rsid w:val="006502E5"/>
    <w:rsid w:val="006D2996"/>
    <w:rsid w:val="006E4C77"/>
    <w:rsid w:val="0075144B"/>
    <w:rsid w:val="00765F9E"/>
    <w:rsid w:val="00794166"/>
    <w:rsid w:val="007C151E"/>
    <w:rsid w:val="00834381"/>
    <w:rsid w:val="008407F4"/>
    <w:rsid w:val="008A53B7"/>
    <w:rsid w:val="008E03B8"/>
    <w:rsid w:val="008E215F"/>
    <w:rsid w:val="008F76B5"/>
    <w:rsid w:val="00986FF2"/>
    <w:rsid w:val="0099415B"/>
    <w:rsid w:val="009B47B0"/>
    <w:rsid w:val="009E3776"/>
    <w:rsid w:val="00A20002"/>
    <w:rsid w:val="00A9598E"/>
    <w:rsid w:val="00AD0282"/>
    <w:rsid w:val="00AF3731"/>
    <w:rsid w:val="00B15B81"/>
    <w:rsid w:val="00B217C7"/>
    <w:rsid w:val="00B67FAF"/>
    <w:rsid w:val="00BC12D4"/>
    <w:rsid w:val="00BF325E"/>
    <w:rsid w:val="00C22AF3"/>
    <w:rsid w:val="00C81059"/>
    <w:rsid w:val="00CC67A1"/>
    <w:rsid w:val="00CD2A9C"/>
    <w:rsid w:val="00D3296E"/>
    <w:rsid w:val="00D53570"/>
    <w:rsid w:val="00D923C1"/>
    <w:rsid w:val="00E54B5C"/>
    <w:rsid w:val="00E65774"/>
    <w:rsid w:val="00E924E3"/>
    <w:rsid w:val="00E97959"/>
    <w:rsid w:val="00F176F9"/>
    <w:rsid w:val="00F315AB"/>
    <w:rsid w:val="00F35E4C"/>
    <w:rsid w:val="00F565AF"/>
    <w:rsid w:val="00FC41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88F01"/>
  <w14:defaultImageDpi w14:val="32767"/>
  <w15:chartTrackingRefBased/>
  <w15:docId w15:val="{8F62925E-A4E0-AD44-B547-BCF220D88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2116D2"/>
    <w:rPr>
      <w:rFonts w:ascii="Times New Roman" w:eastAsia="Times New Roman" w:hAnsi="Times New Roman" w:cs="Times New Roman"/>
      <w:lang w:val="en-IN"/>
    </w:rPr>
  </w:style>
  <w:style w:type="paragraph" w:styleId="Heading1">
    <w:name w:val="heading 1"/>
    <w:basedOn w:val="Normal"/>
    <w:next w:val="Normal"/>
    <w:link w:val="Heading1Char"/>
    <w:uiPriority w:val="9"/>
    <w:qFormat/>
    <w:rsid w:val="00FC414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116D2"/>
    <w:rPr>
      <w:rFonts w:asciiTheme="minorHAnsi" w:eastAsiaTheme="minorHAnsi" w:hAnsiTheme="minorHAnsi" w:cstheme="minorBidi"/>
      <w:lang w:val="en-GB"/>
    </w:rPr>
  </w:style>
  <w:style w:type="character" w:customStyle="1" w:styleId="FootnoteTextChar">
    <w:name w:val="Footnote Text Char"/>
    <w:basedOn w:val="DefaultParagraphFont"/>
    <w:link w:val="FootnoteText"/>
    <w:uiPriority w:val="99"/>
    <w:rsid w:val="002116D2"/>
    <w:rPr>
      <w:lang w:val="en-GB"/>
    </w:rPr>
  </w:style>
  <w:style w:type="character" w:styleId="FootnoteReference">
    <w:name w:val="footnote reference"/>
    <w:basedOn w:val="DefaultParagraphFont"/>
    <w:uiPriority w:val="99"/>
    <w:unhideWhenUsed/>
    <w:rsid w:val="002116D2"/>
    <w:rPr>
      <w:vertAlign w:val="superscript"/>
    </w:rPr>
  </w:style>
  <w:style w:type="character" w:customStyle="1" w:styleId="None">
    <w:name w:val="None"/>
    <w:rsid w:val="002116D2"/>
  </w:style>
  <w:style w:type="character" w:customStyle="1" w:styleId="NoneA">
    <w:name w:val="None A"/>
    <w:rsid w:val="002116D2"/>
  </w:style>
  <w:style w:type="character" w:styleId="Emphasis">
    <w:name w:val="Emphasis"/>
    <w:basedOn w:val="DefaultParagraphFont"/>
    <w:uiPriority w:val="20"/>
    <w:qFormat/>
    <w:rsid w:val="002116D2"/>
    <w:rPr>
      <w:i/>
      <w:iCs/>
    </w:rPr>
  </w:style>
  <w:style w:type="paragraph" w:styleId="Header">
    <w:name w:val="header"/>
    <w:basedOn w:val="Normal"/>
    <w:link w:val="HeaderChar"/>
    <w:uiPriority w:val="99"/>
    <w:unhideWhenUsed/>
    <w:rsid w:val="008F76B5"/>
    <w:pPr>
      <w:tabs>
        <w:tab w:val="center" w:pos="4680"/>
        <w:tab w:val="right" w:pos="9360"/>
      </w:tabs>
    </w:pPr>
  </w:style>
  <w:style w:type="character" w:customStyle="1" w:styleId="HeaderChar">
    <w:name w:val="Header Char"/>
    <w:basedOn w:val="DefaultParagraphFont"/>
    <w:link w:val="Header"/>
    <w:uiPriority w:val="99"/>
    <w:rsid w:val="008F76B5"/>
    <w:rPr>
      <w:rFonts w:ascii="Times New Roman" w:eastAsia="Times New Roman" w:hAnsi="Times New Roman" w:cs="Times New Roman"/>
      <w:lang w:val="en-IN"/>
    </w:rPr>
  </w:style>
  <w:style w:type="paragraph" w:styleId="Footer">
    <w:name w:val="footer"/>
    <w:basedOn w:val="Normal"/>
    <w:link w:val="FooterChar"/>
    <w:uiPriority w:val="99"/>
    <w:unhideWhenUsed/>
    <w:rsid w:val="008F76B5"/>
    <w:pPr>
      <w:tabs>
        <w:tab w:val="center" w:pos="4680"/>
        <w:tab w:val="right" w:pos="9360"/>
      </w:tabs>
    </w:pPr>
  </w:style>
  <w:style w:type="character" w:customStyle="1" w:styleId="FooterChar">
    <w:name w:val="Footer Char"/>
    <w:basedOn w:val="DefaultParagraphFont"/>
    <w:link w:val="Footer"/>
    <w:uiPriority w:val="99"/>
    <w:rsid w:val="008F76B5"/>
    <w:rPr>
      <w:rFonts w:ascii="Times New Roman" w:eastAsia="Times New Roman" w:hAnsi="Times New Roman" w:cs="Times New Roman"/>
      <w:lang w:val="en-IN"/>
    </w:rPr>
  </w:style>
  <w:style w:type="paragraph" w:styleId="NormalWeb">
    <w:name w:val="Normal (Web)"/>
    <w:basedOn w:val="Normal"/>
    <w:uiPriority w:val="99"/>
    <w:unhideWhenUsed/>
    <w:rsid w:val="00E97959"/>
    <w:pPr>
      <w:spacing w:before="100" w:beforeAutospacing="1" w:after="100" w:afterAutospacing="1"/>
    </w:pPr>
    <w:rPr>
      <w:lang w:val="en-GB" w:eastAsia="en-GB"/>
    </w:rPr>
  </w:style>
  <w:style w:type="paragraph" w:customStyle="1" w:styleId="BodyA">
    <w:name w:val="Body A"/>
    <w:rsid w:val="004519DB"/>
    <w:pPr>
      <w:pBdr>
        <w:top w:val="none" w:sz="16" w:space="0" w:color="000000"/>
        <w:left w:val="none" w:sz="16" w:space="0" w:color="000000"/>
        <w:bottom w:val="none" w:sz="16" w:space="0" w:color="000000"/>
        <w:right w:val="none" w:sz="16" w:space="0" w:color="000000"/>
      </w:pBdr>
      <w:spacing w:line="480" w:lineRule="auto"/>
      <w:jc w:val="both"/>
    </w:pPr>
    <w:rPr>
      <w:rFonts w:ascii="Times New Roman" w:eastAsia="Arial Unicode MS" w:hAnsi="Times New Roman" w:cs="Arial Unicode MS"/>
      <w:color w:val="000000"/>
      <w:u w:color="000000"/>
    </w:rPr>
  </w:style>
  <w:style w:type="character" w:customStyle="1" w:styleId="Heading1Char">
    <w:name w:val="Heading 1 Char"/>
    <w:basedOn w:val="DefaultParagraphFont"/>
    <w:link w:val="Heading1"/>
    <w:uiPriority w:val="9"/>
    <w:rsid w:val="00FC414F"/>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FC414F"/>
  </w:style>
  <w:style w:type="paragraph" w:styleId="NoSpacing">
    <w:name w:val="No Spacing"/>
    <w:link w:val="NoSpacingChar"/>
    <w:uiPriority w:val="1"/>
    <w:qFormat/>
    <w:rsid w:val="008E03B8"/>
    <w:rPr>
      <w:rFonts w:eastAsiaTheme="minorEastAsia"/>
      <w:sz w:val="22"/>
      <w:szCs w:val="22"/>
    </w:rPr>
  </w:style>
  <w:style w:type="character" w:customStyle="1" w:styleId="NoSpacingChar">
    <w:name w:val="No Spacing Char"/>
    <w:basedOn w:val="DefaultParagraphFont"/>
    <w:link w:val="NoSpacing"/>
    <w:uiPriority w:val="1"/>
    <w:rsid w:val="008E03B8"/>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701565">
      <w:bodyDiv w:val="1"/>
      <w:marLeft w:val="0"/>
      <w:marRight w:val="0"/>
      <w:marTop w:val="0"/>
      <w:marBottom w:val="0"/>
      <w:divBdr>
        <w:top w:val="none" w:sz="0" w:space="0" w:color="auto"/>
        <w:left w:val="none" w:sz="0" w:space="0" w:color="auto"/>
        <w:bottom w:val="none" w:sz="0" w:space="0" w:color="auto"/>
        <w:right w:val="none" w:sz="0" w:space="0" w:color="auto"/>
      </w:divBdr>
    </w:div>
    <w:div w:id="475997662">
      <w:bodyDiv w:val="1"/>
      <w:marLeft w:val="0"/>
      <w:marRight w:val="0"/>
      <w:marTop w:val="0"/>
      <w:marBottom w:val="0"/>
      <w:divBdr>
        <w:top w:val="none" w:sz="0" w:space="0" w:color="auto"/>
        <w:left w:val="none" w:sz="0" w:space="0" w:color="auto"/>
        <w:bottom w:val="none" w:sz="0" w:space="0" w:color="auto"/>
        <w:right w:val="none" w:sz="0" w:space="0" w:color="auto"/>
      </w:divBdr>
    </w:div>
    <w:div w:id="476528733">
      <w:bodyDiv w:val="1"/>
      <w:marLeft w:val="0"/>
      <w:marRight w:val="0"/>
      <w:marTop w:val="0"/>
      <w:marBottom w:val="0"/>
      <w:divBdr>
        <w:top w:val="none" w:sz="0" w:space="0" w:color="auto"/>
        <w:left w:val="none" w:sz="0" w:space="0" w:color="auto"/>
        <w:bottom w:val="none" w:sz="0" w:space="0" w:color="auto"/>
        <w:right w:val="none" w:sz="0" w:space="0" w:color="auto"/>
      </w:divBdr>
    </w:div>
    <w:div w:id="494339743">
      <w:bodyDiv w:val="1"/>
      <w:marLeft w:val="0"/>
      <w:marRight w:val="0"/>
      <w:marTop w:val="0"/>
      <w:marBottom w:val="0"/>
      <w:divBdr>
        <w:top w:val="none" w:sz="0" w:space="0" w:color="auto"/>
        <w:left w:val="none" w:sz="0" w:space="0" w:color="auto"/>
        <w:bottom w:val="none" w:sz="0" w:space="0" w:color="auto"/>
        <w:right w:val="none" w:sz="0" w:space="0" w:color="auto"/>
      </w:divBdr>
    </w:div>
    <w:div w:id="534394351">
      <w:bodyDiv w:val="1"/>
      <w:marLeft w:val="0"/>
      <w:marRight w:val="0"/>
      <w:marTop w:val="0"/>
      <w:marBottom w:val="0"/>
      <w:divBdr>
        <w:top w:val="none" w:sz="0" w:space="0" w:color="auto"/>
        <w:left w:val="none" w:sz="0" w:space="0" w:color="auto"/>
        <w:bottom w:val="none" w:sz="0" w:space="0" w:color="auto"/>
        <w:right w:val="none" w:sz="0" w:space="0" w:color="auto"/>
      </w:divBdr>
    </w:div>
    <w:div w:id="663093383">
      <w:bodyDiv w:val="1"/>
      <w:marLeft w:val="0"/>
      <w:marRight w:val="0"/>
      <w:marTop w:val="0"/>
      <w:marBottom w:val="0"/>
      <w:divBdr>
        <w:top w:val="none" w:sz="0" w:space="0" w:color="auto"/>
        <w:left w:val="none" w:sz="0" w:space="0" w:color="auto"/>
        <w:bottom w:val="none" w:sz="0" w:space="0" w:color="auto"/>
        <w:right w:val="none" w:sz="0" w:space="0" w:color="auto"/>
      </w:divBdr>
    </w:div>
    <w:div w:id="782698718">
      <w:bodyDiv w:val="1"/>
      <w:marLeft w:val="0"/>
      <w:marRight w:val="0"/>
      <w:marTop w:val="0"/>
      <w:marBottom w:val="0"/>
      <w:divBdr>
        <w:top w:val="none" w:sz="0" w:space="0" w:color="auto"/>
        <w:left w:val="none" w:sz="0" w:space="0" w:color="auto"/>
        <w:bottom w:val="none" w:sz="0" w:space="0" w:color="auto"/>
        <w:right w:val="none" w:sz="0" w:space="0" w:color="auto"/>
      </w:divBdr>
    </w:div>
    <w:div w:id="944457001">
      <w:bodyDiv w:val="1"/>
      <w:marLeft w:val="0"/>
      <w:marRight w:val="0"/>
      <w:marTop w:val="0"/>
      <w:marBottom w:val="0"/>
      <w:divBdr>
        <w:top w:val="none" w:sz="0" w:space="0" w:color="auto"/>
        <w:left w:val="none" w:sz="0" w:space="0" w:color="auto"/>
        <w:bottom w:val="none" w:sz="0" w:space="0" w:color="auto"/>
        <w:right w:val="none" w:sz="0" w:space="0" w:color="auto"/>
      </w:divBdr>
    </w:div>
    <w:div w:id="1029917783">
      <w:bodyDiv w:val="1"/>
      <w:marLeft w:val="0"/>
      <w:marRight w:val="0"/>
      <w:marTop w:val="0"/>
      <w:marBottom w:val="0"/>
      <w:divBdr>
        <w:top w:val="none" w:sz="0" w:space="0" w:color="auto"/>
        <w:left w:val="none" w:sz="0" w:space="0" w:color="auto"/>
        <w:bottom w:val="none" w:sz="0" w:space="0" w:color="auto"/>
        <w:right w:val="none" w:sz="0" w:space="0" w:color="auto"/>
      </w:divBdr>
    </w:div>
    <w:div w:id="1084692769">
      <w:bodyDiv w:val="1"/>
      <w:marLeft w:val="0"/>
      <w:marRight w:val="0"/>
      <w:marTop w:val="0"/>
      <w:marBottom w:val="0"/>
      <w:divBdr>
        <w:top w:val="none" w:sz="0" w:space="0" w:color="auto"/>
        <w:left w:val="none" w:sz="0" w:space="0" w:color="auto"/>
        <w:bottom w:val="none" w:sz="0" w:space="0" w:color="auto"/>
        <w:right w:val="none" w:sz="0" w:space="0" w:color="auto"/>
      </w:divBdr>
    </w:div>
    <w:div w:id="1109861723">
      <w:bodyDiv w:val="1"/>
      <w:marLeft w:val="0"/>
      <w:marRight w:val="0"/>
      <w:marTop w:val="0"/>
      <w:marBottom w:val="0"/>
      <w:divBdr>
        <w:top w:val="none" w:sz="0" w:space="0" w:color="auto"/>
        <w:left w:val="none" w:sz="0" w:space="0" w:color="auto"/>
        <w:bottom w:val="none" w:sz="0" w:space="0" w:color="auto"/>
        <w:right w:val="none" w:sz="0" w:space="0" w:color="auto"/>
      </w:divBdr>
    </w:div>
    <w:div w:id="1157065210">
      <w:bodyDiv w:val="1"/>
      <w:marLeft w:val="0"/>
      <w:marRight w:val="0"/>
      <w:marTop w:val="0"/>
      <w:marBottom w:val="0"/>
      <w:divBdr>
        <w:top w:val="none" w:sz="0" w:space="0" w:color="auto"/>
        <w:left w:val="none" w:sz="0" w:space="0" w:color="auto"/>
        <w:bottom w:val="none" w:sz="0" w:space="0" w:color="auto"/>
        <w:right w:val="none" w:sz="0" w:space="0" w:color="auto"/>
      </w:divBdr>
    </w:div>
    <w:div w:id="1713191579">
      <w:bodyDiv w:val="1"/>
      <w:marLeft w:val="0"/>
      <w:marRight w:val="0"/>
      <w:marTop w:val="0"/>
      <w:marBottom w:val="0"/>
      <w:divBdr>
        <w:top w:val="none" w:sz="0" w:space="0" w:color="auto"/>
        <w:left w:val="none" w:sz="0" w:space="0" w:color="auto"/>
        <w:bottom w:val="none" w:sz="0" w:space="0" w:color="auto"/>
        <w:right w:val="none" w:sz="0" w:space="0" w:color="auto"/>
      </w:divBdr>
    </w:div>
    <w:div w:id="1893729945">
      <w:bodyDiv w:val="1"/>
      <w:marLeft w:val="0"/>
      <w:marRight w:val="0"/>
      <w:marTop w:val="0"/>
      <w:marBottom w:val="0"/>
      <w:divBdr>
        <w:top w:val="none" w:sz="0" w:space="0" w:color="auto"/>
        <w:left w:val="none" w:sz="0" w:space="0" w:color="auto"/>
        <w:bottom w:val="none" w:sz="0" w:space="0" w:color="auto"/>
        <w:right w:val="none" w:sz="0" w:space="0" w:color="auto"/>
      </w:divBdr>
    </w:div>
    <w:div w:id="1961716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Hou07</b:Tag>
    <b:SourceType>Report</b:SourceType>
    <b:Guid>{642309FE-1D0E-9C41-924D-351602AE2820}</b:Guid>
    <b:Title>Select Committee on Constitution Sixth Report</b:Title>
    <b:Publisher>House of Lords</b:Publisher>
    <b:Year>2007</b:Year>
    <b:Author>
      <b:Author>
        <b:Corporate>House of Lords</b:Corporate>
      </b:Author>
    </b:Author>
    <b:RefOrder>3</b:RefOrder>
  </b:Source>
  <b:Source>
    <b:Tag>Dup801</b:Tag>
    <b:SourceType>Case</b:SourceType>
    <b:Guid>{C066C2AF-FF55-5646-A7BD-9CE109F4A5C1}</b:Guid>
    <b:Title>Duport Ltd v Sirs [1980] 1 WLR 142</b:Title>
    <b:Year>1980</b:Year>
    <b:RefOrder>5</b:RefOrder>
  </b:Source>
  <b:Source>
    <b:Tag>Alb13</b:Tag>
    <b:SourceType>Book</b:SourceType>
    <b:Guid>{A4007F93-3070-614B-951A-6121DED4DCAA}</b:Guid>
    <b:Title>The law of the Constitution, Vol. 1 </b:Title>
    <b:Year>2013</b:Year>
    <b:Author>
      <b:Author>
        <b:NameList>
          <b:Person>
            <b:Last>Dicey</b:Last>
            <b:First>Albert</b:First>
            <b:Middle>Venn</b:Middle>
          </b:Person>
        </b:NameList>
      </b:Author>
    </b:Author>
    <b:Publisher>OUP</b:Publisher>
    <b:RefOrder>4</b:RefOrder>
  </b:Source>
  <b:Source>
    <b:Tag>Wal671</b:Tag>
    <b:SourceType>Book</b:SourceType>
    <b:Guid>{8F783097-91CD-5044-8556-528CCAB5EDA1}</b:Guid>
    <b:Author>
      <b:Author>
        <b:NameList>
          <b:Person>
            <b:Last>Bagehot</b:Last>
            <b:First>Walter</b:First>
          </b:Person>
        </b:NameList>
      </b:Author>
    </b:Author>
    <b:Title>The English Constitution </b:Title>
    <b:Publisher>Chapman &amp; Hall</b:Publisher>
    <b:Year>1867</b:Year>
    <b:RefOrder>8</b:RefOrder>
  </b:Source>
  <b:Source>
    <b:Tag>Ric112</b:Tag>
    <b:SourceType>Report</b:SourceType>
    <b:Guid>{CC5CDD06-D0C2-A140-AF47-7D267D74578A}</b:Guid>
    <b:Title>The Separation of Powers, SN/PC/06053</b:Title>
    <b:Year>2011</b:Year>
    <b:Author>
      <b:Author>
        <b:NameList>
          <b:Person>
            <b:Last>Benwell</b:Last>
            <b:First>Richard</b:First>
          </b:Person>
          <b:Person>
            <b:Last>Gay</b:Last>
            <b:First>Oonagh</b:First>
          </b:Person>
        </b:NameList>
      </b:Author>
    </b:Author>
    <b:Publisher>House of Commons</b:Publisher>
    <b:RefOrder>6</b:RefOrder>
  </b:Source>
  <b:Source>
    <b:Tag>Daw981</b:Tag>
    <b:SourceType>Book</b:SourceType>
    <b:Guid>{47F87382-F6FD-AD42-8393-59EEFCAF76FB}</b:Guid>
    <b:Author>
      <b:Author>
        <b:NameList>
          <b:Person>
            <b:Last>Oliver</b:Last>
            <b:First>Dawn</b:First>
          </b:Person>
          <b:Person>
            <b:Last>Drewry</b:Last>
            <b:First>Gavin</b:First>
          </b:Person>
        </b:NameList>
      </b:Author>
    </b:Author>
    <b:Title>The Law and Parliament </b:Title>
    <b:Publisher>Cambridge University Press </b:Publisher>
    <b:Year>1998</b:Year>
    <b:RefOrder>11</b:RefOrder>
  </b:Source>
  <b:Source>
    <b:Tag>TRS16</b:Tag>
    <b:SourceType>BookSection</b:SourceType>
    <b:Guid>{72842515-13C0-AA4B-8B80-C09731F9D767}</b:Guid>
    <b:Title>The Rule of Law</b:Title>
    <b:Publisher>Oxford University Press</b:Publisher>
    <b:City>Oxford </b:City>
    <b:Year>2016</b:Year>
    <b:Author>
      <b:Author>
        <b:NameList>
          <b:Person>
            <b:Last>Allan</b:Last>
            <b:First>TRS</b:First>
          </b:Person>
        </b:NameList>
      </b:Author>
      <b:BookAuthor>
        <b:NameList>
          <b:Person>
            <b:Last>Dyzenhaus</b:Last>
            <b:First>David</b:First>
          </b:Person>
          <b:Person>
            <b:Last>Thorburn</b:Last>
            <b:First>Malcolm</b:First>
          </b:Person>
        </b:NameList>
      </b:BookAuthor>
    </b:Author>
    <b:BookTitle>Philosophical Foundations of Constitutional Law</b:BookTitle>
    <b:RefOrder>1</b:RefOrder>
  </b:Source>
  <b:Source>
    <b:Tag>Eoi09</b:Tag>
    <b:SourceType>Book</b:SourceType>
    <b:Guid>{ABF13F86-5249-F64F-83BD-2EA10DDA1B03}</b:Guid>
    <b:Title>The New Separation of Powers: A Theory for the Modern State</b:Title>
    <b:City>Oxford </b:City>
    <b:Publisher>Oxford University Press</b:Publisher>
    <b:Year>2009</b:Year>
    <b:Author>
      <b:Author>
        <b:NameList>
          <b:Person>
            <b:Last>Carolan</b:Last>
            <b:First>Eoin</b:First>
          </b:Person>
        </b:NameList>
      </b:Author>
    </b:Author>
    <b:RefOrder>2</b:RefOrder>
  </b:Source>
  <b:Source>
    <b:Tag>Bil14</b:Tag>
    <b:SourceType>Book</b:SourceType>
    <b:Guid>{1FC8C6C6-500E-794D-B85D-8D9FF33A709E}</b:Guid>
    <b:Title>Politics UK</b:Title>
    <b:Year>2014</b:Year>
    <b:Author>
      <b:Author>
        <b:NameList>
          <b:Person>
            <b:Last>Jones</b:Last>
            <b:First>Bill</b:First>
          </b:Person>
          <b:Person>
            <b:Last>Norton</b:Last>
            <b:First>Philip</b:First>
          </b:Person>
        </b:NameList>
      </b:Author>
    </b:Author>
    <b:City>Oxon</b:City>
    <b:Publisher>Routledge</b:Publisher>
    <b:RefOrder>12</b:RefOrder>
  </b:Source>
  <b:Source>
    <b:Tag>Joh21</b:Tag>
    <b:SourceType>Book</b:SourceType>
    <b:Guid>{683FEFF0-81A0-D442-8C71-34B6C3FCBD24}</b:Guid>
    <b:Author>
      <b:Author>
        <b:NameList>
          <b:Person>
            <b:Last>Locke</b:Last>
            <b:First>John</b:First>
          </b:Person>
        </b:NameList>
      </b:Author>
    </b:Author>
    <b:Title>The Two Treatises of Government</b:Title>
    <b:Publisher>Whitmore and Fenn, and C. Brown </b:Publisher>
    <b:Year>1821</b:Year>
    <b:RefOrder>13</b:RefOrder>
  </b:Source>
  <b:Source>
    <b:Tag>Hil141</b:Tag>
    <b:SourceType>Book</b:SourceType>
    <b:Guid>{41DE0332-875F-024B-84F0-ED562D4C6E97}</b:Guid>
    <b:Author>
      <b:Author>
        <b:NameList>
          <b:Person>
            <b:Last>Barnett</b:Last>
            <b:First>Hillarie</b:First>
          </b:Person>
        </b:NameList>
      </b:Author>
    </b:Author>
    <b:Title>Constitutional and Administrative Law</b:Title>
    <b:City>Oxon</b:City>
    <b:Publisher>Routledge</b:Publisher>
    <b:Year>2014</b:Year>
    <b:RefOrder>9</b:RefOrder>
  </b:Source>
  <b:Source>
    <b:Tag>RAn02</b:Tag>
    <b:SourceType>Case</b:SourceType>
    <b:Guid>{64514065-6E44-3848-B0B6-C26D13C1F59D}</b:Guid>
    <b:Title>R (Anderson) v Home Secretary[2002] UKHL 46</b:Title>
    <b:Year>2002</b:Year>
    <b:RefOrder>10</b:RefOrder>
  </b:Source>
  <b:Source>
    <b:Tag>Pic74</b:Tag>
    <b:SourceType>Case</b:SourceType>
    <b:Guid>{0B0B3F98-DAC0-2145-A01D-78BAD444ED07}</b:Guid>
    <b:Title>Pickin v British Railways Board [1974] AC 765</b:Title>
    <b:Year>1974</b:Year>
    <b:RefOrder>14</b:RefOrder>
  </b:Source>
  <b:Source>
    <b:Tag>GMa71</b:Tag>
    <b:SourceType>Book</b:SourceType>
    <b:Guid>{EE3C5785-5499-B147-B5B0-CCBF0C40F915}</b:Guid>
    <b:Title>Constitutional Theory</b:Title>
    <b:Year>1971</b:Year>
    <b:Author>
      <b:Author>
        <b:NameList>
          <b:Person>
            <b:Last>Marshall</b:Last>
            <b:First>G</b:First>
          </b:Person>
        </b:NameList>
      </b:Author>
    </b:Author>
    <b:Publisher>Clarendon Press</b:Publisher>
    <b:RefOrder>17</b:RefOrder>
  </b:Source>
  <b:Source>
    <b:Tag>Mas101</b:Tag>
    <b:SourceType>Book</b:SourceType>
    <b:Guid>{DC7D461D-CEB3-3A47-82E3-E007CA6E60CB}</b:Guid>
    <b:Title>The separation of powers in the contemporary constitution: Judicial competence and independence in the United Kingdom</b:Title>
    <b:Year>2010</b:Year>
    <b:Author>
      <b:Author>
        <b:NameList>
          <b:Person>
            <b:Last>Masterman</b:Last>
            <b:First>Roger</b:First>
          </b:Person>
        </b:NameList>
      </b:Author>
    </b:Author>
    <b:Publisher>Cambridge University Press</b:Publisher>
    <b:RefOrder>7</b:RefOrder>
  </b:Source>
  <b:Source>
    <b:Tag>RvS951</b:Tag>
    <b:SourceType>Case</b:SourceType>
    <b:Guid>{261A8167-F0FA-7142-94BC-7AEE703E7A4D}</b:Guid>
    <b:Title>R v Secretary of State for Employment, ex p Equal Opportunities Commission (1995) 1 AC 1</b:Title>
    <b:Year>1995</b:Year>
    <b:RefOrder>15</b:RefOrder>
  </b:Source>
  <b:Source>
    <b:Tag>AOt042</b:Tag>
    <b:SourceType>Case</b:SourceType>
    <b:Guid>{ADAB4D5A-1724-DA49-AEB5-756CDE53F3E2}</b:Guid>
    <b:Title>A &amp; Others v. Secretary of the State for the Home Department [2004] UKHL 43</b:Title>
    <b:Year>2004</b:Year>
    <b:RefOrder>16</b:RefOrder>
  </b:Source>
</b:Sources>
</file>

<file path=customXml/itemProps1.xml><?xml version="1.0" encoding="utf-8"?>
<ds:datastoreItem xmlns:ds="http://schemas.openxmlformats.org/officeDocument/2006/customXml" ds:itemID="{499E4E3E-004E-E444-8DA0-2A2032B35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2167</Words>
  <Characters>12354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Law</dc:title>
  <dc:subject>‘Constructive relationships between the three arms of government—the executive, the legislature, and the judiciary—are essential to the effective maintenance of the constitution and the rule of law. In recent years, the character of these relationships has changed significantly, both because of changes in governance and because of wider societal change’ (UK Government, 2007).</dc:subject>
  <dc:creator>Denyss Nagy</dc:creator>
  <cp:keywords/>
  <dc:description/>
  <cp:lastModifiedBy>Denyss Nagy (2117506)</cp:lastModifiedBy>
  <cp:revision>2</cp:revision>
  <dcterms:created xsi:type="dcterms:W3CDTF">2022-06-16T22:21:00Z</dcterms:created>
  <dcterms:modified xsi:type="dcterms:W3CDTF">2022-06-16T22:21:00Z</dcterms:modified>
</cp:coreProperties>
</file>