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52"/>
      </w:tblGrid>
      <w:tr w:rsidR="00F927A1" w:rsidRPr="005D3F07" w14:paraId="68CAA39D" w14:textId="77777777" w:rsidTr="004A460E">
        <w:tc>
          <w:tcPr>
            <w:tcW w:w="11052" w:type="dxa"/>
            <w:shd w:val="clear" w:color="auto" w:fill="auto"/>
          </w:tcPr>
          <w:p w14:paraId="02F8EE88" w14:textId="709F5872"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A460E">
              <w:rPr>
                <w:rFonts w:ascii="Times New Roman" w:hAnsi="Times New Roman" w:cs="Times New Roman"/>
                <w:b/>
                <w:color w:val="auto"/>
                <w:sz w:val="48"/>
              </w:rPr>
              <w:t>Lisa Trethouen-Haycox</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3EFEC19"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4A460E">
              <w:rPr>
                <w:rFonts w:ascii="Times New Roman" w:hAnsi="Times New Roman" w:cs="Times New Roman"/>
                <w:b/>
                <w:color w:val="auto"/>
                <w:sz w:val="48"/>
              </w:rPr>
              <w:t>lv33wy@gmail.com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22994883"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4A460E">
              <w:rPr>
                <w:rFonts w:ascii="Times New Roman" w:hAnsi="Times New Roman" w:cs="Times New Roman"/>
                <w:b/>
                <w:color w:val="auto"/>
                <w:sz w:val="48"/>
              </w:rPr>
              <w:t>2220390</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68FFAB94" w14:textId="77777777" w:rsidR="003C0B74" w:rsidRDefault="00045C40" w:rsidP="003C0B74">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r w:rsidR="003C0B74">
              <w:t xml:space="preserve"> </w:t>
            </w:r>
          </w:p>
          <w:p w14:paraId="57460B1F" w14:textId="77777777" w:rsidR="003C0B74" w:rsidRDefault="003C0B74" w:rsidP="003C0B74"/>
          <w:p w14:paraId="0CBBE6EE" w14:textId="49FE7B09" w:rsidR="003C0B74" w:rsidRPr="003C0B74" w:rsidRDefault="003C0B74" w:rsidP="003C0B74">
            <w:pPr>
              <w:rPr>
                <w:sz w:val="24"/>
                <w:szCs w:val="24"/>
              </w:rPr>
            </w:pPr>
            <w:r w:rsidRPr="003C0B74">
              <w:rPr>
                <w:sz w:val="24"/>
                <w:szCs w:val="24"/>
              </w:rPr>
              <w:t>I received a Safeg</w:t>
            </w:r>
            <w:r w:rsidR="006C4CA0">
              <w:rPr>
                <w:sz w:val="24"/>
                <w:szCs w:val="24"/>
              </w:rPr>
              <w:t>uarding concern from the</w:t>
            </w:r>
            <w:bookmarkStart w:id="0" w:name="_GoBack"/>
            <w:bookmarkEnd w:id="0"/>
            <w:r w:rsidRPr="003C0B74">
              <w:rPr>
                <w:sz w:val="24"/>
                <w:szCs w:val="24"/>
              </w:rPr>
              <w:t xml:space="preserve"> manager of the service who were providing ongoing, daily support to 2. The concerns had been passed to the manager via her support staff who were concerned about potential financial misappropriation and abuse, perpetrated by 2’s daughter (3).</w:t>
            </w:r>
          </w:p>
          <w:p w14:paraId="1F96F2E8" w14:textId="77777777" w:rsidR="003C0B74" w:rsidRPr="003C0B74" w:rsidRDefault="003C0B74" w:rsidP="003C0B74">
            <w:pPr>
              <w:rPr>
                <w:sz w:val="24"/>
                <w:szCs w:val="24"/>
              </w:rPr>
            </w:pPr>
            <w:r w:rsidRPr="003C0B74">
              <w:rPr>
                <w:sz w:val="24"/>
                <w:szCs w:val="24"/>
              </w:rPr>
              <w:t xml:space="preserve">It is important, at this point, to provide a brief overview of 2’s social situation, in order for the reader to have a greater understanding of 2’s needs. 2 is a white, single, older female who, determined via the Active Offer (More than just words Strategic Framework, Welsh Government) – is  first language English speaking. Had she have expressed that she wished to converse in Welsh, I would have requested reallocation of her case to a Welsh-speaking colleague as, particularly in emotive and anxiety-provoking situations, it is imperative that the individual can express themselves in the language of their choice. 2 is of Irish, Catholic descent and her life is heavily influenced by her associated religious and cultural beliefs in terms of her values and priorities. 2 lives in sheltered accommodation in a coastal location and receives intensive daily care and support. From early adulthood, 2 has experienced profound and enduring mental health issues and has a related mental health diagnosis which continues to affect her mood. Associated with this, she has previously been detained under sections 2 and 3 of the Mental Health Act 1983. Until approximately 15 years ago, 2 also experienced issues in relation to excessive alcohol use. Several of 2’s adult children live in close proximity and also provide ongoing support to their Mother. Other than family however, 2 has limited social networks and her geographical location is not favourable in terms of accessing community services, such as social groups etc. as public transport services are seldom. The Strategy for Older People in Wales (2013) set out its </w:t>
            </w:r>
            <w:r w:rsidRPr="003C0B74">
              <w:rPr>
                <w:sz w:val="24"/>
                <w:szCs w:val="24"/>
              </w:rPr>
              <w:lastRenderedPageBreak/>
              <w:t xml:space="preserve">vision for Older People with regard to social, environmental and financial resources. Its environmental vision makes reference to public transport and the need for Older People to access affordable and appropriate transport to assist in promotion of wellbeing and a sense of community inclusion (Welsh Government 2012). Sadly, this specific issue still remains troublesome for 2. </w:t>
            </w:r>
          </w:p>
          <w:p w14:paraId="7CF17BD4" w14:textId="77777777" w:rsidR="003C0B74" w:rsidRPr="003C0B74" w:rsidRDefault="003C0B74" w:rsidP="003C0B74">
            <w:pPr>
              <w:rPr>
                <w:sz w:val="24"/>
                <w:szCs w:val="24"/>
              </w:rPr>
            </w:pPr>
            <w:r w:rsidRPr="003C0B74">
              <w:rPr>
                <w:sz w:val="24"/>
                <w:szCs w:val="24"/>
              </w:rPr>
              <w:t>Huw Irranca-Davies, Commissioner for Children and Social Care (Welsh Government 2017), declared that “Safeguarding is everyone’s responsibility”. His statement is further fortified by the Social Services and Wellbeing (Wales) Act 2014 (SSWA), in which it is stated that partner agencies, in this case the care agency, have a duty, under Section 128 of the act, to report to the local authority any concerns of abuse, or suspected abuse, towards an adult at risk. Previously, the policy framework of “In safe hands” 2000 (Welsh Assembly Government) provided safeguarding measures, however the introduction of SSWA 2014 brought the safeguarding of adults at risk into statutory context for the first time, primarily through Part 7 of the act which sets out the duties and powers of local authorities when considering safeguarding of adults (Welsh Government 2016).</w:t>
            </w:r>
          </w:p>
          <w:p w14:paraId="57287424" w14:textId="77777777" w:rsidR="003C0B74" w:rsidRPr="003C0B74" w:rsidRDefault="003C0B74" w:rsidP="003C0B74">
            <w:pPr>
              <w:rPr>
                <w:sz w:val="24"/>
                <w:szCs w:val="24"/>
              </w:rPr>
            </w:pPr>
            <w:r w:rsidRPr="003C0B74">
              <w:rPr>
                <w:sz w:val="24"/>
                <w:szCs w:val="24"/>
              </w:rPr>
              <w:t xml:space="preserve">Within the act, section 126 (SSWA 2014) provides the definition of “adult at risk” and sets out the duty placed upon local authorities to either make, or instruct third parties to make, enquiries in order to determine if an adult is “at risk” and then to further determine what actions, if any, need to be taken in order to protect the adult in question from further abuse and/or potential abuse. </w:t>
            </w:r>
          </w:p>
          <w:p w14:paraId="45FC7A4B" w14:textId="77777777" w:rsidR="003C0B74" w:rsidRPr="003C0B74" w:rsidRDefault="003C0B74" w:rsidP="003C0B74">
            <w:pPr>
              <w:rPr>
                <w:sz w:val="24"/>
                <w:szCs w:val="24"/>
              </w:rPr>
            </w:pPr>
            <w:r w:rsidRPr="003C0B74">
              <w:rPr>
                <w:sz w:val="24"/>
                <w:szCs w:val="24"/>
              </w:rPr>
              <w:t>Furthermore, within the SSWA 2014, Section 126 sets out a definition of “Adult at risk” as an individual who is a, experiencing, or at risk of, abuse and/or neglect, b, has a need for care and support (whether or not this is provided by the local authority) and c, as a result of needs is unable to protect themselves against the abuse and/or neglect, or the risk of it.</w:t>
            </w:r>
          </w:p>
          <w:p w14:paraId="01EC7AB3" w14:textId="77777777" w:rsidR="003C0B74" w:rsidRPr="003C0B74" w:rsidRDefault="003C0B74" w:rsidP="003C0B74">
            <w:pPr>
              <w:rPr>
                <w:sz w:val="24"/>
                <w:szCs w:val="24"/>
              </w:rPr>
            </w:pPr>
            <w:r w:rsidRPr="003C0B74">
              <w:rPr>
                <w:sz w:val="24"/>
                <w:szCs w:val="24"/>
              </w:rPr>
              <w:t>Additionally, Part 11 of the SSWA 2014 provides the categorisation of abuse as “physical, sexual, psychological, emotional or financial” and states that it includes abuse taking place in any setting, whether private dwelling, institution or any other place. Pertinent to 2’s case, Part 11 further defines financial abuse (camdriniaeth ariannol) as: having money or other property stolen, being defrauded, being put under pressure in relation to money or other property and having money or other property misused.</w:t>
            </w:r>
          </w:p>
          <w:p w14:paraId="682BC445" w14:textId="77777777" w:rsidR="003C0B74" w:rsidRPr="003C0B74" w:rsidRDefault="003C0B74" w:rsidP="003C0B74">
            <w:pPr>
              <w:rPr>
                <w:sz w:val="24"/>
                <w:szCs w:val="24"/>
              </w:rPr>
            </w:pPr>
            <w:r w:rsidRPr="003C0B74">
              <w:rPr>
                <w:sz w:val="24"/>
                <w:szCs w:val="24"/>
              </w:rPr>
              <w:t xml:space="preserve">Due to 2’s previous mental health issues, she is subject to Section 117 Aftercare, provided for under the Mental Health Act 1983. This particular section is activated at the point at which an individual is detained under Section 3 of the Act and remains in place “as long as the individual has a need for care and treatment in relation to their mental health”. The “need” which the act relates to can be complex in nature or could be quite simplistic, for example, an ongoing prescription for medication relating to the mental health need. There is a duty under the Mental Health (Wales) Measure 2010 that individuals who are subject to S117 Aftercare receive, as a minimum, an annual review which, it is advised, should be undertaken as a joint responsibility between the local health board and local authority. The reasoning for this is that a care and treatment plan can be developed which ensures individuals’ needs are being met, recovery is promoted and need for increased health treatment (via hospital or other) is reduced. Whilst it could be argued that Section 117 Aftercare offers a safeguarding measure in terms of promotion of individuals’ mental health and wellbeing, the process requires the engagement of the individual and professionals and this often causes difficulties – particularly as there is no formal, legal obligation to engage with the review process from the citizen’s perspective. 2 came into this category, as she had </w:t>
            </w:r>
            <w:r w:rsidRPr="003C0B74">
              <w:rPr>
                <w:sz w:val="24"/>
                <w:szCs w:val="24"/>
              </w:rPr>
              <w:lastRenderedPageBreak/>
              <w:t>historically declined to engage with reviews. Had she chosen to engage previously, potential safeguarding risks might have been identified at an earlier stage and measures possibly could have been taken to reduce and constrain further jeopardies? That said,  it is an individual’s right to choose whether to engage, or not, with the S117 review and the persistence in endeavouring to engage someone in the process could be viewed as  contradictory to a person centred approach, whereby the needs of the services involved is placed above the wishes of the individual. From my perspective, this dilemma illustrates thoroughly the necessity of taking a flexible approach in meeting the needs of individuals and, whilst being mindful of frameworks such as Mental Health (Wales) Measures, continuing to adhere to organisational and national legislation – specifically the Working together to Safeguard people codes of safeguarding practice (SSWA 2014) and, most essentially, the Codes of Professional practice (CoPP) (Social Care Wales 2017).</w:t>
            </w:r>
          </w:p>
          <w:p w14:paraId="72158174" w14:textId="77777777" w:rsidR="003C0B74" w:rsidRPr="003C0B74" w:rsidRDefault="003C0B74" w:rsidP="003C0B74">
            <w:pPr>
              <w:rPr>
                <w:sz w:val="24"/>
                <w:szCs w:val="24"/>
              </w:rPr>
            </w:pPr>
            <w:r w:rsidRPr="003C0B74">
              <w:rPr>
                <w:sz w:val="24"/>
                <w:szCs w:val="24"/>
              </w:rPr>
              <w:t>In response to the referral, and in line with Wales Safeguarding procedures (Welsh Government 2022), I contacted my local authority’s lead safeguarding co-ordinator to pass on the information received from 2’s support manager. I had requested that the support manager also submitted a formal safeguarding referral and provided details of where to send this to. An initial strategy meeting was then held to formulate the direction of the enquiries required. The lead Safeguarding co-ordinator’s role is to review the referral and to co-ordinate the enquiry into whether or not the adult is at risk. The initial safeguarding process is covered by Section 126 (SSWA 2014) which clearly sets out the various stages of safeguarding enquiry. These stages include the “reporting stage” – the acceptance of the initial referral, confirmation of receipt of the report within 24 hours and assessment (under Part 3 of SSWA 2014) – and the “enquiry stage” which includes screening of the report, initial evaluation and determination (Local Authority Safeguarding policy 2017). From initial referral to determination, legislation states that this should be undertaken within 7 days and determination should identify whether the individual requires “immediate protection”, or is “not at risk but may need a care and support plan” or is “an adult at risk and action to protect is needed”. Furthermore, regional safeguarding boards were created as a statutory measure, via section 134,SSWA 2014, to protect individuals within the geographical area, who have care and support needs and are experiencing, or at risk of, abuse and neglect as well as looking at preventative measures to reduce risk of abuse and neglect to individuals.</w:t>
            </w:r>
          </w:p>
          <w:p w14:paraId="3E142FAF" w14:textId="77777777" w:rsidR="003C0B74" w:rsidRPr="003C0B74" w:rsidRDefault="003C0B74" w:rsidP="003C0B74">
            <w:pPr>
              <w:rPr>
                <w:sz w:val="24"/>
                <w:szCs w:val="24"/>
              </w:rPr>
            </w:pPr>
            <w:r w:rsidRPr="003C0B74">
              <w:rPr>
                <w:sz w:val="24"/>
                <w:szCs w:val="24"/>
              </w:rPr>
              <w:t>In 2’s case, and in regard to the above safeguarding process, I was requested to visit 2 in order to gather her thoughts, feelings and wishes about the referral as well as record how she would like the matter to proceed. Crucially I was also asked to confirm 2’s capacity, specifically in relation to her financial management and her understanding and reasoning of the safeguarding concerns raised.</w:t>
            </w:r>
          </w:p>
          <w:p w14:paraId="27761FD2" w14:textId="77777777" w:rsidR="003C0B74" w:rsidRPr="003C0B74" w:rsidRDefault="003C0B74" w:rsidP="003C0B74">
            <w:pPr>
              <w:rPr>
                <w:sz w:val="24"/>
                <w:szCs w:val="24"/>
              </w:rPr>
            </w:pPr>
            <w:r w:rsidRPr="003C0B74">
              <w:rPr>
                <w:sz w:val="24"/>
                <w:szCs w:val="24"/>
              </w:rPr>
              <w:t xml:space="preserve">Over the course of several days, I visited 2 on three separate occasions. I felt this the best approach in adopting a sensitive methodology, to support in developing a collaborative and co-productive relationship and build trust between us (CoPP 2017). Any shorter period of time might have been construed by 2 as a pressurising approach. I met with 2, with no-one else present, as I felt that this would allow for freedom of expression and a less-pressured environment in, what was, an emotive situation for 2. It was clear that 2 and her wider family had a great affection for each other and a shared positive regard and so there was a greater requirement for me to approach the subject sensitively to avoid any instantaneous barriers being created between us. I am aware that the aspect of “voice and control” (CoPP 2017)  is central to the safeguarding process – to promote the autonomy of the individual, to support </w:t>
            </w:r>
            <w:r w:rsidRPr="003C0B74">
              <w:rPr>
                <w:sz w:val="24"/>
                <w:szCs w:val="24"/>
              </w:rPr>
              <w:lastRenderedPageBreak/>
              <w:t xml:space="preserve">the individual to  maintain control and direction of how the situation proceeds and, above all, to offer support in expressing their thoughts and self-identified decisions. To this end, during my initial conversation with 2, I advised 2 that, under both Mental Capacity Act 2005 (MCA) and SSWA 2014, she was entitled to independent advocacy services to support her in stating her thoughts and feelings. She did, however, decline. </w:t>
            </w:r>
          </w:p>
          <w:p w14:paraId="79AF8D8F" w14:textId="77777777" w:rsidR="003C0B74" w:rsidRPr="003C0B74" w:rsidRDefault="003C0B74" w:rsidP="003C0B74">
            <w:pPr>
              <w:rPr>
                <w:sz w:val="24"/>
                <w:szCs w:val="24"/>
              </w:rPr>
            </w:pPr>
            <w:r w:rsidRPr="003C0B74">
              <w:rPr>
                <w:sz w:val="24"/>
                <w:szCs w:val="24"/>
              </w:rPr>
              <w:t xml:space="preserve">Prior to my visits with 2, I had undertaken searches on my Local Authority’s computer system to gather historical information relevant to the case. I identified that this was not the first instance of potential financial abuse perpetrated by 3. I also discovered that 3 was allocated to a social worker within another team. I spoke with 3’s social worker in order to gain the most up to date information and to disclose the current situation with regard to the safeguarding investigation underway. This discussion demonstrates the need for collaboration amongst professionals it promotes a seamless and holistic approach for service users (Working together to safeguard people Vol 6). Furthermore, the Adult Practice Review (APR) process (Working Together to safeguard people Vol 3) lays out guidance on the arrangement of APRs via the multi-disciplinary arena for significant cases where adult abuse is known or suspected. APRs make provision for a positive culture of review and learning (SSWA 2014). Throughout my enquiries, I adhered to various legislation, including General Data Protection Regulation 2018 (GDPR), Human Rights Act 1998 and the European Convention on Human Rights, specifically Article 8 (right to respect of private and family life (ECHR 1950). These legislations provide for the sharing of information in regard to safeguarding as “common law duty of confidentiality” – detailing that, when considering safeguarding measures, “the sharing of information is justifiable and proportionate” (Social Care Institute for Excellence 2018).   </w:t>
            </w:r>
          </w:p>
          <w:p w14:paraId="5ED691B8" w14:textId="77777777" w:rsidR="003C0B74" w:rsidRPr="003C0B74" w:rsidRDefault="003C0B74" w:rsidP="003C0B74">
            <w:pPr>
              <w:rPr>
                <w:sz w:val="24"/>
                <w:szCs w:val="24"/>
              </w:rPr>
            </w:pPr>
            <w:r w:rsidRPr="003C0B74">
              <w:rPr>
                <w:sz w:val="24"/>
                <w:szCs w:val="24"/>
              </w:rPr>
              <w:t>During my visits, 2 had made clear that she readily handed her bank card to 3, as 3 undertook various tasks on her Mother’s behalf – shopping, payment of bills etc. Whilst 2 admitted that she understood that, on occasion, 3 withdrew more cash than was required, she suggested that she was consenting to this as she disclosed that her daughter was “struggling” financially. 2 indicated that she wished for the current situation to continue, despite seemingly understanding that she might be placing herself in financial detriment. This presented a potential dilemma – the local authority’s duty of care to 2 in both managing, and preventing, risk versus 2’s statement of intent with regard to continuing to permit 3 to access her personal finances. With regard to safeguarding procedures, it is imperative that responses and outcomes are proportionate to the level of risk posed. Central to this is the consideration of capacity.</w:t>
            </w:r>
          </w:p>
          <w:p w14:paraId="68A139E6" w14:textId="77777777" w:rsidR="003C0B74" w:rsidRPr="003C0B74" w:rsidRDefault="003C0B74" w:rsidP="003C0B74">
            <w:pPr>
              <w:rPr>
                <w:sz w:val="24"/>
                <w:szCs w:val="24"/>
              </w:rPr>
            </w:pPr>
            <w:r w:rsidRPr="003C0B74">
              <w:rPr>
                <w:sz w:val="24"/>
                <w:szCs w:val="24"/>
              </w:rPr>
              <w:t xml:space="preserve">A cornerstone of the Safeguarding process is that of capacity, and in working with individuals to make their own decisions, thus promoting autonomy. This is legislated for under Mental Capacity Act 2005 (MCA). The act provides the legal framework for measures and processes which must be taken when someone is deemed to lack capacity to make decisions for themselves and is fundamental when working with adults with mental health issues. Measures include the provision of advocacy services in order to promote “voice and control” of the individual and the process which must be undertaken when considering Best Interests  decisions for those who lack capacity. The MCA’s primary statement is that “A person must be assumed to have capacity unless it is established that he/she lacks capacity”. It also states that, when considering an individual’s mental capacity, assessment must be decision specific – and, with regard to that specific decision, the individual can </w:t>
            </w:r>
            <w:r w:rsidRPr="003C0B74">
              <w:rPr>
                <w:sz w:val="24"/>
                <w:szCs w:val="24"/>
              </w:rPr>
              <w:lastRenderedPageBreak/>
              <w:t xml:space="preserve">demonstrate that they are able to “retain the information”, “use or weigh up that information as part of the decision making process” and “communicate the decision”. </w:t>
            </w:r>
          </w:p>
          <w:p w14:paraId="0C3728A4" w14:textId="77777777" w:rsidR="003C0B74" w:rsidRPr="003C0B74" w:rsidRDefault="003C0B74" w:rsidP="003C0B74">
            <w:pPr>
              <w:rPr>
                <w:sz w:val="24"/>
                <w:szCs w:val="24"/>
              </w:rPr>
            </w:pPr>
            <w:r w:rsidRPr="003C0B74">
              <w:rPr>
                <w:sz w:val="24"/>
                <w:szCs w:val="24"/>
              </w:rPr>
              <w:t>As part of my initial enquiries with 2, I concluded that she was capacious as she ably demonstrated her understanding of the situation with regard to retaining and weighing up of information presented as well as providing rationale for her decision making. I reached this conclusion by using my assessment skills including active listening - asking open ended questions that required more than a yes/no answer and offering time for 2 to fully consider both the question asked and her response etc. whilst remaining focussed on the issue at hand and fully making use of my professional curiosity in delving a little more into detail when I felt necessary. In being empathetic whilst assessing 2’s situation, I was able to weigh up the potential risks posed to her whilst fully recognising 2’s personal perspective and associated, self-determined outcomes. That said, as 2’s capacity had previously been queried by others involved, it was directed by the safeguarding lead co-ordinator that an independent capacity assessment would be undertaken by a Section 12 doctor – one who has “special experience in the diagnosis or treatment of a mental disorder” (Mental Health Act 1983) – and concordant with the MCA’s reference to “he/she is unable to make a decision for him/herself …because of an impairment of, or a disturbance in, the functioning of the mind or brain”. This caused some inner conflict for myself as, having considered the assumption of capacity, including principle 3 of the MCA, which states that an individual cannot be deemed to lack capacity because they make decisions that are deemed unwise by others, along with information gathered, my professional judgement directed me to my conclusion of confirming capacity.  It caused me to reflect on mental health diagnoses, and the stigma that is often all too common whereby a consensus is held that individuals with serious and enduring mental health diagnoses make reckless and potentially harmful decisions (MIND 2019). The deferral to an independent capacity assessment also caused me to consider my professional judgement and the processes therein.  I discussed my thoughts during supervision with my line manager – I find it contradictory in nature when, on one hand, promoting individuals and their associated rights to, for example, privacy and family life, and then being asked to enquire about very personal matters – the challenge is to know how far to go when asking exploratory questions. We discussed the use of my local authority’s capacity recording form as an informal template, even when capacity was not doubted, as the questions posed on the pro-forma can act as a prompts for me to ask relevant questions.</w:t>
            </w:r>
          </w:p>
          <w:p w14:paraId="3B1EC743" w14:textId="77777777" w:rsidR="003C0B74" w:rsidRPr="003C0B74" w:rsidRDefault="003C0B74" w:rsidP="003C0B74">
            <w:pPr>
              <w:rPr>
                <w:sz w:val="24"/>
                <w:szCs w:val="24"/>
              </w:rPr>
            </w:pPr>
            <w:r w:rsidRPr="003C0B74">
              <w:rPr>
                <w:sz w:val="24"/>
                <w:szCs w:val="24"/>
              </w:rPr>
              <w:t xml:space="preserve">Following my enquiries, and the arrangement of the independent capacity assessment, I reported back to the safeguarding lead and, shortly after, a further strategy meeting was held as per Safeguarding legislation (SSWA 2014). This multi-disciplinary (MDT) approach is key to ensuring best practice in both reviewing information presented and collaboration in forward planning in order to support the individual in the most appropriate way. The Health Foundation (2023) stated that “the strength of multi-agency activity lies specifically in the diversity of opinions and ideas represented within the partnership”. As a relatively newly qualified social worker, I was slightly nervous in presenting my enquiry findings, however, in adopting a person-centred approach, I was able to focus on 2 and her competently expressed thoughts and wishes. I was able to demonstrate my professional judgement in providing specific examples of my questioning techniques with 2 and my rationale for the determinations I subsequently made in direct correlation to 2’s responses. MDTs, I feel, can present challenges as, often, there are power dynamics at play – in personal research I </w:t>
            </w:r>
            <w:r w:rsidRPr="003C0B74">
              <w:rPr>
                <w:sz w:val="24"/>
                <w:szCs w:val="24"/>
              </w:rPr>
              <w:lastRenderedPageBreak/>
              <w:t>explored critical reflective practice (Fook, 2007) which supports in appraising skills which are most useful in approaching any given task. I also considered the concept of personal efficacy (Bandura 1977) – the confidence we hold as individuals to exercise agency and influence, and the capabilities in which to do so.</w:t>
            </w:r>
          </w:p>
          <w:p w14:paraId="26CF2B36" w14:textId="77777777" w:rsidR="003C0B74" w:rsidRPr="003C0B74" w:rsidRDefault="003C0B74" w:rsidP="003C0B74">
            <w:pPr>
              <w:rPr>
                <w:sz w:val="24"/>
                <w:szCs w:val="24"/>
              </w:rPr>
            </w:pPr>
            <w:r w:rsidRPr="003C0B74">
              <w:rPr>
                <w:sz w:val="24"/>
                <w:szCs w:val="24"/>
              </w:rPr>
              <w:t xml:space="preserve">The independent capacity assessor’s report confirmed 2’s capacity to make her own decisions with regard to financial management. SSWA 2014 states that “if an adult has capacity to make decisions in their life and declines assistance, this limits the intervention that organisations make. The focus should therefore be on harm reduction”. This, in turn, uplifted my confidence as a practitioner, in relation to my assessment skills and resulting informed professional judgement, as the Independent assessor had reached the same opinion as myself – that 2 was fully capacious. If 2 had been assessed as lacking capacity, the MCA decrees that a Best Interest meeting would need to be held in order to strategize an approach – this would include the appointment of an Independent Mental Capacity Advocate (IMCA), and ultimately, direction on how best to protect and support 2 from any further financial exploitation – measures such as application to Court of Protection for Financial Deputy appointee-ship would be considered. </w:t>
            </w:r>
          </w:p>
          <w:p w14:paraId="74B9703C" w14:textId="77777777" w:rsidR="003C0B74" w:rsidRPr="003C0B74" w:rsidRDefault="003C0B74" w:rsidP="003C0B74">
            <w:pPr>
              <w:rPr>
                <w:sz w:val="24"/>
                <w:szCs w:val="24"/>
              </w:rPr>
            </w:pPr>
            <w:r w:rsidRPr="003C0B74">
              <w:rPr>
                <w:sz w:val="24"/>
                <w:szCs w:val="24"/>
              </w:rPr>
              <w:t>However, as this was not the case for 2, the planning process focussed mainly on how to engage and work with 2 in supporting her to reduce potential risk with regard to her financial situation. I was therefore directed to continue my engagement with 2 in the longer term, and in line with CoPP requirements, to continue to build a positive and trusting professional relationship and, whilst remaining person-focussed on 2’s expressed thoughts, feelings and wishes, continuing to engage in co-production in attempt to limit any further risk.</w:t>
            </w:r>
          </w:p>
          <w:p w14:paraId="0913A1CA" w14:textId="77777777" w:rsidR="003C0B74" w:rsidRPr="003C0B74" w:rsidRDefault="003C0B74" w:rsidP="003C0B74">
            <w:pPr>
              <w:rPr>
                <w:sz w:val="24"/>
                <w:szCs w:val="24"/>
              </w:rPr>
            </w:pPr>
            <w:r w:rsidRPr="003C0B74">
              <w:rPr>
                <w:sz w:val="24"/>
                <w:szCs w:val="24"/>
              </w:rPr>
              <w:t>As a starting point in my professional relationship with 2, I began to develop an integrated assessment of her needs (SSWA 2014). This was done via further conversations with 2 about what was important to her and what, if any, outcomes she could identify in order to promote her health and wellbeing. More specifically, the assessment also included a care and support protection plan which encompassed her current financial management arrangements, and via discussion and mutual agreement, any measures that could potentially be utilised to minimise any risk to 2. This included promoting 2 in her level of financial independence, lessening her dependence upon her daughter and, as a consequence, reducing her sense of social isolation.</w:t>
            </w:r>
          </w:p>
          <w:p w14:paraId="51327CC0" w14:textId="77777777" w:rsidR="003C0B74" w:rsidRPr="003C0B74" w:rsidRDefault="003C0B74" w:rsidP="003C0B74">
            <w:pPr>
              <w:rPr>
                <w:sz w:val="24"/>
                <w:szCs w:val="24"/>
              </w:rPr>
            </w:pPr>
            <w:r w:rsidRPr="003C0B74">
              <w:rPr>
                <w:sz w:val="24"/>
                <w:szCs w:val="24"/>
              </w:rPr>
              <w:t>In support of my involvement, and subsequent actions, in this case, I have undertaken several relevant training course which have greatly assisted in my continual professional development. I have, as is mandatory for newly qualified social workers within my organisation’s policies and procedures, attended Safeguarding training, which provided a general overview of legislation and associated procedures as well as offering a chance to consider case examples and explore good practice within my chosen field. In conjunction, I regularly access the Wales Safeguarding app (Welsh Government 2016) which provides essential information and guidance on both Adult and Child protection pathways, and the underpinning legislation. I have also undertaken training in carrying out social work assessments which has supported in building my confidence when commencing the assessment process, specifically in complex situations. The model of ongoing personal development is encompassed in CoPP and a mandatory requirement for my role.</w:t>
            </w:r>
          </w:p>
          <w:p w14:paraId="18E8BEB3" w14:textId="77777777" w:rsidR="003C0B74" w:rsidRPr="003C0B74" w:rsidRDefault="003C0B74" w:rsidP="003C0B74">
            <w:pPr>
              <w:rPr>
                <w:sz w:val="24"/>
                <w:szCs w:val="24"/>
              </w:rPr>
            </w:pPr>
            <w:r w:rsidRPr="003C0B74">
              <w:rPr>
                <w:sz w:val="24"/>
                <w:szCs w:val="24"/>
              </w:rPr>
              <w:t xml:space="preserve">It is a crucial element within my role to refer to relevant theories in regard to individuals as this can support my understanding of situations and behaviours therein. In 2’s case, and in correlation with the safeguarding referral, I have referenced various theories. One which I </w:t>
            </w:r>
            <w:r w:rsidRPr="003C0B74">
              <w:rPr>
                <w:sz w:val="24"/>
                <w:szCs w:val="24"/>
              </w:rPr>
              <w:lastRenderedPageBreak/>
              <w:t xml:space="preserve">feel most relevant is that of Ecological Systems theory (1974), developed by Urie Bronfenbrenner. The theory focuses on interactions between individuals and their environment – most apparent in 2’s situation. Within his theory, Bronfenbrenner identifies system “levels”. These system “levels are: the “microsystem” – the immediate location of the individual, the “mesosystem” – relationship networks operating between microsystems, in this case the interactions between 2 and 3, the “exosystem” – the environmental structure that 2 lives in and effects therein, for example, previous alcohol dependency, experience of poor mental health including enforced hospital admission, and the “macrosystem” which incorporates wider cultural factors and their impact on other system pathways – for 2, these could relate to a sense of social isolation, age etc. Bronfenbrenner describes the theory as “a set of nested structures, each inside the other, like a set of Russian dolls” and this suggests that each structure level cannot be considered independently of the others. I feel that this provides a valuable summation of how complex situations can become. </w:t>
            </w:r>
          </w:p>
          <w:p w14:paraId="33E8908D" w14:textId="77777777" w:rsidR="003C0B74" w:rsidRPr="003C0B74" w:rsidRDefault="003C0B74" w:rsidP="003C0B74">
            <w:pPr>
              <w:rPr>
                <w:sz w:val="24"/>
                <w:szCs w:val="24"/>
              </w:rPr>
            </w:pPr>
            <w:r w:rsidRPr="003C0B74">
              <w:rPr>
                <w:sz w:val="24"/>
                <w:szCs w:val="24"/>
              </w:rPr>
              <w:t>Furthermore, Systems theory suggests that the behaviour of individuals is, to a greater extent, a result of their membership of systems, rather than a result of biology or psychology (Smeeton 2013). In applying this theory to 2’s case, and through my discussions with her, it is clear that previous lifestyle choices, as well as considerable mental health issues, impacted on her abilities to fully engage in education, parenting and general social development and the fallout from this has led to a multitude of emotions from all system members. 2 has described historic feelings of guilt, weakness and ineptitude which massively contribute to the way in which she interacts with family members presently.</w:t>
            </w:r>
          </w:p>
          <w:p w14:paraId="7BFE3B8C" w14:textId="77777777" w:rsidR="003C0B74" w:rsidRPr="003C0B74" w:rsidRDefault="003C0B74" w:rsidP="003C0B74">
            <w:pPr>
              <w:rPr>
                <w:sz w:val="24"/>
                <w:szCs w:val="24"/>
              </w:rPr>
            </w:pPr>
            <w:r w:rsidRPr="003C0B74">
              <w:rPr>
                <w:sz w:val="24"/>
                <w:szCs w:val="24"/>
              </w:rPr>
              <w:t xml:space="preserve">From the initial safeguarding referral to present day, I have continued to work with 2 in promoting her autonomy and increasing her financial independence. In utilising a Strengths-based approach, I have been able to recognise 2’s ability to adapt her thought processes and related actions in order to reduce risk and vulnerability (Norman 2000). For example, 2 has accepted extra support calls which enable her to access her local community services on a regular basis thus promoting her independence and wellbeing, as well as reducing her dependence on 3. A major part of this positive shift forward has been that of ongoing collaboration with 2 and a recognition of the resources that are available to 2 in her immediate environment (Saleeby 2006). I feel that being able to focus on solution-oriented discussion rather than continually referring to the “problems” has had a huge impact on the way in which 2 now views herself as well as her propensity to recognise the personal  jeopardy in which she was previously placing herself in with regard to her financial instability and potential consequences. </w:t>
            </w:r>
          </w:p>
          <w:p w14:paraId="633F7141" w14:textId="77777777" w:rsidR="003C0B74" w:rsidRPr="003C0B74" w:rsidRDefault="003C0B74" w:rsidP="003C0B74">
            <w:pPr>
              <w:rPr>
                <w:sz w:val="24"/>
                <w:szCs w:val="24"/>
              </w:rPr>
            </w:pPr>
            <w:r w:rsidRPr="003C0B74">
              <w:rPr>
                <w:sz w:val="24"/>
                <w:szCs w:val="24"/>
              </w:rPr>
              <w:t xml:space="preserve">In relation to the Safeguarding pathway (SSWA 2014), and from the point of initial referral, several reviews were held to allow for co-production between professionals involved and to ensure, as practicably as possible, that 2 was receiving the appropriate support in order to minimise any personal risk to herself. As a consequence of progress made by 2 in both recognising potential vulnerabilities and identifying less precarious options in dealing with her financial, and associated, needs, the safeguarding lead co-ordinator deemed that 2’s case no longer needed to remain within the safeguarding arena as risk of financial exploitation had been, as far as possible, reduced. That said, I will continue to work alongside 2 in an holistic way in order to promote her independence and to ensure review her case in a timely and appropriate manner. </w:t>
            </w:r>
          </w:p>
          <w:p w14:paraId="13E8AD26" w14:textId="77777777" w:rsidR="003C0B74" w:rsidRPr="003C0B74" w:rsidRDefault="003C0B74" w:rsidP="003C0B74">
            <w:pPr>
              <w:rPr>
                <w:sz w:val="24"/>
                <w:szCs w:val="24"/>
              </w:rPr>
            </w:pPr>
            <w:r w:rsidRPr="003C0B74">
              <w:rPr>
                <w:sz w:val="24"/>
                <w:szCs w:val="24"/>
              </w:rPr>
              <w:t xml:space="preserve">The obligation to offer preventative and early intervention measures is one of the cornerstone principles of the Social Services and Wellbeing (Wales) Act 2014. In the course </w:t>
            </w:r>
            <w:r w:rsidRPr="003C0B74">
              <w:rPr>
                <w:sz w:val="24"/>
                <w:szCs w:val="24"/>
              </w:rPr>
              <w:lastRenderedPageBreak/>
              <w:t xml:space="preserve">of my ongoing work with 2, this will be a primary focus for our reviews as, if presenting issues can be dealt with in a swift and appropriate manner, this might well avoid the potential of 2 becoming subject to a further safeguarding enquiry. </w:t>
            </w:r>
          </w:p>
          <w:p w14:paraId="604738CF" w14:textId="77777777" w:rsidR="003C0B74" w:rsidRPr="003C0B74" w:rsidRDefault="003C0B74" w:rsidP="003C0B74">
            <w:pPr>
              <w:rPr>
                <w:sz w:val="24"/>
                <w:szCs w:val="24"/>
              </w:rPr>
            </w:pPr>
            <w:r w:rsidRPr="003C0B74">
              <w:rPr>
                <w:sz w:val="24"/>
                <w:szCs w:val="24"/>
              </w:rPr>
              <w:t xml:space="preserve">From a personal perspective, having supported 2 through the safeguarding process, and whilst I accept that each individual case will present completely different circumstances, my reflections are that there is a potential for authority to take precedence over individual need and expression. This dilemma calls for skilful management – on one hand managing the presenting risks whilst, on the other, being accepting of the individual’s perspective. Whilst legislation such as SSWA 2014 and Criminal Law Act 1967 provide the legal frameworks within which we all have to work, individuals’ value bases and priorities must be appropriately considered – in 2’s case, her wish to maintain positive relationships with her family, including 3, appeared far more important to her than the raising of concern around financial impropriety. My conclusion is that, in order to be able to maintain an equilibrium, and avoid misuse of power and authority, the fundamental concepts of respect and integrity, as laid out in CoPP (Social Care Wales 2017) must remain central to any safeguarding enquiry. </w:t>
            </w:r>
          </w:p>
          <w:p w14:paraId="275B4B45" w14:textId="77777777" w:rsidR="003C0B74" w:rsidRPr="003C0B74" w:rsidRDefault="003C0B74" w:rsidP="003C0B74">
            <w:pPr>
              <w:rPr>
                <w:sz w:val="24"/>
                <w:szCs w:val="24"/>
              </w:rPr>
            </w:pPr>
          </w:p>
          <w:p w14:paraId="74636962" w14:textId="77777777" w:rsidR="003C0B74" w:rsidRPr="003C0B74" w:rsidRDefault="003C0B74" w:rsidP="003C0B74">
            <w:pPr>
              <w:rPr>
                <w:sz w:val="24"/>
                <w:szCs w:val="24"/>
              </w:rPr>
            </w:pPr>
            <w:r w:rsidRPr="003C0B74">
              <w:rPr>
                <w:sz w:val="24"/>
                <w:szCs w:val="24"/>
              </w:rPr>
              <w:t>Word count: 4267</w:t>
            </w:r>
          </w:p>
          <w:p w14:paraId="24CED435" w14:textId="77777777" w:rsidR="003C0B74" w:rsidRPr="003C0B74" w:rsidRDefault="003C0B74" w:rsidP="003C0B74">
            <w:pPr>
              <w:rPr>
                <w:sz w:val="24"/>
                <w:szCs w:val="24"/>
              </w:rPr>
            </w:pPr>
          </w:p>
          <w:p w14:paraId="51AF4546" w14:textId="10553A03" w:rsidR="00D3203C" w:rsidRPr="003C0B74" w:rsidRDefault="00D3203C" w:rsidP="00FF7EBB">
            <w:pPr>
              <w:jc w:val="both"/>
              <w:rPr>
                <w:i/>
                <w:sz w:val="24"/>
                <w:szCs w:val="24"/>
              </w:rPr>
            </w:pPr>
          </w:p>
          <w:p w14:paraId="309F3199" w14:textId="1FB185B7" w:rsidR="003C0B74" w:rsidRPr="003C0B74" w:rsidRDefault="003C0B74" w:rsidP="00FF7EBB">
            <w:pPr>
              <w:jc w:val="both"/>
              <w:rPr>
                <w:i/>
                <w:sz w:val="24"/>
                <w:szCs w:val="24"/>
              </w:rPr>
            </w:pPr>
          </w:p>
          <w:p w14:paraId="78637320" w14:textId="77777777" w:rsidR="003C0B74" w:rsidRPr="003C0B74" w:rsidRDefault="003C0B74" w:rsidP="00FF7EBB">
            <w:pPr>
              <w:jc w:val="both"/>
              <w:rPr>
                <w:i/>
                <w:sz w:val="24"/>
                <w:szCs w:val="24"/>
              </w:rPr>
            </w:pPr>
          </w:p>
          <w:p w14:paraId="701D8D4D" w14:textId="38C2B218" w:rsidR="00D3203C" w:rsidRPr="003C0B74" w:rsidRDefault="00D3203C" w:rsidP="00FF7EBB">
            <w:pPr>
              <w:jc w:val="both"/>
              <w:rPr>
                <w:i/>
                <w:sz w:val="24"/>
                <w:szCs w:val="24"/>
              </w:rPr>
            </w:pP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098F99EA" w:rsidR="00A5656A" w:rsidRDefault="00A5656A">
    <w:pPr>
      <w:pStyle w:val="Footer"/>
      <w:jc w:val="right"/>
    </w:pPr>
    <w:r>
      <w:fldChar w:fldCharType="begin"/>
    </w:r>
    <w:r>
      <w:instrText xml:space="preserve"> PAGE   \* MERGEFORMAT </w:instrText>
    </w:r>
    <w:r>
      <w:fldChar w:fldCharType="separate"/>
    </w:r>
    <w:r w:rsidR="006C4CA0">
      <w:rPr>
        <w:noProof/>
      </w:rPr>
      <w:t>8</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2A7F"/>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0B74"/>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460E"/>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C4CA0"/>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9D1314F0C59544D8B71491B15C52B69" ma:contentTypeVersion="5" ma:contentTypeDescription="Create a new document." ma:contentTypeScope="" ma:versionID="6c434ddb3bcc97647599350bdb5aa1bf">
  <xsd:schema xmlns:xsd="http://www.w3.org/2001/XMLSchema" xmlns:xs="http://www.w3.org/2001/XMLSchema" xmlns:p="http://schemas.microsoft.com/office/2006/metadata/properties" xmlns:ns3="222d52ad-bc58-4f6c-9e60-42f7157dc780" targetNamespace="http://schemas.microsoft.com/office/2006/metadata/properties" ma:root="true" ma:fieldsID="9e00409dddc6721f3fc63a5bc5bc140c" ns3:_="">
    <xsd:import namespace="222d52ad-bc58-4f6c-9e60-42f7157dc78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2d52ad-bc58-4f6c-9e60-42f7157dc7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7A77CE6B-91FA-4350-B404-77EBDBFC71D5}">
  <ds:schemaRefs>
    <ds:schemaRef ds:uri="222d52ad-bc58-4f6c-9e60-42f7157dc780"/>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AACA6DA1-AA94-4C27-A15C-114B5FB7F9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2d52ad-bc58-4f6c-9e60-42f7157dc7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91F2B3-C95E-465E-AE75-B92B76BE9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4264</Words>
  <Characters>24306</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Lisa Trethouen-Haycox</cp:lastModifiedBy>
  <cp:revision>5</cp:revision>
  <cp:lastPrinted>2020-02-11T19:20:00Z</cp:lastPrinted>
  <dcterms:created xsi:type="dcterms:W3CDTF">2023-01-05T16:17:00Z</dcterms:created>
  <dcterms:modified xsi:type="dcterms:W3CDTF">2023-09-25T11:23:00Z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0x01010019D1314F0C59544D8B71491B15C52B69</vt:lpwstr>
  </property>
</Properties>
</file>