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9B66C" w14:textId="4B8A949A" w:rsidR="00B47F8A" w:rsidRPr="0034290B" w:rsidRDefault="00381858" w:rsidP="0034290B">
      <w:pPr>
        <w:spacing w:line="360" w:lineRule="auto"/>
        <w:rPr>
          <w:rFonts w:ascii="Calibri" w:hAnsi="Calibri" w:cs="Calibri"/>
          <w:b/>
          <w:bCs/>
          <w:u w:val="single"/>
        </w:rPr>
      </w:pPr>
      <w:r w:rsidRPr="0034290B">
        <w:rPr>
          <w:rFonts w:ascii="Calibri" w:hAnsi="Calibri" w:cs="Calibri"/>
          <w:b/>
          <w:bCs/>
          <w:u w:val="single"/>
        </w:rPr>
        <w:t xml:space="preserve">Inclusive Leadership </w:t>
      </w:r>
    </w:p>
    <w:p w14:paraId="526C4BA4" w14:textId="77777777" w:rsidR="00381858" w:rsidRPr="0034290B" w:rsidRDefault="00381858" w:rsidP="0034290B">
      <w:pPr>
        <w:spacing w:line="360" w:lineRule="auto"/>
        <w:rPr>
          <w:rFonts w:ascii="Calibri" w:hAnsi="Calibri" w:cs="Calibri"/>
        </w:rPr>
      </w:pPr>
    </w:p>
    <w:p w14:paraId="41387EF5" w14:textId="2D7C5329" w:rsidR="000D6D32"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Inclusive leadership is a leadership style that prioritises the active involvement and valuing of all team members, regardless of their diverse backgrounds and perspectives. (Ferdman et al., 2021). It focuses on </w:t>
      </w:r>
      <w:r w:rsidR="0050473C" w:rsidRPr="0034290B">
        <w:rPr>
          <w:rFonts w:ascii="Calibri" w:hAnsi="Calibri" w:cs="Calibri"/>
          <w:color w:val="000000"/>
        </w:rPr>
        <w:t>building</w:t>
      </w:r>
      <w:r w:rsidRPr="0034290B">
        <w:rPr>
          <w:rFonts w:ascii="Calibri" w:hAnsi="Calibri" w:cs="Calibri"/>
          <w:color w:val="000000"/>
        </w:rPr>
        <w:t xml:space="preserve"> a</w:t>
      </w:r>
      <w:r w:rsidR="0050473C">
        <w:rPr>
          <w:rFonts w:ascii="Calibri" w:hAnsi="Calibri" w:cs="Calibri"/>
          <w:color w:val="000000"/>
        </w:rPr>
        <w:t xml:space="preserve"> setting </w:t>
      </w:r>
      <w:r w:rsidRPr="0034290B">
        <w:rPr>
          <w:rFonts w:ascii="Calibri" w:hAnsi="Calibri" w:cs="Calibri"/>
          <w:color w:val="000000"/>
        </w:rPr>
        <w:t xml:space="preserve">where everyone feels welcomed, respected, supported, and valued. Inclusive leaders know their biases and work to understand and embrace diversity. They practice empathy, fairness, and equity, ensuring that opportunities and resources are accessible to all. These leaders encourage active participation and innovation by fostering collaboration and empowering their teams (Nembhard and Edmondson (2006). They are adaptable, </w:t>
      </w:r>
      <w:r w:rsidR="0050473C" w:rsidRPr="0034290B">
        <w:rPr>
          <w:rFonts w:ascii="Calibri" w:hAnsi="Calibri" w:cs="Calibri"/>
          <w:color w:val="000000"/>
        </w:rPr>
        <w:t>keen</w:t>
      </w:r>
      <w:r w:rsidRPr="0034290B">
        <w:rPr>
          <w:rFonts w:ascii="Calibri" w:hAnsi="Calibri" w:cs="Calibri"/>
          <w:color w:val="000000"/>
        </w:rPr>
        <w:t xml:space="preserve"> to change their approach to meet diverse needs, and committed to continuous improvement in fostering an inclusive culture. Ultimately, inclusive leadership aims to create a sense of belonging for every individual, allowing them to thrive and contribute fully to the organisation (Bishu and Kennedy, 2020). Besides, looking back at Ferdman’s (2014) understanding of inclusion portrays the term as a multi-layered construct. This aids in understanding how inclusion is assessed and practised at various levels, including the group, individual, organisational, or social level. </w:t>
      </w:r>
    </w:p>
    <w:p w14:paraId="2F6B5E56" w14:textId="77777777" w:rsidR="000D6D32" w:rsidRPr="0034290B" w:rsidRDefault="000D6D32" w:rsidP="0034290B">
      <w:pPr>
        <w:spacing w:line="360" w:lineRule="auto"/>
        <w:rPr>
          <w:rFonts w:ascii="Calibri" w:hAnsi="Calibri" w:cs="Calibri"/>
          <w:color w:val="000000"/>
        </w:rPr>
      </w:pPr>
    </w:p>
    <w:p w14:paraId="450EE135" w14:textId="5AFF74D3" w:rsidR="000D6D32"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Researchers such as </w:t>
      </w:r>
      <w:proofErr w:type="spellStart"/>
      <w:r w:rsidRPr="0034290B">
        <w:rPr>
          <w:rFonts w:ascii="Calibri" w:hAnsi="Calibri" w:cs="Calibri"/>
          <w:color w:val="000000"/>
        </w:rPr>
        <w:t>Heikka</w:t>
      </w:r>
      <w:proofErr w:type="spellEnd"/>
      <w:r w:rsidRPr="0034290B">
        <w:rPr>
          <w:rFonts w:ascii="Calibri" w:hAnsi="Calibri" w:cs="Calibri"/>
          <w:color w:val="000000"/>
        </w:rPr>
        <w:t xml:space="preserve">, </w:t>
      </w:r>
      <w:proofErr w:type="spellStart"/>
      <w:r w:rsidRPr="0034290B">
        <w:rPr>
          <w:rFonts w:ascii="Calibri" w:hAnsi="Calibri" w:cs="Calibri"/>
          <w:color w:val="000000"/>
        </w:rPr>
        <w:t>Waniganayake</w:t>
      </w:r>
      <w:proofErr w:type="spellEnd"/>
      <w:r w:rsidRPr="0034290B">
        <w:rPr>
          <w:rFonts w:ascii="Calibri" w:hAnsi="Calibri" w:cs="Calibri"/>
          <w:color w:val="000000"/>
        </w:rPr>
        <w:t xml:space="preserve">, and </w:t>
      </w:r>
      <w:proofErr w:type="spellStart"/>
      <w:r w:rsidRPr="0034290B">
        <w:rPr>
          <w:rFonts w:ascii="Calibri" w:hAnsi="Calibri" w:cs="Calibri"/>
          <w:color w:val="000000"/>
        </w:rPr>
        <w:t>Hujala</w:t>
      </w:r>
      <w:proofErr w:type="spellEnd"/>
      <w:r w:rsidRPr="0034290B">
        <w:rPr>
          <w:rFonts w:ascii="Calibri" w:hAnsi="Calibri" w:cs="Calibri"/>
          <w:color w:val="000000"/>
        </w:rPr>
        <w:t xml:space="preserve"> (2013) emphasise the paramount significance of inclusive leadership in early childhood environments, stressing its function in cultivating a climate where every child can flourish. Inclusive leadership ensures that early childhood education is equitable and responsive to young learners' diverse needs (</w:t>
      </w:r>
      <w:proofErr w:type="spellStart"/>
      <w:r w:rsidRPr="0034290B">
        <w:rPr>
          <w:rFonts w:ascii="Calibri" w:hAnsi="Calibri" w:cs="Calibri"/>
          <w:color w:val="000000"/>
        </w:rPr>
        <w:t>Ashikali</w:t>
      </w:r>
      <w:proofErr w:type="spellEnd"/>
      <w:r w:rsidRPr="0034290B">
        <w:rPr>
          <w:rFonts w:ascii="Calibri" w:hAnsi="Calibri" w:cs="Calibri"/>
          <w:color w:val="000000"/>
        </w:rPr>
        <w:t xml:space="preserve"> et al. (2021). This approach is essential for </w:t>
      </w:r>
      <w:r w:rsidR="0050473C" w:rsidRPr="0034290B">
        <w:rPr>
          <w:rFonts w:ascii="Calibri" w:hAnsi="Calibri" w:cs="Calibri"/>
          <w:color w:val="000000"/>
        </w:rPr>
        <w:t>encouraging</w:t>
      </w:r>
      <w:r w:rsidRPr="0034290B">
        <w:rPr>
          <w:rFonts w:ascii="Calibri" w:hAnsi="Calibri" w:cs="Calibri"/>
          <w:color w:val="000000"/>
        </w:rPr>
        <w:t xml:space="preserve"> the social, emotional, and cognitive development of children from various backgrounds, including those with different abilities, cultural heritages, and socioeconomic statuses. Inclusive leaders help children feel valued and understood by creating a welcoming and supportive environment, which is fundamental for their early development and long-term educational success alongside new opportunities (Armstrong, 2006; Carter and Abawi, 2008).</w:t>
      </w:r>
    </w:p>
    <w:p w14:paraId="24BB3DF1" w14:textId="77777777" w:rsidR="000D6D32" w:rsidRPr="0034290B" w:rsidRDefault="000D6D32" w:rsidP="0034290B">
      <w:pPr>
        <w:spacing w:line="360" w:lineRule="auto"/>
        <w:rPr>
          <w:rFonts w:ascii="Calibri" w:hAnsi="Calibri" w:cs="Calibri"/>
          <w:color w:val="000000"/>
        </w:rPr>
      </w:pPr>
    </w:p>
    <w:p w14:paraId="71E25E8C" w14:textId="4BFF4EFB" w:rsidR="00D11B5B"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Inclusive leadership also plays a vital role in building strong partnerships with families and the wider community. Sylva., </w:t>
      </w:r>
      <w:proofErr w:type="spellStart"/>
      <w:r w:rsidRPr="0034290B">
        <w:rPr>
          <w:rFonts w:ascii="Calibri" w:hAnsi="Calibri" w:cs="Calibri"/>
          <w:color w:val="000000"/>
        </w:rPr>
        <w:t>Melhuish</w:t>
      </w:r>
      <w:proofErr w:type="spellEnd"/>
      <w:r w:rsidRPr="0034290B">
        <w:rPr>
          <w:rFonts w:ascii="Calibri" w:hAnsi="Calibri" w:cs="Calibri"/>
          <w:color w:val="000000"/>
        </w:rPr>
        <w:t xml:space="preserve">, Sammons, Siraj-Blatchford, &amp; Taggart (2010) emphasise that leaders who actively involve parents and caregivers in the educational process create a more holistic and supportive network for children. This collaboration </w:t>
      </w:r>
      <w:r w:rsidR="0050473C" w:rsidRPr="0034290B">
        <w:rPr>
          <w:rFonts w:ascii="Calibri" w:hAnsi="Calibri" w:cs="Calibri"/>
          <w:color w:val="000000"/>
        </w:rPr>
        <w:t>helps</w:t>
      </w:r>
      <w:r w:rsidRPr="0034290B">
        <w:rPr>
          <w:rFonts w:ascii="Calibri" w:hAnsi="Calibri" w:cs="Calibri"/>
          <w:color w:val="000000"/>
        </w:rPr>
        <w:t xml:space="preserve"> </w:t>
      </w:r>
      <w:r w:rsidRPr="0034290B">
        <w:rPr>
          <w:rFonts w:ascii="Calibri" w:hAnsi="Calibri" w:cs="Calibri"/>
          <w:color w:val="000000"/>
        </w:rPr>
        <w:lastRenderedPageBreak/>
        <w:t xml:space="preserve">to bridge gaps between home and school, </w:t>
      </w:r>
      <w:r w:rsidR="0050473C" w:rsidRPr="0034290B">
        <w:rPr>
          <w:rFonts w:ascii="Calibri" w:hAnsi="Calibri" w:cs="Calibri"/>
          <w:color w:val="000000"/>
        </w:rPr>
        <w:t>certifying</w:t>
      </w:r>
      <w:r w:rsidRPr="0034290B">
        <w:rPr>
          <w:rFonts w:ascii="Calibri" w:hAnsi="Calibri" w:cs="Calibri"/>
          <w:color w:val="000000"/>
        </w:rPr>
        <w:t xml:space="preserve"> that children receive consistent support and encouragement. Additionally, Ryan (2006) argues that inclusive leaders who engage with the community can better access resources and services that enhance the educational experience for all children, particularly those with additional needs. By fostering these connections, inclusive leadership ensures that early </w:t>
      </w:r>
      <w:r w:rsidR="00D10697" w:rsidRPr="0034290B">
        <w:rPr>
          <w:rFonts w:ascii="Calibri" w:hAnsi="Calibri" w:cs="Calibri"/>
          <w:color w:val="000000"/>
        </w:rPr>
        <w:t>year’s</w:t>
      </w:r>
      <w:r w:rsidRPr="0034290B">
        <w:rPr>
          <w:rFonts w:ascii="Calibri" w:hAnsi="Calibri" w:cs="Calibri"/>
          <w:color w:val="000000"/>
        </w:rPr>
        <w:t xml:space="preserve"> settings are not isolated but integrated into a broader, supportive community context (</w:t>
      </w:r>
      <w:proofErr w:type="spellStart"/>
      <w:r w:rsidRPr="0034290B">
        <w:rPr>
          <w:rFonts w:ascii="Calibri" w:hAnsi="Calibri" w:cs="Calibri"/>
          <w:color w:val="000000"/>
        </w:rPr>
        <w:t>Guralnick</w:t>
      </w:r>
      <w:proofErr w:type="spellEnd"/>
      <w:r w:rsidRPr="0034290B">
        <w:rPr>
          <w:rFonts w:ascii="Calibri" w:hAnsi="Calibri" w:cs="Calibri"/>
          <w:color w:val="000000"/>
        </w:rPr>
        <w:t xml:space="preserve"> and </w:t>
      </w:r>
      <w:proofErr w:type="spellStart"/>
      <w:r w:rsidRPr="0034290B">
        <w:rPr>
          <w:rFonts w:ascii="Calibri" w:hAnsi="Calibri" w:cs="Calibri"/>
          <w:color w:val="000000"/>
        </w:rPr>
        <w:t>Bruder</w:t>
      </w:r>
      <w:proofErr w:type="spellEnd"/>
      <w:r w:rsidRPr="0034290B">
        <w:rPr>
          <w:rFonts w:ascii="Calibri" w:hAnsi="Calibri" w:cs="Calibri"/>
          <w:color w:val="000000"/>
        </w:rPr>
        <w:t>, 2016).</w:t>
      </w:r>
    </w:p>
    <w:p w14:paraId="33AA8170" w14:textId="77777777" w:rsidR="000D6D32" w:rsidRPr="0034290B" w:rsidRDefault="000D6D32" w:rsidP="0034290B">
      <w:pPr>
        <w:spacing w:line="360" w:lineRule="auto"/>
        <w:rPr>
          <w:rFonts w:ascii="Calibri" w:hAnsi="Calibri" w:cs="Calibri"/>
          <w:b/>
          <w:bCs/>
          <w:color w:val="000000"/>
          <w:u w:val="single"/>
        </w:rPr>
      </w:pPr>
    </w:p>
    <w:p w14:paraId="2BD4ABFF" w14:textId="341318CC" w:rsidR="00CC04FB" w:rsidRPr="0034290B" w:rsidRDefault="00CC04FB" w:rsidP="0034290B">
      <w:pPr>
        <w:spacing w:line="360" w:lineRule="auto"/>
        <w:rPr>
          <w:rFonts w:ascii="Calibri" w:hAnsi="Calibri" w:cs="Calibri"/>
          <w:b/>
          <w:bCs/>
          <w:color w:val="000000"/>
          <w:u w:val="single"/>
        </w:rPr>
      </w:pPr>
      <w:r w:rsidRPr="0034290B">
        <w:rPr>
          <w:rFonts w:ascii="Calibri" w:hAnsi="Calibri" w:cs="Calibri"/>
          <w:b/>
          <w:bCs/>
          <w:color w:val="000000"/>
          <w:u w:val="single"/>
        </w:rPr>
        <w:t xml:space="preserve">Case study </w:t>
      </w:r>
    </w:p>
    <w:p w14:paraId="6A6298F1"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A  young child in year one has recently started school after being an asylum seeker. She has also never been to school and has very limited English, so she uses gestures to communicate, such as pointing at things. She started two weeks ago, but her class teacher has recently noticed she has started missing days from school; she gets in contact with the parents, and they respond by saying that their daughter hasn't been feeling well, such as she has a tummy ache and feeling sick, the parents say they give her medicine. I am an early-year TA and have observed that she seems to be bullied on the playground while on duty by other children. The class teacher or other staff members have not spotted the connection. </w:t>
      </w:r>
    </w:p>
    <w:p w14:paraId="63924D6F" w14:textId="77777777" w:rsidR="00C77157" w:rsidRPr="0034290B" w:rsidRDefault="00C77157" w:rsidP="0034290B">
      <w:pPr>
        <w:spacing w:line="360" w:lineRule="auto"/>
        <w:rPr>
          <w:rFonts w:ascii="Calibri" w:hAnsi="Calibri" w:cs="Calibri"/>
          <w:color w:val="000000"/>
        </w:rPr>
      </w:pPr>
    </w:p>
    <w:p w14:paraId="7EB18D23" w14:textId="47C3888F"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 assessing how well inclusive leadership worked in this case study, it is evident that while there are some positive efforts, significant areas need improvement. The class teacher's proactive approach in contacting the parents about the child's absences demonstrates a degree of inclusive leadership</w:t>
      </w:r>
      <w:r w:rsidR="007A4C7A">
        <w:rPr>
          <w:rFonts w:ascii="Calibri" w:hAnsi="Calibri" w:cs="Calibri"/>
          <w:color w:val="000000"/>
        </w:rPr>
        <w:t xml:space="preserve"> (Johnson and Lee, 2020)</w:t>
      </w:r>
      <w:r w:rsidRPr="0034290B">
        <w:rPr>
          <w:rFonts w:ascii="Calibri" w:hAnsi="Calibri" w:cs="Calibri"/>
          <w:color w:val="000000"/>
        </w:rPr>
        <w:t>. This action shows a concern for the child's well-being and a willingness to engage with the family to understand and address potential issues</w:t>
      </w:r>
      <w:r w:rsidR="00B01215">
        <w:rPr>
          <w:rFonts w:ascii="Calibri" w:hAnsi="Calibri" w:cs="Calibri"/>
          <w:color w:val="000000"/>
        </w:rPr>
        <w:t xml:space="preserve"> (Migration policy Institute, 2022)</w:t>
      </w:r>
      <w:r w:rsidRPr="0034290B">
        <w:rPr>
          <w:rFonts w:ascii="Calibri" w:hAnsi="Calibri" w:cs="Calibri"/>
          <w:color w:val="000000"/>
        </w:rPr>
        <w:t>. However, the effectiveness of this inclusive leadership is limited by the lack of comprehensive strategies to support the child's specific needs as an asylum seeker with limited English proficiency and prior educational experience</w:t>
      </w:r>
      <w:r w:rsidR="00D911E4">
        <w:rPr>
          <w:rFonts w:ascii="Calibri" w:hAnsi="Calibri" w:cs="Calibri"/>
          <w:color w:val="000000"/>
        </w:rPr>
        <w:t xml:space="preserve"> (International rescue Committee 2021)</w:t>
      </w:r>
      <w:r w:rsidRPr="0034290B">
        <w:rPr>
          <w:rFonts w:ascii="Calibri" w:hAnsi="Calibri" w:cs="Calibri"/>
          <w:color w:val="000000"/>
        </w:rPr>
        <w:t xml:space="preserve">. </w:t>
      </w:r>
    </w:p>
    <w:p w14:paraId="7C80748B" w14:textId="77777777" w:rsidR="00C77157" w:rsidRPr="0034290B" w:rsidRDefault="00C77157" w:rsidP="0034290B">
      <w:pPr>
        <w:spacing w:line="360" w:lineRule="auto"/>
        <w:rPr>
          <w:rFonts w:ascii="Calibri" w:hAnsi="Calibri" w:cs="Calibri"/>
          <w:color w:val="000000"/>
        </w:rPr>
      </w:pPr>
    </w:p>
    <w:p w14:paraId="3AEEF13F" w14:textId="6368A807" w:rsidR="00C77157" w:rsidRDefault="00C77157" w:rsidP="0034290B">
      <w:pPr>
        <w:spacing w:line="360" w:lineRule="auto"/>
        <w:rPr>
          <w:rFonts w:ascii="Calibri" w:hAnsi="Calibri" w:cs="Calibri"/>
          <w:color w:val="000000"/>
        </w:rPr>
      </w:pPr>
      <w:r w:rsidRPr="0034290B">
        <w:rPr>
          <w:rFonts w:ascii="Calibri" w:hAnsi="Calibri" w:cs="Calibri"/>
          <w:color w:val="000000"/>
        </w:rPr>
        <w:t>Despite some attempts at inclusivity, the case study reveals significant gaps where inclusive leadership could be more evident</w:t>
      </w:r>
      <w:r w:rsidR="003767ED">
        <w:rPr>
          <w:rFonts w:ascii="Calibri" w:hAnsi="Calibri" w:cs="Calibri"/>
          <w:color w:val="000000"/>
        </w:rPr>
        <w:t xml:space="preserve"> (Bradshaw, Waldrop 2009)</w:t>
      </w:r>
      <w:r w:rsidRPr="0034290B">
        <w:rPr>
          <w:rFonts w:ascii="Calibri" w:hAnsi="Calibri" w:cs="Calibri"/>
          <w:color w:val="000000"/>
        </w:rPr>
        <w:t xml:space="preserve">. The observation that the child is being bullied on the playground and the apparent lack of awareness or intervention by the class teacher and other staff indicates a failure to create a fully inclusive and safe environment. (Whitehouse and Pundey 1998) highlighted that inclusive leadership should </w:t>
      </w:r>
      <w:r w:rsidRPr="0034290B">
        <w:rPr>
          <w:rFonts w:ascii="Calibri" w:hAnsi="Calibri" w:cs="Calibri"/>
          <w:color w:val="000000"/>
        </w:rPr>
        <w:lastRenderedPageBreak/>
        <w:t xml:space="preserve">involve regular training for staff to recognise and respond to bullying promptly, particularly for vulnerable children who are new to the school and might not have the language skills to report their experiences. </w:t>
      </w:r>
    </w:p>
    <w:p w14:paraId="2D45A050" w14:textId="77777777" w:rsidR="00E34695" w:rsidRPr="0034290B" w:rsidRDefault="00E34695" w:rsidP="0034290B">
      <w:pPr>
        <w:spacing w:line="360" w:lineRule="auto"/>
        <w:rPr>
          <w:rFonts w:ascii="Calibri" w:hAnsi="Calibri" w:cs="Calibri"/>
          <w:color w:val="000000"/>
        </w:rPr>
      </w:pPr>
    </w:p>
    <w:p w14:paraId="7BA9C9B6" w14:textId="299B7CDD"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Inclusive leadership in the early years presents several opportunities to support a young asylum seeker who has recently started school. Firstly, language and support programs such as ESL (English as a Second Language) classes, the use of visual aids, or a language buddy system can be introduced to help the child improve her English skills</w:t>
      </w:r>
      <w:r w:rsidR="00BA314E">
        <w:rPr>
          <w:rFonts w:ascii="Calibri" w:hAnsi="Calibri" w:cs="Calibri"/>
          <w:color w:val="000000"/>
        </w:rPr>
        <w:t>, Fazel et al. (2012)</w:t>
      </w:r>
      <w:r w:rsidRPr="0034290B">
        <w:rPr>
          <w:rFonts w:ascii="Calibri" w:hAnsi="Calibri" w:cs="Calibri"/>
          <w:color w:val="000000"/>
        </w:rPr>
        <w:t xml:space="preserve">. This would aid her in classroom participation and social interactions with peers, thereby reducing her reliance on gestures for communication. Additionally, prompting cultural sensitivity among staff and students can create a more inclusive environment (Waniganayake, Rodd, and Gibbs 2005). This might involve incorporating multicultural elements into the curriculum and celebrating diversity with the school community, helping the child feel more welcomed and valued (Human Rights Act, 1998; The United Nations, 1989), as every child has the right to education, regardless of background status. </w:t>
      </w:r>
    </w:p>
    <w:p w14:paraId="3BAC446D" w14:textId="77777777" w:rsidR="00C77157" w:rsidRPr="0034290B" w:rsidRDefault="00C77157" w:rsidP="0034290B">
      <w:pPr>
        <w:spacing w:line="360" w:lineRule="auto"/>
        <w:rPr>
          <w:rFonts w:ascii="Calibri" w:hAnsi="Calibri" w:cs="Calibri"/>
          <w:color w:val="000000"/>
        </w:rPr>
      </w:pPr>
    </w:p>
    <w:p w14:paraId="5AC9E66F" w14:textId="4B5B93C6"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Social integration is another critical opportunity. Implementing a buddy system, where the child is paired with a peer who can help her navigate the school environment and make friends, can significantly ease her transition</w:t>
      </w:r>
      <w:r w:rsidR="004C710B">
        <w:rPr>
          <w:rFonts w:ascii="Calibri" w:hAnsi="Calibri" w:cs="Calibri"/>
          <w:color w:val="000000"/>
        </w:rPr>
        <w:t xml:space="preserve"> Taylor and Sidhu (2012)</w:t>
      </w:r>
      <w:r w:rsidRPr="0034290B">
        <w:rPr>
          <w:rFonts w:ascii="Calibri" w:hAnsi="Calibri" w:cs="Calibri"/>
          <w:color w:val="000000"/>
        </w:rPr>
        <w:t>. Structured play activities during choosing time can also reduce bullying by providing a safe and supervised space for the child to interact with others. Moreover, fostering strong partnerships with the child's parents and involving them in the school community can provide additional support (Aubrey, 2011). Regular communication with the parents can help the school understand the child's underlying issues and ensure a consistent support system between home and school (Welsh Government, 2016).</w:t>
      </w:r>
    </w:p>
    <w:p w14:paraId="0E9A0C31" w14:textId="77777777" w:rsidR="00C77157" w:rsidRPr="0034290B" w:rsidRDefault="00C77157" w:rsidP="0034290B">
      <w:pPr>
        <w:spacing w:line="360" w:lineRule="auto"/>
        <w:rPr>
          <w:rFonts w:ascii="Calibri" w:hAnsi="Calibri" w:cs="Calibri"/>
          <w:color w:val="000000"/>
        </w:rPr>
      </w:pPr>
    </w:p>
    <w:p w14:paraId="46D25B70" w14:textId="12042749" w:rsidR="00C77157" w:rsidRPr="0034290B" w:rsidRDefault="00C77157" w:rsidP="0034290B">
      <w:pPr>
        <w:spacing w:line="360" w:lineRule="auto"/>
        <w:rPr>
          <w:rFonts w:ascii="Calibri" w:hAnsi="Calibri" w:cs="Calibri"/>
          <w:color w:val="000000"/>
        </w:rPr>
      </w:pPr>
      <w:r w:rsidRPr="00B02472">
        <w:rPr>
          <w:rFonts w:ascii="Calibri" w:hAnsi="Calibri" w:cs="Calibri"/>
          <w:color w:val="000000"/>
        </w:rPr>
        <w:t>However, serval</w:t>
      </w:r>
      <w:r w:rsidRPr="0034290B">
        <w:rPr>
          <w:rFonts w:ascii="Calibri" w:hAnsi="Calibri" w:cs="Calibri"/>
          <w:color w:val="000000"/>
        </w:rPr>
        <w:t xml:space="preserve"> barriers must be addressed to support the child effectively. The language barrier is a significant challenge, as her limited English proficiency makes it difficult for her to communicate her needs and for teachers to understand her experiences</w:t>
      </w:r>
      <w:r w:rsidR="001613B8">
        <w:rPr>
          <w:rFonts w:ascii="Calibri" w:hAnsi="Calibri" w:cs="Calibri"/>
          <w:color w:val="000000"/>
        </w:rPr>
        <w:t xml:space="preserve"> (International rescue Committee 2021)</w:t>
      </w:r>
      <w:r w:rsidR="001613B8" w:rsidRPr="0034290B">
        <w:rPr>
          <w:rFonts w:ascii="Calibri" w:hAnsi="Calibri" w:cs="Calibri"/>
          <w:color w:val="000000"/>
        </w:rPr>
        <w:t>.</w:t>
      </w:r>
      <w:r w:rsidR="001613B8">
        <w:rPr>
          <w:rFonts w:ascii="Calibri" w:hAnsi="Calibri" w:cs="Calibri"/>
          <w:color w:val="000000"/>
        </w:rPr>
        <w:t xml:space="preserve"> </w:t>
      </w:r>
      <w:r w:rsidRPr="0034290B">
        <w:rPr>
          <w:rFonts w:ascii="Calibri" w:hAnsi="Calibri" w:cs="Calibri"/>
          <w:color w:val="000000"/>
        </w:rPr>
        <w:t>This can lead to social isolation and hinder her ability to participate fully in classroom activities</w:t>
      </w:r>
      <w:r w:rsidR="00B02472">
        <w:rPr>
          <w:rFonts w:ascii="Calibri" w:hAnsi="Calibri" w:cs="Calibri"/>
          <w:color w:val="000000"/>
        </w:rPr>
        <w:t xml:space="preserve"> </w:t>
      </w:r>
      <w:r w:rsidR="00B02472" w:rsidRPr="0034290B">
        <w:rPr>
          <w:rFonts w:ascii="Calibri" w:hAnsi="Calibri" w:cs="Calibri"/>
          <w:color w:val="000000"/>
        </w:rPr>
        <w:t xml:space="preserve">(Whitehouse and </w:t>
      </w:r>
      <w:proofErr w:type="spellStart"/>
      <w:r w:rsidR="00B02472" w:rsidRPr="0034290B">
        <w:rPr>
          <w:rFonts w:ascii="Calibri" w:hAnsi="Calibri" w:cs="Calibri"/>
          <w:color w:val="000000"/>
        </w:rPr>
        <w:t>Pundey</w:t>
      </w:r>
      <w:proofErr w:type="spellEnd"/>
      <w:r w:rsidR="00B02472" w:rsidRPr="0034290B">
        <w:rPr>
          <w:rFonts w:ascii="Calibri" w:hAnsi="Calibri" w:cs="Calibri"/>
          <w:color w:val="000000"/>
        </w:rPr>
        <w:t xml:space="preserve"> 1998)</w:t>
      </w:r>
      <w:r w:rsidRPr="0034290B">
        <w:rPr>
          <w:rFonts w:ascii="Calibri" w:hAnsi="Calibri" w:cs="Calibri"/>
          <w:color w:val="000000"/>
        </w:rPr>
        <w:t xml:space="preserve">. Additionally, observing that she is being bullied on the playground is crucial. If this bullying goes unrecognised by staff </w:t>
      </w:r>
      <w:r w:rsidRPr="0034290B">
        <w:rPr>
          <w:rFonts w:ascii="Calibri" w:hAnsi="Calibri" w:cs="Calibri"/>
          <w:color w:val="000000"/>
        </w:rPr>
        <w:lastRenderedPageBreak/>
        <w:t>members, the child remains vulnerable and unsupported, exacerbating her feelings of fear and alienation</w:t>
      </w:r>
      <w:r w:rsidR="00B02472" w:rsidRPr="00B02472">
        <w:rPr>
          <w:color w:val="000000" w:themeColor="text1"/>
        </w:rPr>
        <w:t xml:space="preserve"> </w:t>
      </w:r>
      <w:r w:rsidR="00B02472">
        <w:rPr>
          <w:color w:val="000000" w:themeColor="text1"/>
        </w:rPr>
        <w:t>(Keighter,  2021).</w:t>
      </w:r>
    </w:p>
    <w:p w14:paraId="0F0AB4E7" w14:textId="77777777" w:rsidR="00C77157" w:rsidRPr="0034290B" w:rsidRDefault="00C77157" w:rsidP="0034290B">
      <w:pPr>
        <w:spacing w:line="360" w:lineRule="auto"/>
        <w:rPr>
          <w:rFonts w:ascii="Calibri" w:hAnsi="Calibri" w:cs="Calibri"/>
          <w:color w:val="000000"/>
        </w:rPr>
      </w:pPr>
    </w:p>
    <w:p w14:paraId="28CAB3E6" w14:textId="26B064BC" w:rsidR="00C77157" w:rsidRPr="0034290B" w:rsidRDefault="00C77157" w:rsidP="0034290B">
      <w:pPr>
        <w:spacing w:line="360" w:lineRule="auto"/>
        <w:rPr>
          <w:rFonts w:ascii="Calibri" w:hAnsi="Calibri" w:cs="Calibri"/>
          <w:color w:val="000000"/>
        </w:rPr>
      </w:pPr>
      <w:r w:rsidRPr="00E34695">
        <w:rPr>
          <w:rFonts w:ascii="Calibri" w:hAnsi="Calibri" w:cs="Calibri"/>
          <w:color w:val="000000" w:themeColor="text1"/>
        </w:rPr>
        <w:t xml:space="preserve">The child's </w:t>
      </w:r>
      <w:r w:rsidRPr="0034290B">
        <w:rPr>
          <w:rFonts w:ascii="Calibri" w:hAnsi="Calibri" w:cs="Calibri"/>
          <w:color w:val="000000"/>
        </w:rPr>
        <w:t>background as an asylum seeker likely means she has experienced significant trauma, adding another layer of emotional and psychological challenges</w:t>
      </w:r>
      <w:r w:rsidR="00E34695">
        <w:rPr>
          <w:rFonts w:ascii="Calibri" w:hAnsi="Calibri" w:cs="Calibri"/>
          <w:color w:val="000000"/>
        </w:rPr>
        <w:t xml:space="preserve"> (Smith and Johnson 2022)</w:t>
      </w:r>
      <w:r w:rsidRPr="0034290B">
        <w:rPr>
          <w:rFonts w:ascii="Calibri" w:hAnsi="Calibri" w:cs="Calibri"/>
          <w:color w:val="000000"/>
        </w:rPr>
        <w:t>. This trauma can manifest in various ways, including physical symptoms like tummy aches and feelings of sickness, which might explain her absences from schoo</w:t>
      </w:r>
      <w:r w:rsidR="00517707">
        <w:rPr>
          <w:rFonts w:ascii="Calibri" w:hAnsi="Calibri" w:cs="Calibri"/>
          <w:color w:val="000000"/>
        </w:rPr>
        <w:t>l</w:t>
      </w:r>
      <w:r w:rsidR="00517707" w:rsidRPr="00517707">
        <w:rPr>
          <w:rFonts w:ascii="Calibri" w:hAnsi="Calibri" w:cs="Calibri"/>
          <w:color w:val="000000"/>
        </w:rPr>
        <w:t xml:space="preserve"> </w:t>
      </w:r>
      <w:r w:rsidR="0075781D">
        <w:rPr>
          <w:rFonts w:ascii="Calibri" w:hAnsi="Calibri" w:cs="Calibri"/>
          <w:color w:val="000000"/>
        </w:rPr>
        <w:t>(</w:t>
      </w:r>
      <w:r w:rsidR="00517707">
        <w:rPr>
          <w:rFonts w:ascii="Calibri" w:hAnsi="Calibri" w:cs="Calibri"/>
          <w:color w:val="000000"/>
        </w:rPr>
        <w:t>Keigher</w:t>
      </w:r>
      <w:r w:rsidR="0075781D">
        <w:rPr>
          <w:rFonts w:ascii="Calibri" w:hAnsi="Calibri" w:cs="Calibri"/>
          <w:color w:val="000000"/>
        </w:rPr>
        <w:t xml:space="preserve">, </w:t>
      </w:r>
      <w:r w:rsidR="00517707">
        <w:rPr>
          <w:rFonts w:ascii="Calibri" w:hAnsi="Calibri" w:cs="Calibri"/>
          <w:color w:val="000000"/>
        </w:rPr>
        <w:t>2021)</w:t>
      </w:r>
      <w:r w:rsidRPr="0034290B">
        <w:rPr>
          <w:rFonts w:ascii="Calibri" w:hAnsi="Calibri" w:cs="Calibri"/>
          <w:color w:val="000000"/>
        </w:rPr>
        <w:t>. Furthermore, the parents' reluctance to fully disclose issues or seek additional support could be due to mistrust or fear stemming from their asylum seeker status, making it essential for the school to address her needs with sensitivity and care</w:t>
      </w:r>
      <w:r w:rsidR="00956E45">
        <w:rPr>
          <w:rFonts w:ascii="Calibri" w:hAnsi="Calibri" w:cs="Calibri"/>
          <w:color w:val="000000"/>
        </w:rPr>
        <w:t xml:space="preserve"> (Gay,2018)</w:t>
      </w:r>
      <w:r w:rsidRPr="0034290B">
        <w:rPr>
          <w:rFonts w:ascii="Calibri" w:hAnsi="Calibri" w:cs="Calibri"/>
          <w:color w:val="000000"/>
        </w:rPr>
        <w:t>. Cultural differences in expectations around education and school involvement can also create misunderstandings between the parents and the school, complicating efforts to provide consistent support for the child</w:t>
      </w:r>
      <w:r w:rsidR="0075781D">
        <w:rPr>
          <w:rFonts w:ascii="Calibri" w:hAnsi="Calibri" w:cs="Calibri"/>
          <w:color w:val="000000"/>
        </w:rPr>
        <w:t xml:space="preserve"> (Banks 2006)</w:t>
      </w:r>
      <w:r w:rsidRPr="0034290B">
        <w:rPr>
          <w:rFonts w:ascii="Calibri" w:hAnsi="Calibri" w:cs="Calibri"/>
          <w:color w:val="000000"/>
        </w:rPr>
        <w:t xml:space="preserve">. </w:t>
      </w:r>
    </w:p>
    <w:p w14:paraId="036437F4" w14:textId="77777777" w:rsidR="00C77157" w:rsidRPr="0034290B" w:rsidRDefault="00C77157" w:rsidP="0034290B">
      <w:pPr>
        <w:spacing w:line="360" w:lineRule="auto"/>
        <w:rPr>
          <w:rFonts w:ascii="Calibri" w:hAnsi="Calibri" w:cs="Calibri"/>
          <w:color w:val="000000"/>
        </w:rPr>
      </w:pPr>
    </w:p>
    <w:p w14:paraId="36C3445D" w14:textId="38C42AC0"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Society plays a</w:t>
      </w:r>
      <w:r w:rsidR="0050473C">
        <w:rPr>
          <w:rFonts w:ascii="Calibri" w:hAnsi="Calibri" w:cs="Calibri"/>
          <w:color w:val="000000"/>
        </w:rPr>
        <w:t>n</w:t>
      </w:r>
      <w:r w:rsidRPr="0034290B">
        <w:rPr>
          <w:rFonts w:ascii="Calibri" w:hAnsi="Calibri" w:cs="Calibri"/>
          <w:color w:val="000000"/>
        </w:rPr>
        <w:t xml:space="preserve"> </w:t>
      </w:r>
      <w:r w:rsidR="0050473C" w:rsidRPr="0034290B">
        <w:rPr>
          <w:rFonts w:ascii="Calibri" w:hAnsi="Calibri" w:cs="Calibri"/>
          <w:color w:val="000000"/>
        </w:rPr>
        <w:t>essential</w:t>
      </w:r>
      <w:r w:rsidRPr="0034290B">
        <w:rPr>
          <w:rFonts w:ascii="Calibri" w:hAnsi="Calibri" w:cs="Calibri"/>
          <w:color w:val="000000"/>
        </w:rPr>
        <w:t xml:space="preserve"> </w:t>
      </w:r>
      <w:r w:rsidR="0050473C" w:rsidRPr="0034290B">
        <w:rPr>
          <w:rFonts w:ascii="Calibri" w:hAnsi="Calibri" w:cs="Calibri"/>
          <w:color w:val="000000"/>
        </w:rPr>
        <w:t>part</w:t>
      </w:r>
      <w:r w:rsidRPr="0034290B">
        <w:rPr>
          <w:rFonts w:ascii="Calibri" w:hAnsi="Calibri" w:cs="Calibri"/>
          <w:color w:val="000000"/>
        </w:rPr>
        <w:t xml:space="preserve"> in </w:t>
      </w:r>
      <w:r w:rsidR="0050473C" w:rsidRPr="0034290B">
        <w:rPr>
          <w:rFonts w:ascii="Calibri" w:hAnsi="Calibri" w:cs="Calibri"/>
          <w:color w:val="000000"/>
        </w:rPr>
        <w:t>defining</w:t>
      </w:r>
      <w:r w:rsidRPr="0034290B">
        <w:rPr>
          <w:rFonts w:ascii="Calibri" w:hAnsi="Calibri" w:cs="Calibri"/>
          <w:color w:val="000000"/>
        </w:rPr>
        <w:t xml:space="preserve"> the experience of a young child, particularly one who is an asylum seeker and has recently started school</w:t>
      </w:r>
      <w:r w:rsidR="00E34695">
        <w:rPr>
          <w:rFonts w:ascii="Calibri" w:hAnsi="Calibri" w:cs="Calibri"/>
          <w:color w:val="000000"/>
        </w:rPr>
        <w:t xml:space="preserve"> (Pearson, 2022)</w:t>
      </w:r>
      <w:r w:rsidRPr="0034290B">
        <w:rPr>
          <w:rFonts w:ascii="Calibri" w:hAnsi="Calibri" w:cs="Calibri"/>
          <w:color w:val="000000"/>
        </w:rPr>
        <w:t>. The societal impact on this child is complex, encompassing cultural, social and systemic influences that significantly affect her well-being and educational journey</w:t>
      </w:r>
      <w:r w:rsidR="00B7245E">
        <w:rPr>
          <w:rFonts w:ascii="Calibri" w:hAnsi="Calibri" w:cs="Calibri"/>
          <w:color w:val="000000"/>
        </w:rPr>
        <w:t xml:space="preserve"> (Phillimore, 2011)</w:t>
      </w:r>
      <w:r w:rsidRPr="0034290B">
        <w:rPr>
          <w:rFonts w:ascii="Calibri" w:hAnsi="Calibri" w:cs="Calibri"/>
          <w:color w:val="000000"/>
        </w:rPr>
        <w:t xml:space="preserve">. </w:t>
      </w:r>
    </w:p>
    <w:p w14:paraId="7C226A84" w14:textId="77777777" w:rsidR="00C77157" w:rsidRPr="0034290B" w:rsidRDefault="00C77157" w:rsidP="0034290B">
      <w:pPr>
        <w:spacing w:line="360" w:lineRule="auto"/>
        <w:rPr>
          <w:rFonts w:ascii="Calibri" w:hAnsi="Calibri" w:cs="Calibri"/>
          <w:color w:val="000000"/>
        </w:rPr>
      </w:pPr>
    </w:p>
    <w:p w14:paraId="4F5D35C6" w14:textId="578BB255"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Firstly, the societal context of being an asylum seeker can be overwhelming for a young child. The trauma of displacement, combined with the challenges of adapting to a new country, can lead to significant emotional and psychological stress</w:t>
      </w:r>
      <w:r w:rsidR="006F75A7">
        <w:rPr>
          <w:rFonts w:ascii="Calibri" w:hAnsi="Calibri" w:cs="Calibri"/>
          <w:color w:val="000000"/>
        </w:rPr>
        <w:t xml:space="preserve"> Keigher, (2021)</w:t>
      </w:r>
      <w:r w:rsidRPr="0034290B">
        <w:rPr>
          <w:rFonts w:ascii="Calibri" w:hAnsi="Calibri" w:cs="Calibri"/>
          <w:color w:val="000000"/>
        </w:rPr>
        <w:t>. In this case, the child's limited English proficiency and lack of prior schooling compound these difficulties. Society's attitudes towards asylum seekers can either alleviate or exacerbate these challenges</w:t>
      </w:r>
      <w:r w:rsidR="001613B8">
        <w:rPr>
          <w:rFonts w:ascii="Calibri" w:hAnsi="Calibri" w:cs="Calibri"/>
          <w:color w:val="000000"/>
        </w:rPr>
        <w:t xml:space="preserve"> </w:t>
      </w:r>
      <w:r w:rsidR="006773FA">
        <w:rPr>
          <w:rFonts w:ascii="Calibri" w:hAnsi="Calibri" w:cs="Calibri"/>
          <w:color w:val="000000"/>
        </w:rPr>
        <w:t>(Bloch and Schuster 2002)</w:t>
      </w:r>
      <w:r w:rsidRPr="0034290B">
        <w:rPr>
          <w:rFonts w:ascii="Calibri" w:hAnsi="Calibri" w:cs="Calibri"/>
          <w:color w:val="000000"/>
        </w:rPr>
        <w:t>. A welcoming, inclusive society can provide support systems that help the child feel safe and accepted. Conversely, a society that harbours negative attitudes towards asylum seekers can contribute to feelings of isolation and discrimination</w:t>
      </w:r>
      <w:r w:rsidR="006773FA">
        <w:rPr>
          <w:rFonts w:ascii="Calibri" w:hAnsi="Calibri" w:cs="Calibri"/>
          <w:color w:val="000000"/>
        </w:rPr>
        <w:t xml:space="preserve"> (Crawley, 2005)</w:t>
      </w:r>
      <w:r w:rsidRPr="0034290B">
        <w:rPr>
          <w:rFonts w:ascii="Calibri" w:hAnsi="Calibri" w:cs="Calibri"/>
          <w:color w:val="000000"/>
        </w:rPr>
        <w:t xml:space="preserve">. </w:t>
      </w:r>
    </w:p>
    <w:p w14:paraId="45E4D574" w14:textId="77777777" w:rsidR="00C77157" w:rsidRPr="0034290B" w:rsidRDefault="00C77157" w:rsidP="0034290B">
      <w:pPr>
        <w:spacing w:line="360" w:lineRule="auto"/>
        <w:rPr>
          <w:rFonts w:ascii="Calibri" w:hAnsi="Calibri" w:cs="Calibri"/>
          <w:color w:val="000000"/>
        </w:rPr>
      </w:pPr>
    </w:p>
    <w:p w14:paraId="76DDABE3" w14:textId="6105015A"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The child's experience of bullying on the playground reflects broader societal issues. Bullying often stems from a lack of understanding and empathy towards those who are perceived as different. In this scenario, the child's peers might not understand her situation and could be </w:t>
      </w:r>
      <w:r w:rsidRPr="0034290B">
        <w:rPr>
          <w:rFonts w:ascii="Calibri" w:hAnsi="Calibri" w:cs="Calibri"/>
          <w:color w:val="000000"/>
        </w:rPr>
        <w:lastRenderedPageBreak/>
        <w:t>influenced by societal prejudices, leading to exclusion and bullying</w:t>
      </w:r>
      <w:r w:rsidR="00FA757A">
        <w:rPr>
          <w:rFonts w:ascii="Calibri" w:hAnsi="Calibri" w:cs="Calibri"/>
          <w:color w:val="000000"/>
        </w:rPr>
        <w:t xml:space="preserve"> (Bradshaw, </w:t>
      </w:r>
      <w:r w:rsidR="003767ED">
        <w:rPr>
          <w:rFonts w:ascii="Calibri" w:hAnsi="Calibri" w:cs="Calibri"/>
          <w:color w:val="000000"/>
        </w:rPr>
        <w:t>Waldrop</w:t>
      </w:r>
      <w:r w:rsidR="00FA757A">
        <w:rPr>
          <w:rFonts w:ascii="Calibri" w:hAnsi="Calibri" w:cs="Calibri"/>
          <w:color w:val="000000"/>
        </w:rPr>
        <w:t xml:space="preserve"> 2009)</w:t>
      </w:r>
      <w:r w:rsidRPr="0034290B">
        <w:rPr>
          <w:rFonts w:ascii="Calibri" w:hAnsi="Calibri" w:cs="Calibri"/>
          <w:color w:val="000000"/>
        </w:rPr>
        <w:t xml:space="preserve">. This bullying can have a </w:t>
      </w:r>
      <w:r w:rsidR="0050473C" w:rsidRPr="0034290B">
        <w:rPr>
          <w:rFonts w:ascii="Calibri" w:hAnsi="Calibri" w:cs="Calibri"/>
          <w:color w:val="000000"/>
        </w:rPr>
        <w:t>deep</w:t>
      </w:r>
      <w:r w:rsidRPr="0034290B">
        <w:rPr>
          <w:rFonts w:ascii="Calibri" w:hAnsi="Calibri" w:cs="Calibri"/>
          <w:color w:val="000000"/>
        </w:rPr>
        <w:t xml:space="preserve"> </w:t>
      </w:r>
      <w:r w:rsidR="0050473C" w:rsidRPr="0034290B">
        <w:rPr>
          <w:rFonts w:ascii="Calibri" w:hAnsi="Calibri" w:cs="Calibri"/>
          <w:color w:val="000000"/>
        </w:rPr>
        <w:t>influence</w:t>
      </w:r>
      <w:r w:rsidRPr="0034290B">
        <w:rPr>
          <w:rFonts w:ascii="Calibri" w:hAnsi="Calibri" w:cs="Calibri"/>
          <w:color w:val="000000"/>
        </w:rPr>
        <w:t xml:space="preserve"> on the child's mental health, causing anxiety, depression, and a reluctance to attend school, as evidenced by her increasing absences and reported health issues</w:t>
      </w:r>
      <w:r w:rsidR="00FA757A">
        <w:rPr>
          <w:rFonts w:ascii="Calibri" w:hAnsi="Calibri" w:cs="Calibri"/>
          <w:color w:val="000000"/>
        </w:rPr>
        <w:t xml:space="preserve"> (Gini, and </w:t>
      </w:r>
      <w:proofErr w:type="spellStart"/>
      <w:r w:rsidR="00FA757A">
        <w:rPr>
          <w:rFonts w:ascii="Calibri" w:hAnsi="Calibri" w:cs="Calibri"/>
          <w:color w:val="000000"/>
        </w:rPr>
        <w:t>Pozzoli</w:t>
      </w:r>
      <w:proofErr w:type="spellEnd"/>
      <w:r w:rsidR="00FA757A">
        <w:rPr>
          <w:rFonts w:ascii="Calibri" w:hAnsi="Calibri" w:cs="Calibri"/>
          <w:color w:val="000000"/>
        </w:rPr>
        <w:t>, 2009)</w:t>
      </w:r>
      <w:r w:rsidR="00FA757A" w:rsidRPr="0034290B">
        <w:rPr>
          <w:rFonts w:ascii="Calibri" w:hAnsi="Calibri" w:cs="Calibri"/>
          <w:color w:val="000000"/>
        </w:rPr>
        <w:t>.</w:t>
      </w:r>
    </w:p>
    <w:p w14:paraId="3118211F" w14:textId="77777777" w:rsidR="00C77157" w:rsidRPr="0034290B" w:rsidRDefault="00C77157" w:rsidP="0034290B">
      <w:pPr>
        <w:spacing w:line="360" w:lineRule="auto"/>
        <w:rPr>
          <w:rFonts w:ascii="Calibri" w:hAnsi="Calibri" w:cs="Calibri"/>
          <w:color w:val="000000"/>
        </w:rPr>
      </w:pPr>
    </w:p>
    <w:p w14:paraId="05BB6D45" w14:textId="09ECF1D3"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Moreover, the parent's response to their daughter's absences highlights another societal aspect-the possible lack of accessible healthcare and support services for asylum-seeking families</w:t>
      </w:r>
      <w:r w:rsidR="00E34695">
        <w:rPr>
          <w:rFonts w:ascii="Calibri" w:hAnsi="Calibri" w:cs="Calibri"/>
          <w:color w:val="000000"/>
        </w:rPr>
        <w:t xml:space="preserve"> </w:t>
      </w:r>
      <w:r w:rsidR="00846EE3">
        <w:rPr>
          <w:rFonts w:ascii="Calibri" w:hAnsi="Calibri" w:cs="Calibri"/>
          <w:color w:val="000000"/>
        </w:rPr>
        <w:t xml:space="preserve">(Aspinall and Watters 2010). </w:t>
      </w:r>
      <w:r w:rsidRPr="0034290B">
        <w:rPr>
          <w:rFonts w:ascii="Calibri" w:hAnsi="Calibri" w:cs="Calibri"/>
          <w:color w:val="000000"/>
        </w:rPr>
        <w:t>Their reliance on home remedies indicates they might need more access to medical care or are unaware of navigating the healthcare system. This can significantly hinder the child's overall well-being and school attendance</w:t>
      </w:r>
      <w:r w:rsidR="00846EE3">
        <w:rPr>
          <w:rFonts w:ascii="Calibri" w:hAnsi="Calibri" w:cs="Calibri"/>
          <w:color w:val="000000"/>
        </w:rPr>
        <w:t>(</w:t>
      </w:r>
      <w:proofErr w:type="spellStart"/>
      <w:r w:rsidR="00846EE3">
        <w:rPr>
          <w:rFonts w:ascii="Calibri" w:hAnsi="Calibri" w:cs="Calibri"/>
          <w:color w:val="000000"/>
        </w:rPr>
        <w:t>Norredam</w:t>
      </w:r>
      <w:proofErr w:type="spellEnd"/>
      <w:r w:rsidR="00846EE3">
        <w:rPr>
          <w:rFonts w:ascii="Calibri" w:hAnsi="Calibri" w:cs="Calibri"/>
          <w:color w:val="000000"/>
        </w:rPr>
        <w:t xml:space="preserve">, </w:t>
      </w:r>
      <w:proofErr w:type="spellStart"/>
      <w:r w:rsidR="00846EE3">
        <w:rPr>
          <w:rFonts w:ascii="Calibri" w:hAnsi="Calibri" w:cs="Calibri"/>
          <w:color w:val="000000"/>
        </w:rPr>
        <w:t>Mygind</w:t>
      </w:r>
      <w:proofErr w:type="spellEnd"/>
      <w:r w:rsidR="00846EE3">
        <w:rPr>
          <w:rFonts w:ascii="Calibri" w:hAnsi="Calibri" w:cs="Calibri"/>
          <w:color w:val="000000"/>
        </w:rPr>
        <w:t xml:space="preserve"> and Krasnik 2006)</w:t>
      </w:r>
      <w:r w:rsidRPr="0034290B">
        <w:rPr>
          <w:rFonts w:ascii="Calibri" w:hAnsi="Calibri" w:cs="Calibri"/>
          <w:color w:val="000000"/>
        </w:rPr>
        <w:t xml:space="preserve">. </w:t>
      </w:r>
    </w:p>
    <w:p w14:paraId="025B9CBA" w14:textId="77777777" w:rsidR="00C77157" w:rsidRPr="0034290B" w:rsidRDefault="00C77157" w:rsidP="0034290B">
      <w:pPr>
        <w:spacing w:line="360" w:lineRule="auto"/>
        <w:rPr>
          <w:rFonts w:ascii="Calibri" w:hAnsi="Calibri" w:cs="Calibri"/>
          <w:color w:val="000000"/>
        </w:rPr>
      </w:pPr>
    </w:p>
    <w:p w14:paraId="0F9848F1" w14:textId="6CF9F270"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The stigma faced by the young child in this case study is multifaceted, significantly impacting her school, experience and well-being</w:t>
      </w:r>
      <w:r w:rsidR="00A64986">
        <w:rPr>
          <w:rFonts w:ascii="Calibri" w:hAnsi="Calibri" w:cs="Calibri"/>
          <w:color w:val="000000"/>
        </w:rPr>
        <w:t xml:space="preserve"> Rutter (2006)</w:t>
      </w:r>
      <w:r w:rsidRPr="0034290B">
        <w:rPr>
          <w:rFonts w:ascii="Calibri" w:hAnsi="Calibri" w:cs="Calibri"/>
          <w:color w:val="000000"/>
        </w:rPr>
        <w:t>. As an asylum seeker, she may already be subject to preconceived notions and biases that can manifest in exclusionary behaviour from peers and even subtle prejudices from staff. Her limited English proficiency and reliance on gestures for communication further isolate her, making her an easy target for bullying</w:t>
      </w:r>
      <w:r w:rsidR="00A64986">
        <w:rPr>
          <w:rFonts w:ascii="Calibri" w:hAnsi="Calibri" w:cs="Calibri"/>
          <w:color w:val="000000"/>
        </w:rPr>
        <w:t xml:space="preserve">, Pinson, Arnot and </w:t>
      </w:r>
      <w:proofErr w:type="spellStart"/>
      <w:r w:rsidR="00A64986">
        <w:rPr>
          <w:rFonts w:ascii="Calibri" w:hAnsi="Calibri" w:cs="Calibri"/>
          <w:color w:val="000000"/>
        </w:rPr>
        <w:t>Candappa</w:t>
      </w:r>
      <w:proofErr w:type="spellEnd"/>
      <w:r w:rsidR="00A64986">
        <w:rPr>
          <w:rFonts w:ascii="Calibri" w:hAnsi="Calibri" w:cs="Calibri"/>
          <w:color w:val="000000"/>
        </w:rPr>
        <w:t xml:space="preserve"> (2010)</w:t>
      </w:r>
      <w:r w:rsidRPr="0034290B">
        <w:rPr>
          <w:rFonts w:ascii="Calibri" w:hAnsi="Calibri" w:cs="Calibri"/>
          <w:color w:val="000000"/>
        </w:rPr>
        <w:t>. This exclusion and bullying are likely exacerbated by her unique background and the visible struggles she faces in adjusting to a new educational environment. The child's repeated absences and reported physical ailments could be symptomatic of the stress and anxiety stemming from the stigma and the associated bullying</w:t>
      </w:r>
      <w:r w:rsidR="00A64986">
        <w:rPr>
          <w:rFonts w:ascii="Calibri" w:hAnsi="Calibri" w:cs="Calibri"/>
          <w:color w:val="000000"/>
        </w:rPr>
        <w:t>, Fazel, Reed, Panter-Brick and Stein (2012)</w:t>
      </w:r>
      <w:r w:rsidRPr="0034290B">
        <w:rPr>
          <w:rFonts w:ascii="Calibri" w:hAnsi="Calibri" w:cs="Calibri"/>
          <w:color w:val="000000"/>
        </w:rPr>
        <w:t>. Despite the teacher's efforts to engage with her parents, the underlying connection between her physical symptoms and her emotional distress linked to bullying and stigma may go unrecognised. As an early-year TA, observing the bullying and sensing the child's struggles highlights the urgent need for a more inclusive approach that addresses and mitigates the stigma, fostering a supportive and understanding school environment for the child</w:t>
      </w:r>
      <w:r w:rsidR="00A64986">
        <w:rPr>
          <w:rFonts w:ascii="Calibri" w:hAnsi="Calibri" w:cs="Calibri"/>
          <w:color w:val="000000"/>
        </w:rPr>
        <w:t>, Block, Cross, Riggs and Gibbs (2014)</w:t>
      </w:r>
      <w:r w:rsidRPr="0034290B">
        <w:rPr>
          <w:rFonts w:ascii="Calibri" w:hAnsi="Calibri" w:cs="Calibri"/>
          <w:color w:val="000000"/>
        </w:rPr>
        <w:t xml:space="preserve">. </w:t>
      </w:r>
    </w:p>
    <w:p w14:paraId="6032EFF6" w14:textId="77777777" w:rsidR="00C77157" w:rsidRPr="0034290B" w:rsidRDefault="00C77157" w:rsidP="0034290B">
      <w:pPr>
        <w:spacing w:line="360" w:lineRule="auto"/>
        <w:rPr>
          <w:rFonts w:ascii="Calibri" w:hAnsi="Calibri" w:cs="Calibri"/>
          <w:color w:val="000000"/>
        </w:rPr>
      </w:pPr>
    </w:p>
    <w:p w14:paraId="1D2C99DE" w14:textId="36541BC3"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Inclusive leaders in educational settings must foster open communication with parents, particularly those from diverse backgrounds, to understand their concerns and provide appropriate support</w:t>
      </w:r>
      <w:r w:rsidR="006C2B67" w:rsidRPr="0034290B">
        <w:rPr>
          <w:rFonts w:ascii="Calibri" w:hAnsi="Calibri" w:cs="Calibri"/>
          <w:color w:val="000000"/>
        </w:rPr>
        <w:t xml:space="preserve"> (Ferdman, 2014)</w:t>
      </w:r>
      <w:r w:rsidRPr="0034290B">
        <w:rPr>
          <w:rFonts w:ascii="Calibri" w:hAnsi="Calibri" w:cs="Calibri"/>
          <w:color w:val="000000"/>
        </w:rPr>
        <w:t xml:space="preserve">. In this scenario, the teacher's outreach to the parents about the child's absences is a step in the right direction. However, an inclusive leadership </w:t>
      </w:r>
      <w:r w:rsidRPr="0034290B">
        <w:rPr>
          <w:rFonts w:ascii="Calibri" w:hAnsi="Calibri" w:cs="Calibri"/>
          <w:color w:val="000000"/>
        </w:rPr>
        <w:lastRenderedPageBreak/>
        <w:t>approach would go further by involving the parents in developing strategies to support the child academically and socially</w:t>
      </w:r>
      <w:r w:rsidR="00934DC8">
        <w:rPr>
          <w:rFonts w:ascii="Calibri" w:hAnsi="Calibri" w:cs="Calibri"/>
          <w:color w:val="000000"/>
        </w:rPr>
        <w:t xml:space="preserve"> Ryan (2006)</w:t>
      </w:r>
      <w:r w:rsidRPr="0034290B">
        <w:rPr>
          <w:rFonts w:ascii="Calibri" w:hAnsi="Calibri" w:cs="Calibri"/>
          <w:color w:val="000000"/>
        </w:rPr>
        <w:t xml:space="preserve">. </w:t>
      </w:r>
    </w:p>
    <w:p w14:paraId="5317A9E5" w14:textId="77777777" w:rsidR="00C77157" w:rsidRPr="0034290B" w:rsidRDefault="00C77157" w:rsidP="0034290B">
      <w:pPr>
        <w:spacing w:line="360" w:lineRule="auto"/>
        <w:rPr>
          <w:rFonts w:ascii="Calibri" w:hAnsi="Calibri" w:cs="Calibri"/>
          <w:color w:val="000000"/>
        </w:rPr>
      </w:pPr>
    </w:p>
    <w:p w14:paraId="4DDDA4A3" w14:textId="7538E2AB"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 evaluating the role of inclusive leadership in a young asylum-seeking child's integration into school, it is imperative to draw upon theoretical frameworks such as those proposed by (</w:t>
      </w:r>
      <w:proofErr w:type="spellStart"/>
      <w:r w:rsidRPr="0034290B">
        <w:rPr>
          <w:rFonts w:ascii="Calibri" w:hAnsi="Calibri" w:cs="Calibri"/>
          <w:color w:val="000000"/>
        </w:rPr>
        <w:t>Dr.</w:t>
      </w:r>
      <w:proofErr w:type="spellEnd"/>
      <w:r w:rsidRPr="0034290B">
        <w:rPr>
          <w:rFonts w:ascii="Calibri" w:hAnsi="Calibri" w:cs="Calibri"/>
          <w:color w:val="000000"/>
        </w:rPr>
        <w:t xml:space="preserve"> </w:t>
      </w:r>
      <w:r w:rsidR="00CA4F0F">
        <w:rPr>
          <w:rFonts w:ascii="Calibri" w:hAnsi="Calibri" w:cs="Calibri"/>
          <w:color w:val="000000"/>
        </w:rPr>
        <w:t>F</w:t>
      </w:r>
      <w:r w:rsidRPr="0034290B">
        <w:rPr>
          <w:rFonts w:ascii="Calibri" w:hAnsi="Calibri" w:cs="Calibri"/>
          <w:color w:val="000000"/>
        </w:rPr>
        <w:t xml:space="preserve">awiza Reza, 2021; Arar, 2020) and Scanlon and Johnson (2015). As conceptualised by these researchers, inclusive leadership emphasises the importance of fostering an environment that values diversity, promotes equality, and prioritises the well-being of all individuals involved in the educational process. </w:t>
      </w:r>
    </w:p>
    <w:p w14:paraId="4B01D103" w14:textId="77777777" w:rsidR="00C77157" w:rsidRPr="0034290B" w:rsidRDefault="00C77157" w:rsidP="0034290B">
      <w:pPr>
        <w:spacing w:line="360" w:lineRule="auto"/>
        <w:rPr>
          <w:rFonts w:ascii="Calibri" w:hAnsi="Calibri" w:cs="Calibri"/>
          <w:color w:val="000000"/>
        </w:rPr>
      </w:pPr>
    </w:p>
    <w:p w14:paraId="1FBC4B17" w14:textId="772F0A7E" w:rsidR="00C77157" w:rsidRPr="0034290B" w:rsidRDefault="00C77157" w:rsidP="0034290B">
      <w:pPr>
        <w:spacing w:line="360" w:lineRule="auto"/>
        <w:rPr>
          <w:rFonts w:ascii="Calibri" w:hAnsi="Calibri" w:cs="Calibri"/>
          <w:color w:val="000000"/>
        </w:rPr>
      </w:pPr>
      <w:proofErr w:type="spellStart"/>
      <w:r w:rsidRPr="0034290B">
        <w:rPr>
          <w:rFonts w:ascii="Calibri" w:hAnsi="Calibri" w:cs="Calibri"/>
          <w:color w:val="000000"/>
        </w:rPr>
        <w:t>Dr.</w:t>
      </w:r>
      <w:proofErr w:type="spellEnd"/>
      <w:r w:rsidRPr="0034290B">
        <w:rPr>
          <w:rFonts w:ascii="Calibri" w:hAnsi="Calibri" w:cs="Calibri"/>
          <w:color w:val="000000"/>
        </w:rPr>
        <w:t xml:space="preserve"> Fawiza Reza's work highlights the significance of cultural sensitivity and awareness in educational settings. In this case study, the child's asylum-seeking background and limited English proficiency underscores the need for educators to understand and respect her cultural background. </w:t>
      </w:r>
      <w:r w:rsidR="00CA4F0F">
        <w:rPr>
          <w:rFonts w:ascii="Calibri" w:hAnsi="Calibri" w:cs="Calibri"/>
          <w:color w:val="000000"/>
        </w:rPr>
        <w:t xml:space="preserve">Concurring with </w:t>
      </w:r>
      <w:r w:rsidRPr="0034290B">
        <w:rPr>
          <w:rFonts w:ascii="Calibri" w:hAnsi="Calibri" w:cs="Calibri"/>
          <w:color w:val="000000"/>
        </w:rPr>
        <w:t>Reza's theory</w:t>
      </w:r>
      <w:r w:rsidR="00CA4F0F">
        <w:rPr>
          <w:rFonts w:ascii="Calibri" w:hAnsi="Calibri" w:cs="Calibri"/>
          <w:color w:val="000000"/>
        </w:rPr>
        <w:t xml:space="preserve"> Banks (2006)</w:t>
      </w:r>
      <w:r w:rsidRPr="0034290B">
        <w:rPr>
          <w:rFonts w:ascii="Calibri" w:hAnsi="Calibri" w:cs="Calibri"/>
          <w:color w:val="000000"/>
        </w:rPr>
        <w:t>,</w:t>
      </w:r>
      <w:r w:rsidR="00CA4F0F">
        <w:rPr>
          <w:rFonts w:ascii="Calibri" w:hAnsi="Calibri" w:cs="Calibri"/>
          <w:color w:val="000000"/>
        </w:rPr>
        <w:t xml:space="preserve"> stipulates how</w:t>
      </w:r>
      <w:r w:rsidRPr="0034290B">
        <w:rPr>
          <w:rFonts w:ascii="Calibri" w:hAnsi="Calibri" w:cs="Calibri"/>
          <w:color w:val="000000"/>
        </w:rPr>
        <w:t xml:space="preserve"> inclusive leadership requires educators to implement culturally responsive teaching practices, such as school counsellors and social workers, provide language support, EAL (English as an Additional Language) specialists, and create a welcoming environment where the child feels valued and included. </w:t>
      </w:r>
    </w:p>
    <w:p w14:paraId="15997385" w14:textId="77777777" w:rsidR="00C77157" w:rsidRPr="0034290B" w:rsidRDefault="00C77157" w:rsidP="0034290B">
      <w:pPr>
        <w:spacing w:line="360" w:lineRule="auto"/>
        <w:rPr>
          <w:rFonts w:ascii="Calibri" w:hAnsi="Calibri" w:cs="Calibri"/>
          <w:color w:val="000000"/>
        </w:rPr>
      </w:pPr>
    </w:p>
    <w:p w14:paraId="3AF177B4" w14:textId="7ED00A82"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Notwithstanding</w:t>
      </w:r>
      <w:r w:rsidR="003A41A6">
        <w:rPr>
          <w:rFonts w:ascii="Calibri" w:hAnsi="Calibri" w:cs="Calibri"/>
          <w:color w:val="000000"/>
        </w:rPr>
        <w:t>,</w:t>
      </w:r>
      <w:r w:rsidRPr="0034290B">
        <w:rPr>
          <w:rFonts w:ascii="Calibri" w:hAnsi="Calibri" w:cs="Calibri"/>
          <w:color w:val="000000"/>
        </w:rPr>
        <w:t xml:space="preserve"> Ferdman (2021) emphasises the role of inclusive leadership in valuing diversity and </w:t>
      </w:r>
      <w:r w:rsidR="0050473C" w:rsidRPr="0034290B">
        <w:rPr>
          <w:rFonts w:ascii="Calibri" w:hAnsi="Calibri" w:cs="Calibri"/>
          <w:color w:val="000000"/>
        </w:rPr>
        <w:t>adopting</w:t>
      </w:r>
      <w:r w:rsidRPr="0034290B">
        <w:rPr>
          <w:rFonts w:ascii="Calibri" w:hAnsi="Calibri" w:cs="Calibri"/>
          <w:color w:val="000000"/>
        </w:rPr>
        <w:t xml:space="preserve"> a sense of belonging within educational communities Gibson and Blandford (2005). In the scenario context, inclusive leadership involves recognising the unique challenges asylum-seeking children and their families face and actively working to address these challenges. This may include providing comprehensive support services, such as access to mental health resources and language assistance and promoting empathy and understanding among peers to prevent bullying and promote positive social interaction</w:t>
      </w:r>
      <w:r w:rsidR="00CA4F0F">
        <w:rPr>
          <w:rFonts w:ascii="Calibri" w:hAnsi="Calibri" w:cs="Calibri"/>
          <w:color w:val="000000"/>
        </w:rPr>
        <w:t xml:space="preserve">s, </w:t>
      </w:r>
      <w:r w:rsidR="00FA757A">
        <w:rPr>
          <w:rFonts w:ascii="Calibri" w:hAnsi="Calibri" w:cs="Calibri"/>
          <w:color w:val="000000"/>
        </w:rPr>
        <w:t>(</w:t>
      </w:r>
      <w:r w:rsidR="00CA4F0F">
        <w:rPr>
          <w:rFonts w:ascii="Calibri" w:hAnsi="Calibri" w:cs="Calibri"/>
          <w:color w:val="000000"/>
        </w:rPr>
        <w:t xml:space="preserve">Bradshaw, </w:t>
      </w:r>
      <w:proofErr w:type="spellStart"/>
      <w:r w:rsidR="00CA4F0F">
        <w:rPr>
          <w:rFonts w:ascii="Calibri" w:hAnsi="Calibri" w:cs="Calibri"/>
          <w:color w:val="000000"/>
        </w:rPr>
        <w:t>Waasdorp</w:t>
      </w:r>
      <w:proofErr w:type="spellEnd"/>
      <w:r w:rsidR="00CA4F0F">
        <w:rPr>
          <w:rFonts w:ascii="Calibri" w:hAnsi="Calibri" w:cs="Calibri"/>
          <w:color w:val="000000"/>
        </w:rPr>
        <w:t xml:space="preserve"> 2009)</w:t>
      </w:r>
      <w:r w:rsidRPr="0034290B">
        <w:rPr>
          <w:rFonts w:ascii="Calibri" w:hAnsi="Calibri" w:cs="Calibri"/>
          <w:color w:val="000000"/>
        </w:rPr>
        <w:t xml:space="preserve">. </w:t>
      </w:r>
    </w:p>
    <w:p w14:paraId="5C8A0BAE" w14:textId="77777777" w:rsidR="00C77157" w:rsidRPr="0034290B" w:rsidRDefault="00C77157" w:rsidP="0034290B">
      <w:pPr>
        <w:spacing w:line="360" w:lineRule="auto"/>
        <w:rPr>
          <w:rFonts w:ascii="Calibri" w:hAnsi="Calibri" w:cs="Calibri"/>
          <w:color w:val="000000"/>
        </w:rPr>
      </w:pPr>
    </w:p>
    <w:p w14:paraId="36EF0381" w14:textId="0F6F682F"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Arar's (2020) research sheds light on the specific challenges asylum-seeking children face and the need for comprehensive support systems. The child's reported health issues and experiences of bullying on the playground highlight the importance of addressing both the physical and emotional well-being of asylum-seeking children</w:t>
      </w:r>
      <w:r w:rsidR="00E233EA">
        <w:rPr>
          <w:rFonts w:ascii="Calibri" w:hAnsi="Calibri" w:cs="Calibri"/>
          <w:color w:val="000000"/>
        </w:rPr>
        <w:t>,</w:t>
      </w:r>
      <w:r w:rsidR="00FA757A">
        <w:rPr>
          <w:rFonts w:ascii="Calibri" w:hAnsi="Calibri" w:cs="Calibri"/>
          <w:color w:val="000000"/>
        </w:rPr>
        <w:t>(</w:t>
      </w:r>
      <w:r w:rsidR="00E233EA">
        <w:rPr>
          <w:rFonts w:ascii="Calibri" w:hAnsi="Calibri" w:cs="Calibri"/>
          <w:color w:val="000000"/>
        </w:rPr>
        <w:t xml:space="preserve">Gini, and </w:t>
      </w:r>
      <w:proofErr w:type="spellStart"/>
      <w:r w:rsidR="00E233EA">
        <w:rPr>
          <w:rFonts w:ascii="Calibri" w:hAnsi="Calibri" w:cs="Calibri"/>
          <w:color w:val="000000"/>
        </w:rPr>
        <w:t>Pozzoli</w:t>
      </w:r>
      <w:proofErr w:type="spellEnd"/>
      <w:r w:rsidR="00E233EA">
        <w:rPr>
          <w:rFonts w:ascii="Calibri" w:hAnsi="Calibri" w:cs="Calibri"/>
          <w:color w:val="000000"/>
        </w:rPr>
        <w:t>, 2009)</w:t>
      </w:r>
      <w:r w:rsidRPr="0034290B">
        <w:rPr>
          <w:rFonts w:ascii="Calibri" w:hAnsi="Calibri" w:cs="Calibri"/>
          <w:color w:val="000000"/>
        </w:rPr>
        <w:t xml:space="preserve">. As </w:t>
      </w:r>
      <w:r w:rsidRPr="0034290B">
        <w:rPr>
          <w:rFonts w:ascii="Calibri" w:hAnsi="Calibri" w:cs="Calibri"/>
          <w:color w:val="000000"/>
        </w:rPr>
        <w:lastRenderedPageBreak/>
        <w:t>informed by Arar's findings, inclusive leadership involves collaborating with families, communities, and practitioners to provide holistic support that addresses the child's needs and circumstances.</w:t>
      </w:r>
    </w:p>
    <w:p w14:paraId="0A6637EB" w14:textId="77777777" w:rsidR="00C77157" w:rsidRPr="0034290B" w:rsidRDefault="00C77157" w:rsidP="0034290B">
      <w:pPr>
        <w:spacing w:line="360" w:lineRule="auto"/>
        <w:rPr>
          <w:rFonts w:ascii="Calibri" w:hAnsi="Calibri" w:cs="Calibri"/>
          <w:color w:val="000000"/>
        </w:rPr>
      </w:pPr>
    </w:p>
    <w:p w14:paraId="0E7BF3DD" w14:textId="01CBCE35"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Scanlon and Johnson (2015) highlight the role of inclusive leadership in building strong connections with families and communities. However, as stated by (DiPaola and Walther-Thomas, 2003 Florian 2008; Sharma and Desai,2008), prior research has shown leadership obstacles to its adoption despite inclusion's appeal. In the scenario, inclusive leadership requires educators to establish open and transparent communication channels with the child's parents, actively involving them in decision-making processes related to their child's education. Similarly, establishing an inclusive school atmosphere and implementing inclusive leadership practices that incorporate everyone is crucial. (Carter and Abawi, 2018; Florian, 2008; and Ainscow,  2004; Lambrecht et al., 2020).Accordingly, inclusive leadership involves forging partnerships with community organisations and stakeholders to create a support network for asylum-seeking families, ensuring they can access the resources and services they need to thrive (Florian, 2008; Jordan and McGhie-Richard, 2014). </w:t>
      </w:r>
    </w:p>
    <w:p w14:paraId="44470F52" w14:textId="77777777" w:rsidR="00C77157" w:rsidRPr="0034290B" w:rsidRDefault="00C77157" w:rsidP="0034290B">
      <w:pPr>
        <w:spacing w:line="360" w:lineRule="auto"/>
        <w:rPr>
          <w:rFonts w:ascii="Calibri" w:hAnsi="Calibri" w:cs="Calibri"/>
          <w:color w:val="000000"/>
        </w:rPr>
      </w:pPr>
    </w:p>
    <w:p w14:paraId="752392CE" w14:textId="17A47D13"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As an early-year teaching assistant, my role in evaluating the connection between the child's absences and experiences of bullying is crucial. Inclusive leadership requires proactive intervention to address these issues effectively. Through the IRC's Healing Classrooms programme, educators and support personnel in England receive training on providing safe havens for learning and development for children who have experienced displacement and conflict. This may involve collaborating with the class teacher and other staff members to implement cultural competence training for staff</w:t>
      </w:r>
      <w:r w:rsidR="00E34695">
        <w:rPr>
          <w:rFonts w:ascii="Calibri" w:hAnsi="Calibri" w:cs="Calibri"/>
          <w:color w:val="000000"/>
        </w:rPr>
        <w:t xml:space="preserve"> trauma-informed classes</w:t>
      </w:r>
      <w:r w:rsidRPr="0034290B">
        <w:rPr>
          <w:rFonts w:ascii="Calibri" w:hAnsi="Calibri" w:cs="Calibri"/>
          <w:color w:val="000000"/>
        </w:rPr>
        <w:t>, anti-bullying initiatives, provide support services to the child and her family, and advocate for systemic changes to promote a more inclusive and welcoming school environment (Gumus et al., 2013; Lambrecht et al., 2020). However, it may be possible to involve teachers as valued participants in the leadership process if early childhood leadership is conceptualised through the lenses of teaching and learning (</w:t>
      </w:r>
      <w:proofErr w:type="spellStart"/>
      <w:r w:rsidRPr="0034290B">
        <w:rPr>
          <w:rFonts w:ascii="Calibri" w:hAnsi="Calibri" w:cs="Calibri"/>
          <w:color w:val="000000"/>
        </w:rPr>
        <w:t>Heikka</w:t>
      </w:r>
      <w:proofErr w:type="spellEnd"/>
      <w:r w:rsidRPr="0034290B">
        <w:rPr>
          <w:rFonts w:ascii="Calibri" w:hAnsi="Calibri" w:cs="Calibri"/>
          <w:color w:val="000000"/>
        </w:rPr>
        <w:t xml:space="preserve"> and </w:t>
      </w:r>
      <w:proofErr w:type="spellStart"/>
      <w:r w:rsidRPr="0034290B">
        <w:rPr>
          <w:rFonts w:ascii="Calibri" w:hAnsi="Calibri" w:cs="Calibri"/>
          <w:color w:val="000000"/>
        </w:rPr>
        <w:t>Waniganayake</w:t>
      </w:r>
      <w:proofErr w:type="spellEnd"/>
      <w:r w:rsidRPr="0034290B">
        <w:rPr>
          <w:rFonts w:ascii="Calibri" w:hAnsi="Calibri" w:cs="Calibri"/>
          <w:color w:val="000000"/>
        </w:rPr>
        <w:t>, 2011) or what Palaiologou and Male (2019) refer to as "pedagogical praxis" (p. 29). Because of this inclusion, all children will receive high-quality teaching and care (Siraj-Blatchford and Manni, 2007).</w:t>
      </w:r>
    </w:p>
    <w:p w14:paraId="70C3D6C1" w14:textId="77777777" w:rsidR="00C77157" w:rsidRPr="0034290B" w:rsidRDefault="00C77157" w:rsidP="0034290B">
      <w:pPr>
        <w:spacing w:line="360" w:lineRule="auto"/>
        <w:rPr>
          <w:rFonts w:ascii="Calibri" w:hAnsi="Calibri" w:cs="Calibri"/>
          <w:color w:val="000000"/>
        </w:rPr>
      </w:pPr>
    </w:p>
    <w:p w14:paraId="7C68E1D4" w14:textId="48B5914C" w:rsidR="007E5315" w:rsidRPr="0034290B" w:rsidRDefault="00C77157" w:rsidP="0034290B">
      <w:pPr>
        <w:spacing w:line="360" w:lineRule="auto"/>
        <w:rPr>
          <w:rFonts w:ascii="Calibri" w:hAnsi="Calibri" w:cs="Calibri"/>
          <w:color w:val="000000"/>
        </w:rPr>
      </w:pPr>
      <w:r w:rsidRPr="0034290B">
        <w:rPr>
          <w:rFonts w:ascii="Calibri" w:hAnsi="Calibri" w:cs="Calibri"/>
          <w:color w:val="000000"/>
        </w:rPr>
        <w:lastRenderedPageBreak/>
        <w:t>In brief, addressing the challenges the young child faces in year one requires a multi-layered approach centred on inclusive leadership</w:t>
      </w:r>
      <w:r w:rsidR="009928BD">
        <w:rPr>
          <w:rFonts w:ascii="Calibri" w:hAnsi="Calibri" w:cs="Calibri"/>
          <w:color w:val="000000"/>
        </w:rPr>
        <w:t xml:space="preserve"> Perry, and Daniels (2016) </w:t>
      </w:r>
      <w:r w:rsidRPr="0034290B">
        <w:rPr>
          <w:rFonts w:ascii="Calibri" w:hAnsi="Calibri" w:cs="Calibri"/>
          <w:color w:val="000000"/>
        </w:rPr>
        <w:t>. Immediate steps include providing targeted language support and emotional counselling to help the child overcome communication barriers and cope with any trauma</w:t>
      </w:r>
      <w:r w:rsidR="009928BD">
        <w:rPr>
          <w:rFonts w:ascii="Calibri" w:hAnsi="Calibri" w:cs="Calibri"/>
          <w:color w:val="000000"/>
        </w:rPr>
        <w:t>,</w:t>
      </w:r>
      <w:r w:rsidR="00812BFB">
        <w:rPr>
          <w:rFonts w:ascii="Calibri" w:hAnsi="Calibri" w:cs="Calibri"/>
          <w:color w:val="000000"/>
        </w:rPr>
        <w:t xml:space="preserve"> (</w:t>
      </w:r>
      <w:r w:rsidR="009928BD">
        <w:rPr>
          <w:rFonts w:ascii="Calibri" w:hAnsi="Calibri" w:cs="Calibri"/>
          <w:color w:val="000000"/>
        </w:rPr>
        <w:t xml:space="preserve">Pearson, </w:t>
      </w:r>
      <w:r w:rsidR="00812BFB">
        <w:rPr>
          <w:rFonts w:ascii="Calibri" w:hAnsi="Calibri" w:cs="Calibri"/>
          <w:color w:val="000000"/>
        </w:rPr>
        <w:t>2</w:t>
      </w:r>
      <w:r w:rsidR="009928BD">
        <w:rPr>
          <w:rFonts w:ascii="Calibri" w:hAnsi="Calibri" w:cs="Calibri"/>
          <w:color w:val="000000"/>
        </w:rPr>
        <w:t>022)</w:t>
      </w:r>
      <w:r w:rsidRPr="0034290B">
        <w:rPr>
          <w:rFonts w:ascii="Calibri" w:hAnsi="Calibri" w:cs="Calibri"/>
          <w:color w:val="000000"/>
        </w:rPr>
        <w:t>. Implementing anti-bullying initiatives and increasing playground supervision are essential to ensure her safety and well-being</w:t>
      </w:r>
      <w:r w:rsidR="00AA7720">
        <w:rPr>
          <w:rFonts w:ascii="Calibri" w:hAnsi="Calibri" w:cs="Calibri"/>
          <w:color w:val="000000"/>
        </w:rPr>
        <w:t>, Keigher, (2021)</w:t>
      </w:r>
      <w:r w:rsidRPr="0034290B">
        <w:rPr>
          <w:rFonts w:ascii="Calibri" w:hAnsi="Calibri" w:cs="Calibri"/>
          <w:color w:val="000000"/>
        </w:rPr>
        <w:t>. Building strong, culturally sensitive communication channels with her family and engaging in ongoing professional development for staff will foster a more inclusive school environment</w:t>
      </w:r>
      <w:r w:rsidR="009928BD">
        <w:rPr>
          <w:rFonts w:ascii="Calibri" w:hAnsi="Calibri" w:cs="Calibri"/>
          <w:color w:val="000000"/>
        </w:rPr>
        <w:t>,</w:t>
      </w:r>
      <w:r w:rsidR="00AA7720">
        <w:rPr>
          <w:rFonts w:ascii="Calibri" w:hAnsi="Calibri" w:cs="Calibri"/>
          <w:color w:val="000000"/>
        </w:rPr>
        <w:t xml:space="preserve"> Department of education (2020)</w:t>
      </w:r>
      <w:r w:rsidRPr="0034290B">
        <w:rPr>
          <w:rFonts w:ascii="Calibri" w:hAnsi="Calibri" w:cs="Calibri"/>
          <w:color w:val="000000"/>
        </w:rPr>
        <w:t>. Additionally, forming partnerships with community organisations can offer additional resources and support, ensuring a holistic approach to the child's integration and success. Regular monitoring and feedback mechanisms will help assess the effectiveness of these interventions and ensure continuous improvement.</w:t>
      </w:r>
    </w:p>
    <w:p w14:paraId="0A6897BB" w14:textId="77777777" w:rsidR="004A28DB" w:rsidRPr="0034290B" w:rsidRDefault="004A28DB" w:rsidP="0034290B">
      <w:pPr>
        <w:spacing w:line="360" w:lineRule="auto"/>
        <w:rPr>
          <w:rFonts w:ascii="Calibri" w:hAnsi="Calibri" w:cs="Calibri"/>
          <w:color w:val="000000"/>
        </w:rPr>
      </w:pPr>
    </w:p>
    <w:p w14:paraId="742654AB"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5A37815A"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6CCECEDA"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0CF8E0EE"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383E3C01"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3B02638E"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7D0F3761"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7CC2FA3F"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03EC8569"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1C8D51C7"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7BE7D586"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399AC60F"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64C421A6"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1EC020F3"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25188C25"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5E974223"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694B1A03" w14:textId="77777777" w:rsidR="00E3348E" w:rsidRDefault="00E3348E" w:rsidP="0034290B">
      <w:pPr>
        <w:pStyle w:val="NormalWeb"/>
        <w:spacing w:before="0" w:beforeAutospacing="0" w:after="0" w:afterAutospacing="0" w:line="360" w:lineRule="auto"/>
        <w:rPr>
          <w:rFonts w:ascii="Calibri" w:hAnsi="Calibri" w:cs="Calibri"/>
          <w:color w:val="0E101A"/>
        </w:rPr>
      </w:pPr>
    </w:p>
    <w:p w14:paraId="6FC39C1C" w14:textId="77777777" w:rsidR="00E3348E" w:rsidRDefault="00E3348E" w:rsidP="0034290B">
      <w:pPr>
        <w:pStyle w:val="NormalWeb"/>
        <w:spacing w:before="0" w:beforeAutospacing="0" w:after="0" w:afterAutospacing="0" w:line="360" w:lineRule="auto"/>
        <w:rPr>
          <w:rFonts w:ascii="Calibri" w:hAnsi="Calibri" w:cs="Calibri"/>
          <w:color w:val="0E101A"/>
        </w:rPr>
      </w:pPr>
    </w:p>
    <w:p w14:paraId="41D32242" w14:textId="77777777" w:rsidR="000418FB" w:rsidRDefault="000418FB" w:rsidP="0034290B">
      <w:pPr>
        <w:pStyle w:val="NormalWeb"/>
        <w:spacing w:before="0" w:beforeAutospacing="0" w:after="0" w:afterAutospacing="0" w:line="360" w:lineRule="auto"/>
        <w:rPr>
          <w:rFonts w:ascii="Calibri" w:hAnsi="Calibri" w:cs="Calibri"/>
          <w:color w:val="0E101A"/>
        </w:rPr>
      </w:pPr>
    </w:p>
    <w:p w14:paraId="25B5F0B7" w14:textId="24BEABD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lastRenderedPageBreak/>
        <w:t>Levin (1997) notes four ways the term' policy' might be used.</w:t>
      </w:r>
      <w:r w:rsidRPr="0034290B">
        <w:rPr>
          <w:rStyle w:val="apple-converted-space"/>
          <w:rFonts w:ascii="Calibri" w:eastAsiaTheme="majorEastAsia" w:hAnsi="Calibri" w:cs="Calibri"/>
          <w:color w:val="0E101A"/>
        </w:rPr>
        <w:t> </w:t>
      </w:r>
    </w:p>
    <w:p w14:paraId="4FE064C9"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Some components are universal to all applications of the word" policy", even though it is vital to recognise the variances in its meaning. Any policy, in Levin's option, will include the following:</w:t>
      </w:r>
    </w:p>
    <w:p w14:paraId="6E8757B8"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Belongingness:</w:t>
      </w:r>
      <w:r w:rsidRPr="0034290B">
        <w:rPr>
          <w:rStyle w:val="apple-converted-space"/>
          <w:rFonts w:ascii="Calibri" w:eastAsiaTheme="majorEastAsia" w:hAnsi="Calibri" w:cs="Calibri"/>
          <w:color w:val="0E101A"/>
        </w:rPr>
        <w:t> </w:t>
      </w:r>
      <w:r w:rsidRPr="0034290B">
        <w:rPr>
          <w:rFonts w:ascii="Calibri" w:hAnsi="Calibri" w:cs="Calibri"/>
          <w:color w:val="0E101A"/>
        </w:rPr>
        <w:t>A policy will be a part of an organisation, be it a political party, a government agency, a private setting,</w:t>
      </w:r>
      <w:r w:rsidRPr="0034290B">
        <w:rPr>
          <w:rStyle w:val="apple-converted-space"/>
          <w:rFonts w:ascii="Calibri" w:eastAsiaTheme="majorEastAsia" w:hAnsi="Calibri" w:cs="Calibri"/>
          <w:color w:val="0E101A"/>
        </w:rPr>
        <w:t> </w:t>
      </w:r>
      <w:r w:rsidRPr="0034290B">
        <w:rPr>
          <w:rFonts w:ascii="Calibri" w:hAnsi="Calibri" w:cs="Calibri"/>
          <w:color w:val="0E101A"/>
        </w:rPr>
        <w:t>etc.</w:t>
      </w:r>
      <w:r w:rsidRPr="0034290B">
        <w:rPr>
          <w:rStyle w:val="apple-converted-space"/>
          <w:rFonts w:ascii="Calibri" w:eastAsiaTheme="majorEastAsia" w:hAnsi="Calibri" w:cs="Calibri"/>
          <w:color w:val="0E101A"/>
        </w:rPr>
        <w:t> </w:t>
      </w:r>
    </w:p>
    <w:p w14:paraId="593D32D7"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Commitment:</w:t>
      </w:r>
      <w:r w:rsidRPr="0034290B">
        <w:rPr>
          <w:rStyle w:val="apple-converted-space"/>
          <w:rFonts w:ascii="Calibri" w:eastAsiaTheme="majorEastAsia" w:hAnsi="Calibri" w:cs="Calibri"/>
          <w:color w:val="0E101A"/>
        </w:rPr>
        <w:t> </w:t>
      </w:r>
      <w:r w:rsidRPr="0034290B">
        <w:rPr>
          <w:rFonts w:ascii="Calibri" w:hAnsi="Calibri" w:cs="Calibri"/>
          <w:color w:val="0E101A"/>
        </w:rPr>
        <w:t>An entity's commitment to a specific strategy or plan of action</w:t>
      </w:r>
      <w:r w:rsidRPr="0034290B">
        <w:rPr>
          <w:rStyle w:val="apple-converted-space"/>
          <w:rFonts w:ascii="Calibri" w:eastAsiaTheme="majorEastAsia" w:hAnsi="Calibri" w:cs="Calibri"/>
          <w:color w:val="0E101A"/>
        </w:rPr>
        <w:t> </w:t>
      </w:r>
      <w:r w:rsidRPr="0034290B">
        <w:rPr>
          <w:rFonts w:ascii="Calibri" w:hAnsi="Calibri" w:cs="Calibri"/>
          <w:color w:val="0E101A"/>
        </w:rPr>
        <w:t>is shown</w:t>
      </w:r>
      <w:r w:rsidRPr="0034290B">
        <w:rPr>
          <w:rStyle w:val="apple-converted-space"/>
          <w:rFonts w:ascii="Calibri" w:eastAsiaTheme="majorEastAsia" w:hAnsi="Calibri" w:cs="Calibri"/>
          <w:color w:val="0E101A"/>
        </w:rPr>
        <w:t> </w:t>
      </w:r>
      <w:r w:rsidRPr="0034290B">
        <w:rPr>
          <w:rFonts w:ascii="Calibri" w:hAnsi="Calibri" w:cs="Calibri"/>
          <w:color w:val="0E101A"/>
        </w:rPr>
        <w:t>in a policy.</w:t>
      </w:r>
      <w:r w:rsidRPr="0034290B">
        <w:rPr>
          <w:rStyle w:val="apple-converted-space"/>
          <w:rFonts w:ascii="Calibri" w:eastAsiaTheme="majorEastAsia" w:hAnsi="Calibri" w:cs="Calibri"/>
          <w:color w:val="0E101A"/>
        </w:rPr>
        <w:t> </w:t>
      </w:r>
    </w:p>
    <w:p w14:paraId="1BD44BD5"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Status:</w:t>
      </w:r>
      <w:r w:rsidRPr="0034290B">
        <w:rPr>
          <w:rStyle w:val="apple-converted-space"/>
          <w:rFonts w:ascii="Calibri" w:eastAsiaTheme="majorEastAsia" w:hAnsi="Calibri" w:cs="Calibri"/>
          <w:color w:val="0E101A"/>
        </w:rPr>
        <w:t> </w:t>
      </w:r>
      <w:r w:rsidRPr="0034290B">
        <w:rPr>
          <w:rFonts w:ascii="Calibri" w:hAnsi="Calibri" w:cs="Calibri"/>
          <w:color w:val="0E101A"/>
        </w:rPr>
        <w:t>Calling a plan or collection of thoughts a policy suggests that the organisation proposing it has officially accepted it.</w:t>
      </w:r>
      <w:r w:rsidRPr="0034290B">
        <w:rPr>
          <w:rStyle w:val="apple-converted-space"/>
          <w:rFonts w:ascii="Calibri" w:eastAsiaTheme="majorEastAsia" w:hAnsi="Calibri" w:cs="Calibri"/>
          <w:color w:val="0E101A"/>
        </w:rPr>
        <w:t> </w:t>
      </w:r>
    </w:p>
    <w:p w14:paraId="3A6DE92B"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Specificity:</w:t>
      </w:r>
      <w:r w:rsidRPr="0034290B">
        <w:rPr>
          <w:rStyle w:val="apple-converted-space"/>
          <w:rFonts w:ascii="Calibri" w:eastAsiaTheme="majorEastAsia" w:hAnsi="Calibri" w:cs="Calibri"/>
          <w:color w:val="0E101A"/>
        </w:rPr>
        <w:t> </w:t>
      </w:r>
      <w:r w:rsidRPr="0034290B">
        <w:rPr>
          <w:rFonts w:ascii="Calibri" w:hAnsi="Calibri" w:cs="Calibri"/>
          <w:color w:val="0E101A"/>
        </w:rPr>
        <w:t>Although the degree of specificity may differ, a policy will include methods for resolving specific challenges.</w:t>
      </w:r>
    </w:p>
    <w:p w14:paraId="1C05E377"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2596F8B4" w14:textId="29682951"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Policies are fundamental since they offer a well-organised framework for actions and decision-making in a company or government. By defining precise rules and processes that must be adhered to, they guarantee uniformity and clarity (Levin, 1997).</w:t>
      </w:r>
      <w:r w:rsidRPr="0034290B">
        <w:rPr>
          <w:rStyle w:val="apple-converted-space"/>
          <w:rFonts w:ascii="Calibri" w:eastAsiaTheme="majorEastAsia" w:hAnsi="Calibri" w:cs="Calibri"/>
          <w:color w:val="0E101A"/>
        </w:rPr>
        <w:t> </w:t>
      </w:r>
    </w:p>
    <w:p w14:paraId="2BCFE251" w14:textId="5BFFD61E"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Policies facilitate accountability by precisely defining roles and responsibilities, making it more straightforward to hold people or organisations accountable for their actions. Additionally, they aid the government or organisation with its overarching goals and objectives, fostering efficacy and efficiency</w:t>
      </w:r>
      <w:r w:rsidR="00096178">
        <w:rPr>
          <w:rFonts w:ascii="Calibri" w:hAnsi="Calibri" w:cs="Calibri"/>
          <w:color w:val="0E101A"/>
        </w:rPr>
        <w:t xml:space="preserve"> Peters (2020)</w:t>
      </w:r>
      <w:r w:rsidRPr="0034290B">
        <w:rPr>
          <w:rFonts w:ascii="Calibri" w:hAnsi="Calibri" w:cs="Calibri"/>
          <w:color w:val="0E101A"/>
        </w:rPr>
        <w:t>. Policies promote stability and predictability in operations and help to achieve desired outcomes by establishing norms and expectations.</w:t>
      </w:r>
    </w:p>
    <w:p w14:paraId="37A20684"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6129F77E" w14:textId="28F41A4F"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Researchers have identified several overarching concerns in policy in the early years. They highlight instances where the Early Childhood Education and Care (ECEC) system, despite its development trajectories, needs help to meet the ambitious goals set by policies (Naumann, 2018). Moreover, early years education policy tends to favour characteristics of an 'ideal learner', emphasising</w:t>
      </w:r>
      <w:r w:rsidRPr="0034290B">
        <w:rPr>
          <w:rStyle w:val="apple-converted-space"/>
          <w:rFonts w:ascii="Calibri" w:eastAsiaTheme="majorEastAsia" w:hAnsi="Calibri" w:cs="Calibri"/>
          <w:color w:val="0E101A"/>
        </w:rPr>
        <w:t> </w:t>
      </w:r>
      <w:r w:rsidRPr="0034290B">
        <w:rPr>
          <w:rFonts w:ascii="Calibri" w:hAnsi="Calibri" w:cs="Calibri"/>
          <w:color w:val="0E101A"/>
        </w:rPr>
        <w:t>traits such as</w:t>
      </w:r>
      <w:r w:rsidRPr="0034290B">
        <w:rPr>
          <w:rStyle w:val="apple-converted-space"/>
          <w:rFonts w:ascii="Calibri" w:eastAsiaTheme="majorEastAsia" w:hAnsi="Calibri" w:cs="Calibri"/>
          <w:color w:val="0E101A"/>
        </w:rPr>
        <w:t> </w:t>
      </w:r>
      <w:r w:rsidRPr="0034290B">
        <w:rPr>
          <w:rFonts w:ascii="Calibri" w:hAnsi="Calibri" w:cs="Calibri"/>
          <w:color w:val="0E101A"/>
        </w:rPr>
        <w:t>self-directed learning and being a 'good learner' (Bradbury, 2013).</w:t>
      </w:r>
      <w:r w:rsidRPr="0034290B">
        <w:rPr>
          <w:rStyle w:val="apple-converted-space"/>
          <w:rFonts w:ascii="Calibri" w:eastAsiaTheme="majorEastAsia" w:hAnsi="Calibri" w:cs="Calibri"/>
          <w:color w:val="0E101A"/>
        </w:rPr>
        <w:t> </w:t>
      </w:r>
    </w:p>
    <w:p w14:paraId="13B8DA1F"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22089436" w14:textId="2F6CA33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 xml:space="preserve">Dallymore (2019) investigates the complex process of policymaking in early childhood education and care (ECCE) systems. Her research strongly emphasises an all-encompassing </w:t>
      </w:r>
      <w:r w:rsidRPr="0034290B">
        <w:rPr>
          <w:rFonts w:ascii="Calibri" w:hAnsi="Calibri" w:cs="Calibri"/>
          <w:color w:val="0E101A"/>
        </w:rPr>
        <w:lastRenderedPageBreak/>
        <w:t>strategy that incorporates a range of issues that impact policy formation. Dallymore emphasises the value of evidence-based research in educating policymakers about successful ECEC policies and results. She also emphasises the importance of stakeholder participation in determining policy directions, including parents, advocacy organisations, educators, and governmental organisations. Dallymore demonstrates how policies</w:t>
      </w:r>
      <w:r w:rsidRPr="0034290B">
        <w:rPr>
          <w:rStyle w:val="apple-converted-space"/>
          <w:rFonts w:ascii="Calibri" w:eastAsiaTheme="majorEastAsia" w:hAnsi="Calibri" w:cs="Calibri"/>
          <w:color w:val="0E101A"/>
        </w:rPr>
        <w:t> </w:t>
      </w:r>
      <w:r w:rsidRPr="0034290B">
        <w:rPr>
          <w:rFonts w:ascii="Calibri" w:hAnsi="Calibri" w:cs="Calibri"/>
          <w:color w:val="0E101A"/>
        </w:rPr>
        <w:t>are designed</w:t>
      </w:r>
      <w:r w:rsidRPr="0034290B">
        <w:rPr>
          <w:rStyle w:val="apple-converted-space"/>
          <w:rFonts w:ascii="Calibri" w:eastAsiaTheme="majorEastAsia" w:hAnsi="Calibri" w:cs="Calibri"/>
          <w:color w:val="0E101A"/>
        </w:rPr>
        <w:t> </w:t>
      </w:r>
      <w:r w:rsidRPr="0034290B">
        <w:rPr>
          <w:rFonts w:ascii="Calibri" w:hAnsi="Calibri" w:cs="Calibri"/>
          <w:color w:val="0E101A"/>
        </w:rPr>
        <w:t>to align with more general educational objectives and societal demands by looking at the political environment and legal frameworks</w:t>
      </w:r>
      <w:r w:rsidR="0013126C">
        <w:rPr>
          <w:rFonts w:ascii="Calibri" w:hAnsi="Calibri" w:cs="Calibri"/>
          <w:color w:val="0E101A"/>
        </w:rPr>
        <w:t>.</w:t>
      </w:r>
    </w:p>
    <w:p w14:paraId="1D066637" w14:textId="77777777" w:rsidR="007474C2" w:rsidRDefault="007474C2" w:rsidP="0034290B">
      <w:pPr>
        <w:pStyle w:val="NormalWeb"/>
        <w:spacing w:before="0" w:beforeAutospacing="0" w:after="0" w:afterAutospacing="0" w:line="360" w:lineRule="auto"/>
        <w:rPr>
          <w:rFonts w:ascii="Calibri" w:hAnsi="Calibri" w:cs="Calibri"/>
          <w:color w:val="0E101A"/>
        </w:rPr>
      </w:pPr>
    </w:p>
    <w:p w14:paraId="3E2AA3A0" w14:textId="680269FA"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The UK government has released a legislative advice document titled Special Educational Needs and Disability Code of Practice: 0 to 25 Years (2015). It describes local authorities, health organisations, early childhood educators, schools, and postsecondary education institutions' roles in identifying, evaluating, and providing for</w:t>
      </w:r>
      <w:r w:rsidRPr="0034290B">
        <w:rPr>
          <w:rStyle w:val="apple-converted-space"/>
          <w:rFonts w:ascii="Calibri" w:eastAsiaTheme="majorEastAsia" w:hAnsi="Calibri" w:cs="Calibri"/>
          <w:color w:val="0E101A"/>
        </w:rPr>
        <w:t> </w:t>
      </w:r>
      <w:r w:rsidRPr="0034290B">
        <w:rPr>
          <w:rFonts w:ascii="Calibri" w:hAnsi="Calibri" w:cs="Calibri"/>
          <w:color w:val="0E101A"/>
        </w:rPr>
        <w:t>children and young people with disabilities and special educational needs (SEN) from birth to age 25</w:t>
      </w:r>
      <w:r w:rsidR="00D57119">
        <w:rPr>
          <w:rFonts w:ascii="Calibri" w:hAnsi="Calibri" w:cs="Calibri"/>
          <w:color w:val="0E101A"/>
        </w:rPr>
        <w:t xml:space="preserve"> (Jones and Brown,2017)</w:t>
      </w:r>
      <w:r w:rsidRPr="0034290B">
        <w:rPr>
          <w:rFonts w:ascii="Calibri" w:hAnsi="Calibri" w:cs="Calibri"/>
          <w:color w:val="0E101A"/>
        </w:rPr>
        <w:t>. The Code strongly emphasises a person-centred approach to decision-making, including children, young people, and their families</w:t>
      </w:r>
      <w:r w:rsidR="00D57119">
        <w:rPr>
          <w:rFonts w:ascii="Calibri" w:hAnsi="Calibri" w:cs="Calibri"/>
          <w:color w:val="0E101A"/>
        </w:rPr>
        <w:t>, (Smith, 2018)</w:t>
      </w:r>
      <w:r w:rsidRPr="0034290B">
        <w:rPr>
          <w:rFonts w:ascii="Calibri" w:hAnsi="Calibri" w:cs="Calibri"/>
          <w:color w:val="0E101A"/>
        </w:rPr>
        <w:t xml:space="preserve">. It provides comprehensive guidance on a range of topics, including the provision of tailored support, the development of Education, Health and Care (EHC) plans, and the importance of smooth transitions to adulthood, with the overarching goal of ensuring that individuals with SEN and disabilities </w:t>
      </w:r>
      <w:r w:rsidR="0050473C" w:rsidRPr="0034290B">
        <w:rPr>
          <w:rFonts w:ascii="Calibri" w:hAnsi="Calibri" w:cs="Calibri"/>
          <w:color w:val="0E101A"/>
        </w:rPr>
        <w:t>attain</w:t>
      </w:r>
      <w:r w:rsidRPr="0034290B">
        <w:rPr>
          <w:rFonts w:ascii="Calibri" w:hAnsi="Calibri" w:cs="Calibri"/>
          <w:color w:val="0E101A"/>
        </w:rPr>
        <w:t xml:space="preserve"> the best possible educational and life outcomes</w:t>
      </w:r>
      <w:r w:rsidR="00D57119">
        <w:rPr>
          <w:rFonts w:ascii="Calibri" w:hAnsi="Calibri" w:cs="Calibri"/>
          <w:color w:val="0E101A"/>
        </w:rPr>
        <w:t xml:space="preserve"> (DfE,2015)</w:t>
      </w:r>
      <w:r w:rsidRPr="0034290B">
        <w:rPr>
          <w:rFonts w:ascii="Calibri" w:hAnsi="Calibri" w:cs="Calibri"/>
          <w:color w:val="0E101A"/>
        </w:rPr>
        <w:t>.</w:t>
      </w:r>
      <w:r w:rsidRPr="0034290B">
        <w:rPr>
          <w:rStyle w:val="apple-converted-space"/>
          <w:rFonts w:ascii="Calibri" w:eastAsiaTheme="majorEastAsia" w:hAnsi="Calibri" w:cs="Calibri"/>
          <w:color w:val="0E101A"/>
        </w:rPr>
        <w:t> </w:t>
      </w:r>
    </w:p>
    <w:p w14:paraId="1EDD635C"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04D3F9F6" w14:textId="6DBE68D0"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Significant distinctions exist between the guidance of Wales</w:t>
      </w:r>
      <w:r w:rsidRPr="0034290B">
        <w:rPr>
          <w:rStyle w:val="apple-converted-space"/>
          <w:rFonts w:ascii="Calibri" w:eastAsiaTheme="majorEastAsia" w:hAnsi="Calibri" w:cs="Calibri"/>
          <w:color w:val="0E101A"/>
        </w:rPr>
        <w:t> </w:t>
      </w:r>
      <w:r w:rsidRPr="0034290B">
        <w:rPr>
          <w:rFonts w:ascii="Calibri" w:hAnsi="Calibri" w:cs="Calibri"/>
          <w:color w:val="0E101A"/>
        </w:rPr>
        <w:t>and the Special Educational Needs and Disability Code of Practice:0 to 25 Years</w:t>
      </w:r>
      <w:r w:rsidRPr="0034290B">
        <w:rPr>
          <w:rStyle w:val="apple-converted-space"/>
          <w:rFonts w:ascii="Calibri" w:eastAsiaTheme="majorEastAsia" w:hAnsi="Calibri" w:cs="Calibri"/>
          <w:color w:val="0E101A"/>
        </w:rPr>
        <w:t> </w:t>
      </w:r>
      <w:r w:rsidRPr="0034290B">
        <w:rPr>
          <w:rFonts w:ascii="Calibri" w:hAnsi="Calibri" w:cs="Calibri"/>
          <w:color w:val="0E101A"/>
        </w:rPr>
        <w:t>(2015), which is expressly applicable to England. A more integrated approach to support that encompasses education, health, and social care is promoted in England by the Code, which replaces the earlier</w:t>
      </w:r>
      <w:r w:rsidRPr="0034290B">
        <w:rPr>
          <w:rStyle w:val="apple-converted-space"/>
          <w:rFonts w:ascii="Calibri" w:eastAsiaTheme="majorEastAsia" w:hAnsi="Calibri" w:cs="Calibri"/>
          <w:color w:val="0E101A"/>
        </w:rPr>
        <w:t> </w:t>
      </w:r>
      <w:r w:rsidRPr="0034290B">
        <w:rPr>
          <w:rFonts w:ascii="Calibri" w:hAnsi="Calibri" w:cs="Calibri"/>
          <w:color w:val="0E101A"/>
        </w:rPr>
        <w:t>statements of SEN and Learning Difficulty Assessments with</w:t>
      </w:r>
      <w:r w:rsidRPr="0034290B">
        <w:rPr>
          <w:rStyle w:val="apple-converted-space"/>
          <w:rFonts w:ascii="Calibri" w:eastAsiaTheme="majorEastAsia" w:hAnsi="Calibri" w:cs="Calibri"/>
          <w:color w:val="0E101A"/>
        </w:rPr>
        <w:t> </w:t>
      </w:r>
      <w:r w:rsidRPr="0034290B">
        <w:rPr>
          <w:rFonts w:ascii="Calibri" w:hAnsi="Calibri" w:cs="Calibri"/>
          <w:color w:val="0E101A"/>
        </w:rPr>
        <w:t>Education, Health, and Care (EHC) plans</w:t>
      </w:r>
      <w:r w:rsidR="008C2428">
        <w:rPr>
          <w:rFonts w:ascii="Calibri" w:hAnsi="Calibri" w:cs="Calibri"/>
          <w:color w:val="0E101A"/>
        </w:rPr>
        <w:t xml:space="preserve"> (Oxford Academic)</w:t>
      </w:r>
      <w:r w:rsidRPr="0034290B">
        <w:rPr>
          <w:rFonts w:ascii="Calibri" w:hAnsi="Calibri" w:cs="Calibri"/>
          <w:color w:val="0E101A"/>
        </w:rPr>
        <w:t>. On the other hand, Wales still refers to SEN provisions as "statements".</w:t>
      </w:r>
      <w:r w:rsidRPr="0034290B">
        <w:rPr>
          <w:rStyle w:val="apple-converted-space"/>
          <w:rFonts w:ascii="Calibri" w:eastAsiaTheme="majorEastAsia" w:hAnsi="Calibri" w:cs="Calibri"/>
          <w:color w:val="0E101A"/>
        </w:rPr>
        <w:t> </w:t>
      </w:r>
      <w:r w:rsidRPr="0034290B">
        <w:rPr>
          <w:rFonts w:ascii="Calibri" w:hAnsi="Calibri" w:cs="Calibri"/>
          <w:color w:val="0E101A"/>
        </w:rPr>
        <w:t>The Additional Learning Needs and Education Tribunal (Wales) Act 2018,which replaces the term "Special Educational Needs" (SEN) with "Additional Learning Needs" (ALN) from birth to age 25, also establishes Wales' legislative framework</w:t>
      </w:r>
      <w:r w:rsidR="008C2428">
        <w:rPr>
          <w:rFonts w:ascii="Calibri" w:hAnsi="Calibri" w:cs="Calibri"/>
          <w:color w:val="0E101A"/>
        </w:rPr>
        <w:t xml:space="preserve"> (GOV.WALES)</w:t>
      </w:r>
      <w:r w:rsidRPr="0034290B">
        <w:rPr>
          <w:rFonts w:ascii="Calibri" w:hAnsi="Calibri" w:cs="Calibri"/>
          <w:color w:val="0E101A"/>
        </w:rPr>
        <w:t>. The Welsh system places a strong emphasis on agency collaboration. It incorporates Individual Development Plans (IDPs), which</w:t>
      </w:r>
      <w:r w:rsidRPr="0034290B">
        <w:rPr>
          <w:rStyle w:val="apple-converted-space"/>
          <w:rFonts w:ascii="Calibri" w:eastAsiaTheme="majorEastAsia" w:hAnsi="Calibri" w:cs="Calibri"/>
          <w:color w:val="0E101A"/>
        </w:rPr>
        <w:t> </w:t>
      </w:r>
      <w:r w:rsidRPr="0034290B">
        <w:rPr>
          <w:rFonts w:ascii="Calibri" w:hAnsi="Calibri" w:cs="Calibri"/>
          <w:color w:val="0E101A"/>
        </w:rPr>
        <w:t>are meant</w:t>
      </w:r>
      <w:r w:rsidRPr="0034290B">
        <w:rPr>
          <w:rStyle w:val="apple-converted-space"/>
          <w:rFonts w:ascii="Calibri" w:eastAsiaTheme="majorEastAsia" w:hAnsi="Calibri" w:cs="Calibri"/>
          <w:color w:val="0E101A"/>
        </w:rPr>
        <w:t> </w:t>
      </w:r>
      <w:r w:rsidRPr="0034290B">
        <w:rPr>
          <w:rFonts w:ascii="Calibri" w:hAnsi="Calibri" w:cs="Calibri"/>
          <w:color w:val="0E101A"/>
        </w:rPr>
        <w:t xml:space="preserve">to offer comprehensive </w:t>
      </w:r>
      <w:r w:rsidRPr="0034290B">
        <w:rPr>
          <w:rFonts w:ascii="Calibri" w:hAnsi="Calibri" w:cs="Calibri"/>
          <w:color w:val="0E101A"/>
        </w:rPr>
        <w:lastRenderedPageBreak/>
        <w:t>support like English EHC plans but with a unique legal and procedural catered to the requirements of Welsh learners</w:t>
      </w:r>
      <w:r w:rsidR="008C2428">
        <w:rPr>
          <w:rFonts w:ascii="Calibri" w:hAnsi="Calibri" w:cs="Calibri"/>
          <w:color w:val="0E101A"/>
        </w:rPr>
        <w:t xml:space="preserve"> (GOV.UK)</w:t>
      </w:r>
      <w:r w:rsidRPr="0034290B">
        <w:rPr>
          <w:rFonts w:ascii="Calibri" w:hAnsi="Calibri" w:cs="Calibri"/>
          <w:color w:val="0E101A"/>
        </w:rPr>
        <w:t>.</w:t>
      </w:r>
      <w:r w:rsidRPr="0034290B">
        <w:rPr>
          <w:rStyle w:val="apple-converted-space"/>
          <w:rFonts w:ascii="Calibri" w:eastAsiaTheme="majorEastAsia" w:hAnsi="Calibri" w:cs="Calibri"/>
          <w:color w:val="0E101A"/>
        </w:rPr>
        <w:t> </w:t>
      </w:r>
    </w:p>
    <w:p w14:paraId="2E0F67EC" w14:textId="77777777" w:rsidR="00470872" w:rsidRPr="0034290B" w:rsidRDefault="00470872" w:rsidP="0034290B">
      <w:pPr>
        <w:pStyle w:val="NormalWeb"/>
        <w:spacing w:before="0" w:beforeAutospacing="0" w:after="0" w:afterAutospacing="0" w:line="360" w:lineRule="auto"/>
        <w:rPr>
          <w:rFonts w:ascii="Calibri" w:hAnsi="Calibri" w:cs="Calibri"/>
          <w:color w:val="0E101A"/>
        </w:rPr>
      </w:pPr>
    </w:p>
    <w:p w14:paraId="65429EA0" w14:textId="12930ABB"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According to recent studies and news reports, several issues contribute to the rising cost of the United Kingdom's Education, Health, and Care (EHC) plans. The demand for these plans has expanded dramatically due to the growing number of children with complex special educational needs and disabilities (SEND), placing pressure on local authority budgets. A BBC investigation claims that local councils need help to pay for the required specialised support, such as one-on-one help, therapy services, and adaptable technologies, and that many are facing multimillion-pound deficits. Expenses</w:t>
      </w:r>
      <w:r w:rsidRPr="0034290B">
        <w:rPr>
          <w:rStyle w:val="apple-converted-space"/>
          <w:rFonts w:ascii="Calibri" w:eastAsiaTheme="majorEastAsia" w:hAnsi="Calibri" w:cs="Calibri"/>
          <w:color w:val="0E101A"/>
        </w:rPr>
        <w:t> </w:t>
      </w:r>
      <w:r w:rsidRPr="0034290B">
        <w:rPr>
          <w:rFonts w:ascii="Calibri" w:hAnsi="Calibri" w:cs="Calibri"/>
          <w:color w:val="0E101A"/>
        </w:rPr>
        <w:t>are also increased</w:t>
      </w:r>
      <w:r w:rsidRPr="0034290B">
        <w:rPr>
          <w:rStyle w:val="apple-converted-space"/>
          <w:rFonts w:ascii="Calibri" w:eastAsiaTheme="majorEastAsia" w:hAnsi="Calibri" w:cs="Calibri"/>
          <w:color w:val="0E101A"/>
        </w:rPr>
        <w:t> </w:t>
      </w:r>
      <w:r w:rsidRPr="0034290B">
        <w:rPr>
          <w:rFonts w:ascii="Calibri" w:hAnsi="Calibri" w:cs="Calibri"/>
          <w:color w:val="0E101A"/>
        </w:rPr>
        <w:t>by administrative charges and legal challenges from parents who want appropriate service. Dallymore's (2019) research emphasises the financial strain on local governments by highlighting the substantial resources needed to create and manage EHC policies.</w:t>
      </w:r>
    </w:p>
    <w:p w14:paraId="7019CDF4"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47CC4C65" w14:textId="2E3987C1"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A critical analysis of the Assess, Plan, Do, Review cycle in the SEND Code of Practice (2015) reveals a systematic approach that provides tailored and flexible support for children with impairments and special educational needs. The Department of Education and Health (2015) states that this cycle method ensures that therapies are tailored to each patient and updated regularly through assessments and reviews. However, practical implementation may be challenging due to resource limitations, such as insufficient school funding and staffing (Ofsted, 2017). The cycle's effectiveness also depends on strong collaboration between educators, specialists, and families, which might vary widely depending on the situation</w:t>
      </w:r>
      <w:r w:rsidRPr="0034290B">
        <w:rPr>
          <w:rStyle w:val="apple-converted-space"/>
          <w:rFonts w:ascii="Calibri" w:eastAsiaTheme="majorEastAsia" w:hAnsi="Calibri" w:cs="Calibri"/>
          <w:color w:val="0E101A"/>
        </w:rPr>
        <w:t> </w:t>
      </w:r>
      <w:r w:rsidRPr="0034290B">
        <w:rPr>
          <w:rFonts w:ascii="Calibri" w:hAnsi="Calibri" w:cs="Calibri"/>
          <w:color w:val="0E101A"/>
        </w:rPr>
        <w:t>(Norwich and Eaton, 2015). Although the framework offers a thorough approach to assisting SEND students, systemic support and sufficient funding are necessary to ensure constant and efficient implementation.</w:t>
      </w:r>
      <w:r w:rsidRPr="0034290B">
        <w:rPr>
          <w:rStyle w:val="apple-converted-space"/>
          <w:rFonts w:ascii="Calibri" w:eastAsiaTheme="majorEastAsia" w:hAnsi="Calibri" w:cs="Calibri"/>
          <w:color w:val="0E101A"/>
        </w:rPr>
        <w:t> </w:t>
      </w:r>
    </w:p>
    <w:p w14:paraId="586934F9"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039BAA98" w14:textId="0F0EA64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To support children and young people with special educational needs and disabilities, the Departments of Education and Health (2015) have developed the Special Educational Needs and Disability (SEND) Code of Practice</w:t>
      </w:r>
      <w:r w:rsidRPr="0034290B">
        <w:rPr>
          <w:rStyle w:val="apple-converted-space"/>
          <w:rFonts w:ascii="Calibri" w:eastAsiaTheme="majorEastAsia" w:hAnsi="Calibri" w:cs="Calibri"/>
          <w:color w:val="0E101A"/>
        </w:rPr>
        <w:t> </w:t>
      </w:r>
      <w:r w:rsidRPr="0034290B">
        <w:rPr>
          <w:rFonts w:ascii="Calibri" w:hAnsi="Calibri" w:cs="Calibri"/>
          <w:color w:val="0E101A"/>
        </w:rPr>
        <w:t>0</w:t>
      </w:r>
      <w:r w:rsidRPr="0034290B">
        <w:rPr>
          <w:rStyle w:val="apple-converted-space"/>
          <w:rFonts w:ascii="Calibri" w:eastAsiaTheme="majorEastAsia" w:hAnsi="Calibri" w:cs="Calibri"/>
          <w:color w:val="0E101A"/>
        </w:rPr>
        <w:t> </w:t>
      </w:r>
      <w:r w:rsidRPr="0034290B">
        <w:rPr>
          <w:rFonts w:ascii="Calibri" w:hAnsi="Calibri" w:cs="Calibri"/>
          <w:color w:val="0E101A"/>
        </w:rPr>
        <w:t xml:space="preserve">to 25 years, which offers a systematic framework. The methodology focuses on the Assess, Plan, Do, and Review cycle to guarantee tailored interventions and progress tracking for contusions. Critical assessments. However, point out several implementation-related difficulties, such as a lack of resources and insufficient </w:t>
      </w:r>
      <w:r w:rsidRPr="0034290B">
        <w:rPr>
          <w:rFonts w:ascii="Calibri" w:hAnsi="Calibri" w:cs="Calibri"/>
          <w:color w:val="0E101A"/>
        </w:rPr>
        <w:lastRenderedPageBreak/>
        <w:t>money and</w:t>
      </w:r>
      <w:r w:rsidRPr="0034290B">
        <w:rPr>
          <w:rStyle w:val="apple-converted-space"/>
          <w:rFonts w:ascii="Calibri" w:eastAsiaTheme="majorEastAsia" w:hAnsi="Calibri" w:cs="Calibri"/>
          <w:color w:val="0E101A"/>
        </w:rPr>
        <w:t> </w:t>
      </w:r>
      <w:r w:rsidRPr="0034290B">
        <w:rPr>
          <w:rFonts w:ascii="Calibri" w:hAnsi="Calibri" w:cs="Calibri"/>
          <w:color w:val="0E101A"/>
        </w:rPr>
        <w:t>staffing in schools</w:t>
      </w:r>
      <w:r w:rsidRPr="0034290B">
        <w:rPr>
          <w:rStyle w:val="apple-converted-space"/>
          <w:rFonts w:ascii="Calibri" w:eastAsiaTheme="majorEastAsia" w:hAnsi="Calibri" w:cs="Calibri"/>
          <w:color w:val="0E101A"/>
        </w:rPr>
        <w:t> </w:t>
      </w:r>
      <w:r w:rsidRPr="0034290B">
        <w:rPr>
          <w:rFonts w:ascii="Calibri" w:hAnsi="Calibri" w:cs="Calibri"/>
          <w:color w:val="0E101A"/>
        </w:rPr>
        <w:t>(Castor-kemp et al., 2019). Moreover, cooperative efforts between educators, experts, and families are crucial for efficient implementation, and these efforts can range significantly between locations and contexts (Dallymore, 2019). Although the framework takes a comprehensive approach, its effectiveness could be improved by its implementation's financial strains and growing costs, as highlighted by recent talks (BBC News, 2023). These elements highlight the continuous need for adequate funding and systematic assistance to maximise the framework's effectiveness and guarantee fair support for all children and adolescents with SEND.</w:t>
      </w:r>
    </w:p>
    <w:p w14:paraId="3AE4826F" w14:textId="77777777" w:rsidR="00D15E66" w:rsidRPr="0034290B" w:rsidRDefault="00D15E66" w:rsidP="0034290B">
      <w:pPr>
        <w:spacing w:line="360" w:lineRule="auto"/>
        <w:rPr>
          <w:rFonts w:ascii="Calibri" w:hAnsi="Calibri" w:cs="Calibri"/>
          <w:b/>
          <w:bCs/>
          <w:color w:val="000000"/>
          <w:u w:val="single"/>
        </w:rPr>
      </w:pPr>
    </w:p>
    <w:p w14:paraId="79C8F237" w14:textId="77777777" w:rsidR="0034290B" w:rsidRDefault="0034290B" w:rsidP="0034290B">
      <w:pPr>
        <w:spacing w:line="360" w:lineRule="auto"/>
        <w:rPr>
          <w:rFonts w:ascii="Calibri" w:hAnsi="Calibri" w:cs="Calibri"/>
          <w:b/>
          <w:bCs/>
          <w:color w:val="000000"/>
          <w:u w:val="single"/>
        </w:rPr>
      </w:pPr>
    </w:p>
    <w:p w14:paraId="497DF1D0" w14:textId="77777777" w:rsidR="0034290B" w:rsidRDefault="0034290B" w:rsidP="0034290B">
      <w:pPr>
        <w:spacing w:line="360" w:lineRule="auto"/>
        <w:rPr>
          <w:rFonts w:ascii="Calibri" w:hAnsi="Calibri" w:cs="Calibri"/>
          <w:b/>
          <w:bCs/>
          <w:color w:val="000000"/>
          <w:u w:val="single"/>
        </w:rPr>
      </w:pPr>
    </w:p>
    <w:p w14:paraId="35C1A925" w14:textId="77777777" w:rsidR="0034290B" w:rsidRDefault="0034290B" w:rsidP="0034290B">
      <w:pPr>
        <w:spacing w:line="360" w:lineRule="auto"/>
        <w:rPr>
          <w:rFonts w:ascii="Calibri" w:hAnsi="Calibri" w:cs="Calibri"/>
          <w:b/>
          <w:bCs/>
          <w:color w:val="000000"/>
          <w:u w:val="single"/>
        </w:rPr>
      </w:pPr>
    </w:p>
    <w:p w14:paraId="70A588B0" w14:textId="77777777" w:rsidR="0034290B" w:rsidRDefault="0034290B" w:rsidP="0034290B">
      <w:pPr>
        <w:spacing w:line="360" w:lineRule="auto"/>
        <w:rPr>
          <w:rFonts w:ascii="Calibri" w:hAnsi="Calibri" w:cs="Calibri"/>
          <w:b/>
          <w:bCs/>
          <w:color w:val="000000"/>
          <w:u w:val="single"/>
        </w:rPr>
      </w:pPr>
    </w:p>
    <w:p w14:paraId="70111E0C" w14:textId="77777777" w:rsidR="0034290B" w:rsidRDefault="0034290B" w:rsidP="0034290B">
      <w:pPr>
        <w:spacing w:line="360" w:lineRule="auto"/>
        <w:rPr>
          <w:rFonts w:ascii="Calibri" w:hAnsi="Calibri" w:cs="Calibri"/>
          <w:b/>
          <w:bCs/>
          <w:color w:val="000000"/>
          <w:u w:val="single"/>
        </w:rPr>
      </w:pPr>
    </w:p>
    <w:p w14:paraId="21A68F6A" w14:textId="77777777" w:rsidR="0034290B" w:rsidRDefault="0034290B" w:rsidP="0034290B">
      <w:pPr>
        <w:spacing w:line="360" w:lineRule="auto"/>
        <w:rPr>
          <w:rFonts w:ascii="Calibri" w:hAnsi="Calibri" w:cs="Calibri"/>
          <w:b/>
          <w:bCs/>
          <w:color w:val="000000"/>
          <w:u w:val="single"/>
        </w:rPr>
      </w:pPr>
    </w:p>
    <w:p w14:paraId="47931724" w14:textId="77777777" w:rsidR="0034290B" w:rsidRDefault="0034290B" w:rsidP="0034290B">
      <w:pPr>
        <w:spacing w:line="360" w:lineRule="auto"/>
        <w:rPr>
          <w:rFonts w:ascii="Calibri" w:hAnsi="Calibri" w:cs="Calibri"/>
          <w:b/>
          <w:bCs/>
          <w:color w:val="000000"/>
          <w:u w:val="single"/>
        </w:rPr>
      </w:pPr>
    </w:p>
    <w:p w14:paraId="1923820E" w14:textId="77777777" w:rsidR="0034290B" w:rsidRDefault="0034290B" w:rsidP="0034290B">
      <w:pPr>
        <w:spacing w:line="360" w:lineRule="auto"/>
        <w:rPr>
          <w:rFonts w:ascii="Calibri" w:hAnsi="Calibri" w:cs="Calibri"/>
          <w:b/>
          <w:bCs/>
          <w:color w:val="000000"/>
          <w:u w:val="single"/>
        </w:rPr>
      </w:pPr>
    </w:p>
    <w:p w14:paraId="157CFEC7" w14:textId="77777777" w:rsidR="0034290B" w:rsidRDefault="0034290B" w:rsidP="0034290B">
      <w:pPr>
        <w:spacing w:line="360" w:lineRule="auto"/>
        <w:rPr>
          <w:rFonts w:ascii="Calibri" w:hAnsi="Calibri" w:cs="Calibri"/>
          <w:b/>
          <w:bCs/>
          <w:color w:val="000000"/>
          <w:u w:val="single"/>
        </w:rPr>
      </w:pPr>
    </w:p>
    <w:p w14:paraId="5564A065" w14:textId="77777777" w:rsidR="0034290B" w:rsidRDefault="0034290B" w:rsidP="0034290B">
      <w:pPr>
        <w:spacing w:line="360" w:lineRule="auto"/>
        <w:rPr>
          <w:rFonts w:ascii="Calibri" w:hAnsi="Calibri" w:cs="Calibri"/>
          <w:b/>
          <w:bCs/>
          <w:color w:val="000000"/>
          <w:u w:val="single"/>
        </w:rPr>
      </w:pPr>
    </w:p>
    <w:p w14:paraId="5225DB75" w14:textId="77777777" w:rsidR="0034290B" w:rsidRDefault="0034290B" w:rsidP="0034290B">
      <w:pPr>
        <w:spacing w:line="360" w:lineRule="auto"/>
        <w:rPr>
          <w:rFonts w:ascii="Calibri" w:hAnsi="Calibri" w:cs="Calibri"/>
          <w:b/>
          <w:bCs/>
          <w:color w:val="000000"/>
          <w:u w:val="single"/>
        </w:rPr>
      </w:pPr>
    </w:p>
    <w:p w14:paraId="4EFACFEF" w14:textId="77777777" w:rsidR="0034290B" w:rsidRDefault="0034290B" w:rsidP="0034290B">
      <w:pPr>
        <w:spacing w:line="360" w:lineRule="auto"/>
        <w:rPr>
          <w:rFonts w:ascii="Calibri" w:hAnsi="Calibri" w:cs="Calibri"/>
          <w:b/>
          <w:bCs/>
          <w:color w:val="000000"/>
          <w:u w:val="single"/>
        </w:rPr>
      </w:pPr>
    </w:p>
    <w:p w14:paraId="542B904A" w14:textId="77777777" w:rsidR="0034290B" w:rsidRDefault="0034290B" w:rsidP="0034290B">
      <w:pPr>
        <w:spacing w:line="360" w:lineRule="auto"/>
        <w:rPr>
          <w:rFonts w:ascii="Calibri" w:hAnsi="Calibri" w:cs="Calibri"/>
          <w:b/>
          <w:bCs/>
          <w:color w:val="000000"/>
          <w:u w:val="single"/>
        </w:rPr>
      </w:pPr>
    </w:p>
    <w:p w14:paraId="33296669" w14:textId="77777777" w:rsidR="0034290B" w:rsidRDefault="0034290B" w:rsidP="0034290B">
      <w:pPr>
        <w:spacing w:line="360" w:lineRule="auto"/>
        <w:rPr>
          <w:rFonts w:ascii="Calibri" w:hAnsi="Calibri" w:cs="Calibri"/>
          <w:b/>
          <w:bCs/>
          <w:color w:val="000000"/>
          <w:u w:val="single"/>
        </w:rPr>
      </w:pPr>
    </w:p>
    <w:p w14:paraId="06C16066" w14:textId="77777777" w:rsidR="0034290B" w:rsidRDefault="0034290B" w:rsidP="0034290B">
      <w:pPr>
        <w:spacing w:line="360" w:lineRule="auto"/>
        <w:rPr>
          <w:rFonts w:ascii="Calibri" w:hAnsi="Calibri" w:cs="Calibri"/>
          <w:b/>
          <w:bCs/>
          <w:color w:val="000000"/>
          <w:u w:val="single"/>
        </w:rPr>
      </w:pPr>
    </w:p>
    <w:p w14:paraId="4BF26FE4" w14:textId="77777777" w:rsidR="0034290B" w:rsidRDefault="0034290B" w:rsidP="0034290B">
      <w:pPr>
        <w:spacing w:line="360" w:lineRule="auto"/>
        <w:rPr>
          <w:rFonts w:ascii="Calibri" w:hAnsi="Calibri" w:cs="Calibri"/>
          <w:b/>
          <w:bCs/>
          <w:color w:val="000000"/>
          <w:u w:val="single"/>
        </w:rPr>
      </w:pPr>
    </w:p>
    <w:p w14:paraId="63DA0FE5" w14:textId="77777777" w:rsidR="0034290B" w:rsidRDefault="0034290B" w:rsidP="0034290B">
      <w:pPr>
        <w:spacing w:line="360" w:lineRule="auto"/>
        <w:rPr>
          <w:rFonts w:ascii="Calibri" w:hAnsi="Calibri" w:cs="Calibri"/>
          <w:b/>
          <w:bCs/>
          <w:color w:val="000000"/>
          <w:u w:val="single"/>
        </w:rPr>
      </w:pPr>
    </w:p>
    <w:p w14:paraId="131D0514" w14:textId="77777777" w:rsidR="0034290B" w:rsidRDefault="0034290B" w:rsidP="0034290B">
      <w:pPr>
        <w:spacing w:line="360" w:lineRule="auto"/>
        <w:rPr>
          <w:rFonts w:ascii="Calibri" w:hAnsi="Calibri" w:cs="Calibri"/>
          <w:b/>
          <w:bCs/>
          <w:color w:val="000000"/>
          <w:u w:val="single"/>
        </w:rPr>
      </w:pPr>
    </w:p>
    <w:p w14:paraId="6CD16C8E" w14:textId="77777777" w:rsidR="0034290B" w:rsidRDefault="0034290B" w:rsidP="0034290B">
      <w:pPr>
        <w:spacing w:line="360" w:lineRule="auto"/>
        <w:rPr>
          <w:rFonts w:ascii="Calibri" w:hAnsi="Calibri" w:cs="Calibri"/>
          <w:b/>
          <w:bCs/>
          <w:color w:val="000000"/>
          <w:u w:val="single"/>
        </w:rPr>
      </w:pPr>
    </w:p>
    <w:p w14:paraId="2E63ED5B" w14:textId="77777777" w:rsidR="0034290B" w:rsidRDefault="0034290B" w:rsidP="0034290B">
      <w:pPr>
        <w:spacing w:line="360" w:lineRule="auto"/>
        <w:rPr>
          <w:rFonts w:ascii="Calibri" w:hAnsi="Calibri" w:cs="Calibri"/>
          <w:b/>
          <w:bCs/>
          <w:color w:val="000000"/>
          <w:u w:val="single"/>
        </w:rPr>
      </w:pPr>
    </w:p>
    <w:p w14:paraId="340323C5" w14:textId="77777777" w:rsidR="009B1E1A" w:rsidRDefault="009B1E1A" w:rsidP="0034290B">
      <w:pPr>
        <w:spacing w:line="360" w:lineRule="auto"/>
        <w:rPr>
          <w:rFonts w:ascii="Calibri" w:hAnsi="Calibri" w:cs="Calibri"/>
          <w:b/>
          <w:bCs/>
          <w:color w:val="000000"/>
          <w:u w:val="single"/>
        </w:rPr>
      </w:pPr>
    </w:p>
    <w:p w14:paraId="08446152" w14:textId="77777777" w:rsidR="009B1E1A" w:rsidRDefault="009B1E1A" w:rsidP="0034290B">
      <w:pPr>
        <w:spacing w:line="360" w:lineRule="auto"/>
        <w:rPr>
          <w:rFonts w:ascii="Calibri" w:hAnsi="Calibri" w:cs="Calibri"/>
          <w:b/>
          <w:bCs/>
          <w:color w:val="000000"/>
          <w:u w:val="single"/>
        </w:rPr>
      </w:pPr>
    </w:p>
    <w:p w14:paraId="3F3257F7" w14:textId="77777777" w:rsidR="00A7149D" w:rsidRDefault="00A7149D" w:rsidP="0034290B">
      <w:pPr>
        <w:spacing w:line="360" w:lineRule="auto"/>
        <w:rPr>
          <w:rFonts w:ascii="Calibri" w:hAnsi="Calibri" w:cs="Calibri"/>
          <w:b/>
          <w:bCs/>
          <w:color w:val="000000"/>
          <w:u w:val="single"/>
        </w:rPr>
      </w:pPr>
    </w:p>
    <w:p w14:paraId="55B3B131" w14:textId="0668F48D" w:rsidR="00FC28D4" w:rsidRPr="0034290B" w:rsidRDefault="00CC4959" w:rsidP="0034290B">
      <w:pPr>
        <w:spacing w:line="360" w:lineRule="auto"/>
        <w:rPr>
          <w:rFonts w:ascii="Calibri" w:hAnsi="Calibri" w:cs="Calibri"/>
          <w:color w:val="000000"/>
        </w:rPr>
      </w:pPr>
      <w:r w:rsidRPr="0034290B">
        <w:rPr>
          <w:rFonts w:ascii="Calibri" w:hAnsi="Calibri" w:cs="Calibri"/>
          <w:b/>
          <w:bCs/>
          <w:color w:val="000000"/>
          <w:u w:val="single"/>
        </w:rPr>
        <w:lastRenderedPageBreak/>
        <w:t xml:space="preserve">Promoting inclusive Leadership in an Early Years Setting </w:t>
      </w:r>
    </w:p>
    <w:p w14:paraId="495BBF72" w14:textId="77777777" w:rsidR="00CC4959" w:rsidRPr="0034290B" w:rsidRDefault="00CC4959" w:rsidP="0034290B">
      <w:pPr>
        <w:spacing w:line="360" w:lineRule="auto"/>
        <w:rPr>
          <w:rFonts w:ascii="Calibri" w:hAnsi="Calibri" w:cs="Calibri"/>
          <w:color w:val="000000"/>
        </w:rPr>
      </w:pPr>
    </w:p>
    <w:p w14:paraId="64D1573F"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Do we do enough to support inclusive leadership for families and children?</w:t>
      </w:r>
    </w:p>
    <w:p w14:paraId="4E0D03FF" w14:textId="77777777" w:rsidR="00D15E66" w:rsidRPr="0034290B" w:rsidRDefault="00D15E66" w:rsidP="0034290B">
      <w:pPr>
        <w:spacing w:line="360" w:lineRule="auto"/>
        <w:rPr>
          <w:rFonts w:ascii="Calibri" w:hAnsi="Calibri" w:cs="Calibri"/>
          <w:color w:val="000000"/>
        </w:rPr>
      </w:pPr>
    </w:p>
    <w:p w14:paraId="645F2DFE" w14:textId="072A8929"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As an early year’s educator, I have witnessed firsthand the transformative power of inclusive leadership in creating a nurturing and supportive environment for all children (Nutbrown, 2019). Inclusive leadership is not just about accommodating diversity; it is about celebrating it and ensuring that every child feels valued, respected, and </w:t>
      </w:r>
      <w:r w:rsidR="0041672F" w:rsidRPr="0034290B">
        <w:rPr>
          <w:rFonts w:ascii="Calibri" w:hAnsi="Calibri" w:cs="Calibri"/>
          <w:color w:val="000000"/>
        </w:rPr>
        <w:t>inspired</w:t>
      </w:r>
      <w:r w:rsidRPr="0034290B">
        <w:rPr>
          <w:rFonts w:ascii="Calibri" w:hAnsi="Calibri" w:cs="Calibri"/>
          <w:color w:val="000000"/>
        </w:rPr>
        <w:t xml:space="preserve"> to reach their full potential, as "every individual is worthy of belonging."</w:t>
      </w:r>
    </w:p>
    <w:p w14:paraId="03958957" w14:textId="77777777" w:rsidR="0034290B" w:rsidRDefault="0034290B" w:rsidP="0034290B">
      <w:pPr>
        <w:spacing w:line="360" w:lineRule="auto"/>
        <w:rPr>
          <w:rFonts w:ascii="Calibri" w:hAnsi="Calibri" w:cs="Calibri"/>
          <w:color w:val="000000"/>
        </w:rPr>
      </w:pPr>
    </w:p>
    <w:p w14:paraId="34A39A27" w14:textId="7FB2A5F4"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Here are my thoughts on promoting inclusive leadership in an early-year setting.</w:t>
      </w:r>
    </w:p>
    <w:p w14:paraId="035D92A1" w14:textId="77777777" w:rsidR="00D15E66" w:rsidRPr="0034290B" w:rsidRDefault="00D15E66" w:rsidP="0034290B">
      <w:pPr>
        <w:spacing w:line="360" w:lineRule="auto"/>
        <w:rPr>
          <w:rFonts w:ascii="Calibri" w:hAnsi="Calibri" w:cs="Calibri"/>
          <w:color w:val="000000"/>
        </w:rPr>
      </w:pPr>
    </w:p>
    <w:p w14:paraId="37CED067"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Concurring with Siraj-Blatchford and Mani's (2007) promoting inclusive leadership in early years settings involves creating environments that accommodate all children, fostering positive attitudes towards diversity, and implementing inclusive practices. One key aspect is designing physical environments that are accessible and welcoming to all children, including those with disabilities (Knowles and Lander, 2011). This involves ensuring that classrooms have adaptive furniture, sensory-friendly spaces, and materials catering to various learning styles and abilities. Furthermore, a study by Fisher et al. (2014) proves that the visual environment should reflect diversity, with posters, books, and resources showcasing different cultures, languages, and family structures. An inclusive physical environment signals to children and their families that everyone is valued and included. </w:t>
      </w:r>
    </w:p>
    <w:p w14:paraId="141DD5D0" w14:textId="77777777" w:rsidR="00D15E66" w:rsidRPr="0034290B" w:rsidRDefault="00D15E66" w:rsidP="0034290B">
      <w:pPr>
        <w:spacing w:line="360" w:lineRule="auto"/>
        <w:rPr>
          <w:rFonts w:ascii="Calibri" w:hAnsi="Calibri" w:cs="Calibri"/>
          <w:color w:val="000000"/>
        </w:rPr>
      </w:pPr>
    </w:p>
    <w:p w14:paraId="57A05099" w14:textId="308A242E"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Attitudes towards diversity and inclusion play a crucial role in shaping an inclusive early-year setting (Odom et al., 2011)</w:t>
      </w:r>
      <w:r w:rsidR="00133DC6">
        <w:rPr>
          <w:rFonts w:ascii="Calibri" w:hAnsi="Calibri" w:cs="Calibri"/>
          <w:color w:val="000000"/>
        </w:rPr>
        <w:t>. We as le</w:t>
      </w:r>
      <w:r w:rsidRPr="0034290B">
        <w:rPr>
          <w:rFonts w:ascii="Calibri" w:hAnsi="Calibri" w:cs="Calibri"/>
          <w:color w:val="000000"/>
        </w:rPr>
        <w:t>aders must model and promote positive attitudes by respecting and appreciating differences (</w:t>
      </w:r>
      <w:proofErr w:type="spellStart"/>
      <w:r w:rsidRPr="0034290B">
        <w:rPr>
          <w:rFonts w:ascii="Calibri" w:hAnsi="Calibri" w:cs="Calibri"/>
          <w:color w:val="000000"/>
        </w:rPr>
        <w:t>Guralnick</w:t>
      </w:r>
      <w:proofErr w:type="spellEnd"/>
      <w:r w:rsidRPr="0034290B">
        <w:rPr>
          <w:rFonts w:ascii="Calibri" w:hAnsi="Calibri" w:cs="Calibri"/>
          <w:color w:val="000000"/>
        </w:rPr>
        <w:t xml:space="preserve"> and </w:t>
      </w:r>
      <w:proofErr w:type="spellStart"/>
      <w:r w:rsidRPr="0034290B">
        <w:rPr>
          <w:rFonts w:ascii="Calibri" w:hAnsi="Calibri" w:cs="Calibri"/>
          <w:color w:val="000000"/>
        </w:rPr>
        <w:t>Bruder</w:t>
      </w:r>
      <w:proofErr w:type="spellEnd"/>
      <w:r w:rsidRPr="0034290B">
        <w:rPr>
          <w:rFonts w:ascii="Calibri" w:hAnsi="Calibri" w:cs="Calibri"/>
          <w:color w:val="000000"/>
        </w:rPr>
        <w:t xml:space="preserve">, 2016). "Leaders are those who build inclusive spaces". This can be achieved through professional development programs focusing on empathy, cultural competence, and anti-bias education. Encouraging staff to reflect on their attitudes and biases helps create a more inclusive mindset. Besides, according to O'Sullivan (2015), fostering an open and supportive atmosphere where staff feel comfortable discussing challenges and sharing best practices is essential. </w:t>
      </w:r>
      <w:r w:rsidR="00133DC6">
        <w:rPr>
          <w:rFonts w:ascii="Calibri" w:hAnsi="Calibri" w:cs="Calibri"/>
          <w:color w:val="000000"/>
        </w:rPr>
        <w:t>If we</w:t>
      </w:r>
      <w:r w:rsidRPr="0034290B">
        <w:rPr>
          <w:rFonts w:ascii="Calibri" w:hAnsi="Calibri" w:cs="Calibri"/>
          <w:color w:val="000000"/>
        </w:rPr>
        <w:t xml:space="preserve"> </w:t>
      </w:r>
      <w:r w:rsidR="00A64986" w:rsidRPr="0034290B">
        <w:rPr>
          <w:rFonts w:ascii="Calibri" w:hAnsi="Calibri" w:cs="Calibri"/>
          <w:color w:val="000000"/>
        </w:rPr>
        <w:t>cultivate</w:t>
      </w:r>
      <w:r w:rsidRPr="0034290B">
        <w:rPr>
          <w:rFonts w:ascii="Calibri" w:hAnsi="Calibri" w:cs="Calibri"/>
          <w:color w:val="000000"/>
        </w:rPr>
        <w:t xml:space="preserve"> </w:t>
      </w:r>
      <w:r w:rsidRPr="0034290B">
        <w:rPr>
          <w:rFonts w:ascii="Calibri" w:hAnsi="Calibri" w:cs="Calibri"/>
          <w:color w:val="000000"/>
        </w:rPr>
        <w:lastRenderedPageBreak/>
        <w:t xml:space="preserve">positive attitudes, leaders can inspire their teams to embrace diversity and work collaboratively towards inclusive goals </w:t>
      </w:r>
      <w:proofErr w:type="spellStart"/>
      <w:r w:rsidRPr="0034290B">
        <w:rPr>
          <w:rFonts w:ascii="Calibri" w:hAnsi="Calibri" w:cs="Calibri"/>
          <w:color w:val="000000"/>
        </w:rPr>
        <w:t>Precey</w:t>
      </w:r>
      <w:proofErr w:type="spellEnd"/>
      <w:r w:rsidRPr="0034290B">
        <w:rPr>
          <w:rFonts w:ascii="Calibri" w:hAnsi="Calibri" w:cs="Calibri"/>
          <w:color w:val="000000"/>
        </w:rPr>
        <w:t xml:space="preserve"> (2011). </w:t>
      </w:r>
    </w:p>
    <w:p w14:paraId="3C40D4B9" w14:textId="77777777" w:rsidR="00D15E66" w:rsidRPr="0034290B" w:rsidRDefault="00D15E66" w:rsidP="0034290B">
      <w:pPr>
        <w:spacing w:line="360" w:lineRule="auto"/>
        <w:rPr>
          <w:rFonts w:ascii="Calibri" w:hAnsi="Calibri" w:cs="Calibri"/>
          <w:color w:val="000000"/>
        </w:rPr>
      </w:pPr>
    </w:p>
    <w:p w14:paraId="1E2DA090"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Are we using our resources and skills enough in schools?</w:t>
      </w:r>
    </w:p>
    <w:p w14:paraId="5775889B" w14:textId="77777777" w:rsidR="00D15E66" w:rsidRPr="0034290B" w:rsidRDefault="00D15E66" w:rsidP="0034290B">
      <w:pPr>
        <w:spacing w:line="360" w:lineRule="auto"/>
        <w:rPr>
          <w:rFonts w:ascii="Calibri" w:hAnsi="Calibri" w:cs="Calibri"/>
          <w:color w:val="000000"/>
        </w:rPr>
      </w:pPr>
    </w:p>
    <w:p w14:paraId="53068969" w14:textId="6595775F"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Inclusive practices ensure that all children have equitable learning opportunities and bloom (Wilson, 2014). One practical practice is differentiated instruction, where teachers tailor their teaching methods and material to meet the diverse needs of their students. This might involve</w:t>
      </w:r>
      <w:r w:rsidR="00254A0C">
        <w:rPr>
          <w:rFonts w:ascii="Calibri" w:hAnsi="Calibri" w:cs="Calibri"/>
          <w:color w:val="000000"/>
        </w:rPr>
        <w:t xml:space="preserve"> us</w:t>
      </w:r>
      <w:r w:rsidRPr="0034290B">
        <w:rPr>
          <w:rFonts w:ascii="Calibri" w:hAnsi="Calibri" w:cs="Calibri"/>
          <w:color w:val="000000"/>
        </w:rPr>
        <w:t xml:space="preserve"> using various instructional strategies, such as visual aids, hands-on activities, allowing pupil voice, and technology to support different learning styles</w:t>
      </w:r>
      <w:r w:rsidR="00AF2F4D" w:rsidRPr="0034290B">
        <w:rPr>
          <w:rFonts w:ascii="Calibri" w:hAnsi="Calibri" w:cs="Calibri"/>
          <w:color w:val="000000"/>
        </w:rPr>
        <w:t xml:space="preserve"> (Hall, Meyer, and Rose,2012). </w:t>
      </w:r>
      <w:r w:rsidRPr="0034290B">
        <w:rPr>
          <w:rFonts w:ascii="Calibri" w:hAnsi="Calibri" w:cs="Calibri"/>
          <w:color w:val="000000"/>
        </w:rPr>
        <w:t>Additionally, inclusive practices should include regular assessments to identify and address any barriers to learning</w:t>
      </w:r>
      <w:r w:rsidR="00AF2F4D" w:rsidRPr="0034290B">
        <w:rPr>
          <w:rFonts w:ascii="Calibri" w:hAnsi="Calibri" w:cs="Calibri"/>
          <w:color w:val="000000"/>
        </w:rPr>
        <w:t xml:space="preserve"> (Fielding,2001)</w:t>
      </w:r>
      <w:r w:rsidRPr="0034290B">
        <w:rPr>
          <w:rFonts w:ascii="Calibri" w:hAnsi="Calibri" w:cs="Calibri"/>
          <w:color w:val="000000"/>
        </w:rPr>
        <w:t>. Providing additional support, such as speech therapy, occupational therapy, or individual education plans (IEPs)</w:t>
      </w:r>
      <w:r w:rsidR="00AF2F4D" w:rsidRPr="0034290B">
        <w:rPr>
          <w:rFonts w:ascii="Calibri" w:hAnsi="Calibri" w:cs="Calibri"/>
          <w:color w:val="000000"/>
        </w:rPr>
        <w:t xml:space="preserve"> Justice (2006)</w:t>
      </w:r>
      <w:r w:rsidRPr="0034290B">
        <w:rPr>
          <w:rFonts w:ascii="Calibri" w:hAnsi="Calibri" w:cs="Calibri"/>
          <w:color w:val="000000"/>
        </w:rPr>
        <w:t>, ensures that all children receive the assistance they need to succeed</w:t>
      </w:r>
      <w:r w:rsidR="00AF2F4D" w:rsidRPr="0034290B">
        <w:rPr>
          <w:rFonts w:ascii="Calibri" w:hAnsi="Calibri" w:cs="Calibri"/>
          <w:color w:val="000000"/>
        </w:rPr>
        <w:t xml:space="preserve">, </w:t>
      </w:r>
      <w:r w:rsidR="004E4396">
        <w:rPr>
          <w:rFonts w:ascii="Calibri" w:hAnsi="Calibri" w:cs="Calibri"/>
          <w:color w:val="000000"/>
        </w:rPr>
        <w:t>(</w:t>
      </w:r>
      <w:proofErr w:type="spellStart"/>
      <w:r w:rsidR="00AF2F4D" w:rsidRPr="0034290B">
        <w:rPr>
          <w:rFonts w:ascii="Calibri" w:hAnsi="Calibri" w:cs="Calibri"/>
          <w:color w:val="000000"/>
        </w:rPr>
        <w:t>Hanft</w:t>
      </w:r>
      <w:proofErr w:type="spellEnd"/>
      <w:r w:rsidR="00AF2F4D" w:rsidRPr="0034290B">
        <w:rPr>
          <w:rFonts w:ascii="Calibri" w:hAnsi="Calibri" w:cs="Calibri"/>
          <w:color w:val="000000"/>
        </w:rPr>
        <w:t xml:space="preserve"> and Shepherd </w:t>
      </w:r>
      <w:r w:rsidR="004E4396">
        <w:rPr>
          <w:rFonts w:ascii="Calibri" w:hAnsi="Calibri" w:cs="Calibri"/>
          <w:color w:val="000000"/>
        </w:rPr>
        <w:t>2</w:t>
      </w:r>
      <w:r w:rsidR="00AF2F4D" w:rsidRPr="0034290B">
        <w:rPr>
          <w:rFonts w:ascii="Calibri" w:hAnsi="Calibri" w:cs="Calibri"/>
          <w:color w:val="000000"/>
        </w:rPr>
        <w:t>008).</w:t>
      </w:r>
    </w:p>
    <w:p w14:paraId="3CD25896" w14:textId="77777777" w:rsidR="00D15E66" w:rsidRPr="0034290B" w:rsidRDefault="00D15E66" w:rsidP="0034290B">
      <w:pPr>
        <w:spacing w:line="360" w:lineRule="auto"/>
        <w:rPr>
          <w:rFonts w:ascii="Calibri" w:hAnsi="Calibri" w:cs="Calibri"/>
          <w:color w:val="000000"/>
        </w:rPr>
      </w:pPr>
    </w:p>
    <w:p w14:paraId="6C9D4B5B" w14:textId="2CB98CA3"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How can </w:t>
      </w:r>
      <w:r w:rsidR="00282DE2">
        <w:rPr>
          <w:rFonts w:ascii="Calibri" w:hAnsi="Calibri" w:cs="Calibri"/>
          <w:color w:val="000000"/>
        </w:rPr>
        <w:t xml:space="preserve">we as </w:t>
      </w:r>
      <w:r w:rsidRPr="0034290B">
        <w:rPr>
          <w:rFonts w:ascii="Calibri" w:hAnsi="Calibri" w:cs="Calibri"/>
          <w:color w:val="000000"/>
        </w:rPr>
        <w:t>practitioners engage communities and families in their children's education?</w:t>
      </w:r>
    </w:p>
    <w:p w14:paraId="6960CC3B" w14:textId="77777777" w:rsidR="00D15E66" w:rsidRPr="0034290B" w:rsidRDefault="00D15E66" w:rsidP="0034290B">
      <w:pPr>
        <w:spacing w:line="360" w:lineRule="auto"/>
        <w:rPr>
          <w:rFonts w:ascii="Calibri" w:hAnsi="Calibri" w:cs="Calibri"/>
          <w:color w:val="000000"/>
        </w:rPr>
      </w:pPr>
    </w:p>
    <w:p w14:paraId="4187DC1C" w14:textId="1256E72A"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Incorporating family and community involvement into early years settings is another critical inclusive practice. </w:t>
      </w:r>
      <w:proofErr w:type="spellStart"/>
      <w:r w:rsidRPr="0034290B">
        <w:rPr>
          <w:rFonts w:ascii="Calibri" w:hAnsi="Calibri" w:cs="Calibri"/>
          <w:color w:val="000000"/>
        </w:rPr>
        <w:t>Dr.</w:t>
      </w:r>
      <w:proofErr w:type="spellEnd"/>
      <w:r w:rsidRPr="0034290B">
        <w:rPr>
          <w:rFonts w:ascii="Calibri" w:hAnsi="Calibri" w:cs="Calibri"/>
          <w:color w:val="000000"/>
        </w:rPr>
        <w:t xml:space="preserve"> Margy Whalley emphasised the importance of parental engagement in early childhood education by stating that practitioners only interact with a small segment of the family without involving parents. For parents to be embedded and sustained, it is crucial to co-construct the educational experience with parents, ensuring effective engagement and collaboration with the entire family unit</w:t>
      </w:r>
      <w:r w:rsidR="002832BB" w:rsidRPr="0034290B">
        <w:rPr>
          <w:rFonts w:ascii="Calibri" w:hAnsi="Calibri" w:cs="Calibri"/>
          <w:color w:val="000000"/>
        </w:rPr>
        <w:t xml:space="preserve"> Ainscow and </w:t>
      </w:r>
      <w:proofErr w:type="spellStart"/>
      <w:r w:rsidR="002832BB" w:rsidRPr="0034290B">
        <w:rPr>
          <w:rFonts w:ascii="Calibri" w:hAnsi="Calibri" w:cs="Calibri"/>
          <w:color w:val="000000"/>
        </w:rPr>
        <w:t>Sandill</w:t>
      </w:r>
      <w:proofErr w:type="spellEnd"/>
      <w:r w:rsidR="002832BB" w:rsidRPr="0034290B">
        <w:rPr>
          <w:rFonts w:ascii="Calibri" w:hAnsi="Calibri" w:cs="Calibri"/>
          <w:color w:val="000000"/>
        </w:rPr>
        <w:t xml:space="preserve"> (2010).</w:t>
      </w:r>
      <w:r w:rsidRPr="0034290B">
        <w:rPr>
          <w:rFonts w:ascii="Calibri" w:hAnsi="Calibri" w:cs="Calibri"/>
          <w:color w:val="000000"/>
        </w:rPr>
        <w:t xml:space="preserve"> This can include regular newsletters, parent-teacher conferences, and family workshops. </w:t>
      </w:r>
      <w:r w:rsidR="00263EAB">
        <w:rPr>
          <w:rFonts w:ascii="Calibri" w:hAnsi="Calibri" w:cs="Calibri"/>
          <w:color w:val="000000"/>
        </w:rPr>
        <w:t xml:space="preserve">If we </w:t>
      </w:r>
      <w:r w:rsidRPr="0034290B">
        <w:rPr>
          <w:rFonts w:ascii="Calibri" w:hAnsi="Calibri" w:cs="Calibri"/>
          <w:color w:val="000000"/>
        </w:rPr>
        <w:t>Invit</w:t>
      </w:r>
      <w:r w:rsidR="00263EAB">
        <w:rPr>
          <w:rFonts w:ascii="Calibri" w:hAnsi="Calibri" w:cs="Calibri"/>
          <w:color w:val="000000"/>
        </w:rPr>
        <w:t>e</w:t>
      </w:r>
      <w:r w:rsidRPr="0034290B">
        <w:rPr>
          <w:rFonts w:ascii="Calibri" w:hAnsi="Calibri" w:cs="Calibri"/>
          <w:color w:val="000000"/>
        </w:rPr>
        <w:t xml:space="preserve"> families to share their cultural traditions and participate in classroom activities promotes a sense of belonging and enriches the learning experience for all children</w:t>
      </w:r>
      <w:r w:rsidR="002832BB" w:rsidRPr="0034290B">
        <w:rPr>
          <w:rFonts w:ascii="Calibri" w:hAnsi="Calibri" w:cs="Calibri"/>
          <w:color w:val="000000"/>
        </w:rPr>
        <w:t xml:space="preserve"> Sanders (2006)</w:t>
      </w:r>
      <w:r w:rsidRPr="0034290B">
        <w:rPr>
          <w:rFonts w:ascii="Calibri" w:hAnsi="Calibri" w:cs="Calibri"/>
          <w:color w:val="000000"/>
        </w:rPr>
        <w:t>. Collaborating with community organisations and services also provides additional resources and support for children and families, further enhancing the inclusivity of the setting (NSPCC, 2021), which is why Families First addresses aims at enhancing outcomes for children, young people, and families (Clough, 1999). The program focuses on prevention and early intervention, mainly targeting impoverished families (Welsh Government, 2017).</w:t>
      </w:r>
    </w:p>
    <w:p w14:paraId="1413EE7F" w14:textId="77777777" w:rsidR="00D15E66" w:rsidRPr="0034290B" w:rsidRDefault="00D15E66" w:rsidP="0034290B">
      <w:pPr>
        <w:spacing w:line="360" w:lineRule="auto"/>
        <w:rPr>
          <w:rFonts w:ascii="Calibri" w:hAnsi="Calibri" w:cs="Calibri"/>
          <w:color w:val="000000"/>
        </w:rPr>
      </w:pPr>
    </w:p>
    <w:p w14:paraId="74261615" w14:textId="13F9C4D6"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As a final point, creating a supportive and inclusive climate is an ongoing process that </w:t>
      </w:r>
      <w:r w:rsidR="0041672F" w:rsidRPr="0034290B">
        <w:rPr>
          <w:rFonts w:ascii="Calibri" w:hAnsi="Calibri" w:cs="Calibri"/>
          <w:color w:val="000000"/>
        </w:rPr>
        <w:t>demands</w:t>
      </w:r>
      <w:r w:rsidRPr="0034290B">
        <w:rPr>
          <w:rFonts w:ascii="Calibri" w:hAnsi="Calibri" w:cs="Calibri"/>
          <w:color w:val="000000"/>
        </w:rPr>
        <w:t xml:space="preserve"> commitment and continuous improvement</w:t>
      </w:r>
      <w:r w:rsidR="00117A2F" w:rsidRPr="0034290B">
        <w:rPr>
          <w:rFonts w:ascii="Calibri" w:hAnsi="Calibri" w:cs="Calibri"/>
          <w:color w:val="000000"/>
        </w:rPr>
        <w:t xml:space="preserve"> Ryan (2006).</w:t>
      </w:r>
      <w:r w:rsidRPr="0034290B">
        <w:rPr>
          <w:rFonts w:ascii="Calibri" w:hAnsi="Calibri" w:cs="Calibri"/>
          <w:color w:val="000000"/>
        </w:rPr>
        <w:t xml:space="preserve"> Leaders should regularly evaluate their policies and practices to ensure they align with inclusive values and make necessary adjustments based on staff, families, and children's feedback</w:t>
      </w:r>
      <w:r w:rsidR="00B20E9B" w:rsidRPr="0034290B">
        <w:rPr>
          <w:rFonts w:ascii="Calibri" w:hAnsi="Calibri" w:cs="Calibri"/>
          <w:color w:val="000000"/>
        </w:rPr>
        <w:t xml:space="preserve"> </w:t>
      </w:r>
      <w:proofErr w:type="spellStart"/>
      <w:r w:rsidR="00B20E9B" w:rsidRPr="0034290B">
        <w:rPr>
          <w:rFonts w:ascii="Calibri" w:hAnsi="Calibri" w:cs="Calibri"/>
          <w:color w:val="000000"/>
        </w:rPr>
        <w:t>Theoharis</w:t>
      </w:r>
      <w:proofErr w:type="spellEnd"/>
      <w:r w:rsidR="00B20E9B" w:rsidRPr="0034290B">
        <w:rPr>
          <w:rFonts w:ascii="Calibri" w:hAnsi="Calibri" w:cs="Calibri"/>
          <w:color w:val="000000"/>
        </w:rPr>
        <w:t xml:space="preserve"> (2007)</w:t>
      </w:r>
      <w:r w:rsidRPr="0034290B">
        <w:rPr>
          <w:rFonts w:ascii="Calibri" w:hAnsi="Calibri" w:cs="Calibri"/>
          <w:color w:val="000000"/>
        </w:rPr>
        <w:t xml:space="preserve">. </w:t>
      </w:r>
      <w:r w:rsidR="00263EAB">
        <w:rPr>
          <w:rFonts w:ascii="Calibri" w:hAnsi="Calibri" w:cs="Calibri"/>
          <w:color w:val="000000"/>
        </w:rPr>
        <w:t>E</w:t>
      </w:r>
      <w:r w:rsidRPr="0034290B">
        <w:rPr>
          <w:rFonts w:ascii="Calibri" w:hAnsi="Calibri" w:cs="Calibri"/>
          <w:color w:val="000000"/>
        </w:rPr>
        <w:t>ncouraging a culture of continuous learning and reflection helps maintain high standards of inclusivity: "Teams that are thriving and executing at a high level are strategically enabled by inclusive leadership"</w:t>
      </w:r>
      <w:r w:rsidR="00B20E9B" w:rsidRPr="0034290B">
        <w:rPr>
          <w:rFonts w:ascii="Calibri" w:hAnsi="Calibri" w:cs="Calibri"/>
          <w:color w:val="000000"/>
        </w:rPr>
        <w:t xml:space="preserve"> </w:t>
      </w:r>
      <w:proofErr w:type="spellStart"/>
      <w:r w:rsidR="00B20E9B" w:rsidRPr="0034290B">
        <w:rPr>
          <w:rFonts w:ascii="Calibri" w:hAnsi="Calibri" w:cs="Calibri"/>
          <w:color w:val="000000"/>
        </w:rPr>
        <w:t>Leithwood</w:t>
      </w:r>
      <w:proofErr w:type="spellEnd"/>
      <w:r w:rsidR="00B20E9B" w:rsidRPr="0034290B">
        <w:rPr>
          <w:rFonts w:ascii="Calibri" w:hAnsi="Calibri" w:cs="Calibri"/>
          <w:color w:val="000000"/>
        </w:rPr>
        <w:t xml:space="preserve"> and </w:t>
      </w:r>
      <w:proofErr w:type="spellStart"/>
      <w:r w:rsidR="00B20E9B" w:rsidRPr="0034290B">
        <w:rPr>
          <w:rFonts w:ascii="Calibri" w:hAnsi="Calibri" w:cs="Calibri"/>
          <w:color w:val="000000"/>
        </w:rPr>
        <w:t>Jantzi</w:t>
      </w:r>
      <w:proofErr w:type="spellEnd"/>
      <w:r w:rsidR="00B20E9B" w:rsidRPr="0034290B">
        <w:rPr>
          <w:rFonts w:ascii="Calibri" w:hAnsi="Calibri" w:cs="Calibri"/>
          <w:color w:val="000000"/>
        </w:rPr>
        <w:t xml:space="preserve"> (2009)</w:t>
      </w:r>
      <w:r w:rsidRPr="0034290B">
        <w:rPr>
          <w:rFonts w:ascii="Calibri" w:hAnsi="Calibri" w:cs="Calibri"/>
          <w:color w:val="000000"/>
        </w:rPr>
        <w:t>. By practising inclusive environments, attitudes, and practices</w:t>
      </w:r>
      <w:r w:rsidR="00C852E8" w:rsidRPr="0034290B">
        <w:rPr>
          <w:rFonts w:ascii="Calibri" w:hAnsi="Calibri" w:cs="Calibri"/>
          <w:color w:val="000000"/>
        </w:rPr>
        <w:t xml:space="preserve"> Maslow (1943), </w:t>
      </w:r>
      <w:r w:rsidRPr="0034290B">
        <w:rPr>
          <w:rFonts w:ascii="Calibri" w:hAnsi="Calibri" w:cs="Calibri"/>
          <w:color w:val="000000"/>
        </w:rPr>
        <w:t>early years settings can create a nurturing and equitable space where every child feels valued and empowered to reach their full potential</w:t>
      </w:r>
      <w:r w:rsidR="00B20E9B" w:rsidRPr="0034290B">
        <w:rPr>
          <w:rFonts w:ascii="Calibri" w:hAnsi="Calibri" w:cs="Calibri"/>
          <w:color w:val="000000"/>
        </w:rPr>
        <w:t xml:space="preserve"> Spillane, Halverson, and Diamond (2001)</w:t>
      </w:r>
      <w:r w:rsidRPr="0034290B">
        <w:rPr>
          <w:rFonts w:ascii="Calibri" w:hAnsi="Calibri" w:cs="Calibri"/>
          <w:color w:val="000000"/>
        </w:rPr>
        <w:t>.</w:t>
      </w:r>
    </w:p>
    <w:p w14:paraId="0EFB3C26" w14:textId="77777777" w:rsidR="00D15E66" w:rsidRPr="0034290B" w:rsidRDefault="00D15E66" w:rsidP="0034290B">
      <w:pPr>
        <w:spacing w:line="360" w:lineRule="auto"/>
        <w:rPr>
          <w:rFonts w:ascii="Calibri" w:hAnsi="Calibri" w:cs="Calibri"/>
          <w:b/>
          <w:bCs/>
          <w:color w:val="000000"/>
          <w:u w:val="single"/>
        </w:rPr>
      </w:pPr>
    </w:p>
    <w:p w14:paraId="2D5B33F4" w14:textId="77777777" w:rsidR="00D15E66" w:rsidRPr="0034290B" w:rsidRDefault="00D15E66" w:rsidP="0034290B">
      <w:pPr>
        <w:spacing w:line="360" w:lineRule="auto"/>
        <w:rPr>
          <w:rFonts w:ascii="Calibri" w:hAnsi="Calibri" w:cs="Calibri"/>
          <w:b/>
          <w:bCs/>
          <w:color w:val="000000"/>
          <w:u w:val="single"/>
        </w:rPr>
      </w:pPr>
    </w:p>
    <w:p w14:paraId="4B9E8091" w14:textId="77777777" w:rsidR="00D15E66" w:rsidRPr="0034290B" w:rsidRDefault="00D15E66" w:rsidP="0034290B">
      <w:pPr>
        <w:spacing w:line="360" w:lineRule="auto"/>
        <w:rPr>
          <w:rFonts w:ascii="Calibri" w:hAnsi="Calibri" w:cs="Calibri"/>
          <w:b/>
          <w:bCs/>
          <w:color w:val="000000"/>
          <w:u w:val="single"/>
        </w:rPr>
      </w:pPr>
    </w:p>
    <w:p w14:paraId="7FA2FAB4" w14:textId="77777777" w:rsidR="00D15E66" w:rsidRPr="0034290B" w:rsidRDefault="00D15E66" w:rsidP="0034290B">
      <w:pPr>
        <w:spacing w:line="360" w:lineRule="auto"/>
        <w:rPr>
          <w:rFonts w:ascii="Calibri" w:hAnsi="Calibri" w:cs="Calibri"/>
          <w:b/>
          <w:bCs/>
          <w:color w:val="000000"/>
          <w:u w:val="single"/>
        </w:rPr>
      </w:pPr>
    </w:p>
    <w:p w14:paraId="098C5CED" w14:textId="77777777" w:rsidR="00D15E66" w:rsidRPr="0034290B" w:rsidRDefault="00D15E66" w:rsidP="0034290B">
      <w:pPr>
        <w:spacing w:line="360" w:lineRule="auto"/>
        <w:rPr>
          <w:rFonts w:ascii="Calibri" w:hAnsi="Calibri" w:cs="Calibri"/>
          <w:b/>
          <w:bCs/>
          <w:color w:val="000000"/>
          <w:u w:val="single"/>
        </w:rPr>
      </w:pPr>
    </w:p>
    <w:p w14:paraId="67D145FC" w14:textId="77777777" w:rsidR="00D15E66" w:rsidRDefault="00D15E66">
      <w:pPr>
        <w:rPr>
          <w:rFonts w:ascii="Kohinoor Devanagari" w:hAnsi="Kohinoor Devanagari" w:cs="Kohinoor Devanagari"/>
          <w:b/>
          <w:bCs/>
          <w:color w:val="000000"/>
          <w:u w:val="single"/>
        </w:rPr>
      </w:pPr>
    </w:p>
    <w:p w14:paraId="018DB54B" w14:textId="77777777" w:rsidR="00D15E66" w:rsidRDefault="00D15E66">
      <w:pPr>
        <w:rPr>
          <w:rFonts w:ascii="Kohinoor Devanagari" w:hAnsi="Kohinoor Devanagari" w:cs="Kohinoor Devanagari"/>
          <w:b/>
          <w:bCs/>
          <w:color w:val="000000"/>
          <w:u w:val="single"/>
        </w:rPr>
      </w:pPr>
    </w:p>
    <w:p w14:paraId="6D0AA75B" w14:textId="77777777" w:rsidR="00BD76EA" w:rsidRDefault="00BD76EA">
      <w:pPr>
        <w:rPr>
          <w:rFonts w:ascii="Kohinoor Devanagari" w:hAnsi="Kohinoor Devanagari" w:cs="Kohinoor Devanagari"/>
          <w:b/>
          <w:bCs/>
          <w:color w:val="000000"/>
          <w:u w:val="single"/>
        </w:rPr>
      </w:pPr>
    </w:p>
    <w:p w14:paraId="342CEB10" w14:textId="77777777" w:rsidR="00882C86" w:rsidRDefault="00882C86">
      <w:pPr>
        <w:rPr>
          <w:rFonts w:ascii="Kohinoor Devanagari" w:hAnsi="Kohinoor Devanagari" w:cs="Kohinoor Devanagari"/>
          <w:b/>
          <w:bCs/>
          <w:color w:val="000000"/>
          <w:u w:val="single"/>
        </w:rPr>
      </w:pPr>
    </w:p>
    <w:p w14:paraId="273510B5" w14:textId="77777777" w:rsidR="00882C86" w:rsidRDefault="00882C86">
      <w:pPr>
        <w:rPr>
          <w:rFonts w:ascii="Kohinoor Devanagari" w:hAnsi="Kohinoor Devanagari" w:cs="Kohinoor Devanagari"/>
          <w:b/>
          <w:bCs/>
          <w:color w:val="000000"/>
          <w:u w:val="single"/>
        </w:rPr>
      </w:pPr>
    </w:p>
    <w:p w14:paraId="48BD5012" w14:textId="77777777" w:rsidR="00882C86" w:rsidRDefault="00882C86">
      <w:pPr>
        <w:rPr>
          <w:rFonts w:ascii="Kohinoor Devanagari" w:hAnsi="Kohinoor Devanagari" w:cs="Kohinoor Devanagari"/>
          <w:b/>
          <w:bCs/>
          <w:color w:val="000000"/>
          <w:u w:val="single"/>
        </w:rPr>
      </w:pPr>
    </w:p>
    <w:p w14:paraId="4D545CE5" w14:textId="77777777" w:rsidR="00882C86" w:rsidRDefault="00882C86">
      <w:pPr>
        <w:rPr>
          <w:rFonts w:ascii="Kohinoor Devanagari" w:hAnsi="Kohinoor Devanagari" w:cs="Kohinoor Devanagari"/>
          <w:b/>
          <w:bCs/>
          <w:color w:val="000000"/>
          <w:u w:val="single"/>
        </w:rPr>
      </w:pPr>
    </w:p>
    <w:p w14:paraId="202ACF07" w14:textId="77777777" w:rsidR="00882C86" w:rsidRDefault="00882C86">
      <w:pPr>
        <w:rPr>
          <w:rFonts w:ascii="Kohinoor Devanagari" w:hAnsi="Kohinoor Devanagari" w:cs="Kohinoor Devanagari"/>
          <w:b/>
          <w:bCs/>
          <w:color w:val="000000"/>
          <w:u w:val="single"/>
        </w:rPr>
      </w:pPr>
    </w:p>
    <w:p w14:paraId="5A2853A2" w14:textId="77777777" w:rsidR="000C4337" w:rsidRDefault="000C4337">
      <w:pPr>
        <w:rPr>
          <w:rFonts w:ascii="Kohinoor Devanagari" w:hAnsi="Kohinoor Devanagari" w:cs="Kohinoor Devanagari"/>
          <w:b/>
          <w:bCs/>
          <w:color w:val="000000"/>
          <w:u w:val="single"/>
        </w:rPr>
      </w:pPr>
    </w:p>
    <w:p w14:paraId="10AA8996" w14:textId="77777777" w:rsidR="00BE4D51" w:rsidRDefault="00BE4D51">
      <w:pPr>
        <w:rPr>
          <w:rFonts w:ascii="Kohinoor Devanagari" w:hAnsi="Kohinoor Devanagari" w:cs="Kohinoor Devanagari"/>
          <w:b/>
          <w:bCs/>
          <w:color w:val="000000"/>
          <w:u w:val="single"/>
        </w:rPr>
      </w:pPr>
    </w:p>
    <w:p w14:paraId="6286F337" w14:textId="77777777" w:rsidR="00BE4D51" w:rsidRDefault="00BE4D51">
      <w:pPr>
        <w:rPr>
          <w:rFonts w:ascii="Kohinoor Devanagari" w:hAnsi="Kohinoor Devanagari" w:cs="Kohinoor Devanagari"/>
          <w:b/>
          <w:bCs/>
          <w:color w:val="000000"/>
          <w:u w:val="single"/>
        </w:rPr>
      </w:pPr>
    </w:p>
    <w:p w14:paraId="5E8CE519" w14:textId="77777777" w:rsidR="00BE4D51" w:rsidRDefault="00BE4D51">
      <w:pPr>
        <w:rPr>
          <w:rFonts w:ascii="Kohinoor Devanagari" w:hAnsi="Kohinoor Devanagari" w:cs="Kohinoor Devanagari"/>
          <w:b/>
          <w:bCs/>
          <w:color w:val="000000"/>
          <w:u w:val="single"/>
        </w:rPr>
      </w:pPr>
    </w:p>
    <w:p w14:paraId="1B14E682" w14:textId="77777777" w:rsidR="00F57AC3" w:rsidRPr="00F57AC3" w:rsidRDefault="00F57AC3" w:rsidP="002960DC">
      <w:pPr>
        <w:pStyle w:val="NormalWeb"/>
        <w:rPr>
          <w:color w:val="000000"/>
        </w:rPr>
      </w:pPr>
    </w:p>
    <w:p w14:paraId="3E84D7BA" w14:textId="22B73229" w:rsidR="002960DC" w:rsidRPr="00F57AC3" w:rsidRDefault="002960DC" w:rsidP="000B77E7">
      <w:pPr>
        <w:pStyle w:val="NormalWeb"/>
        <w:rPr>
          <w:color w:val="000000"/>
        </w:rPr>
      </w:pPr>
    </w:p>
    <w:p w14:paraId="058C43D5" w14:textId="19AE96AB" w:rsidR="0001513A" w:rsidRPr="00F57AC3" w:rsidRDefault="0001513A">
      <w:pPr>
        <w:rPr>
          <w:rFonts w:ascii="Times New Roman" w:hAnsi="Times New Roman" w:cs="Times New Roman"/>
        </w:rPr>
      </w:pPr>
    </w:p>
    <w:sectPr w:rsidR="0001513A" w:rsidRPr="00F57AC3" w:rsidSect="00592F72">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09445" w14:textId="77777777" w:rsidR="00901764" w:rsidRDefault="00901764" w:rsidP="0034290B">
      <w:r>
        <w:separator/>
      </w:r>
    </w:p>
  </w:endnote>
  <w:endnote w:type="continuationSeparator" w:id="0">
    <w:p w14:paraId="077E0E64" w14:textId="77777777" w:rsidR="00901764" w:rsidRDefault="00901764" w:rsidP="00342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Kohinoor Devanagari">
    <w:panose1 w:val="020000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5905085"/>
      <w:docPartObj>
        <w:docPartGallery w:val="Page Numbers (Bottom of Page)"/>
        <w:docPartUnique/>
      </w:docPartObj>
    </w:sdtPr>
    <w:sdtContent>
      <w:p w14:paraId="5A43DD87" w14:textId="3C62CFDA" w:rsidR="0034290B" w:rsidRDefault="0034290B" w:rsidP="00294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AEFD9A" w14:textId="77777777" w:rsidR="0034290B" w:rsidRDefault="0034290B" w:rsidP="003429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6476254"/>
      <w:docPartObj>
        <w:docPartGallery w:val="Page Numbers (Bottom of Page)"/>
        <w:docPartUnique/>
      </w:docPartObj>
    </w:sdtPr>
    <w:sdtContent>
      <w:p w14:paraId="77FA5675" w14:textId="1BBEB956" w:rsidR="0034290B" w:rsidRDefault="0034290B" w:rsidP="00294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8AB2CE" w14:textId="77777777" w:rsidR="0034290B" w:rsidRDefault="0034290B" w:rsidP="003429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02FBB" w14:textId="77777777" w:rsidR="00901764" w:rsidRDefault="00901764" w:rsidP="0034290B">
      <w:r>
        <w:separator/>
      </w:r>
    </w:p>
  </w:footnote>
  <w:footnote w:type="continuationSeparator" w:id="0">
    <w:p w14:paraId="5287F25A" w14:textId="77777777" w:rsidR="00901764" w:rsidRDefault="00901764" w:rsidP="00342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2D133" w14:textId="25A9D094" w:rsidR="0034290B" w:rsidRDefault="0034290B">
    <w:pPr>
      <w:pStyle w:val="Header"/>
    </w:pPr>
    <w:r>
      <w:t xml:space="preserve">Zahra Bashir </w:t>
    </w:r>
  </w:p>
  <w:p w14:paraId="471471CA" w14:textId="039108A7" w:rsidR="0034290B" w:rsidRDefault="0034290B">
    <w:pPr>
      <w:pStyle w:val="Header"/>
    </w:pPr>
    <w:r>
      <w:t>2308220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4364"/>
    <w:multiLevelType w:val="hybridMultilevel"/>
    <w:tmpl w:val="41DE6144"/>
    <w:lvl w:ilvl="0" w:tplc="F0B85A1E">
      <w:start w:val="1"/>
      <w:numFmt w:val="bullet"/>
      <w:lvlText w:val="•"/>
      <w:lvlJc w:val="left"/>
      <w:pPr>
        <w:tabs>
          <w:tab w:val="num" w:pos="720"/>
        </w:tabs>
        <w:ind w:left="720" w:hanging="360"/>
      </w:pPr>
      <w:rPr>
        <w:rFonts w:ascii="Arial" w:hAnsi="Arial" w:hint="default"/>
      </w:rPr>
    </w:lvl>
    <w:lvl w:ilvl="1" w:tplc="972C10A0" w:tentative="1">
      <w:start w:val="1"/>
      <w:numFmt w:val="bullet"/>
      <w:lvlText w:val="•"/>
      <w:lvlJc w:val="left"/>
      <w:pPr>
        <w:tabs>
          <w:tab w:val="num" w:pos="1440"/>
        </w:tabs>
        <w:ind w:left="1440" w:hanging="360"/>
      </w:pPr>
      <w:rPr>
        <w:rFonts w:ascii="Arial" w:hAnsi="Arial" w:hint="default"/>
      </w:rPr>
    </w:lvl>
    <w:lvl w:ilvl="2" w:tplc="5082131A" w:tentative="1">
      <w:start w:val="1"/>
      <w:numFmt w:val="bullet"/>
      <w:lvlText w:val="•"/>
      <w:lvlJc w:val="left"/>
      <w:pPr>
        <w:tabs>
          <w:tab w:val="num" w:pos="2160"/>
        </w:tabs>
        <w:ind w:left="2160" w:hanging="360"/>
      </w:pPr>
      <w:rPr>
        <w:rFonts w:ascii="Arial" w:hAnsi="Arial" w:hint="default"/>
      </w:rPr>
    </w:lvl>
    <w:lvl w:ilvl="3" w:tplc="24B8017A" w:tentative="1">
      <w:start w:val="1"/>
      <w:numFmt w:val="bullet"/>
      <w:lvlText w:val="•"/>
      <w:lvlJc w:val="left"/>
      <w:pPr>
        <w:tabs>
          <w:tab w:val="num" w:pos="2880"/>
        </w:tabs>
        <w:ind w:left="2880" w:hanging="360"/>
      </w:pPr>
      <w:rPr>
        <w:rFonts w:ascii="Arial" w:hAnsi="Arial" w:hint="default"/>
      </w:rPr>
    </w:lvl>
    <w:lvl w:ilvl="4" w:tplc="DE4C9964" w:tentative="1">
      <w:start w:val="1"/>
      <w:numFmt w:val="bullet"/>
      <w:lvlText w:val="•"/>
      <w:lvlJc w:val="left"/>
      <w:pPr>
        <w:tabs>
          <w:tab w:val="num" w:pos="3600"/>
        </w:tabs>
        <w:ind w:left="3600" w:hanging="360"/>
      </w:pPr>
      <w:rPr>
        <w:rFonts w:ascii="Arial" w:hAnsi="Arial" w:hint="default"/>
      </w:rPr>
    </w:lvl>
    <w:lvl w:ilvl="5" w:tplc="0EB6B6FA" w:tentative="1">
      <w:start w:val="1"/>
      <w:numFmt w:val="bullet"/>
      <w:lvlText w:val="•"/>
      <w:lvlJc w:val="left"/>
      <w:pPr>
        <w:tabs>
          <w:tab w:val="num" w:pos="4320"/>
        </w:tabs>
        <w:ind w:left="4320" w:hanging="360"/>
      </w:pPr>
      <w:rPr>
        <w:rFonts w:ascii="Arial" w:hAnsi="Arial" w:hint="default"/>
      </w:rPr>
    </w:lvl>
    <w:lvl w:ilvl="6" w:tplc="08A84E4A" w:tentative="1">
      <w:start w:val="1"/>
      <w:numFmt w:val="bullet"/>
      <w:lvlText w:val="•"/>
      <w:lvlJc w:val="left"/>
      <w:pPr>
        <w:tabs>
          <w:tab w:val="num" w:pos="5040"/>
        </w:tabs>
        <w:ind w:left="5040" w:hanging="360"/>
      </w:pPr>
      <w:rPr>
        <w:rFonts w:ascii="Arial" w:hAnsi="Arial" w:hint="default"/>
      </w:rPr>
    </w:lvl>
    <w:lvl w:ilvl="7" w:tplc="C790579C" w:tentative="1">
      <w:start w:val="1"/>
      <w:numFmt w:val="bullet"/>
      <w:lvlText w:val="•"/>
      <w:lvlJc w:val="left"/>
      <w:pPr>
        <w:tabs>
          <w:tab w:val="num" w:pos="5760"/>
        </w:tabs>
        <w:ind w:left="5760" w:hanging="360"/>
      </w:pPr>
      <w:rPr>
        <w:rFonts w:ascii="Arial" w:hAnsi="Arial" w:hint="default"/>
      </w:rPr>
    </w:lvl>
    <w:lvl w:ilvl="8" w:tplc="592E95A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3F4065"/>
    <w:multiLevelType w:val="hybridMultilevel"/>
    <w:tmpl w:val="42122A20"/>
    <w:lvl w:ilvl="0" w:tplc="915C204E">
      <w:start w:val="1"/>
      <w:numFmt w:val="bullet"/>
      <w:lvlText w:val="•"/>
      <w:lvlJc w:val="left"/>
      <w:pPr>
        <w:tabs>
          <w:tab w:val="num" w:pos="720"/>
        </w:tabs>
        <w:ind w:left="720" w:hanging="360"/>
      </w:pPr>
      <w:rPr>
        <w:rFonts w:ascii="Arial" w:hAnsi="Arial" w:hint="default"/>
      </w:rPr>
    </w:lvl>
    <w:lvl w:ilvl="1" w:tplc="CCD8FF76" w:tentative="1">
      <w:start w:val="1"/>
      <w:numFmt w:val="bullet"/>
      <w:lvlText w:val="•"/>
      <w:lvlJc w:val="left"/>
      <w:pPr>
        <w:tabs>
          <w:tab w:val="num" w:pos="1440"/>
        </w:tabs>
        <w:ind w:left="1440" w:hanging="360"/>
      </w:pPr>
      <w:rPr>
        <w:rFonts w:ascii="Arial" w:hAnsi="Arial" w:hint="default"/>
      </w:rPr>
    </w:lvl>
    <w:lvl w:ilvl="2" w:tplc="D800316A" w:tentative="1">
      <w:start w:val="1"/>
      <w:numFmt w:val="bullet"/>
      <w:lvlText w:val="•"/>
      <w:lvlJc w:val="left"/>
      <w:pPr>
        <w:tabs>
          <w:tab w:val="num" w:pos="2160"/>
        </w:tabs>
        <w:ind w:left="2160" w:hanging="360"/>
      </w:pPr>
      <w:rPr>
        <w:rFonts w:ascii="Arial" w:hAnsi="Arial" w:hint="default"/>
      </w:rPr>
    </w:lvl>
    <w:lvl w:ilvl="3" w:tplc="40C897A2" w:tentative="1">
      <w:start w:val="1"/>
      <w:numFmt w:val="bullet"/>
      <w:lvlText w:val="•"/>
      <w:lvlJc w:val="left"/>
      <w:pPr>
        <w:tabs>
          <w:tab w:val="num" w:pos="2880"/>
        </w:tabs>
        <w:ind w:left="2880" w:hanging="360"/>
      </w:pPr>
      <w:rPr>
        <w:rFonts w:ascii="Arial" w:hAnsi="Arial" w:hint="default"/>
      </w:rPr>
    </w:lvl>
    <w:lvl w:ilvl="4" w:tplc="BDD2CD6E" w:tentative="1">
      <w:start w:val="1"/>
      <w:numFmt w:val="bullet"/>
      <w:lvlText w:val="•"/>
      <w:lvlJc w:val="left"/>
      <w:pPr>
        <w:tabs>
          <w:tab w:val="num" w:pos="3600"/>
        </w:tabs>
        <w:ind w:left="3600" w:hanging="360"/>
      </w:pPr>
      <w:rPr>
        <w:rFonts w:ascii="Arial" w:hAnsi="Arial" w:hint="default"/>
      </w:rPr>
    </w:lvl>
    <w:lvl w:ilvl="5" w:tplc="9AA42832" w:tentative="1">
      <w:start w:val="1"/>
      <w:numFmt w:val="bullet"/>
      <w:lvlText w:val="•"/>
      <w:lvlJc w:val="left"/>
      <w:pPr>
        <w:tabs>
          <w:tab w:val="num" w:pos="4320"/>
        </w:tabs>
        <w:ind w:left="4320" w:hanging="360"/>
      </w:pPr>
      <w:rPr>
        <w:rFonts w:ascii="Arial" w:hAnsi="Arial" w:hint="default"/>
      </w:rPr>
    </w:lvl>
    <w:lvl w:ilvl="6" w:tplc="897CD72A" w:tentative="1">
      <w:start w:val="1"/>
      <w:numFmt w:val="bullet"/>
      <w:lvlText w:val="•"/>
      <w:lvlJc w:val="left"/>
      <w:pPr>
        <w:tabs>
          <w:tab w:val="num" w:pos="5040"/>
        </w:tabs>
        <w:ind w:left="5040" w:hanging="360"/>
      </w:pPr>
      <w:rPr>
        <w:rFonts w:ascii="Arial" w:hAnsi="Arial" w:hint="default"/>
      </w:rPr>
    </w:lvl>
    <w:lvl w:ilvl="7" w:tplc="118C887A" w:tentative="1">
      <w:start w:val="1"/>
      <w:numFmt w:val="bullet"/>
      <w:lvlText w:val="•"/>
      <w:lvlJc w:val="left"/>
      <w:pPr>
        <w:tabs>
          <w:tab w:val="num" w:pos="5760"/>
        </w:tabs>
        <w:ind w:left="5760" w:hanging="360"/>
      </w:pPr>
      <w:rPr>
        <w:rFonts w:ascii="Arial" w:hAnsi="Arial" w:hint="default"/>
      </w:rPr>
    </w:lvl>
    <w:lvl w:ilvl="8" w:tplc="1E3099A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A15774E"/>
    <w:multiLevelType w:val="hybridMultilevel"/>
    <w:tmpl w:val="69880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1E4051"/>
    <w:multiLevelType w:val="hybridMultilevel"/>
    <w:tmpl w:val="6108EC5C"/>
    <w:lvl w:ilvl="0" w:tplc="2752FF46">
      <w:start w:val="1"/>
      <w:numFmt w:val="bullet"/>
      <w:lvlText w:val="•"/>
      <w:lvlJc w:val="left"/>
      <w:pPr>
        <w:tabs>
          <w:tab w:val="num" w:pos="720"/>
        </w:tabs>
        <w:ind w:left="720" w:hanging="360"/>
      </w:pPr>
      <w:rPr>
        <w:rFonts w:ascii="Arial" w:hAnsi="Arial" w:hint="default"/>
      </w:rPr>
    </w:lvl>
    <w:lvl w:ilvl="1" w:tplc="CDF4AF0C" w:tentative="1">
      <w:start w:val="1"/>
      <w:numFmt w:val="bullet"/>
      <w:lvlText w:val="•"/>
      <w:lvlJc w:val="left"/>
      <w:pPr>
        <w:tabs>
          <w:tab w:val="num" w:pos="1440"/>
        </w:tabs>
        <w:ind w:left="1440" w:hanging="360"/>
      </w:pPr>
      <w:rPr>
        <w:rFonts w:ascii="Arial" w:hAnsi="Arial" w:hint="default"/>
      </w:rPr>
    </w:lvl>
    <w:lvl w:ilvl="2" w:tplc="EF38FA78" w:tentative="1">
      <w:start w:val="1"/>
      <w:numFmt w:val="bullet"/>
      <w:lvlText w:val="•"/>
      <w:lvlJc w:val="left"/>
      <w:pPr>
        <w:tabs>
          <w:tab w:val="num" w:pos="2160"/>
        </w:tabs>
        <w:ind w:left="2160" w:hanging="360"/>
      </w:pPr>
      <w:rPr>
        <w:rFonts w:ascii="Arial" w:hAnsi="Arial" w:hint="default"/>
      </w:rPr>
    </w:lvl>
    <w:lvl w:ilvl="3" w:tplc="7ED6662E" w:tentative="1">
      <w:start w:val="1"/>
      <w:numFmt w:val="bullet"/>
      <w:lvlText w:val="•"/>
      <w:lvlJc w:val="left"/>
      <w:pPr>
        <w:tabs>
          <w:tab w:val="num" w:pos="2880"/>
        </w:tabs>
        <w:ind w:left="2880" w:hanging="360"/>
      </w:pPr>
      <w:rPr>
        <w:rFonts w:ascii="Arial" w:hAnsi="Arial" w:hint="default"/>
      </w:rPr>
    </w:lvl>
    <w:lvl w:ilvl="4" w:tplc="87C4E52C" w:tentative="1">
      <w:start w:val="1"/>
      <w:numFmt w:val="bullet"/>
      <w:lvlText w:val="•"/>
      <w:lvlJc w:val="left"/>
      <w:pPr>
        <w:tabs>
          <w:tab w:val="num" w:pos="3600"/>
        </w:tabs>
        <w:ind w:left="3600" w:hanging="360"/>
      </w:pPr>
      <w:rPr>
        <w:rFonts w:ascii="Arial" w:hAnsi="Arial" w:hint="default"/>
      </w:rPr>
    </w:lvl>
    <w:lvl w:ilvl="5" w:tplc="5A7E0F86" w:tentative="1">
      <w:start w:val="1"/>
      <w:numFmt w:val="bullet"/>
      <w:lvlText w:val="•"/>
      <w:lvlJc w:val="left"/>
      <w:pPr>
        <w:tabs>
          <w:tab w:val="num" w:pos="4320"/>
        </w:tabs>
        <w:ind w:left="4320" w:hanging="360"/>
      </w:pPr>
      <w:rPr>
        <w:rFonts w:ascii="Arial" w:hAnsi="Arial" w:hint="default"/>
      </w:rPr>
    </w:lvl>
    <w:lvl w:ilvl="6" w:tplc="E62A58B6" w:tentative="1">
      <w:start w:val="1"/>
      <w:numFmt w:val="bullet"/>
      <w:lvlText w:val="•"/>
      <w:lvlJc w:val="left"/>
      <w:pPr>
        <w:tabs>
          <w:tab w:val="num" w:pos="5040"/>
        </w:tabs>
        <w:ind w:left="5040" w:hanging="360"/>
      </w:pPr>
      <w:rPr>
        <w:rFonts w:ascii="Arial" w:hAnsi="Arial" w:hint="default"/>
      </w:rPr>
    </w:lvl>
    <w:lvl w:ilvl="7" w:tplc="9448FF76" w:tentative="1">
      <w:start w:val="1"/>
      <w:numFmt w:val="bullet"/>
      <w:lvlText w:val="•"/>
      <w:lvlJc w:val="left"/>
      <w:pPr>
        <w:tabs>
          <w:tab w:val="num" w:pos="5760"/>
        </w:tabs>
        <w:ind w:left="5760" w:hanging="360"/>
      </w:pPr>
      <w:rPr>
        <w:rFonts w:ascii="Arial" w:hAnsi="Arial" w:hint="default"/>
      </w:rPr>
    </w:lvl>
    <w:lvl w:ilvl="8" w:tplc="FE942E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635467"/>
    <w:multiLevelType w:val="hybridMultilevel"/>
    <w:tmpl w:val="52A4C18C"/>
    <w:lvl w:ilvl="0" w:tplc="AB1AA9B6">
      <w:start w:val="1"/>
      <w:numFmt w:val="bullet"/>
      <w:lvlText w:val="•"/>
      <w:lvlJc w:val="left"/>
      <w:pPr>
        <w:tabs>
          <w:tab w:val="num" w:pos="720"/>
        </w:tabs>
        <w:ind w:left="720" w:hanging="360"/>
      </w:pPr>
      <w:rPr>
        <w:rFonts w:ascii="Arial" w:hAnsi="Arial" w:hint="default"/>
      </w:rPr>
    </w:lvl>
    <w:lvl w:ilvl="1" w:tplc="14B23B48" w:tentative="1">
      <w:start w:val="1"/>
      <w:numFmt w:val="bullet"/>
      <w:lvlText w:val="•"/>
      <w:lvlJc w:val="left"/>
      <w:pPr>
        <w:tabs>
          <w:tab w:val="num" w:pos="1440"/>
        </w:tabs>
        <w:ind w:left="1440" w:hanging="360"/>
      </w:pPr>
      <w:rPr>
        <w:rFonts w:ascii="Arial" w:hAnsi="Arial" w:hint="default"/>
      </w:rPr>
    </w:lvl>
    <w:lvl w:ilvl="2" w:tplc="CACA1DEE" w:tentative="1">
      <w:start w:val="1"/>
      <w:numFmt w:val="bullet"/>
      <w:lvlText w:val="•"/>
      <w:lvlJc w:val="left"/>
      <w:pPr>
        <w:tabs>
          <w:tab w:val="num" w:pos="2160"/>
        </w:tabs>
        <w:ind w:left="2160" w:hanging="360"/>
      </w:pPr>
      <w:rPr>
        <w:rFonts w:ascii="Arial" w:hAnsi="Arial" w:hint="default"/>
      </w:rPr>
    </w:lvl>
    <w:lvl w:ilvl="3" w:tplc="A52AC1E2" w:tentative="1">
      <w:start w:val="1"/>
      <w:numFmt w:val="bullet"/>
      <w:lvlText w:val="•"/>
      <w:lvlJc w:val="left"/>
      <w:pPr>
        <w:tabs>
          <w:tab w:val="num" w:pos="2880"/>
        </w:tabs>
        <w:ind w:left="2880" w:hanging="360"/>
      </w:pPr>
      <w:rPr>
        <w:rFonts w:ascii="Arial" w:hAnsi="Arial" w:hint="default"/>
      </w:rPr>
    </w:lvl>
    <w:lvl w:ilvl="4" w:tplc="97480DE8" w:tentative="1">
      <w:start w:val="1"/>
      <w:numFmt w:val="bullet"/>
      <w:lvlText w:val="•"/>
      <w:lvlJc w:val="left"/>
      <w:pPr>
        <w:tabs>
          <w:tab w:val="num" w:pos="3600"/>
        </w:tabs>
        <w:ind w:left="3600" w:hanging="360"/>
      </w:pPr>
      <w:rPr>
        <w:rFonts w:ascii="Arial" w:hAnsi="Arial" w:hint="default"/>
      </w:rPr>
    </w:lvl>
    <w:lvl w:ilvl="5" w:tplc="D940F94A" w:tentative="1">
      <w:start w:val="1"/>
      <w:numFmt w:val="bullet"/>
      <w:lvlText w:val="•"/>
      <w:lvlJc w:val="left"/>
      <w:pPr>
        <w:tabs>
          <w:tab w:val="num" w:pos="4320"/>
        </w:tabs>
        <w:ind w:left="4320" w:hanging="360"/>
      </w:pPr>
      <w:rPr>
        <w:rFonts w:ascii="Arial" w:hAnsi="Arial" w:hint="default"/>
      </w:rPr>
    </w:lvl>
    <w:lvl w:ilvl="6" w:tplc="2C10EC5E" w:tentative="1">
      <w:start w:val="1"/>
      <w:numFmt w:val="bullet"/>
      <w:lvlText w:val="•"/>
      <w:lvlJc w:val="left"/>
      <w:pPr>
        <w:tabs>
          <w:tab w:val="num" w:pos="5040"/>
        </w:tabs>
        <w:ind w:left="5040" w:hanging="360"/>
      </w:pPr>
      <w:rPr>
        <w:rFonts w:ascii="Arial" w:hAnsi="Arial" w:hint="default"/>
      </w:rPr>
    </w:lvl>
    <w:lvl w:ilvl="7" w:tplc="7390D97A" w:tentative="1">
      <w:start w:val="1"/>
      <w:numFmt w:val="bullet"/>
      <w:lvlText w:val="•"/>
      <w:lvlJc w:val="left"/>
      <w:pPr>
        <w:tabs>
          <w:tab w:val="num" w:pos="5760"/>
        </w:tabs>
        <w:ind w:left="5760" w:hanging="360"/>
      </w:pPr>
      <w:rPr>
        <w:rFonts w:ascii="Arial" w:hAnsi="Arial" w:hint="default"/>
      </w:rPr>
    </w:lvl>
    <w:lvl w:ilvl="8" w:tplc="A76C8E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30B1460"/>
    <w:multiLevelType w:val="hybridMultilevel"/>
    <w:tmpl w:val="1EBE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D978A9"/>
    <w:multiLevelType w:val="hybridMultilevel"/>
    <w:tmpl w:val="92429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2400359">
    <w:abstractNumId w:val="4"/>
  </w:num>
  <w:num w:numId="2" w16cid:durableId="67927438">
    <w:abstractNumId w:val="1"/>
  </w:num>
  <w:num w:numId="3" w16cid:durableId="64959596">
    <w:abstractNumId w:val="3"/>
  </w:num>
  <w:num w:numId="4" w16cid:durableId="2027511953">
    <w:abstractNumId w:val="0"/>
  </w:num>
  <w:num w:numId="5" w16cid:durableId="1191335375">
    <w:abstractNumId w:val="2"/>
  </w:num>
  <w:num w:numId="6" w16cid:durableId="2007439266">
    <w:abstractNumId w:val="5"/>
  </w:num>
  <w:num w:numId="7" w16cid:durableId="10374378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858"/>
    <w:rsid w:val="0001513A"/>
    <w:rsid w:val="00024CAE"/>
    <w:rsid w:val="00034183"/>
    <w:rsid w:val="000418FB"/>
    <w:rsid w:val="000520CA"/>
    <w:rsid w:val="00096178"/>
    <w:rsid w:val="000A55CC"/>
    <w:rsid w:val="000A7445"/>
    <w:rsid w:val="000B1AAA"/>
    <w:rsid w:val="000B77E7"/>
    <w:rsid w:val="000C3C5D"/>
    <w:rsid w:val="000C4337"/>
    <w:rsid w:val="000D04A6"/>
    <w:rsid w:val="000D6D32"/>
    <w:rsid w:val="000E2120"/>
    <w:rsid w:val="000E55F1"/>
    <w:rsid w:val="0011398F"/>
    <w:rsid w:val="001170D7"/>
    <w:rsid w:val="00117A2F"/>
    <w:rsid w:val="0013126C"/>
    <w:rsid w:val="00133DC6"/>
    <w:rsid w:val="00137D4A"/>
    <w:rsid w:val="001613B8"/>
    <w:rsid w:val="001811A7"/>
    <w:rsid w:val="0019627B"/>
    <w:rsid w:val="001C1CA6"/>
    <w:rsid w:val="001E298F"/>
    <w:rsid w:val="001E7FEB"/>
    <w:rsid w:val="0020221E"/>
    <w:rsid w:val="0020436E"/>
    <w:rsid w:val="0023292A"/>
    <w:rsid w:val="0024359D"/>
    <w:rsid w:val="00244989"/>
    <w:rsid w:val="00254A0C"/>
    <w:rsid w:val="00263EAB"/>
    <w:rsid w:val="00272E13"/>
    <w:rsid w:val="00277E93"/>
    <w:rsid w:val="00282DE2"/>
    <w:rsid w:val="002832BB"/>
    <w:rsid w:val="00287D45"/>
    <w:rsid w:val="002960DC"/>
    <w:rsid w:val="002A7E77"/>
    <w:rsid w:val="002B48AA"/>
    <w:rsid w:val="002C35B7"/>
    <w:rsid w:val="002D1F9A"/>
    <w:rsid w:val="002F1CF3"/>
    <w:rsid w:val="00334D47"/>
    <w:rsid w:val="0034290B"/>
    <w:rsid w:val="00363F07"/>
    <w:rsid w:val="003700BD"/>
    <w:rsid w:val="00371F7F"/>
    <w:rsid w:val="00373911"/>
    <w:rsid w:val="00373FE9"/>
    <w:rsid w:val="003767ED"/>
    <w:rsid w:val="00381858"/>
    <w:rsid w:val="0039659E"/>
    <w:rsid w:val="003A41A6"/>
    <w:rsid w:val="003C0E88"/>
    <w:rsid w:val="003C16C8"/>
    <w:rsid w:val="003C3D71"/>
    <w:rsid w:val="003C5158"/>
    <w:rsid w:val="003E1AC5"/>
    <w:rsid w:val="004015C4"/>
    <w:rsid w:val="004059AC"/>
    <w:rsid w:val="0041672F"/>
    <w:rsid w:val="004240C1"/>
    <w:rsid w:val="00431D4D"/>
    <w:rsid w:val="00436AB8"/>
    <w:rsid w:val="00444947"/>
    <w:rsid w:val="00446D7E"/>
    <w:rsid w:val="00461FD6"/>
    <w:rsid w:val="00470872"/>
    <w:rsid w:val="00481B8D"/>
    <w:rsid w:val="00482300"/>
    <w:rsid w:val="004970EF"/>
    <w:rsid w:val="004A28DB"/>
    <w:rsid w:val="004A55C9"/>
    <w:rsid w:val="004C710B"/>
    <w:rsid w:val="004E4396"/>
    <w:rsid w:val="00501EF5"/>
    <w:rsid w:val="00502821"/>
    <w:rsid w:val="0050473C"/>
    <w:rsid w:val="0050624E"/>
    <w:rsid w:val="00517707"/>
    <w:rsid w:val="005246C6"/>
    <w:rsid w:val="00525FC0"/>
    <w:rsid w:val="00530764"/>
    <w:rsid w:val="00530B8E"/>
    <w:rsid w:val="00532A66"/>
    <w:rsid w:val="00564D94"/>
    <w:rsid w:val="00592F72"/>
    <w:rsid w:val="00593908"/>
    <w:rsid w:val="0059465A"/>
    <w:rsid w:val="005C66B4"/>
    <w:rsid w:val="005D34FC"/>
    <w:rsid w:val="005D7F07"/>
    <w:rsid w:val="005E05A3"/>
    <w:rsid w:val="00602EC7"/>
    <w:rsid w:val="0060428D"/>
    <w:rsid w:val="00605D1B"/>
    <w:rsid w:val="0061590D"/>
    <w:rsid w:val="006164BB"/>
    <w:rsid w:val="006240E1"/>
    <w:rsid w:val="00633A96"/>
    <w:rsid w:val="0064017F"/>
    <w:rsid w:val="00644346"/>
    <w:rsid w:val="00662D1E"/>
    <w:rsid w:val="00666B0F"/>
    <w:rsid w:val="006772C0"/>
    <w:rsid w:val="006773FA"/>
    <w:rsid w:val="0068202D"/>
    <w:rsid w:val="00685078"/>
    <w:rsid w:val="006C2B67"/>
    <w:rsid w:val="006E2D22"/>
    <w:rsid w:val="006F488B"/>
    <w:rsid w:val="006F75A7"/>
    <w:rsid w:val="0073595F"/>
    <w:rsid w:val="007474C2"/>
    <w:rsid w:val="0075781D"/>
    <w:rsid w:val="00790EE1"/>
    <w:rsid w:val="00794451"/>
    <w:rsid w:val="00796046"/>
    <w:rsid w:val="007A4C7A"/>
    <w:rsid w:val="007A6E9C"/>
    <w:rsid w:val="007C3D57"/>
    <w:rsid w:val="007C3D60"/>
    <w:rsid w:val="007D1B41"/>
    <w:rsid w:val="007D5E51"/>
    <w:rsid w:val="007D7CD3"/>
    <w:rsid w:val="007E3E83"/>
    <w:rsid w:val="007E49FE"/>
    <w:rsid w:val="007E5315"/>
    <w:rsid w:val="007F02BA"/>
    <w:rsid w:val="008003B9"/>
    <w:rsid w:val="00812BFB"/>
    <w:rsid w:val="00817DA1"/>
    <w:rsid w:val="008266B0"/>
    <w:rsid w:val="00836C9F"/>
    <w:rsid w:val="00843E7A"/>
    <w:rsid w:val="00846EE3"/>
    <w:rsid w:val="00850D2F"/>
    <w:rsid w:val="00856757"/>
    <w:rsid w:val="00860867"/>
    <w:rsid w:val="008629BA"/>
    <w:rsid w:val="008637DE"/>
    <w:rsid w:val="00871C31"/>
    <w:rsid w:val="00882C86"/>
    <w:rsid w:val="008936BA"/>
    <w:rsid w:val="00894BC8"/>
    <w:rsid w:val="008950D6"/>
    <w:rsid w:val="00897E1C"/>
    <w:rsid w:val="008A14F5"/>
    <w:rsid w:val="008B238B"/>
    <w:rsid w:val="008B2CDE"/>
    <w:rsid w:val="008C2428"/>
    <w:rsid w:val="008C348B"/>
    <w:rsid w:val="008D0050"/>
    <w:rsid w:val="008D474E"/>
    <w:rsid w:val="00901764"/>
    <w:rsid w:val="00914895"/>
    <w:rsid w:val="009152D8"/>
    <w:rsid w:val="00924C45"/>
    <w:rsid w:val="00930E38"/>
    <w:rsid w:val="00934DC8"/>
    <w:rsid w:val="009455C2"/>
    <w:rsid w:val="009455F0"/>
    <w:rsid w:val="00956E45"/>
    <w:rsid w:val="009928BD"/>
    <w:rsid w:val="00992F47"/>
    <w:rsid w:val="009A5E19"/>
    <w:rsid w:val="009A70DE"/>
    <w:rsid w:val="009B0187"/>
    <w:rsid w:val="009B1E1A"/>
    <w:rsid w:val="009C3BFF"/>
    <w:rsid w:val="009D5AE5"/>
    <w:rsid w:val="00A11232"/>
    <w:rsid w:val="00A15D4F"/>
    <w:rsid w:val="00A23B99"/>
    <w:rsid w:val="00A3598B"/>
    <w:rsid w:val="00A51A27"/>
    <w:rsid w:val="00A51DD8"/>
    <w:rsid w:val="00A53B1B"/>
    <w:rsid w:val="00A54D28"/>
    <w:rsid w:val="00A635F6"/>
    <w:rsid w:val="00A64986"/>
    <w:rsid w:val="00A7149D"/>
    <w:rsid w:val="00A73E8D"/>
    <w:rsid w:val="00A81646"/>
    <w:rsid w:val="00A91EAD"/>
    <w:rsid w:val="00A97929"/>
    <w:rsid w:val="00AA7720"/>
    <w:rsid w:val="00AB3CB3"/>
    <w:rsid w:val="00AE6079"/>
    <w:rsid w:val="00AF2C69"/>
    <w:rsid w:val="00AF2F4D"/>
    <w:rsid w:val="00AF5F0C"/>
    <w:rsid w:val="00B01215"/>
    <w:rsid w:val="00B02472"/>
    <w:rsid w:val="00B037D4"/>
    <w:rsid w:val="00B1101B"/>
    <w:rsid w:val="00B20E9B"/>
    <w:rsid w:val="00B23177"/>
    <w:rsid w:val="00B24C24"/>
    <w:rsid w:val="00B2513A"/>
    <w:rsid w:val="00B34DB7"/>
    <w:rsid w:val="00B35975"/>
    <w:rsid w:val="00B40A2E"/>
    <w:rsid w:val="00B47F8A"/>
    <w:rsid w:val="00B52413"/>
    <w:rsid w:val="00B543A6"/>
    <w:rsid w:val="00B65250"/>
    <w:rsid w:val="00B7245E"/>
    <w:rsid w:val="00B73169"/>
    <w:rsid w:val="00B73E10"/>
    <w:rsid w:val="00B7492D"/>
    <w:rsid w:val="00B76197"/>
    <w:rsid w:val="00B852BF"/>
    <w:rsid w:val="00BA314E"/>
    <w:rsid w:val="00BB226C"/>
    <w:rsid w:val="00BB795A"/>
    <w:rsid w:val="00BD354A"/>
    <w:rsid w:val="00BD36F6"/>
    <w:rsid w:val="00BD76EA"/>
    <w:rsid w:val="00BD7B04"/>
    <w:rsid w:val="00BE4D51"/>
    <w:rsid w:val="00BF33B2"/>
    <w:rsid w:val="00BF76C5"/>
    <w:rsid w:val="00C33A1B"/>
    <w:rsid w:val="00C33E86"/>
    <w:rsid w:val="00C35D6D"/>
    <w:rsid w:val="00C37C0A"/>
    <w:rsid w:val="00C57D90"/>
    <w:rsid w:val="00C632A2"/>
    <w:rsid w:val="00C653A2"/>
    <w:rsid w:val="00C73932"/>
    <w:rsid w:val="00C77157"/>
    <w:rsid w:val="00C80349"/>
    <w:rsid w:val="00C84051"/>
    <w:rsid w:val="00C852E8"/>
    <w:rsid w:val="00CA4D4A"/>
    <w:rsid w:val="00CA4F0F"/>
    <w:rsid w:val="00CB2A87"/>
    <w:rsid w:val="00CB2D71"/>
    <w:rsid w:val="00CB73B0"/>
    <w:rsid w:val="00CC04FB"/>
    <w:rsid w:val="00CC4959"/>
    <w:rsid w:val="00CC6057"/>
    <w:rsid w:val="00CE2A6E"/>
    <w:rsid w:val="00CE2D43"/>
    <w:rsid w:val="00CE46AA"/>
    <w:rsid w:val="00CE6BA0"/>
    <w:rsid w:val="00CE6C22"/>
    <w:rsid w:val="00CF648E"/>
    <w:rsid w:val="00D10697"/>
    <w:rsid w:val="00D11B5B"/>
    <w:rsid w:val="00D15E66"/>
    <w:rsid w:val="00D57119"/>
    <w:rsid w:val="00D70FE1"/>
    <w:rsid w:val="00D72933"/>
    <w:rsid w:val="00D734B0"/>
    <w:rsid w:val="00D86FCB"/>
    <w:rsid w:val="00D911E4"/>
    <w:rsid w:val="00DC7480"/>
    <w:rsid w:val="00DD064E"/>
    <w:rsid w:val="00DD4866"/>
    <w:rsid w:val="00DE3ADF"/>
    <w:rsid w:val="00E233EA"/>
    <w:rsid w:val="00E311F3"/>
    <w:rsid w:val="00E3348E"/>
    <w:rsid w:val="00E34695"/>
    <w:rsid w:val="00E54534"/>
    <w:rsid w:val="00E60157"/>
    <w:rsid w:val="00E718E9"/>
    <w:rsid w:val="00E85ECE"/>
    <w:rsid w:val="00E869FE"/>
    <w:rsid w:val="00E9099D"/>
    <w:rsid w:val="00E9151E"/>
    <w:rsid w:val="00EA7E4B"/>
    <w:rsid w:val="00ED26AB"/>
    <w:rsid w:val="00EF642E"/>
    <w:rsid w:val="00EF6885"/>
    <w:rsid w:val="00F04E6E"/>
    <w:rsid w:val="00F20434"/>
    <w:rsid w:val="00F22A16"/>
    <w:rsid w:val="00F445C8"/>
    <w:rsid w:val="00F57AC3"/>
    <w:rsid w:val="00F71EAE"/>
    <w:rsid w:val="00F77D8C"/>
    <w:rsid w:val="00F85F1C"/>
    <w:rsid w:val="00F93317"/>
    <w:rsid w:val="00FA2B01"/>
    <w:rsid w:val="00FA757A"/>
    <w:rsid w:val="00FB457A"/>
    <w:rsid w:val="00FB6460"/>
    <w:rsid w:val="00FC1700"/>
    <w:rsid w:val="00FC28D4"/>
    <w:rsid w:val="00FD2DE2"/>
    <w:rsid w:val="00FE32E1"/>
    <w:rsid w:val="00FE3BC9"/>
    <w:rsid w:val="00FE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7706"/>
  <w15:chartTrackingRefBased/>
  <w15:docId w15:val="{53B4DAB4-04D3-A54C-8B74-9F2382B50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8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18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18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18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8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8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8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8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8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8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18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18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18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18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18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8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8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858"/>
    <w:rPr>
      <w:rFonts w:eastAsiaTheme="majorEastAsia" w:cstheme="majorBidi"/>
      <w:color w:val="272727" w:themeColor="text1" w:themeTint="D8"/>
    </w:rPr>
  </w:style>
  <w:style w:type="paragraph" w:styleId="Title">
    <w:name w:val="Title"/>
    <w:basedOn w:val="Normal"/>
    <w:next w:val="Normal"/>
    <w:link w:val="TitleChar"/>
    <w:uiPriority w:val="10"/>
    <w:qFormat/>
    <w:rsid w:val="003818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8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8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8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8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1858"/>
    <w:rPr>
      <w:i/>
      <w:iCs/>
      <w:color w:val="404040" w:themeColor="text1" w:themeTint="BF"/>
    </w:rPr>
  </w:style>
  <w:style w:type="paragraph" w:styleId="ListParagraph">
    <w:name w:val="List Paragraph"/>
    <w:basedOn w:val="Normal"/>
    <w:uiPriority w:val="34"/>
    <w:qFormat/>
    <w:rsid w:val="00381858"/>
    <w:pPr>
      <w:ind w:left="720"/>
      <w:contextualSpacing/>
    </w:pPr>
  </w:style>
  <w:style w:type="character" w:styleId="IntenseEmphasis">
    <w:name w:val="Intense Emphasis"/>
    <w:basedOn w:val="DefaultParagraphFont"/>
    <w:uiPriority w:val="21"/>
    <w:qFormat/>
    <w:rsid w:val="00381858"/>
    <w:rPr>
      <w:i/>
      <w:iCs/>
      <w:color w:val="0F4761" w:themeColor="accent1" w:themeShade="BF"/>
    </w:rPr>
  </w:style>
  <w:style w:type="paragraph" w:styleId="IntenseQuote">
    <w:name w:val="Intense Quote"/>
    <w:basedOn w:val="Normal"/>
    <w:next w:val="Normal"/>
    <w:link w:val="IntenseQuoteChar"/>
    <w:uiPriority w:val="30"/>
    <w:qFormat/>
    <w:rsid w:val="003818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858"/>
    <w:rPr>
      <w:i/>
      <w:iCs/>
      <w:color w:val="0F4761" w:themeColor="accent1" w:themeShade="BF"/>
    </w:rPr>
  </w:style>
  <w:style w:type="character" w:styleId="IntenseReference">
    <w:name w:val="Intense Reference"/>
    <w:basedOn w:val="DefaultParagraphFont"/>
    <w:uiPriority w:val="32"/>
    <w:qFormat/>
    <w:rsid w:val="00381858"/>
    <w:rPr>
      <w:b/>
      <w:bCs/>
      <w:smallCaps/>
      <w:color w:val="0F4761" w:themeColor="accent1" w:themeShade="BF"/>
      <w:spacing w:val="5"/>
    </w:rPr>
  </w:style>
  <w:style w:type="paragraph" w:styleId="NormalWeb">
    <w:name w:val="Normal (Web)"/>
    <w:basedOn w:val="Normal"/>
    <w:uiPriority w:val="99"/>
    <w:semiHidden/>
    <w:unhideWhenUsed/>
    <w:rsid w:val="000B77E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B77E7"/>
  </w:style>
  <w:style w:type="character" w:customStyle="1" w:styleId="ref-lnk">
    <w:name w:val="ref-lnk"/>
    <w:basedOn w:val="DefaultParagraphFont"/>
    <w:rsid w:val="009C3BFF"/>
  </w:style>
  <w:style w:type="character" w:styleId="Hyperlink">
    <w:name w:val="Hyperlink"/>
    <w:basedOn w:val="DefaultParagraphFont"/>
    <w:uiPriority w:val="99"/>
    <w:unhideWhenUsed/>
    <w:rsid w:val="009C3BFF"/>
    <w:rPr>
      <w:color w:val="0000FF"/>
      <w:u w:val="single"/>
    </w:rPr>
  </w:style>
  <w:style w:type="character" w:customStyle="1" w:styleId="off-screen">
    <w:name w:val="off-screen"/>
    <w:basedOn w:val="DefaultParagraphFont"/>
    <w:rsid w:val="009C3BFF"/>
  </w:style>
  <w:style w:type="character" w:styleId="FollowedHyperlink">
    <w:name w:val="FollowedHyperlink"/>
    <w:basedOn w:val="DefaultParagraphFont"/>
    <w:uiPriority w:val="99"/>
    <w:semiHidden/>
    <w:unhideWhenUsed/>
    <w:rsid w:val="009C3BFF"/>
    <w:rPr>
      <w:color w:val="96607D" w:themeColor="followedHyperlink"/>
      <w:u w:val="single"/>
    </w:rPr>
  </w:style>
  <w:style w:type="character" w:customStyle="1" w:styleId="citationsource-journal">
    <w:name w:val="citation_source-journal"/>
    <w:basedOn w:val="DefaultParagraphFont"/>
    <w:rsid w:val="008629BA"/>
  </w:style>
  <w:style w:type="character" w:customStyle="1" w:styleId="ff5">
    <w:name w:val="ff5"/>
    <w:basedOn w:val="DefaultParagraphFont"/>
    <w:rsid w:val="00B73169"/>
  </w:style>
  <w:style w:type="character" w:styleId="UnresolvedMention">
    <w:name w:val="Unresolved Mention"/>
    <w:basedOn w:val="DefaultParagraphFont"/>
    <w:uiPriority w:val="99"/>
    <w:semiHidden/>
    <w:unhideWhenUsed/>
    <w:rsid w:val="00F57AC3"/>
    <w:rPr>
      <w:color w:val="605E5C"/>
      <w:shd w:val="clear" w:color="auto" w:fill="E1DFDD"/>
    </w:rPr>
  </w:style>
  <w:style w:type="character" w:styleId="Emphasis">
    <w:name w:val="Emphasis"/>
    <w:basedOn w:val="DefaultParagraphFont"/>
    <w:uiPriority w:val="20"/>
    <w:qFormat/>
    <w:rsid w:val="00C84051"/>
    <w:rPr>
      <w:i/>
      <w:iCs/>
    </w:rPr>
  </w:style>
  <w:style w:type="character" w:customStyle="1" w:styleId="author">
    <w:name w:val="author"/>
    <w:basedOn w:val="DefaultParagraphFont"/>
    <w:rsid w:val="00E60157"/>
  </w:style>
  <w:style w:type="character" w:customStyle="1" w:styleId="pubyear">
    <w:name w:val="pubyear"/>
    <w:basedOn w:val="DefaultParagraphFont"/>
    <w:rsid w:val="00E60157"/>
  </w:style>
  <w:style w:type="character" w:customStyle="1" w:styleId="articletitle">
    <w:name w:val="articletitle"/>
    <w:basedOn w:val="DefaultParagraphFont"/>
    <w:rsid w:val="00E60157"/>
  </w:style>
  <w:style w:type="character" w:customStyle="1" w:styleId="vol">
    <w:name w:val="vol"/>
    <w:basedOn w:val="DefaultParagraphFont"/>
    <w:rsid w:val="00E60157"/>
  </w:style>
  <w:style w:type="character" w:customStyle="1" w:styleId="citedissue">
    <w:name w:val="citedissue"/>
    <w:basedOn w:val="DefaultParagraphFont"/>
    <w:rsid w:val="00E60157"/>
  </w:style>
  <w:style w:type="character" w:customStyle="1" w:styleId="pagefirst">
    <w:name w:val="pagefirst"/>
    <w:basedOn w:val="DefaultParagraphFont"/>
    <w:rsid w:val="00E60157"/>
  </w:style>
  <w:style w:type="character" w:customStyle="1" w:styleId="pagelast">
    <w:name w:val="pagelast"/>
    <w:basedOn w:val="DefaultParagraphFont"/>
    <w:rsid w:val="00E60157"/>
  </w:style>
  <w:style w:type="character" w:customStyle="1" w:styleId="anchor-text">
    <w:name w:val="anchor-text"/>
    <w:basedOn w:val="DefaultParagraphFont"/>
    <w:rsid w:val="00BD36F6"/>
  </w:style>
  <w:style w:type="character" w:styleId="Strong">
    <w:name w:val="Strong"/>
    <w:basedOn w:val="DefaultParagraphFont"/>
    <w:uiPriority w:val="22"/>
    <w:qFormat/>
    <w:rsid w:val="000D6D32"/>
    <w:rPr>
      <w:b/>
      <w:bCs/>
    </w:rPr>
  </w:style>
  <w:style w:type="paragraph" w:styleId="Header">
    <w:name w:val="header"/>
    <w:basedOn w:val="Normal"/>
    <w:link w:val="HeaderChar"/>
    <w:uiPriority w:val="99"/>
    <w:unhideWhenUsed/>
    <w:rsid w:val="0034290B"/>
    <w:pPr>
      <w:tabs>
        <w:tab w:val="center" w:pos="4513"/>
        <w:tab w:val="right" w:pos="9026"/>
      </w:tabs>
    </w:pPr>
  </w:style>
  <w:style w:type="character" w:customStyle="1" w:styleId="HeaderChar">
    <w:name w:val="Header Char"/>
    <w:basedOn w:val="DefaultParagraphFont"/>
    <w:link w:val="Header"/>
    <w:uiPriority w:val="99"/>
    <w:rsid w:val="0034290B"/>
  </w:style>
  <w:style w:type="paragraph" w:styleId="Footer">
    <w:name w:val="footer"/>
    <w:basedOn w:val="Normal"/>
    <w:link w:val="FooterChar"/>
    <w:uiPriority w:val="99"/>
    <w:unhideWhenUsed/>
    <w:rsid w:val="0034290B"/>
    <w:pPr>
      <w:tabs>
        <w:tab w:val="center" w:pos="4513"/>
        <w:tab w:val="right" w:pos="9026"/>
      </w:tabs>
    </w:pPr>
  </w:style>
  <w:style w:type="character" w:customStyle="1" w:styleId="FooterChar">
    <w:name w:val="Footer Char"/>
    <w:basedOn w:val="DefaultParagraphFont"/>
    <w:link w:val="Footer"/>
    <w:uiPriority w:val="99"/>
    <w:rsid w:val="0034290B"/>
  </w:style>
  <w:style w:type="character" w:styleId="PageNumber">
    <w:name w:val="page number"/>
    <w:basedOn w:val="DefaultParagraphFont"/>
    <w:uiPriority w:val="99"/>
    <w:semiHidden/>
    <w:unhideWhenUsed/>
    <w:rsid w:val="00342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233">
      <w:bodyDiv w:val="1"/>
      <w:marLeft w:val="0"/>
      <w:marRight w:val="0"/>
      <w:marTop w:val="0"/>
      <w:marBottom w:val="0"/>
      <w:divBdr>
        <w:top w:val="none" w:sz="0" w:space="0" w:color="auto"/>
        <w:left w:val="none" w:sz="0" w:space="0" w:color="auto"/>
        <w:bottom w:val="none" w:sz="0" w:space="0" w:color="auto"/>
        <w:right w:val="none" w:sz="0" w:space="0" w:color="auto"/>
      </w:divBdr>
    </w:div>
    <w:div w:id="92168389">
      <w:bodyDiv w:val="1"/>
      <w:marLeft w:val="0"/>
      <w:marRight w:val="0"/>
      <w:marTop w:val="0"/>
      <w:marBottom w:val="0"/>
      <w:divBdr>
        <w:top w:val="none" w:sz="0" w:space="0" w:color="auto"/>
        <w:left w:val="none" w:sz="0" w:space="0" w:color="auto"/>
        <w:bottom w:val="none" w:sz="0" w:space="0" w:color="auto"/>
        <w:right w:val="none" w:sz="0" w:space="0" w:color="auto"/>
      </w:divBdr>
    </w:div>
    <w:div w:id="212009850">
      <w:bodyDiv w:val="1"/>
      <w:marLeft w:val="0"/>
      <w:marRight w:val="0"/>
      <w:marTop w:val="0"/>
      <w:marBottom w:val="0"/>
      <w:divBdr>
        <w:top w:val="none" w:sz="0" w:space="0" w:color="auto"/>
        <w:left w:val="none" w:sz="0" w:space="0" w:color="auto"/>
        <w:bottom w:val="none" w:sz="0" w:space="0" w:color="auto"/>
        <w:right w:val="none" w:sz="0" w:space="0" w:color="auto"/>
      </w:divBdr>
    </w:div>
    <w:div w:id="277762980">
      <w:bodyDiv w:val="1"/>
      <w:marLeft w:val="0"/>
      <w:marRight w:val="0"/>
      <w:marTop w:val="0"/>
      <w:marBottom w:val="0"/>
      <w:divBdr>
        <w:top w:val="none" w:sz="0" w:space="0" w:color="auto"/>
        <w:left w:val="none" w:sz="0" w:space="0" w:color="auto"/>
        <w:bottom w:val="none" w:sz="0" w:space="0" w:color="auto"/>
        <w:right w:val="none" w:sz="0" w:space="0" w:color="auto"/>
      </w:divBdr>
    </w:div>
    <w:div w:id="308635229">
      <w:bodyDiv w:val="1"/>
      <w:marLeft w:val="0"/>
      <w:marRight w:val="0"/>
      <w:marTop w:val="0"/>
      <w:marBottom w:val="0"/>
      <w:divBdr>
        <w:top w:val="none" w:sz="0" w:space="0" w:color="auto"/>
        <w:left w:val="none" w:sz="0" w:space="0" w:color="auto"/>
        <w:bottom w:val="none" w:sz="0" w:space="0" w:color="auto"/>
        <w:right w:val="none" w:sz="0" w:space="0" w:color="auto"/>
      </w:divBdr>
    </w:div>
    <w:div w:id="351960058">
      <w:bodyDiv w:val="1"/>
      <w:marLeft w:val="0"/>
      <w:marRight w:val="0"/>
      <w:marTop w:val="0"/>
      <w:marBottom w:val="0"/>
      <w:divBdr>
        <w:top w:val="none" w:sz="0" w:space="0" w:color="auto"/>
        <w:left w:val="none" w:sz="0" w:space="0" w:color="auto"/>
        <w:bottom w:val="none" w:sz="0" w:space="0" w:color="auto"/>
        <w:right w:val="none" w:sz="0" w:space="0" w:color="auto"/>
      </w:divBdr>
    </w:div>
    <w:div w:id="395976767">
      <w:bodyDiv w:val="1"/>
      <w:marLeft w:val="0"/>
      <w:marRight w:val="0"/>
      <w:marTop w:val="0"/>
      <w:marBottom w:val="0"/>
      <w:divBdr>
        <w:top w:val="none" w:sz="0" w:space="0" w:color="auto"/>
        <w:left w:val="none" w:sz="0" w:space="0" w:color="auto"/>
        <w:bottom w:val="none" w:sz="0" w:space="0" w:color="auto"/>
        <w:right w:val="none" w:sz="0" w:space="0" w:color="auto"/>
      </w:divBdr>
    </w:div>
    <w:div w:id="462383365">
      <w:bodyDiv w:val="1"/>
      <w:marLeft w:val="0"/>
      <w:marRight w:val="0"/>
      <w:marTop w:val="0"/>
      <w:marBottom w:val="0"/>
      <w:divBdr>
        <w:top w:val="none" w:sz="0" w:space="0" w:color="auto"/>
        <w:left w:val="none" w:sz="0" w:space="0" w:color="auto"/>
        <w:bottom w:val="none" w:sz="0" w:space="0" w:color="auto"/>
        <w:right w:val="none" w:sz="0" w:space="0" w:color="auto"/>
      </w:divBdr>
    </w:div>
    <w:div w:id="604115226">
      <w:bodyDiv w:val="1"/>
      <w:marLeft w:val="0"/>
      <w:marRight w:val="0"/>
      <w:marTop w:val="0"/>
      <w:marBottom w:val="0"/>
      <w:divBdr>
        <w:top w:val="none" w:sz="0" w:space="0" w:color="auto"/>
        <w:left w:val="none" w:sz="0" w:space="0" w:color="auto"/>
        <w:bottom w:val="none" w:sz="0" w:space="0" w:color="auto"/>
        <w:right w:val="none" w:sz="0" w:space="0" w:color="auto"/>
      </w:divBdr>
      <w:divsChild>
        <w:div w:id="44183529">
          <w:marLeft w:val="360"/>
          <w:marRight w:val="0"/>
          <w:marTop w:val="200"/>
          <w:marBottom w:val="0"/>
          <w:divBdr>
            <w:top w:val="none" w:sz="0" w:space="0" w:color="auto"/>
            <w:left w:val="none" w:sz="0" w:space="0" w:color="auto"/>
            <w:bottom w:val="none" w:sz="0" w:space="0" w:color="auto"/>
            <w:right w:val="none" w:sz="0" w:space="0" w:color="auto"/>
          </w:divBdr>
        </w:div>
      </w:divsChild>
    </w:div>
    <w:div w:id="630863752">
      <w:bodyDiv w:val="1"/>
      <w:marLeft w:val="0"/>
      <w:marRight w:val="0"/>
      <w:marTop w:val="0"/>
      <w:marBottom w:val="0"/>
      <w:divBdr>
        <w:top w:val="none" w:sz="0" w:space="0" w:color="auto"/>
        <w:left w:val="none" w:sz="0" w:space="0" w:color="auto"/>
        <w:bottom w:val="none" w:sz="0" w:space="0" w:color="auto"/>
        <w:right w:val="none" w:sz="0" w:space="0" w:color="auto"/>
      </w:divBdr>
      <w:divsChild>
        <w:div w:id="1611424953">
          <w:marLeft w:val="360"/>
          <w:marRight w:val="0"/>
          <w:marTop w:val="200"/>
          <w:marBottom w:val="0"/>
          <w:divBdr>
            <w:top w:val="none" w:sz="0" w:space="0" w:color="auto"/>
            <w:left w:val="none" w:sz="0" w:space="0" w:color="auto"/>
            <w:bottom w:val="none" w:sz="0" w:space="0" w:color="auto"/>
            <w:right w:val="none" w:sz="0" w:space="0" w:color="auto"/>
          </w:divBdr>
        </w:div>
      </w:divsChild>
    </w:div>
    <w:div w:id="649210451">
      <w:bodyDiv w:val="1"/>
      <w:marLeft w:val="0"/>
      <w:marRight w:val="0"/>
      <w:marTop w:val="0"/>
      <w:marBottom w:val="0"/>
      <w:divBdr>
        <w:top w:val="none" w:sz="0" w:space="0" w:color="auto"/>
        <w:left w:val="none" w:sz="0" w:space="0" w:color="auto"/>
        <w:bottom w:val="none" w:sz="0" w:space="0" w:color="auto"/>
        <w:right w:val="none" w:sz="0" w:space="0" w:color="auto"/>
      </w:divBdr>
    </w:div>
    <w:div w:id="658271315">
      <w:bodyDiv w:val="1"/>
      <w:marLeft w:val="0"/>
      <w:marRight w:val="0"/>
      <w:marTop w:val="0"/>
      <w:marBottom w:val="0"/>
      <w:divBdr>
        <w:top w:val="none" w:sz="0" w:space="0" w:color="auto"/>
        <w:left w:val="none" w:sz="0" w:space="0" w:color="auto"/>
        <w:bottom w:val="none" w:sz="0" w:space="0" w:color="auto"/>
        <w:right w:val="none" w:sz="0" w:space="0" w:color="auto"/>
      </w:divBdr>
      <w:divsChild>
        <w:div w:id="1391614733">
          <w:marLeft w:val="360"/>
          <w:marRight w:val="0"/>
          <w:marTop w:val="200"/>
          <w:marBottom w:val="0"/>
          <w:divBdr>
            <w:top w:val="none" w:sz="0" w:space="0" w:color="auto"/>
            <w:left w:val="none" w:sz="0" w:space="0" w:color="auto"/>
            <w:bottom w:val="none" w:sz="0" w:space="0" w:color="auto"/>
            <w:right w:val="none" w:sz="0" w:space="0" w:color="auto"/>
          </w:divBdr>
        </w:div>
      </w:divsChild>
    </w:div>
    <w:div w:id="671765482">
      <w:bodyDiv w:val="1"/>
      <w:marLeft w:val="0"/>
      <w:marRight w:val="0"/>
      <w:marTop w:val="0"/>
      <w:marBottom w:val="0"/>
      <w:divBdr>
        <w:top w:val="none" w:sz="0" w:space="0" w:color="auto"/>
        <w:left w:val="none" w:sz="0" w:space="0" w:color="auto"/>
        <w:bottom w:val="none" w:sz="0" w:space="0" w:color="auto"/>
        <w:right w:val="none" w:sz="0" w:space="0" w:color="auto"/>
      </w:divBdr>
    </w:div>
    <w:div w:id="748574217">
      <w:bodyDiv w:val="1"/>
      <w:marLeft w:val="0"/>
      <w:marRight w:val="0"/>
      <w:marTop w:val="0"/>
      <w:marBottom w:val="0"/>
      <w:divBdr>
        <w:top w:val="none" w:sz="0" w:space="0" w:color="auto"/>
        <w:left w:val="none" w:sz="0" w:space="0" w:color="auto"/>
        <w:bottom w:val="none" w:sz="0" w:space="0" w:color="auto"/>
        <w:right w:val="none" w:sz="0" w:space="0" w:color="auto"/>
      </w:divBdr>
    </w:div>
    <w:div w:id="783841047">
      <w:bodyDiv w:val="1"/>
      <w:marLeft w:val="0"/>
      <w:marRight w:val="0"/>
      <w:marTop w:val="0"/>
      <w:marBottom w:val="0"/>
      <w:divBdr>
        <w:top w:val="none" w:sz="0" w:space="0" w:color="auto"/>
        <w:left w:val="none" w:sz="0" w:space="0" w:color="auto"/>
        <w:bottom w:val="none" w:sz="0" w:space="0" w:color="auto"/>
        <w:right w:val="none" w:sz="0" w:space="0" w:color="auto"/>
      </w:divBdr>
    </w:div>
    <w:div w:id="918094553">
      <w:bodyDiv w:val="1"/>
      <w:marLeft w:val="0"/>
      <w:marRight w:val="0"/>
      <w:marTop w:val="0"/>
      <w:marBottom w:val="0"/>
      <w:divBdr>
        <w:top w:val="none" w:sz="0" w:space="0" w:color="auto"/>
        <w:left w:val="none" w:sz="0" w:space="0" w:color="auto"/>
        <w:bottom w:val="none" w:sz="0" w:space="0" w:color="auto"/>
        <w:right w:val="none" w:sz="0" w:space="0" w:color="auto"/>
      </w:divBdr>
      <w:divsChild>
        <w:div w:id="1810588634">
          <w:marLeft w:val="360"/>
          <w:marRight w:val="0"/>
          <w:marTop w:val="200"/>
          <w:marBottom w:val="0"/>
          <w:divBdr>
            <w:top w:val="none" w:sz="0" w:space="0" w:color="auto"/>
            <w:left w:val="none" w:sz="0" w:space="0" w:color="auto"/>
            <w:bottom w:val="none" w:sz="0" w:space="0" w:color="auto"/>
            <w:right w:val="none" w:sz="0" w:space="0" w:color="auto"/>
          </w:divBdr>
        </w:div>
      </w:divsChild>
    </w:div>
    <w:div w:id="1002975034">
      <w:bodyDiv w:val="1"/>
      <w:marLeft w:val="0"/>
      <w:marRight w:val="0"/>
      <w:marTop w:val="0"/>
      <w:marBottom w:val="0"/>
      <w:divBdr>
        <w:top w:val="none" w:sz="0" w:space="0" w:color="auto"/>
        <w:left w:val="none" w:sz="0" w:space="0" w:color="auto"/>
        <w:bottom w:val="none" w:sz="0" w:space="0" w:color="auto"/>
        <w:right w:val="none" w:sz="0" w:space="0" w:color="auto"/>
      </w:divBdr>
    </w:div>
    <w:div w:id="1357851119">
      <w:bodyDiv w:val="1"/>
      <w:marLeft w:val="0"/>
      <w:marRight w:val="0"/>
      <w:marTop w:val="0"/>
      <w:marBottom w:val="0"/>
      <w:divBdr>
        <w:top w:val="none" w:sz="0" w:space="0" w:color="auto"/>
        <w:left w:val="none" w:sz="0" w:space="0" w:color="auto"/>
        <w:bottom w:val="none" w:sz="0" w:space="0" w:color="auto"/>
        <w:right w:val="none" w:sz="0" w:space="0" w:color="auto"/>
      </w:divBdr>
    </w:div>
    <w:div w:id="1579631697">
      <w:bodyDiv w:val="1"/>
      <w:marLeft w:val="0"/>
      <w:marRight w:val="0"/>
      <w:marTop w:val="0"/>
      <w:marBottom w:val="0"/>
      <w:divBdr>
        <w:top w:val="none" w:sz="0" w:space="0" w:color="auto"/>
        <w:left w:val="none" w:sz="0" w:space="0" w:color="auto"/>
        <w:bottom w:val="none" w:sz="0" w:space="0" w:color="auto"/>
        <w:right w:val="none" w:sz="0" w:space="0" w:color="auto"/>
      </w:divBdr>
    </w:div>
    <w:div w:id="1763840953">
      <w:bodyDiv w:val="1"/>
      <w:marLeft w:val="0"/>
      <w:marRight w:val="0"/>
      <w:marTop w:val="0"/>
      <w:marBottom w:val="0"/>
      <w:divBdr>
        <w:top w:val="none" w:sz="0" w:space="0" w:color="auto"/>
        <w:left w:val="none" w:sz="0" w:space="0" w:color="auto"/>
        <w:bottom w:val="none" w:sz="0" w:space="0" w:color="auto"/>
        <w:right w:val="none" w:sz="0" w:space="0" w:color="auto"/>
      </w:divBdr>
    </w:div>
    <w:div w:id="1818960228">
      <w:bodyDiv w:val="1"/>
      <w:marLeft w:val="0"/>
      <w:marRight w:val="0"/>
      <w:marTop w:val="0"/>
      <w:marBottom w:val="0"/>
      <w:divBdr>
        <w:top w:val="none" w:sz="0" w:space="0" w:color="auto"/>
        <w:left w:val="none" w:sz="0" w:space="0" w:color="auto"/>
        <w:bottom w:val="none" w:sz="0" w:space="0" w:color="auto"/>
        <w:right w:val="none" w:sz="0" w:space="0" w:color="auto"/>
      </w:divBdr>
    </w:div>
    <w:div w:id="198169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1989</TotalTime>
  <Pages>15</Pages>
  <Words>4688</Words>
  <Characters>26724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bashir</dc:creator>
  <cp:keywords/>
  <dc:description/>
  <cp:lastModifiedBy>Zahra Bashir (2308220)</cp:lastModifiedBy>
  <cp:revision>155</cp:revision>
  <cp:lastPrinted>2024-06-10T12:32:00Z</cp:lastPrinted>
  <dcterms:created xsi:type="dcterms:W3CDTF">2024-06-06T21:55:00Z</dcterms:created>
  <dcterms:modified xsi:type="dcterms:W3CDTF">2024-06-16T21:30:00Z</dcterms:modified>
</cp:coreProperties>
</file>