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body>
    <w:p w14:paraId="00000005">
      <w:pPr>
        <w:pStyle w:val="Heading1"/>
        <w:rPr/>
      </w:pPr>
      <w:r>
        <w:rPr/>
        <w:drawing xmlns:mc="http://schemas.openxmlformats.org/markup-compatibility/2006">
          <wp:anchor allowOverlap="1" behindDoc="0" distT="0" distB="0" distL="114300" distR="114300" layoutInCell="1" locked="0" relativeHeight="251658240" simplePos="0">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22"/>
                    <a:srcRect r="23643"/>
                    <a:stretch/>
                  </pic:blipFill>
                  <pic:spPr>
                    <a:xfrm>
                      <a:off x="0" y="0"/>
                      <a:ext cx="4152900" cy="1328420"/>
                    </a:xfrm>
                    <a:prstGeom prst="rect">
                      <a:avLst/>
                    </a:prstGeom>
                    <a:noFill/>
                    <a:ln>
                      <a:noFill/>
                    </a:ln>
                  </pic:spPr>
                </pic:pic>
              </a:graphicData>
            </a:graphic>
            <wp14:sizeRelH relativeFrom="margin">
              <wp14:pctWidth>0</wp14:pctWidth>
            </wp14:sizeRelH>
          </wp:anchor>
        </w:drawing>
      </w:r>
    </w:p>
    <w:p w14:paraId="00000006"/>
    <w:p w14:paraId="00000007"/>
    <w:p w14:paraId="00000008"/>
    <w:p w14:paraId="00000009">
      <w:pPr>
        <w:ind w:right="1229"/>
        <w:rPr/>
      </w:pPr>
    </w:p>
    <w:p w14:paraId="0000000A">
      <w:pPr>
        <w:ind w:right="1229"/>
        <w:rPr>
          <w:rFonts w:cs="Arial"/>
          <w:sz w:val="60"/>
          <w:szCs w:val="60"/>
        </w:rPr>
      </w:pPr>
      <w:r>
        <w:rPr>
          <w:rFonts w:cs="Arial"/>
          <w:sz w:val="60"/>
          <w:szCs w:val="60"/>
        </w:rPr>
        <w:t>Institute of Inner-City</w:t>
      </w:r>
      <w:r>
        <w:rPr>
          <w:rFonts w:cs="Arial"/>
          <w:sz w:val="60"/>
          <w:szCs w:val="60"/>
        </w:rPr>
        <w:t xml:space="preserve"> </w:t>
      </w:r>
      <w:r>
        <w:rPr>
          <w:rFonts w:cs="Arial"/>
          <w:sz w:val="60"/>
          <w:szCs w:val="60"/>
        </w:rPr>
        <w:t>Learning Birmingham Campus</w:t>
      </w:r>
    </w:p>
    <w:p w14:paraId="0000000B">
      <w:pPr>
        <w:pStyle w:val="BodyText"/>
        <w:jc w:val="center"/>
        <w:rPr>
          <w:rFonts w:ascii="Aptos" w:cs="Arial" w:hAnsi="Aptos"/>
          <w:sz w:val="20"/>
        </w:rPr>
      </w:pPr>
    </w:p>
    <w:p w14:paraId="0000000C">
      <w:pPr>
        <w:spacing w:line="813" w:lineRule="exact"/>
        <w:rPr>
          <w:rFonts w:cs="Arial"/>
          <w:sz w:val="60"/>
          <w:szCs w:val="60"/>
        </w:rPr>
      </w:pPr>
      <w:r>
        <w:rPr>
          <w:rFonts w:cs="Arial"/>
          <w:sz w:val="60"/>
          <w:szCs w:val="60"/>
        </w:rPr>
        <w:t>BSc (Hons) Health and Social Care</w:t>
      </w:r>
      <w:r>
        <w:rPr>
          <w:rFonts w:cs="Arial"/>
          <w:sz w:val="60"/>
          <w:szCs w:val="60"/>
        </w:rPr>
        <w:br w:type="textWrapping"/>
      </w:r>
    </w:p>
    <w:p w14:paraId="0000000D">
      <w:pPr>
        <w:spacing w:line="1342" w:lineRule="exact"/>
        <w:jc w:val="left"/>
        <w:rPr>
          <w:rFonts w:cs="Arial"/>
          <w:sz w:val="70"/>
          <w:szCs w:val="70"/>
        </w:rPr>
      </w:pPr>
      <w:r>
        <w:rPr>
          <w:rFonts w:cs="Arial"/>
          <w:sz w:val="70"/>
          <w:szCs w:val="70"/>
        </w:rPr>
        <w:t xml:space="preserve">DISSERTATION </w:t>
      </w:r>
    </w:p>
    <w:p w14:paraId="0000000E"/>
    <w:p w14:paraId="0000000F">
      <w:pPr>
        <w:pStyle w:val="Heading1"/>
        <w:ind w:left="0"/>
        <w:rPr>
          <w:rFonts w:ascii="Aptos" w:cs="Arial" w:hAnsi="Aptos"/>
        </w:rPr>
      </w:pPr>
    </w:p>
    <w:p w14:paraId="00000010">
      <w:pPr>
        <w:pStyle w:val="Heading1"/>
        <w:ind w:left="0"/>
        <w:rPr>
          <w:rFonts w:ascii="Aptos" w:cs="Arial" w:hAnsi="Aptos"/>
        </w:rPr>
      </w:pPr>
      <w:bookmarkStart w:id="0" w:name="_Toc212114094"/>
      <w:r>
        <w:rPr>
          <w:rFonts w:ascii="Aptos" w:cs="Arial" w:hAnsi="Aptos"/>
        </w:rPr>
        <w:t>Disclaimer</w:t>
      </w:r>
      <w:bookmarkEnd w:id="0"/>
    </w:p>
    <w:p w14:paraId="00000011">
      <w:pPr>
        <w:spacing w:before="62"/>
        <w:ind w:right="96"/>
        <w:rPr>
          <w:rFonts w:cs="Arial"/>
          <w:sz w:val="20"/>
        </w:rPr>
      </w:pPr>
      <w:r>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00000012">
      <w:pPr>
        <w:rPr>
          <w:rFonts w:cs="Arial" w:eastAsia="Times New Roman"/>
          <w:b/>
          <w:sz w:val="28"/>
          <w:szCs w:val="28"/>
        </w:rPr>
      </w:pPr>
      <w:r>
        <w:rPr>
          <w:rFonts w:cs="Arial" w:eastAsia="Times New Roman"/>
          <w:b/>
          <w:sz w:val="28"/>
          <w:szCs w:val="28"/>
        </w:rPr>
        <w:t>DECLARATION</w:t>
      </w:r>
    </w:p>
    <w:p w14:paraId="00000013">
      <w:pPr>
        <w:rPr>
          <w:rFonts w:cs="Arial" w:eastAsia="Times New Roman"/>
        </w:rPr>
      </w:pPr>
      <w:r>
        <w:rPr>
          <w:rFonts w:cs="Arial" w:eastAsia="Times New Roman"/>
        </w:rPr>
        <w:t>This work has not previously been accepted in substance for any degree and is not being concurrently submitted in candidature for any degree</w:t>
      </w:r>
    </w:p>
    <w:p w14:paraId="00000014">
      <w:pPr>
        <w:rPr>
          <w:rFonts w:cs="Arial" w:eastAsia="Times New Roman"/>
        </w:rPr>
      </w:pPr>
      <w:r>
        <w:rPr>
          <w:rFonts w:cs="Arial" w:eastAsia="Times New Roman"/>
        </w:rPr>
        <w:t>Signed……………</w:t>
      </w:r>
      <w:r>
        <w:rPr>
          <w:rFonts w:ascii="Segoe Script" w:cs="Segoe Script" w:eastAsia="Times New Roman" w:hAnsi="Segoe Script"/>
        </w:rPr>
        <w:t>Sharon Osumah…</w:t>
      </w:r>
      <w:r>
        <w:rPr>
          <w:rFonts w:cs="Arial" w:eastAsia="Times New Roman"/>
        </w:rPr>
        <w:t>……………………………</w:t>
      </w:r>
    </w:p>
    <w:p w14:paraId="00000015">
      <w:pPr>
        <w:rPr>
          <w:rFonts w:cs="Arial" w:eastAsia="Times New Roman"/>
        </w:rPr>
      </w:pPr>
      <w:r>
        <w:rPr>
          <w:rFonts w:cs="Arial" w:eastAsia="Times New Roman"/>
        </w:rPr>
        <w:t>Date………………………</w:t>
      </w:r>
      <w:r>
        <w:rPr>
          <w:rFonts w:ascii="Segoe Script" w:cs="Segoe Script" w:eastAsia="Times New Roman" w:hAnsi="Segoe Script"/>
        </w:rPr>
        <w:t>S</w:t>
      </w:r>
      <w:r>
        <w:rPr>
          <w:rFonts w:ascii="Segoe Script" w:cs="Segoe Script" w:eastAsia="Times New Roman" w:hAnsi="Segoe Script"/>
        </w:rPr>
        <w:t>haron Osumah</w:t>
      </w:r>
      <w:r>
        <w:rPr>
          <w:rFonts w:cs="Arial" w:eastAsia="Times New Roman"/>
        </w:rPr>
        <w:t>…</w:t>
      </w:r>
      <w:r>
        <w:rPr>
          <w:rFonts w:cs="Arial" w:eastAsia="Times New Roman"/>
        </w:rPr>
        <w:t>………………………</w:t>
      </w:r>
    </w:p>
    <w:p w14:paraId="00000016">
      <w:pPr>
        <w:rPr>
          <w:rFonts w:cs="Arial" w:eastAsia="Times New Roman"/>
          <w:bCs/>
        </w:rPr>
      </w:pPr>
      <w:r>
        <w:rPr>
          <w:rFonts w:cs="Arial" w:eastAsia="Times New Roman"/>
          <w:b/>
        </w:rPr>
        <w:t xml:space="preserve">STATEMENT 1 </w:t>
      </w:r>
    </w:p>
    <w:p w14:paraId="00000017">
      <w:pPr>
        <w:rPr>
          <w:rFonts w:cs="Arial" w:eastAsia="Times New Roman"/>
        </w:rPr>
      </w:pPr>
      <w:r>
        <w:rPr>
          <w:rFonts w:cs="Arial" w:eastAsia="Times New Roman"/>
        </w:rPr>
        <w:t>This dissertation is being submitted in partial fulfilment of the requirements for the degree of BSc.</w:t>
      </w:r>
    </w:p>
    <w:p w14:paraId="00000018">
      <w:pPr>
        <w:rPr>
          <w:rFonts w:cs="Arial" w:eastAsia="Times New Roman"/>
        </w:rPr>
      </w:pPr>
      <w:r>
        <w:rPr>
          <w:rFonts w:cs="Arial" w:eastAsia="Times New Roman"/>
        </w:rPr>
        <w:t>Signed………………</w:t>
      </w:r>
      <w:r>
        <w:rPr>
          <w:rFonts w:ascii="Segoe Script" w:cs="Segoe Script" w:eastAsia="Times New Roman" w:hAnsi="Segoe Script"/>
        </w:rPr>
        <w:t>Sharon Osumah</w:t>
      </w:r>
      <w:r>
        <w:rPr>
          <w:rFonts w:cs="Arial" w:eastAsia="Times New Roman"/>
        </w:rPr>
        <w:t xml:space="preserve">……………………………. </w:t>
      </w:r>
    </w:p>
    <w:p w14:paraId="00000019">
      <w:pPr>
        <w:rPr>
          <w:rFonts w:cs="Arial" w:eastAsia="Times New Roman"/>
        </w:rPr>
      </w:pPr>
      <w:r>
        <w:rPr>
          <w:rFonts w:cs="Arial" w:eastAsia="Times New Roman"/>
        </w:rPr>
        <w:t>Date…………</w:t>
      </w:r>
      <w:r>
        <w:rPr>
          <w:rFonts w:cs="Arial" w:eastAsia="Times New Roman"/>
        </w:rPr>
        <w:t>…21.11.2025…………………………………</w:t>
      </w:r>
    </w:p>
    <w:p w14:paraId="0000001A">
      <w:pPr>
        <w:rPr>
          <w:rFonts w:cs="Arial" w:eastAsia="Times New Roman"/>
        </w:rPr>
      </w:pPr>
      <w:r>
        <w:rPr>
          <w:rFonts w:cs="Arial" w:eastAsia="Times New Roman"/>
          <w:b/>
        </w:rPr>
        <w:t>STATEMENT 2</w:t>
      </w:r>
    </w:p>
    <w:p w14:paraId="0000001B">
      <w:pPr>
        <w:rPr>
          <w:rFonts w:cs="Arial" w:eastAsia="Times New Roman"/>
        </w:rPr>
      </w:pPr>
      <w:r>
        <w:rPr>
          <w:rFonts w:cs="Arial" w:eastAsia="Times New Roman"/>
        </w:rPr>
        <w:t>This dissertation is the result of my own independent work/investigation, except where otherwise stated.</w:t>
      </w:r>
      <w:r>
        <w:rPr>
          <w:rFonts w:cs="Arial" w:eastAsia="Times New Roman"/>
        </w:rPr>
        <w:t xml:space="preserve"> </w:t>
      </w:r>
      <w:r>
        <w:rPr>
          <w:rFonts w:cs="Arial" w:eastAsia="Times New Roman"/>
        </w:rPr>
        <w:t>Other sources are acknowledged by footnotes giving explicit references.  A bibliography is appended.</w:t>
      </w:r>
    </w:p>
    <w:p w14:paraId="0000001C">
      <w:pPr>
        <w:rPr>
          <w:rFonts w:cs="Arial" w:eastAsia="Times New Roman"/>
        </w:rPr>
      </w:pPr>
      <w:r>
        <w:rPr>
          <w:rFonts w:cs="Arial" w:eastAsia="Times New Roman"/>
        </w:rPr>
        <w:t>Signed………………………</w:t>
      </w:r>
      <w:r>
        <w:rPr>
          <w:rFonts w:ascii="Segoe Script" w:cs="Segoe Script" w:eastAsia="Times New Roman" w:hAnsi="Segoe Script"/>
        </w:rPr>
        <w:t>Sharon Osumah</w:t>
      </w:r>
      <w:r>
        <w:rPr>
          <w:rFonts w:cs="Arial" w:eastAsia="Times New Roman"/>
        </w:rPr>
        <w:t>……………………</w:t>
      </w:r>
    </w:p>
    <w:p w14:paraId="0000001D">
      <w:pPr>
        <w:rPr>
          <w:rFonts w:cs="Arial" w:eastAsia="Times New Roman"/>
        </w:rPr>
      </w:pPr>
      <w:r>
        <w:rPr>
          <w:rFonts w:cs="Arial" w:eastAsia="Times New Roman"/>
        </w:rPr>
        <w:t>Date…………</w:t>
      </w:r>
      <w:r>
        <w:rPr>
          <w:rFonts w:cs="Arial" w:eastAsia="Times New Roman"/>
        </w:rPr>
        <w:t>21.11.2025</w:t>
      </w:r>
      <w:r>
        <w:rPr>
          <w:rFonts w:cs="Arial" w:eastAsia="Times New Roman"/>
        </w:rPr>
        <w:t xml:space="preserve">…………………………………… </w:t>
      </w:r>
    </w:p>
    <w:p w14:paraId="0000001E">
      <w:pPr>
        <w:rPr>
          <w:rFonts w:cs="Arial" w:eastAsia="Times New Roman"/>
        </w:rPr>
      </w:pPr>
      <w:r>
        <w:rPr>
          <w:rFonts w:cs="Arial" w:eastAsia="Times New Roman"/>
          <w:b/>
        </w:rPr>
        <w:t>STATEMENT 3</w:t>
      </w:r>
    </w:p>
    <w:p w14:paraId="0000001F">
      <w:pPr>
        <w:rPr>
          <w:rFonts w:cs="Arial" w:eastAsia="Times New Roman"/>
        </w:rPr>
      </w:pPr>
      <w:r>
        <w:rPr>
          <w:rFonts w:cs="Arial" w:eastAsia="Times New Roman"/>
        </w:rPr>
        <w:t>I hereby give consent for my dissertation, if accepted, to be available for photocopying and for interlibrary loan, and for the title and summary to be made available to outside organisations.</w:t>
      </w:r>
    </w:p>
    <w:p w14:paraId="00000020">
      <w:pPr>
        <w:rPr>
          <w:rFonts w:cs="Arial" w:eastAsia="Times New Roman"/>
        </w:rPr>
      </w:pPr>
      <w:r>
        <w:rPr>
          <w:rFonts w:cs="Arial" w:eastAsia="Times New Roman"/>
        </w:rPr>
        <w:t>Signed………………</w:t>
      </w:r>
      <w:r>
        <w:rPr>
          <w:rFonts w:ascii="Segoe Script" w:cs="Segoe Script" w:eastAsia="Times New Roman" w:hAnsi="Segoe Script"/>
        </w:rPr>
        <w:t>S</w:t>
      </w:r>
      <w:r>
        <w:rPr>
          <w:rFonts w:ascii="Segoe Script" w:cs="Segoe Script" w:eastAsia="Times New Roman" w:hAnsi="Segoe Script"/>
        </w:rPr>
        <w:t>haron Osumah</w:t>
      </w:r>
      <w:r>
        <w:rPr>
          <w:rFonts w:cs="Arial" w:eastAsia="Times New Roman"/>
        </w:rPr>
        <w:t>………………………………</w:t>
      </w:r>
    </w:p>
    <w:p w14:paraId="0000002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Arial" w:eastAsia="Times New Roman"/>
        </w:rPr>
      </w:pPr>
      <w:r>
        <w:rPr>
          <w:rFonts w:cs="Arial" w:eastAsia="Times New Roman"/>
        </w:rPr>
        <w:t>Date………………</w:t>
      </w:r>
      <w:r>
        <w:rPr>
          <w:rFonts w:cs="Arial" w:eastAsia="Times New Roman"/>
        </w:rPr>
        <w:t>21.11.2025</w:t>
      </w:r>
      <w:r>
        <w:rPr>
          <w:rFonts w:cs="Arial" w:eastAsia="Times New Roman"/>
        </w:rPr>
        <w:t>…………………………………</w:t>
      </w:r>
    </w:p>
    <w:p w14:paraId="00000022">
      <w:pPr>
        <w:rPr>
          <w:rFonts w:cs="Arial" w:eastAsia="Times New Roman"/>
          <w:b/>
        </w:rPr>
      </w:pPr>
      <w:r>
        <w:rPr>
          <w:rFonts w:cs="Arial" w:eastAsia="Times New Roman"/>
          <w:b/>
        </w:rPr>
        <w:t>STATEMENT 4</w:t>
      </w:r>
    </w:p>
    <w:p w14:paraId="00000023">
      <w:pPr>
        <w:rPr>
          <w:rFonts w:cs="Arial" w:eastAsia="Times New Roman"/>
        </w:rPr>
      </w:pPr>
      <w:r>
        <w:rPr>
          <w:rFonts w:cs="Arial" w:eastAsia="Times New Roman"/>
        </w:rPr>
        <w:t>I hereby give consent for my dissertation, if accepted, to be available on the university’s IT system to those who have consent to use the system.</w:t>
      </w:r>
    </w:p>
    <w:p w14:paraId="00000024">
      <w:pPr>
        <w:rPr>
          <w:rFonts w:cs="Arial" w:eastAsia="Times New Roman"/>
        </w:rPr>
      </w:pPr>
      <w:r>
        <w:rPr>
          <w:rFonts w:cs="Arial" w:eastAsia="Times New Roman"/>
        </w:rPr>
        <w:t>Signed……………</w:t>
      </w:r>
      <w:r>
        <w:rPr>
          <w:rFonts w:ascii="Segoe Script" w:cs="Segoe Script" w:eastAsia="Times New Roman" w:hAnsi="Segoe Script"/>
        </w:rPr>
        <w:t>S</w:t>
      </w:r>
      <w:r>
        <w:rPr>
          <w:rFonts w:ascii="Segoe Script" w:cs="Segoe Script" w:eastAsia="Times New Roman" w:hAnsi="Segoe Script"/>
        </w:rPr>
        <w:t>haron Osumah</w:t>
      </w:r>
      <w:r>
        <w:rPr>
          <w:rFonts w:cs="Arial" w:eastAsia="Times New Roman"/>
        </w:rPr>
        <w:t>…</w:t>
      </w:r>
      <w:r>
        <w:rPr>
          <w:rFonts w:cs="Arial" w:eastAsia="Times New Roman"/>
        </w:rPr>
        <w:t>………………………………</w:t>
      </w:r>
    </w:p>
    <w:p w14:paraId="0000002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cs="Arial" w:eastAsia="Times New Roman"/>
        </w:rPr>
      </w:pPr>
      <w:r>
        <w:rPr>
          <w:rFonts w:cs="Arial" w:eastAsia="Times New Roman"/>
        </w:rPr>
        <w:t>Date……………</w:t>
      </w:r>
      <w:r>
        <w:rPr>
          <w:rFonts w:cs="Arial" w:eastAsia="Times New Roman"/>
        </w:rPr>
        <w:t>21.11.2025</w:t>
      </w:r>
      <w:r>
        <w:rPr>
          <w:rFonts w:cs="Arial" w:eastAsia="Times New Roman"/>
        </w:rPr>
        <w:t>……………………………………</w:t>
      </w:r>
    </w:p>
    <w:p w14:paraId="00000026"/>
    <w:p w14:paraId="00000027">
      <w:bookmarkStart w:id="1" w:name="_Hlk214556028"/>
    </w:p>
    <w:p w14:paraId="00000028">
      <w:pPr>
        <w:jc w:val="center"/>
        <w:rPr>
          <w:rFonts w:cs="Arial" w:eastAsia="Arial Unicode MS"/>
          <w:b/>
          <w:sz w:val="56"/>
          <w:szCs w:val="56"/>
        </w:rPr>
      </w:pPr>
    </w:p>
    <w:p w14:paraId="00000029">
      <w:pPr>
        <w:jc w:val="center"/>
        <w:rPr>
          <w:rFonts w:cs="Arial" w:eastAsia="Arial Unicode MS"/>
          <w:b/>
          <w:sz w:val="56"/>
          <w:szCs w:val="56"/>
        </w:rPr>
      </w:pPr>
    </w:p>
    <w:p w14:paraId="0000002A">
      <w:pPr>
        <w:jc w:val="center"/>
        <w:rPr>
          <w:rFonts w:cs="Times New Roman" w:eastAsia="Times New Roman"/>
          <w:sz w:val="20"/>
          <w:szCs w:val="20"/>
        </w:rPr>
      </w:pPr>
      <w:r>
        <w:rPr>
          <w:rFonts w:cs="Arial" w:eastAsia="Arial Unicode MS"/>
          <w:b/>
          <w:sz w:val="56"/>
          <w:szCs w:val="56"/>
        </w:rPr>
        <w:t xml:space="preserve">Lost in the system: Confronting the Identity Crisis of Black Children in Social Care </w:t>
      </w:r>
    </w:p>
    <w:p w14:paraId="000000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eastAsia="Arial Unicode MS"/>
          <w:b/>
          <w:sz w:val="56"/>
          <w:szCs w:val="56"/>
        </w:rPr>
      </w:pPr>
    </w:p>
    <w:p w14:paraId="000000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eastAsia="Arial Unicode MS"/>
          <w:b/>
          <w:sz w:val="56"/>
          <w:szCs w:val="56"/>
        </w:rPr>
      </w:pPr>
      <w:r>
        <w:rPr>
          <w:rFonts w:cs="Arial" w:eastAsia="Arial Unicode MS"/>
          <w:b/>
          <w:sz w:val="56"/>
          <w:szCs w:val="56"/>
        </w:rPr>
        <w:t>Sharon Oluwatoyin Osumah</w:t>
      </w:r>
    </w:p>
    <w:p w14:paraId="000000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eastAsia="Arial Unicode MS"/>
          <w:sz w:val="56"/>
          <w:szCs w:val="56"/>
        </w:rPr>
      </w:pPr>
      <w:r>
        <w:rPr>
          <w:rFonts w:cs="Arial" w:eastAsia="Arial Unicode MS"/>
          <w:b/>
          <w:sz w:val="56"/>
          <w:szCs w:val="56"/>
        </w:rPr>
        <w:t>2220443</w:t>
      </w:r>
    </w:p>
    <w:p w14:paraId="000000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eastAsia="Arial Unicode MS"/>
          <w:b/>
          <w:i/>
          <w:sz w:val="18"/>
          <w:szCs w:val="18"/>
        </w:rPr>
      </w:pPr>
    </w:p>
    <w:p w14:paraId="000000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Unicode MS" w:eastAsia="Arial Unicode MS"/>
        </w:rPr>
      </w:pPr>
      <w:r>
        <w:rPr>
          <w:rFonts w:cs="Arial Unicode MS" w:eastAsia="Arial Unicode MS"/>
        </w:rPr>
        <w:tab/>
      </w:r>
    </w:p>
    <w:p w14:paraId="0000003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Unicode MS" w:eastAsia="Arial Unicode MS"/>
          <w:sz w:val="40"/>
          <w:szCs w:val="40"/>
        </w:rPr>
      </w:pPr>
    </w:p>
    <w:p w14:paraId="000000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eastAsia="Arial Unicode MS"/>
          <w:sz w:val="40"/>
          <w:szCs w:val="40"/>
        </w:rPr>
      </w:pPr>
    </w:p>
    <w:p w14:paraId="000000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pPr>
      <w:r>
        <w:rPr>
          <w:rFonts w:cs="Arial" w:eastAsia="Arial Unicode MS"/>
          <w:sz w:val="40"/>
          <w:szCs w:val="40"/>
        </w:rPr>
        <w:t>Dissertation submitted as part of the requirements for the award BSc (Hons) Health and Social Car</w:t>
      </w:r>
      <w:bookmarkEnd w:id="1"/>
      <w:r>
        <w:rPr>
          <w:rFonts w:cs="Arial" w:eastAsia="Arial Unicode MS"/>
          <w:sz w:val="40"/>
          <w:szCs w:val="40"/>
        </w:rPr>
        <w:t>e</w:t>
      </w:r>
    </w:p>
    <w:p w14:paraId="0000003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eastAsia="Arial Unicode MS"/>
        </w:rPr>
      </w:pPr>
      <w:r>
        <w:rPr>
          <w:rFonts w:cs="Arial" w:eastAsia="Arial Unicode MS"/>
          <w:b/>
          <w:sz w:val="28"/>
          <w:szCs w:val="28"/>
        </w:rPr>
        <w:t>ABSTRACT</w:t>
      </w:r>
      <w:r>
        <w:rPr>
          <w:rFonts w:cs="Arial" w:eastAsia="Arial Unicode MS"/>
          <w:sz w:val="28"/>
          <w:szCs w:val="28"/>
        </w:rPr>
        <w:t xml:space="preserve"> </w:t>
      </w:r>
      <w:r>
        <w:rPr>
          <w:rFonts w:cs="Arial" w:eastAsia="Arial Unicode MS"/>
          <w:i/>
        </w:rPr>
        <w:t xml:space="preserve"> </w:t>
      </w:r>
    </w:p>
    <w:p w14:paraId="00000034">
      <w:pPr>
        <w:ind w:right="194"/>
        <w:rPr>
          <w:rFonts w:cs="Arial" w:eastAsia="Arial Unicode MS"/>
        </w:rPr>
      </w:pPr>
    </w:p>
    <w:p w14:paraId="00000035">
      <w:pPr>
        <w:rPr>
          <w:rFonts w:cs="Arial" w:eastAsia="Arial Unicode MS"/>
        </w:rPr>
      </w:pPr>
      <w:r>
        <w:rPr>
          <w:rFonts w:cs="Arial" w:eastAsia="Arial Unicode MS"/>
        </w:rPr>
        <w:t>This dissertation investigates the identity problem faced by Black children in the United Kingdom's social care system. It seeks to investigate how systemic failures, institutional racism, and a lack of cultural knowledge among</w:t>
      </w:r>
      <w:r>
        <w:rPr>
          <w:rFonts w:cs="Arial" w:eastAsia="Arial Unicode MS"/>
        </w:rPr>
        <w:t xml:space="preserve"> Social Care</w:t>
      </w:r>
      <w:r>
        <w:rPr>
          <w:rFonts w:cs="Arial" w:eastAsia="Arial Unicode MS"/>
        </w:rPr>
        <w:t xml:space="preserve"> practitioners influence the self-perception and belonging of Black children in care. Th</w:t>
      </w:r>
      <w:r>
        <w:rPr>
          <w:rFonts w:cs="Arial" w:eastAsia="Arial Unicode MS"/>
        </w:rPr>
        <w:t xml:space="preserve">is </w:t>
      </w:r>
      <w:r>
        <w:rPr>
          <w:rFonts w:cs="Arial" w:eastAsia="Arial Unicode MS"/>
        </w:rPr>
        <w:t>study used a secondary, desk-based technique, with a literature-based thematic analysis of academic publications, government reports, and policy documents</w:t>
      </w:r>
      <w:r>
        <w:rPr>
          <w:rFonts w:cs="Arial" w:eastAsia="Arial Unicode MS"/>
        </w:rPr>
        <w:t xml:space="preserve"> for its Research</w:t>
      </w:r>
      <w:r>
        <w:rPr>
          <w:rFonts w:cs="Arial" w:eastAsia="Arial Unicode MS"/>
        </w:rPr>
        <w:t xml:space="preserve">. </w:t>
      </w:r>
    </w:p>
    <w:p w14:paraId="00000036">
      <w:pPr>
        <w:rPr>
          <w:rFonts w:cs="Arial" w:eastAsia="Arial Unicode MS"/>
        </w:rPr>
      </w:pPr>
      <w:r>
        <w:rPr>
          <w:rFonts w:cs="Arial" w:eastAsia="Arial Unicode MS"/>
        </w:rPr>
        <w:t xml:space="preserve">All </w:t>
      </w:r>
      <w:r>
        <w:rPr>
          <w:rFonts w:cs="Arial" w:eastAsia="Arial Unicode MS"/>
        </w:rPr>
        <w:t>Sources were gathered from reliable sources such as Google Scholar and the UWTSD Library, with an emphasis on U</w:t>
      </w:r>
      <w:r>
        <w:rPr>
          <w:rFonts w:cs="Arial" w:eastAsia="Arial Unicode MS"/>
        </w:rPr>
        <w:t xml:space="preserve">nited Kingdom </w:t>
      </w:r>
      <w:r>
        <w:rPr>
          <w:rFonts w:cs="Arial" w:eastAsia="Arial Unicode MS"/>
        </w:rPr>
        <w:t xml:space="preserve">based, peer-reviewed studies published in the </w:t>
      </w:r>
      <w:r>
        <w:rPr>
          <w:rFonts w:cs="Arial" w:eastAsia="Arial Unicode MS"/>
        </w:rPr>
        <w:t xml:space="preserve">last 10 years. </w:t>
      </w:r>
      <w:r>
        <w:rPr>
          <w:rFonts w:cs="Arial" w:eastAsia="Arial Unicode MS"/>
        </w:rPr>
        <w:t>The findings show that Black children in care experience</w:t>
      </w:r>
      <w:r>
        <w:rPr>
          <w:rFonts w:cs="Arial" w:eastAsia="Arial Unicode MS"/>
        </w:rPr>
        <w:t xml:space="preserve"> a lot of </w:t>
      </w:r>
      <w:r>
        <w:rPr>
          <w:rFonts w:cs="Arial" w:eastAsia="Arial Unicode MS"/>
        </w:rPr>
        <w:t>significant obstacles in developing stable racial and cultural identities</w:t>
      </w:r>
      <w:r>
        <w:rPr>
          <w:rFonts w:cs="Arial" w:eastAsia="Arial Unicode MS"/>
        </w:rPr>
        <w:t xml:space="preserve"> within themselves</w:t>
      </w:r>
      <w:r>
        <w:rPr>
          <w:rFonts w:cs="Arial" w:eastAsia="Arial Unicode MS"/>
        </w:rPr>
        <w:t>. These include a lack of representation among foster carers and social workers</w:t>
      </w:r>
      <w:r>
        <w:rPr>
          <w:rFonts w:cs="Arial" w:eastAsia="Arial Unicode MS"/>
        </w:rPr>
        <w:t xml:space="preserve"> which resolves to</w:t>
      </w:r>
      <w:r>
        <w:rPr>
          <w:rFonts w:cs="Arial" w:eastAsia="Arial Unicode MS"/>
        </w:rPr>
        <w:t xml:space="preserve"> cultural isolation caused by racial placements, and systematic bias in decision-making procedures. Legislation in the United Kingdom, such as the Children Act of 1989 and the Equality Act of 2010, </w:t>
      </w:r>
      <w:r>
        <w:rPr>
          <w:rFonts w:cs="Arial" w:eastAsia="Arial Unicode MS"/>
        </w:rPr>
        <w:t>seeks</w:t>
      </w:r>
      <w:r>
        <w:rPr>
          <w:rFonts w:cs="Arial" w:eastAsia="Arial Unicode MS"/>
        </w:rPr>
        <w:t xml:space="preserve"> to provide equal treatment and identity protection; nonetheless, policy and practice continue to differ. The report concludes that, despite progress, the UK social care system still falls short of assisting Black children's identity development.</w:t>
      </w:r>
    </w:p>
    <w:p w14:paraId="00000037">
      <w:pPr>
        <w:rPr>
          <w:rFonts w:cs="Arial" w:eastAsia="Arial Unicode MS"/>
        </w:rPr>
      </w:pPr>
    </w:p>
    <w:p w14:paraId="00000038">
      <w:pPr>
        <w:rPr>
          <w:rFonts w:cs="Arial" w:eastAsia="Arial Unicode MS"/>
        </w:rPr>
      </w:pPr>
      <w:r>
        <w:rPr>
          <w:rFonts w:cs="Arial" w:eastAsia="Arial Unicode MS"/>
        </w:rPr>
        <w:t xml:space="preserve">The </w:t>
      </w:r>
      <w:r>
        <w:rPr>
          <w:rFonts w:cs="Arial" w:eastAsia="Arial Unicode MS"/>
        </w:rPr>
        <w:t>R</w:t>
      </w:r>
      <w:r>
        <w:rPr>
          <w:rFonts w:cs="Arial" w:eastAsia="Arial Unicode MS"/>
        </w:rPr>
        <w:t>ecommendations involve</w:t>
      </w:r>
      <w:r>
        <w:rPr>
          <w:rFonts w:cs="Arial" w:eastAsia="Arial Unicode MS"/>
        </w:rPr>
        <w:t xml:space="preserve"> tactics such as</w:t>
      </w:r>
      <w:r>
        <w:rPr>
          <w:rFonts w:cs="Arial" w:eastAsia="Arial Unicode MS"/>
        </w:rPr>
        <w:t xml:space="preserve"> improving</w:t>
      </w:r>
      <w:r>
        <w:rPr>
          <w:rFonts w:cs="Arial" w:eastAsia="Arial Unicode MS"/>
        </w:rPr>
        <w:t xml:space="preserve"> the</w:t>
      </w:r>
      <w:r>
        <w:rPr>
          <w:rFonts w:cs="Arial" w:eastAsia="Arial Unicode MS"/>
        </w:rPr>
        <w:t xml:space="preserve"> cultural </w:t>
      </w:r>
      <w:r>
        <w:rPr>
          <w:rFonts w:cs="Arial" w:eastAsia="Arial Unicode MS"/>
        </w:rPr>
        <w:t>awareness by</w:t>
      </w:r>
      <w:r>
        <w:rPr>
          <w:rFonts w:cs="Arial" w:eastAsia="Arial Unicode MS"/>
        </w:rPr>
        <w:t xml:space="preserve"> </w:t>
      </w:r>
      <w:r>
        <w:rPr>
          <w:rFonts w:cs="Arial" w:eastAsia="Arial Unicode MS"/>
        </w:rPr>
        <w:t xml:space="preserve">providing </w:t>
      </w:r>
      <w:r>
        <w:rPr>
          <w:rFonts w:cs="Arial" w:eastAsia="Arial Unicode MS"/>
        </w:rPr>
        <w:t xml:space="preserve">training </w:t>
      </w:r>
      <w:r>
        <w:rPr>
          <w:rFonts w:cs="Arial" w:eastAsia="Arial Unicode MS"/>
        </w:rPr>
        <w:t xml:space="preserve">to </w:t>
      </w:r>
      <w:r>
        <w:rPr>
          <w:rFonts w:cs="Arial" w:eastAsia="Arial Unicode MS"/>
        </w:rPr>
        <w:t>Social Care</w:t>
      </w:r>
      <w:r>
        <w:rPr>
          <w:rFonts w:cs="Arial" w:eastAsia="Arial Unicode MS"/>
        </w:rPr>
        <w:t xml:space="preserve"> practitioners</w:t>
      </w:r>
      <w:r>
        <w:rPr>
          <w:rFonts w:cs="Arial" w:eastAsia="Arial Unicode MS"/>
        </w:rPr>
        <w:t>,</w:t>
      </w:r>
      <w:r>
        <w:rPr>
          <w:rFonts w:cs="Arial" w:eastAsia="Arial Unicode MS"/>
        </w:rPr>
        <w:t xml:space="preserve"> such as</w:t>
      </w:r>
      <w:r>
        <w:rPr>
          <w:rFonts w:cs="Arial" w:eastAsia="Arial Unicode MS"/>
        </w:rPr>
        <w:t xml:space="preserve"> increasing the number of Black foster carers</w:t>
      </w:r>
      <w:r>
        <w:rPr>
          <w:rFonts w:cs="Arial" w:eastAsia="Arial Unicode MS"/>
        </w:rPr>
        <w:t xml:space="preserve"> in the Social Care system</w:t>
      </w:r>
      <w:r>
        <w:rPr>
          <w:rFonts w:cs="Arial" w:eastAsia="Arial Unicode MS"/>
        </w:rPr>
        <w:t xml:space="preserve"> and</w:t>
      </w:r>
      <w:r>
        <w:rPr>
          <w:rFonts w:cs="Arial" w:eastAsia="Arial Unicode MS"/>
        </w:rPr>
        <w:t xml:space="preserve"> strengthening policy enforcement to ensure that identity based considerations are prioritised in </w:t>
      </w:r>
      <w:r>
        <w:rPr>
          <w:rFonts w:cs="Arial" w:eastAsia="Arial Unicode MS"/>
        </w:rPr>
        <w:t>social</w:t>
      </w:r>
      <w:r>
        <w:rPr>
          <w:rFonts w:cs="Arial" w:eastAsia="Arial Unicode MS"/>
        </w:rPr>
        <w:t xml:space="preserve"> </w:t>
      </w:r>
      <w:r>
        <w:rPr>
          <w:rFonts w:cs="Arial" w:eastAsia="Arial Unicode MS"/>
        </w:rPr>
        <w:t xml:space="preserve">care placements. The dissertation adds to the greater discussion of racial equity in </w:t>
      </w:r>
      <w:r>
        <w:rPr>
          <w:rFonts w:cs="Arial" w:eastAsia="Arial Unicode MS"/>
        </w:rPr>
        <w:t>childcare</w:t>
      </w:r>
      <w:r>
        <w:rPr>
          <w:rFonts w:cs="Arial" w:eastAsia="Arial Unicode MS"/>
        </w:rPr>
        <w:t xml:space="preserve"> by emphasising the</w:t>
      </w:r>
      <w:r>
        <w:rPr>
          <w:rFonts w:cs="Arial" w:eastAsia="Arial Unicode MS"/>
        </w:rPr>
        <w:t xml:space="preserve"> urgent and</w:t>
      </w:r>
      <w:r>
        <w:rPr>
          <w:rFonts w:cs="Arial" w:eastAsia="Arial Unicode MS"/>
        </w:rPr>
        <w:t xml:space="preserve"> critical need for reform to help Black children establish a secure and positive sense of identity</w:t>
      </w:r>
      <w:r>
        <w:rPr>
          <w:rFonts w:cs="Arial" w:eastAsia="Arial Unicode MS"/>
        </w:rPr>
        <w:t xml:space="preserve"> for black children in Care</w:t>
      </w:r>
      <w:r>
        <w:rPr>
          <w:rFonts w:cs="Arial" w:eastAsia="Arial Unicode MS"/>
        </w:rPr>
        <w:t>.</w:t>
      </w:r>
    </w:p>
    <w:p w14:paraId="00000039">
      <w:pPr>
        <w:rPr>
          <w:rFonts w:cs="Arial" w:eastAsia="Arial Unicode MS"/>
        </w:rPr>
      </w:pPr>
    </w:p>
    <w:p w14:paraId="0000003A"/>
    <w:p w14:paraId="0000003B"/>
    <w:p w14:paraId="0000003C">
      <w:pPr>
        <w:pStyle w:val="Heading1"/>
        <w:spacing w:line="360" w:lineRule="auto"/>
        <w:ind w:left="0"/>
        <w:jc w:val="center"/>
        <w:rPr>
          <w:rFonts w:ascii="Aptos" w:hAnsi="Aptos"/>
          <w:b w:val="off"/>
        </w:rPr>
      </w:pPr>
      <w:bookmarkStart w:id="2" w:name="_Toc212114095"/>
      <w:r>
        <w:rPr>
          <w:rFonts w:ascii="Aptos" w:hAnsi="Aptos"/>
        </w:rPr>
        <w:t>Table of Contents</w:t>
      </w:r>
      <w:bookmarkEnd w:id="2"/>
    </w:p>
    <w:p w14:paraId="0000003D"/>
    <w:p w14:paraId="0000003E">
      <w:pPr>
        <w:pStyle w:val="TOCHeading"/>
        <w:rPr/>
      </w:pPr>
      <w:r>
        <w:t>Table of Contents</w:t>
      </w:r>
    </w:p>
    <w:p w14:paraId="0000003F">
      <w:pPr>
        <w:pStyle w:val="Toc1"/>
        <w:tabs>
          <w:tab w:val="right" w:leader="dot" w:pos="9016"/>
        </w:tabs>
        <w:rPr/>
      </w:pPr>
      <w:r>
        <w:rPr>
          <w:rStyle w:val="Hyperlink"/>
          <w:rFonts w:ascii="Aptos" w:cs="Arial" w:hAnsi="Aptos"/>
          <w:lang w:bidi="en-GB"/>
        </w:rPr>
        <w:fldChar w:fldCharType="begin"/>
      </w:r>
      <w:r>
        <w:rPr>
          <w:rStyle w:val="Hyperlink"/>
          <w:rFonts w:ascii="Aptos" w:cs="Arial" w:hAnsi="Aptos"/>
          <w:lang w:bidi="en-GB"/>
        </w:rPr>
        <w:instrText xml:space="preserve"> TOC \o "1-3" \h \z \u </w:instrText>
      </w:r>
      <w:r>
        <w:rPr>
          <w:rStyle w:val="Hyperlink"/>
          <w:rFonts w:ascii="Aptos" w:cs="Arial" w:hAnsi="Aptos"/>
          <w:lang w:bidi="en-GB"/>
        </w:rPr>
        <w:fldChar w:fldCharType="separate"/>
      </w:r>
      <w:r>
        <w:rPr>
          <w:rStyle w:val="Hyperlink"/>
          <w:rFonts w:ascii="Aptos" w:cs="Arial" w:hAnsi="Aptos"/>
          <w:lang w:bidi="en-GB"/>
        </w:rPr>
        <w:fldChar w:fldCharType="begin"/>
      </w:r>
      <w:r>
        <w:rPr>
          <w:rStyle w:val="Hyperlink"/>
          <w:rFonts w:ascii="Aptos" w:cs="Arial" w:hAnsi="Aptos"/>
          <w:lang w:bidi="en-GB"/>
        </w:rPr>
        <w:instrText xml:space="preserve">HYPERLINK \l "_Toc212114094" </w:instrText>
      </w:r>
      <w:r>
        <w:rPr>
          <w:rStyle w:val="Hyperlink"/>
          <w:rFonts w:ascii="Aptos" w:cs="Arial" w:hAnsi="Aptos"/>
          <w:lang w:bidi="en-GB"/>
        </w:rPr>
        <w:fldChar w:fldCharType="separate"/>
      </w:r>
      <w:r>
        <w:rPr>
          <w:rStyle w:val="Hyperlink"/>
          <w:rFonts w:ascii="Aptos" w:cs="Arial" w:hAnsi="Aptos"/>
          <w:lang w:bidi="en-GB"/>
        </w:rPr>
        <w:t>Disclaimer</w:t>
      </w:r>
      <w:r>
        <w:tab/>
      </w:r>
      <w:r>
        <w:fldChar w:fldCharType="begin"/>
      </w:r>
      <w:r>
        <w:instrText xml:space="preserve"> PAGEREF _Toc212114094 \h </w:instrText>
      </w:r>
      <w:r>
        <w:fldChar w:fldCharType="separate"/>
      </w:r>
      <w:r>
        <w:t>1</w:t>
      </w:r>
      <w:r>
        <w:fldChar w:fldCharType="end"/>
      </w:r>
      <w:r>
        <w:fldChar w:fldCharType="end"/>
      </w:r>
    </w:p>
    <w:p w14:paraId="00000040">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"_Toc212114095" </w:instrText>
      </w:r>
      <w:r>
        <w:rPr>
          <w:rStyle w:val="Hyperlink"/>
          <w:rFonts w:ascii="Aptos" w:hAnsi="Aptos"/>
          <w:lang w:bidi="en-GB"/>
        </w:rPr>
        <w:fldChar w:fldCharType="separate"/>
      </w:r>
      <w:r>
        <w:rPr>
          <w:rStyle w:val="Hyperlink"/>
          <w:rFonts w:ascii="Aptos" w:hAnsi="Aptos"/>
          <w:lang w:bidi="en-GB"/>
        </w:rPr>
        <w:t>Table of Contents</w:t>
      </w:r>
      <w:r>
        <w:tab/>
      </w:r>
      <w:r>
        <w:fldChar w:fldCharType="begin"/>
      </w:r>
      <w:r>
        <w:instrText xml:space="preserve"> PAGEREF _Toc212114095 \h </w:instrText>
      </w:r>
      <w:r>
        <w:fldChar w:fldCharType="separate"/>
      </w:r>
      <w:r>
        <w:t>6</w:t>
      </w:r>
      <w:r>
        <w:fldChar w:fldCharType="end"/>
      </w:r>
      <w:r>
        <w:fldChar w:fldCharType="end"/>
      </w:r>
    </w:p>
    <w:p w14:paraId="00000041">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"_Toc212114096" </w:instrText>
      </w:r>
      <w:r>
        <w:rPr>
          <w:rStyle w:val="Hyperlink"/>
          <w:rFonts w:ascii="Aptos" w:hAnsi="Aptos"/>
          <w:lang w:bidi="en-GB"/>
        </w:rPr>
        <w:fldChar w:fldCharType="separate"/>
      </w:r>
      <w:r>
        <w:rPr>
          <w:rStyle w:val="Hyperlink"/>
          <w:rFonts w:ascii="Aptos" w:hAnsi="Aptos"/>
          <w:lang w:bidi="en-GB"/>
        </w:rPr>
        <w:t>CHAPTER 1: Introduction (1,000 words approx.)</w:t>
      </w:r>
      <w:r>
        <w:tab/>
      </w:r>
      <w:r>
        <w:fldChar w:fldCharType="begin"/>
      </w:r>
      <w:r>
        <w:instrText xml:space="preserve"> PAGEREF _Toc212114096 \h </w:instrText>
      </w:r>
      <w:r>
        <w:fldChar w:fldCharType="separate"/>
      </w:r>
      <w:r>
        <w:t>7</w:t>
      </w:r>
      <w:r>
        <w:fldChar w:fldCharType="end"/>
      </w:r>
      <w:r>
        <w:fldChar w:fldCharType="end"/>
      </w:r>
    </w:p>
    <w:p w14:paraId="00000042">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"_Toc212114097" </w:instrText>
      </w:r>
      <w:r>
        <w:rPr>
          <w:rStyle w:val="Hyperlink"/>
          <w:rFonts w:ascii="Aptos" w:hAnsi="Aptos"/>
          <w:lang w:bidi="en-GB"/>
        </w:rPr>
        <w:fldChar w:fldCharType="separate"/>
      </w:r>
      <w:r>
        <w:rPr>
          <w:rStyle w:val="Hyperlink"/>
          <w:rFonts w:ascii="Aptos" w:hAnsi="Aptos"/>
          <w:lang w:bidi="en-GB"/>
        </w:rPr>
        <w:t>CHAPTER 2 – Background Information and Analysis (2,000 words approx.)</w:t>
      </w:r>
      <w:r>
        <w:tab/>
      </w:r>
      <w:r>
        <w:fldChar w:fldCharType="begin"/>
      </w:r>
      <w:r>
        <w:instrText xml:space="preserve"> PAGEREF _Toc212114097 \h </w:instrText>
      </w:r>
      <w:r>
        <w:fldChar w:fldCharType="separate"/>
      </w:r>
      <w:r>
        <w:t>11</w:t>
      </w:r>
      <w:r>
        <w:fldChar w:fldCharType="end"/>
      </w:r>
      <w:r>
        <w:fldChar w:fldCharType="end"/>
      </w:r>
    </w:p>
    <w:p w14:paraId="00000043">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"_Toc212114098" </w:instrText>
      </w:r>
      <w:r>
        <w:rPr>
          <w:rStyle w:val="Hyperlink"/>
          <w:rFonts w:ascii="Aptos" w:hAnsi="Aptos"/>
          <w:lang w:bidi="en-GB"/>
        </w:rPr>
        <w:fldChar w:fldCharType="separate"/>
      </w:r>
      <w:r>
        <w:rPr>
          <w:rStyle w:val="Hyperlink"/>
          <w:rFonts w:ascii="Aptos" w:hAnsi="Aptos"/>
          <w:lang w:bidi="en-GB"/>
        </w:rPr>
        <w:t>CHAPTER 3 – Methods and Search Strategy (1,000 words approx.)</w:t>
      </w:r>
      <w:r>
        <w:tab/>
      </w:r>
      <w:r>
        <w:fldChar w:fldCharType="begin"/>
      </w:r>
      <w:r>
        <w:instrText xml:space="preserve"> PAGEREF _Toc212114098 \h </w:instrText>
      </w:r>
      <w:r>
        <w:fldChar w:fldCharType="separate"/>
      </w:r>
      <w:r>
        <w:t>15</w:t>
      </w:r>
      <w:r>
        <w:fldChar w:fldCharType="end"/>
      </w:r>
      <w:r>
        <w:fldChar w:fldCharType="end"/>
      </w:r>
    </w:p>
    <w:p w14:paraId="00000044">
      <w:pPr>
        <w:pStyle w:val="Toc2"/>
        <w:tabs>
          <w:tab w:val="right" w:leader="dot" w:pos="9016"/>
        </w:tabs>
        <w:rPr/>
      </w:pPr>
      <w:r>
        <w:rPr>
          <w:rStyle w:val="Hyperlink"/>
        </w:rPr>
        <w:fldChar w:fldCharType="begin"/>
      </w:r>
      <w:r>
        <w:rPr>
          <w:rStyle w:val="Hyperlink"/>
        </w:rPr>
        <w:instrText xml:space="preserve">HYPERLINK \l "_Toc212114099" </w:instrText>
      </w:r>
      <w:r>
        <w:rPr>
          <w:rStyle w:val="Hyperlink"/>
        </w:rPr>
        <w:fldChar w:fldCharType="separate"/>
      </w:r>
      <w:r>
        <w:rPr>
          <w:rStyle w:val="Hyperlink"/>
        </w:rPr>
        <w:t>3.1 – Introduction (100 word approx.)</w:t>
      </w:r>
      <w:r>
        <w:tab/>
      </w:r>
      <w:r>
        <w:fldChar w:fldCharType="begin"/>
      </w:r>
      <w:r>
        <w:instrText xml:space="preserve"> PAGEREF _Toc212114099 \h </w:instrText>
      </w:r>
      <w:r>
        <w:fldChar w:fldCharType="separate"/>
      </w:r>
      <w:r>
        <w:t>15</w:t>
      </w:r>
      <w:r>
        <w:fldChar w:fldCharType="end"/>
      </w:r>
      <w:r>
        <w:fldChar w:fldCharType="end"/>
      </w:r>
    </w:p>
    <w:p w14:paraId="00000045">
      <w:pPr>
        <w:pStyle w:val="Toc2"/>
        <w:tabs>
          <w:tab w:val="right" w:leader="dot" w:pos="9016"/>
        </w:tabs>
        <w:rPr/>
      </w:pPr>
      <w:r>
        <w:rPr>
          <w:rStyle w:val="Hyperlink"/>
        </w:rPr>
        <w:fldChar w:fldCharType="begin"/>
      </w:r>
      <w:r>
        <w:rPr>
          <w:rStyle w:val="Hyperlink"/>
        </w:rPr>
        <w:instrText xml:space="preserve">HYPERLINK \l "_Toc212114100" </w:instrText>
      </w:r>
      <w:r>
        <w:rPr>
          <w:rStyle w:val="Hyperlink"/>
        </w:rPr>
        <w:fldChar w:fldCharType="separate"/>
      </w:r>
      <w:r>
        <w:rPr>
          <w:rStyle w:val="Hyperlink"/>
        </w:rPr>
        <w:t>3.2 – Search Strategy (100 word approx.)</w:t>
      </w:r>
      <w:r>
        <w:tab/>
      </w:r>
      <w:r>
        <w:fldChar w:fldCharType="begin"/>
      </w:r>
      <w:r>
        <w:instrText xml:space="preserve"> PAGEREF _Toc212114100 \h </w:instrText>
      </w:r>
      <w:r>
        <w:fldChar w:fldCharType="separate"/>
      </w:r>
      <w:r>
        <w:t>15</w:t>
      </w:r>
      <w:r>
        <w:fldChar w:fldCharType="end"/>
      </w:r>
      <w:r>
        <w:fldChar w:fldCharType="end"/>
      </w:r>
    </w:p>
    <w:p w14:paraId="00000046">
      <w:pPr>
        <w:pStyle w:val="Toc2"/>
        <w:tabs>
          <w:tab w:val="left" w:pos="960"/>
          <w:tab w:val="right" w:leader="dot" w:pos="9016"/>
        </w:tabs>
        <w:rPr/>
      </w:pPr>
      <w:r>
        <w:rPr>
          <w:rStyle w:val="Hyperlink"/>
        </w:rPr>
        <w:fldChar w:fldCharType="begin"/>
      </w:r>
      <w:r>
        <w:rPr>
          <w:rStyle w:val="Hyperlink"/>
        </w:rPr>
        <w:instrText xml:space="preserve">HYPERLINK \l "_Toc212114101" </w:instrText>
      </w:r>
      <w:r>
        <w:rPr>
          <w:rStyle w:val="Hyperlink"/>
        </w:rPr>
        <w:fldChar w:fldCharType="separate"/>
      </w:r>
      <w:r>
        <w:rPr>
          <w:rStyle w:val="Hyperlink"/>
        </w:rPr>
        <w:t>3.3</w:t>
      </w:r>
      <w:r>
        <w:tab/>
      </w:r>
      <w:r>
        <w:rPr>
          <w:rStyle w:val="Hyperlink"/>
        </w:rPr>
        <w:t>– Searching for Information (200 words approx.)</w:t>
      </w:r>
      <w:r>
        <w:tab/>
      </w:r>
      <w:r>
        <w:fldChar w:fldCharType="begin"/>
      </w:r>
      <w:r>
        <w:instrText xml:space="preserve"> PAGEREF _Toc212114101 \h </w:instrText>
      </w:r>
      <w:r>
        <w:fldChar w:fldCharType="separate"/>
      </w:r>
      <w:r>
        <w:t>16</w:t>
      </w:r>
      <w:r>
        <w:fldChar w:fldCharType="end"/>
      </w:r>
      <w:r>
        <w:fldChar w:fldCharType="end"/>
      </w:r>
    </w:p>
    <w:p w14:paraId="00000047">
      <w:pPr>
        <w:pStyle w:val="Toc2"/>
        <w:tabs>
          <w:tab w:val="left" w:pos="960"/>
          <w:tab w:val="right" w:leader="dot" w:pos="9016"/>
        </w:tabs>
        <w:rPr/>
      </w:pPr>
      <w:r>
        <w:rPr>
          <w:rStyle w:val="Hyperlink"/>
        </w:rPr>
        <w:fldChar w:fldCharType="begin"/>
      </w:r>
      <w:r>
        <w:rPr>
          <w:rStyle w:val="Hyperlink"/>
        </w:rPr>
        <w:instrText xml:space="preserve">HYPERLINK \l "_Toc212114102" </w:instrText>
      </w:r>
      <w:r>
        <w:rPr>
          <w:rStyle w:val="Hyperlink"/>
        </w:rPr>
        <w:fldChar w:fldCharType="separate"/>
      </w:r>
      <w:r>
        <w:rPr>
          <w:rStyle w:val="Hyperlink"/>
        </w:rPr>
        <w:t>3.4</w:t>
      </w:r>
      <w:r>
        <w:tab/>
      </w:r>
      <w:r>
        <w:rPr>
          <w:rStyle w:val="Hyperlink"/>
        </w:rPr>
        <w:t>– Research Validation (150 words approx.)</w:t>
      </w:r>
      <w:r>
        <w:tab/>
      </w:r>
      <w:r>
        <w:fldChar w:fldCharType="begin"/>
      </w:r>
      <w:r>
        <w:instrText xml:space="preserve"> PAGEREF _Toc212114102 \h </w:instrText>
      </w:r>
      <w:r>
        <w:fldChar w:fldCharType="separate"/>
      </w:r>
      <w:r>
        <w:t>16</w:t>
      </w:r>
      <w:r>
        <w:fldChar w:fldCharType="end"/>
      </w:r>
      <w:r>
        <w:fldChar w:fldCharType="end"/>
      </w:r>
    </w:p>
    <w:p w14:paraId="00000048">
      <w:pPr>
        <w:pStyle w:val="Toc2"/>
        <w:tabs>
          <w:tab w:val="left" w:pos="960"/>
          <w:tab w:val="right" w:leader="dot" w:pos="9016"/>
        </w:tabs>
        <w:rPr/>
      </w:pPr>
      <w:r>
        <w:rPr>
          <w:rStyle w:val="Hyperlink"/>
        </w:rPr>
        <w:fldChar w:fldCharType="begin"/>
      </w:r>
      <w:r>
        <w:rPr>
          <w:rStyle w:val="Hyperlink"/>
        </w:rPr>
        <w:instrText xml:space="preserve">HYPERLINK \l "_Toc212114103" </w:instrText>
      </w:r>
      <w:r>
        <w:rPr>
          <w:rStyle w:val="Hyperlink"/>
        </w:rPr>
        <w:fldChar w:fldCharType="separate"/>
      </w:r>
      <w:r>
        <w:rPr>
          <w:rStyle w:val="Hyperlink"/>
        </w:rPr>
        <w:t>3.5</w:t>
      </w:r>
      <w:r>
        <w:tab/>
      </w:r>
      <w:r>
        <w:rPr>
          <w:rStyle w:val="Hyperlink"/>
        </w:rPr>
        <w:t>- Inclusion and Exclusion Criteria (100 words approx.)</w:t>
      </w:r>
      <w:r>
        <w:tab/>
      </w:r>
      <w:r>
        <w:fldChar w:fldCharType="begin"/>
      </w:r>
      <w:r>
        <w:instrText xml:space="preserve"> PAGEREF _Toc212114103 \h </w:instrText>
      </w:r>
      <w:r>
        <w:fldChar w:fldCharType="separate"/>
      </w:r>
      <w:r>
        <w:t>17</w:t>
      </w:r>
      <w:r>
        <w:fldChar w:fldCharType="end"/>
      </w:r>
      <w:r>
        <w:fldChar w:fldCharType="end"/>
      </w:r>
    </w:p>
    <w:p w14:paraId="00000049">
      <w:pPr>
        <w:pStyle w:val="Toc2"/>
        <w:tabs>
          <w:tab w:val="left" w:pos="960"/>
          <w:tab w:val="right" w:leader="dot" w:pos="9016"/>
        </w:tabs>
        <w:rPr/>
      </w:pPr>
      <w:r>
        <w:rPr>
          <w:rStyle w:val="Hyperlink"/>
        </w:rPr>
        <w:fldChar w:fldCharType="begin"/>
      </w:r>
      <w:r>
        <w:rPr>
          <w:rStyle w:val="Hyperlink"/>
        </w:rPr>
        <w:instrText xml:space="preserve">HYPERLINK \l "_Toc212114104" </w:instrText>
      </w:r>
      <w:r>
        <w:rPr>
          <w:rStyle w:val="Hyperlink"/>
        </w:rPr>
        <w:fldChar w:fldCharType="separate"/>
      </w:r>
      <w:r>
        <w:rPr>
          <w:rStyle w:val="Hyperlink"/>
        </w:rPr>
        <w:t>3.6</w:t>
      </w:r>
      <w:r>
        <w:tab/>
      </w:r>
      <w:r>
        <w:rPr>
          <w:rStyle w:val="Hyperlink"/>
        </w:rPr>
        <w:t>– Analysing Research (150 words approx.)</w:t>
      </w:r>
      <w:r>
        <w:tab/>
      </w:r>
      <w:r>
        <w:fldChar w:fldCharType="begin"/>
      </w:r>
      <w:r>
        <w:instrText xml:space="preserve"> PAGEREF _Toc212114104 \h </w:instrText>
      </w:r>
      <w:r>
        <w:fldChar w:fldCharType="separate"/>
      </w:r>
      <w:r>
        <w:t>17</w:t>
      </w:r>
      <w:r>
        <w:fldChar w:fldCharType="end"/>
      </w:r>
      <w:r>
        <w:fldChar w:fldCharType="end"/>
      </w:r>
    </w:p>
    <w:p w14:paraId="0000004A">
      <w:pPr>
        <w:pStyle w:val="Toc2"/>
        <w:tabs>
          <w:tab w:val="left" w:pos="960"/>
          <w:tab w:val="right" w:leader="dot" w:pos="9016"/>
        </w:tabs>
        <w:rPr/>
      </w:pPr>
      <w:r>
        <w:rPr>
          <w:rStyle w:val="Hyperlink"/>
        </w:rPr>
        <w:fldChar w:fldCharType="begin"/>
      </w:r>
      <w:r>
        <w:rPr>
          <w:rStyle w:val="Hyperlink"/>
        </w:rPr>
        <w:instrText xml:space="preserve">HYPERLINK \l "_Toc212114105" </w:instrText>
      </w:r>
      <w:r>
        <w:rPr>
          <w:rStyle w:val="Hyperlink"/>
        </w:rPr>
        <w:fldChar w:fldCharType="separate"/>
      </w:r>
      <w:r>
        <w:rPr>
          <w:rStyle w:val="Hyperlink"/>
        </w:rPr>
        <w:t>3.7</w:t>
      </w:r>
      <w:r>
        <w:tab/>
      </w:r>
      <w:r>
        <w:rPr>
          <w:rStyle w:val="Hyperlink"/>
        </w:rPr>
        <w:t>– Ethical Considerations (100 words approx.)</w:t>
      </w:r>
      <w:r>
        <w:tab/>
      </w:r>
      <w:r>
        <w:fldChar w:fldCharType="begin"/>
      </w:r>
      <w:r>
        <w:instrText xml:space="preserve"> PAGEREF _Toc212114105 \h </w:instrText>
      </w:r>
      <w:r>
        <w:fldChar w:fldCharType="separate"/>
      </w:r>
      <w:r>
        <w:t>18</w:t>
      </w:r>
      <w:r>
        <w:fldChar w:fldCharType="end"/>
      </w:r>
      <w:r>
        <w:fldChar w:fldCharType="end"/>
      </w:r>
    </w:p>
    <w:p w14:paraId="0000004B">
      <w:pPr>
        <w:pStyle w:val="Toc2"/>
        <w:tabs>
          <w:tab w:val="right" w:leader="dot" w:pos="9016"/>
        </w:tabs>
        <w:rPr/>
      </w:pPr>
      <w:r>
        <w:rPr>
          <w:rStyle w:val="Hyperlink"/>
        </w:rPr>
        <w:fldChar w:fldCharType="begin"/>
      </w:r>
      <w:r>
        <w:rPr>
          <w:rStyle w:val="Hyperlink"/>
        </w:rPr>
        <w:instrText xml:space="preserve">HYPERLINK \l "_Toc212114106" </w:instrText>
      </w:r>
      <w:r>
        <w:rPr>
          <w:rStyle w:val="Hyperlink"/>
        </w:rPr>
        <w:fldChar w:fldCharType="separate"/>
      </w:r>
      <w:r>
        <w:rPr>
          <w:rStyle w:val="Hyperlink"/>
        </w:rPr>
        <w:t>3.8 – Chapter Conclusion (100 words approx.)</w:t>
      </w:r>
      <w:r>
        <w:tab/>
      </w:r>
      <w:r>
        <w:fldChar w:fldCharType="begin"/>
      </w:r>
      <w:r>
        <w:instrText xml:space="preserve"> PAGEREF _Toc212114106 \h </w:instrText>
      </w:r>
      <w:r>
        <w:fldChar w:fldCharType="separate"/>
      </w:r>
      <w:r>
        <w:t>18</w:t>
      </w:r>
      <w:r>
        <w:fldChar w:fldCharType="end"/>
      </w:r>
      <w:r>
        <w:fldChar w:fldCharType="end"/>
      </w:r>
    </w:p>
    <w:p w14:paraId="0000004C">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"_Toc212114107" </w:instrText>
      </w:r>
      <w:r>
        <w:rPr>
          <w:rStyle w:val="Hyperlink"/>
          <w:rFonts w:ascii="Aptos" w:hAnsi="Aptos"/>
          <w:lang w:bidi="en-GB"/>
        </w:rPr>
        <w:fldChar w:fldCharType="separate"/>
      </w:r>
      <w:r>
        <w:rPr>
          <w:rStyle w:val="Hyperlink"/>
          <w:rFonts w:ascii="Aptos" w:hAnsi="Aptos"/>
          <w:lang w:bidi="en-GB"/>
        </w:rPr>
        <w:t>CHAPTER 4 – Findings and Discussion (4,000 words approx.)</w:t>
      </w:r>
      <w:r>
        <w:tab/>
      </w:r>
      <w:r>
        <w:fldChar w:fldCharType="begin"/>
      </w:r>
      <w:r>
        <w:instrText xml:space="preserve"> PAGEREF _Toc212114107 \h </w:instrText>
      </w:r>
      <w:r>
        <w:fldChar w:fldCharType="separate"/>
      </w:r>
      <w:r>
        <w:t>19</w:t>
      </w:r>
      <w:r>
        <w:fldChar w:fldCharType="end"/>
      </w:r>
      <w:r>
        <w:fldChar w:fldCharType="end"/>
      </w:r>
    </w:p>
    <w:p w14:paraId="0000004D">
      <w:pPr>
        <w:pStyle w:val="Toc2"/>
        <w:tabs>
          <w:tab w:val="right" w:leader="dot" w:pos="9016"/>
        </w:tabs>
        <w:rPr/>
      </w:pPr>
      <w:r>
        <w:rPr>
          <w:rStyle w:val="Hyperlink"/>
        </w:rPr>
        <w:fldChar w:fldCharType="begin"/>
      </w:r>
      <w:r>
        <w:rPr>
          <w:rStyle w:val="Hyperlink"/>
        </w:rPr>
        <w:instrText xml:space="preserve">HYPERLINK \l "_Toc212114108" </w:instrText>
      </w:r>
      <w:r>
        <w:rPr>
          <w:rStyle w:val="Hyperlink"/>
        </w:rPr>
        <w:fldChar w:fldCharType="separate"/>
      </w:r>
      <w:r>
        <w:rPr>
          <w:rStyle w:val="Hyperlink"/>
        </w:rPr>
        <w:t>4.1 – Introduction (100 word approx.)</w:t>
      </w:r>
      <w:r>
        <w:tab/>
      </w:r>
      <w:r>
        <w:fldChar w:fldCharType="begin"/>
      </w:r>
      <w:r>
        <w:instrText xml:space="preserve"> PAGEREF _Toc212114108 \h </w:instrText>
      </w:r>
      <w:r>
        <w:fldChar w:fldCharType="separate"/>
      </w:r>
      <w:r>
        <w:t>19</w:t>
      </w:r>
      <w:r>
        <w:fldChar w:fldCharType="end"/>
      </w:r>
      <w:r>
        <w:fldChar w:fldCharType="end"/>
      </w:r>
    </w:p>
    <w:p w14:paraId="0000004E">
      <w:pPr>
        <w:pStyle w:val="Toc2"/>
        <w:tabs>
          <w:tab w:val="right" w:leader="dot" w:pos="9016"/>
        </w:tabs>
        <w:rPr/>
      </w:pPr>
      <w:r>
        <w:rPr>
          <w:rStyle w:val="Hyperlink"/>
        </w:rPr>
        <w:fldChar w:fldCharType="begin"/>
      </w:r>
      <w:r>
        <w:rPr>
          <w:rStyle w:val="Hyperlink"/>
        </w:rPr>
        <w:instrText xml:space="preserve">HYPERLINK \l "_Toc212114109" </w:instrText>
      </w:r>
      <w:r>
        <w:rPr>
          <w:rStyle w:val="Hyperlink"/>
        </w:rPr>
        <w:fldChar w:fldCharType="separate"/>
      </w:r>
      <w:r>
        <w:rPr>
          <w:rStyle w:val="Hyperlink"/>
        </w:rPr>
        <w:t>4.2 – Thematic Analysis (200 word approx.)</w:t>
      </w:r>
      <w:r>
        <w:tab/>
      </w:r>
      <w:r>
        <w:fldChar w:fldCharType="begin"/>
      </w:r>
      <w:r>
        <w:instrText xml:space="preserve"> PAGEREF _Toc212114109 \h </w:instrText>
      </w:r>
      <w:r>
        <w:fldChar w:fldCharType="separate"/>
      </w:r>
      <w:r>
        <w:t>19</w:t>
      </w:r>
      <w:r>
        <w:fldChar w:fldCharType="end"/>
      </w:r>
      <w:r>
        <w:fldChar w:fldCharType="end"/>
      </w:r>
    </w:p>
    <w:p w14:paraId="0000004F">
      <w:pPr>
        <w:pStyle w:val="Toc2"/>
        <w:tabs>
          <w:tab w:val="right" w:leader="dot" w:pos="9016"/>
        </w:tabs>
        <w:rPr/>
      </w:pPr>
      <w:r>
        <w:rPr>
          <w:rStyle w:val="Hyperlink"/>
        </w:rPr>
        <w:fldChar w:fldCharType="begin"/>
      </w:r>
      <w:r>
        <w:rPr>
          <w:rStyle w:val="Hyperlink"/>
        </w:rPr>
        <w:instrText xml:space="preserve">HYPERLINK \l "_Toc212114110" </w:instrText>
      </w:r>
      <w:r>
        <w:rPr>
          <w:rStyle w:val="Hyperlink"/>
        </w:rPr>
        <w:fldChar w:fldCharType="separate"/>
      </w:r>
      <w:r>
        <w:rPr>
          <w:rStyle w:val="Hyperlink"/>
        </w:rPr>
        <w:t>4.3 – Theme 1 (insert theme heading here) (1,150 words approx.)</w:t>
      </w:r>
      <w:r>
        <w:tab/>
      </w:r>
      <w:r>
        <w:fldChar w:fldCharType="begin"/>
      </w:r>
      <w:r>
        <w:instrText xml:space="preserve"> PAGEREF _Toc212114110 \h </w:instrText>
      </w:r>
      <w:r>
        <w:fldChar w:fldCharType="separate"/>
      </w:r>
      <w:r>
        <w:t>20</w:t>
      </w:r>
      <w:r>
        <w:fldChar w:fldCharType="end"/>
      </w:r>
      <w:r>
        <w:fldChar w:fldCharType="end"/>
      </w:r>
    </w:p>
    <w:p w14:paraId="00000050">
      <w:pPr>
        <w:pStyle w:val="Toc2"/>
        <w:tabs>
          <w:tab w:val="right" w:leader="dot" w:pos="9016"/>
        </w:tabs>
        <w:rPr/>
      </w:pPr>
      <w:r>
        <w:rPr>
          <w:rStyle w:val="Hyperlink"/>
        </w:rPr>
        <w:fldChar w:fldCharType="begin"/>
      </w:r>
      <w:r>
        <w:rPr>
          <w:rStyle w:val="Hyperlink"/>
        </w:rPr>
        <w:instrText xml:space="preserve">HYPERLINK \l "_Toc212114111" </w:instrText>
      </w:r>
      <w:r>
        <w:rPr>
          <w:rStyle w:val="Hyperlink"/>
        </w:rPr>
        <w:fldChar w:fldCharType="separate"/>
      </w:r>
      <w:r>
        <w:rPr>
          <w:rStyle w:val="Hyperlink"/>
        </w:rPr>
        <w:t>4.4 – Theme 2 (insert theme heading here) (1,150 words approx.)</w:t>
      </w:r>
      <w:r>
        <w:tab/>
      </w:r>
      <w:r>
        <w:fldChar w:fldCharType="begin"/>
      </w:r>
      <w:r>
        <w:instrText xml:space="preserve"> PAGEREF _Toc212114111 \h </w:instrText>
      </w:r>
      <w:r>
        <w:fldChar w:fldCharType="separate"/>
      </w:r>
      <w:r>
        <w:t>21</w:t>
      </w:r>
      <w:r>
        <w:fldChar w:fldCharType="end"/>
      </w:r>
      <w:r>
        <w:fldChar w:fldCharType="end"/>
      </w:r>
    </w:p>
    <w:p w14:paraId="00000051">
      <w:pPr>
        <w:pStyle w:val="Toc2"/>
        <w:tabs>
          <w:tab w:val="right" w:leader="dot" w:pos="9016"/>
        </w:tabs>
        <w:rPr/>
      </w:pPr>
      <w:r>
        <w:rPr>
          <w:rStyle w:val="Hyperlink"/>
        </w:rPr>
        <w:fldChar w:fldCharType="begin"/>
      </w:r>
      <w:r>
        <w:rPr>
          <w:rStyle w:val="Hyperlink"/>
        </w:rPr>
        <w:instrText xml:space="preserve">HYPERLINK \l "_Toc212114112" </w:instrText>
      </w:r>
      <w:r>
        <w:rPr>
          <w:rStyle w:val="Hyperlink"/>
        </w:rPr>
        <w:fldChar w:fldCharType="separate"/>
      </w:r>
      <w:r>
        <w:rPr>
          <w:rStyle w:val="Hyperlink"/>
        </w:rPr>
        <w:t>4.5 – Theme 3 (insert theme heading here) (1,150 words approx.)</w:t>
      </w:r>
      <w:r>
        <w:tab/>
      </w:r>
      <w:r>
        <w:fldChar w:fldCharType="begin"/>
      </w:r>
      <w:r>
        <w:instrText xml:space="preserve"> PAGEREF _Toc212114112 \h </w:instrText>
      </w:r>
      <w:r>
        <w:fldChar w:fldCharType="separate"/>
      </w:r>
      <w:r>
        <w:t>23</w:t>
      </w:r>
      <w:r>
        <w:fldChar w:fldCharType="end"/>
      </w:r>
      <w:r>
        <w:fldChar w:fldCharType="end"/>
      </w:r>
    </w:p>
    <w:p w14:paraId="00000052">
      <w:pPr>
        <w:pStyle w:val="Toc2"/>
        <w:tabs>
          <w:tab w:val="right" w:leader="dot" w:pos="9016"/>
        </w:tabs>
        <w:rPr/>
      </w:pPr>
      <w:r>
        <w:rPr>
          <w:rStyle w:val="Hyperlink"/>
        </w:rPr>
        <w:fldChar w:fldCharType="begin"/>
      </w:r>
      <w:r>
        <w:rPr>
          <w:rStyle w:val="Hyperlink"/>
        </w:rPr>
        <w:instrText xml:space="preserve">HYPERLINK \l "_Toc212114113" </w:instrText>
      </w:r>
      <w:r>
        <w:rPr>
          <w:rStyle w:val="Hyperlink"/>
        </w:rPr>
        <w:fldChar w:fldCharType="separate"/>
      </w:r>
      <w:r>
        <w:rPr>
          <w:rStyle w:val="Hyperlink"/>
        </w:rPr>
        <w:t>4.6 – Chapter Conclusion (200 words approx.)</w:t>
      </w:r>
      <w:r>
        <w:tab/>
      </w:r>
      <w:r>
        <w:fldChar w:fldCharType="begin"/>
      </w:r>
      <w:r>
        <w:instrText xml:space="preserve"> PAGEREF _Toc212114113 \h </w:instrText>
      </w:r>
      <w:r>
        <w:fldChar w:fldCharType="separate"/>
      </w:r>
      <w:r>
        <w:t>24</w:t>
      </w:r>
      <w:r>
        <w:fldChar w:fldCharType="end"/>
      </w:r>
      <w:r>
        <w:fldChar w:fldCharType="end"/>
      </w:r>
    </w:p>
    <w:p w14:paraId="00000053">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"_Toc212114114" </w:instrText>
      </w:r>
      <w:r>
        <w:rPr>
          <w:rStyle w:val="Hyperlink"/>
          <w:rFonts w:ascii="Aptos" w:hAnsi="Aptos"/>
          <w:lang w:bidi="en-GB"/>
        </w:rPr>
        <w:fldChar w:fldCharType="separate"/>
      </w:r>
      <w:r>
        <w:rPr>
          <w:rStyle w:val="Hyperlink"/>
          <w:rFonts w:ascii="Aptos" w:hAnsi="Aptos"/>
          <w:lang w:bidi="en-GB"/>
        </w:rPr>
        <w:t>CHAPTER 5 – Conclusion and Recommendations (1,000 words approx.)</w:t>
      </w:r>
      <w:r>
        <w:tab/>
      </w:r>
      <w:r>
        <w:fldChar w:fldCharType="begin"/>
      </w:r>
      <w:r>
        <w:instrText xml:space="preserve"> PAGEREF _Toc212114114 \h </w:instrText>
      </w:r>
      <w:r>
        <w:fldChar w:fldCharType="separate"/>
      </w:r>
      <w:r>
        <w:t>25</w:t>
      </w:r>
      <w:r>
        <w:fldChar w:fldCharType="end"/>
      </w:r>
      <w:r>
        <w:fldChar w:fldCharType="end"/>
      </w:r>
    </w:p>
    <w:p w14:paraId="00000054">
      <w:pPr>
        <w:pStyle w:val="Toc2"/>
        <w:tabs>
          <w:tab w:val="right" w:leader="dot" w:pos="9016"/>
        </w:tabs>
        <w:rPr/>
      </w:pPr>
      <w:r>
        <w:rPr>
          <w:rStyle w:val="Hyperlink"/>
        </w:rPr>
        <w:fldChar w:fldCharType="begin"/>
      </w:r>
      <w:r>
        <w:rPr>
          <w:rStyle w:val="Hyperlink"/>
        </w:rPr>
        <w:instrText xml:space="preserve">HYPERLINK \l "_Toc212114115" </w:instrText>
      </w:r>
      <w:r>
        <w:rPr>
          <w:rStyle w:val="Hyperlink"/>
        </w:rPr>
        <w:fldChar w:fldCharType="separate"/>
      </w:r>
      <w:r>
        <w:rPr>
          <w:rStyle w:val="Hyperlink"/>
        </w:rPr>
        <w:t>5.1 – Overall Conclusion (200 words approx.)</w:t>
      </w:r>
      <w:r>
        <w:tab/>
      </w:r>
      <w:r>
        <w:fldChar w:fldCharType="begin"/>
      </w:r>
      <w:r>
        <w:instrText xml:space="preserve"> PAGEREF _Toc212114115 \h </w:instrText>
      </w:r>
      <w:r>
        <w:fldChar w:fldCharType="separate"/>
      </w:r>
      <w:r>
        <w:t>25</w:t>
      </w:r>
      <w:r>
        <w:fldChar w:fldCharType="end"/>
      </w:r>
      <w:r>
        <w:fldChar w:fldCharType="end"/>
      </w:r>
    </w:p>
    <w:p w14:paraId="00000055">
      <w:pPr>
        <w:pStyle w:val="Toc2"/>
        <w:tabs>
          <w:tab w:val="right" w:leader="dot" w:pos="9016"/>
        </w:tabs>
        <w:rPr/>
      </w:pPr>
      <w:r>
        <w:rPr>
          <w:rStyle w:val="Hyperlink"/>
        </w:rPr>
        <w:fldChar w:fldCharType="begin"/>
      </w:r>
      <w:r>
        <w:rPr>
          <w:rStyle w:val="Hyperlink"/>
        </w:rPr>
        <w:instrText xml:space="preserve">HYPERLINK \l "_Toc212114116" </w:instrText>
      </w:r>
      <w:r>
        <w:rPr>
          <w:rStyle w:val="Hyperlink"/>
        </w:rPr>
        <w:fldChar w:fldCharType="separate"/>
      </w:r>
      <w:r>
        <w:rPr>
          <w:rStyle w:val="Hyperlink"/>
        </w:rPr>
        <w:t>5.2 – Recommendations (800 words approx.)</w:t>
      </w:r>
      <w:r>
        <w:tab/>
      </w:r>
      <w:r>
        <w:fldChar w:fldCharType="begin"/>
      </w:r>
      <w:r>
        <w:instrText xml:space="preserve"> PAGEREF _Toc212114116 \h </w:instrText>
      </w:r>
      <w:r>
        <w:fldChar w:fldCharType="separate"/>
      </w:r>
      <w:r>
        <w:t>26</w:t>
      </w:r>
      <w:r>
        <w:fldChar w:fldCharType="end"/>
      </w:r>
      <w:r>
        <w:fldChar w:fldCharType="end"/>
      </w:r>
    </w:p>
    <w:p w14:paraId="00000056">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"_Toc212114117" </w:instrText>
      </w:r>
      <w:r>
        <w:rPr>
          <w:rStyle w:val="Hyperlink"/>
          <w:rFonts w:ascii="Aptos" w:hAnsi="Aptos"/>
          <w:lang w:bidi="en-GB"/>
        </w:rPr>
        <w:fldChar w:fldCharType="separate"/>
      </w:r>
      <w:r>
        <w:rPr>
          <w:rStyle w:val="Hyperlink"/>
          <w:rFonts w:ascii="Aptos" w:hAnsi="Aptos"/>
          <w:lang w:bidi="en-GB"/>
        </w:rPr>
        <w:t>5.2.1 – Recommendation 1</w:t>
      </w:r>
      <w:r>
        <w:tab/>
      </w:r>
      <w:r>
        <w:fldChar w:fldCharType="begin"/>
      </w:r>
      <w:r>
        <w:instrText xml:space="preserve"> PAGEREF _Toc212114117 \h </w:instrText>
      </w:r>
      <w:r>
        <w:fldChar w:fldCharType="separate"/>
      </w:r>
      <w:r>
        <w:t>26</w:t>
      </w:r>
      <w:r>
        <w:fldChar w:fldCharType="end"/>
      </w:r>
      <w:r>
        <w:fldChar w:fldCharType="end"/>
      </w:r>
    </w:p>
    <w:p w14:paraId="00000057">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"_Toc212114118" </w:instrText>
      </w:r>
      <w:r>
        <w:rPr>
          <w:rStyle w:val="Hyperlink"/>
          <w:rFonts w:ascii="Aptos" w:hAnsi="Aptos"/>
          <w:lang w:bidi="en-GB"/>
        </w:rPr>
        <w:fldChar w:fldCharType="separate"/>
      </w:r>
      <w:r>
        <w:rPr>
          <w:rStyle w:val="Hyperlink"/>
          <w:rFonts w:ascii="Aptos" w:hAnsi="Aptos"/>
          <w:lang w:bidi="en-GB"/>
        </w:rPr>
        <w:t>5.2.2 – Recommendation 2</w:t>
      </w:r>
      <w:r>
        <w:tab/>
      </w:r>
      <w:r>
        <w:fldChar w:fldCharType="begin"/>
      </w:r>
      <w:r>
        <w:instrText xml:space="preserve"> PAGEREF _Toc212114118 \h </w:instrText>
      </w:r>
      <w:r>
        <w:fldChar w:fldCharType="separate"/>
      </w:r>
      <w:r>
        <w:t>26</w:t>
      </w:r>
      <w:r>
        <w:fldChar w:fldCharType="end"/>
      </w:r>
      <w:r>
        <w:fldChar w:fldCharType="end"/>
      </w:r>
    </w:p>
    <w:p w14:paraId="00000058">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"_Toc212114119" </w:instrText>
      </w:r>
      <w:r>
        <w:rPr>
          <w:rStyle w:val="Hyperlink"/>
          <w:rFonts w:ascii="Aptos" w:hAnsi="Aptos"/>
          <w:lang w:bidi="en-GB"/>
        </w:rPr>
        <w:fldChar w:fldCharType="separate"/>
      </w:r>
      <w:r>
        <w:rPr>
          <w:rStyle w:val="Hyperlink"/>
          <w:rFonts w:ascii="Aptos" w:hAnsi="Aptos"/>
          <w:lang w:bidi="en-GB"/>
        </w:rPr>
        <w:t>5.2.3 – Recommendation 3</w:t>
      </w:r>
      <w:r>
        <w:tab/>
      </w:r>
      <w:r>
        <w:fldChar w:fldCharType="begin"/>
      </w:r>
      <w:r>
        <w:instrText xml:space="preserve"> PAGEREF _Toc212114119 \h </w:instrText>
      </w:r>
      <w:r>
        <w:fldChar w:fldCharType="separate"/>
      </w:r>
      <w:r>
        <w:t>26</w:t>
      </w:r>
      <w:r>
        <w:fldChar w:fldCharType="end"/>
      </w:r>
      <w:r>
        <w:fldChar w:fldCharType="end"/>
      </w:r>
    </w:p>
    <w:p w14:paraId="00000059">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"_Toc212114120" </w:instrText>
      </w:r>
      <w:r>
        <w:rPr>
          <w:rStyle w:val="Hyperlink"/>
          <w:rFonts w:ascii="Aptos" w:hAnsi="Aptos"/>
          <w:lang w:bidi="en-GB"/>
        </w:rPr>
        <w:fldChar w:fldCharType="separate"/>
      </w:r>
      <w:r>
        <w:rPr>
          <w:rStyle w:val="Hyperlink"/>
          <w:rFonts w:ascii="Aptos" w:hAnsi="Aptos"/>
          <w:lang w:bidi="en-GB"/>
        </w:rPr>
        <w:t>CHAPTER 6 – References and Appendices</w:t>
      </w:r>
      <w:r>
        <w:tab/>
      </w:r>
      <w:r>
        <w:fldChar w:fldCharType="begin"/>
      </w:r>
      <w:r>
        <w:instrText xml:space="preserve"> PAGEREF _Toc212114120 \h </w:instrText>
      </w:r>
      <w:r>
        <w:fldChar w:fldCharType="separate"/>
      </w:r>
      <w:r>
        <w:t>27</w:t>
      </w:r>
      <w:r>
        <w:fldChar w:fldCharType="end"/>
      </w:r>
      <w:r>
        <w:fldChar w:fldCharType="end"/>
      </w:r>
    </w:p>
    <w:p w14:paraId="0000005A">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"_Toc212114121" </w:instrText>
      </w:r>
      <w:r>
        <w:rPr>
          <w:rStyle w:val="Hyperlink"/>
          <w:rFonts w:ascii="Aptos" w:hAnsi="Aptos"/>
          <w:lang w:bidi="en-GB"/>
        </w:rPr>
        <w:fldChar w:fldCharType="separate"/>
      </w:r>
      <w:r>
        <w:rPr>
          <w:rStyle w:val="Hyperlink"/>
          <w:rFonts w:ascii="Aptos" w:hAnsi="Aptos"/>
          <w:lang w:bidi="en-GB"/>
        </w:rPr>
        <w:t>6.1 – References</w:t>
      </w:r>
      <w:r>
        <w:tab/>
      </w:r>
      <w:r>
        <w:fldChar w:fldCharType="begin"/>
      </w:r>
      <w:r>
        <w:instrText xml:space="preserve"> PAGEREF _Toc212114121 \h </w:instrText>
      </w:r>
      <w:r>
        <w:fldChar w:fldCharType="separate"/>
      </w:r>
      <w:r>
        <w:t>27</w:t>
      </w:r>
      <w:r>
        <w:fldChar w:fldCharType="end"/>
      </w:r>
      <w:r>
        <w:fldChar w:fldCharType="end"/>
      </w:r>
    </w:p>
    <w:p w14:paraId="0000005B">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"_Toc212114122" </w:instrText>
      </w:r>
      <w:r>
        <w:rPr>
          <w:rStyle w:val="Hyperlink"/>
          <w:rFonts w:ascii="Aptos" w:hAnsi="Aptos"/>
          <w:lang w:bidi="en-GB"/>
        </w:rPr>
        <w:fldChar w:fldCharType="separate"/>
      </w:r>
      <w:r>
        <w:rPr>
          <w:rStyle w:val="Hyperlink"/>
          <w:rFonts w:ascii="Aptos" w:hAnsi="Aptos"/>
          <w:lang w:bidi="en-GB"/>
        </w:rPr>
        <w:t>6.2 – Appendices</w:t>
      </w:r>
      <w:r>
        <w:tab/>
      </w:r>
      <w:r>
        <w:fldChar w:fldCharType="begin"/>
      </w:r>
      <w:r>
        <w:instrText xml:space="preserve"> PAGEREF _Toc212114122 \h </w:instrText>
      </w:r>
      <w:r>
        <w:fldChar w:fldCharType="separate"/>
      </w:r>
      <w:r>
        <w:t>27</w:t>
      </w:r>
      <w:r>
        <w:fldChar w:fldCharType="end"/>
      </w:r>
      <w:r>
        <w:fldChar w:fldCharType="end"/>
      </w:r>
    </w:p>
    <w:p w14:paraId="0000005C">
      <w:pPr>
        <w:pStyle w:val="Toc1"/>
        <w:tabs>
          <w:tab w:val="right" w:leader="dot" w:pos="9016"/>
        </w:tabs>
        <w:rPr/>
      </w:pPr>
      <w:r>
        <w:rPr>
          <w:rStyle w:val="Hyperlink"/>
          <w:rFonts w:ascii="Aptos" w:hAnsi="Aptos"/>
          <w:lang w:bidi="en-GB"/>
        </w:rPr>
        <w:fldChar w:fldCharType="begin"/>
      </w:r>
      <w:r>
        <w:rPr>
          <w:rStyle w:val="Hyperlink"/>
          <w:rFonts w:ascii="Aptos" w:hAnsi="Aptos"/>
          <w:lang w:bidi="en-GB"/>
        </w:rPr>
        <w:instrText xml:space="preserve">HYPERLINK \l "_Toc212114123" </w:instrText>
      </w:r>
      <w:r>
        <w:rPr>
          <w:rStyle w:val="Hyperlink"/>
          <w:rFonts w:ascii="Aptos" w:hAnsi="Aptos"/>
          <w:lang w:bidi="en-GB"/>
        </w:rPr>
        <w:fldChar w:fldCharType="separate"/>
      </w:r>
      <w:r>
        <w:rPr>
          <w:rStyle w:val="Hyperlink"/>
          <w:rFonts w:ascii="Aptos" w:hAnsi="Aptos"/>
          <w:lang w:bidi="en-GB"/>
        </w:rPr>
        <w:t>Additional Information</w:t>
      </w:r>
      <w:r>
        <w:tab/>
      </w:r>
      <w:r>
        <w:fldChar w:fldCharType="begin"/>
      </w:r>
      <w:r>
        <w:instrText xml:space="preserve"> PAGEREF _Toc212114123 \h </w:instrText>
      </w:r>
      <w:r>
        <w:fldChar w:fldCharType="separate"/>
      </w:r>
      <w:r>
        <w:t>28</w:t>
      </w:r>
      <w:r>
        <w:fldChar w:fldCharType="end"/>
      </w:r>
      <w:r>
        <w:fldChar w:fldCharType="end"/>
      </w:r>
    </w:p>
    <w:p w14:paraId="0000005D">
      <w:r>
        <w:fldChar w:fldCharType="end"/>
      </w:r>
    </w:p>
    <w:p w14:paraId="0000005E"/>
    <w:p w14:paraId="0000005F"/>
    <w:p w14:paraId="00000060"/>
    <w:p w14:paraId="00000061"/>
    <w:p w14:paraId="00000062"/>
    <w:p w14:paraId="00000063"/>
    <w:p w14:paraId="00000064"/>
    <w:p w14:paraId="00000065"/>
    <w:p w14:paraId="00000066"/>
    <w:p w14:paraId="00000067"/>
    <w:p w14:paraId="00000068"/>
    <w:p w14:paraId="00000069"/>
    <w:p w14:paraId="0000006A"/>
    <w:p w14:paraId="0000006B"/>
    <w:p w14:paraId="0000006C"/>
    <w:p w14:paraId="0000006D"/>
    <w:p w14:paraId="0000006E"/>
    <w:p w14:paraId="0000006F"/>
    <w:p w14:paraId="00000070">
      <w:pPr>
        <w:pStyle w:val="Heading1"/>
        <w:ind w:left="0"/>
        <w:rPr/>
      </w:pPr>
    </w:p>
    <w:p w14:paraId="00000071">
      <w:pPr>
        <w:spacing w:line="259" w:lineRule="auto"/>
        <w:jc w:val="left"/>
        <w:rPr>
          <w:rFonts w:ascii="Aptos" w:cs="Calibri Light" w:eastAsia="Calibri Light" w:hAnsi="Aptos"/>
          <w:b/>
          <w:sz w:val="32"/>
          <w:szCs w:val="32"/>
          <w:lang w:bidi="en-GB" w:eastAsia="en-GB"/>
        </w:rPr>
      </w:pPr>
      <w:bookmarkStart w:id="3" w:name="_Toc212114096"/>
      <w:r>
        <w:rPr>
          <w:rFonts w:ascii="Aptos" w:hAnsi="Aptos"/>
        </w:rPr>
        <w:br w:type="page"/>
      </w:r>
    </w:p>
    <w:p w14:paraId="00000072">
      <w:pPr>
        <w:pStyle w:val="Heading1"/>
        <w:spacing w:line="360" w:lineRule="auto"/>
        <w:ind w:left="0"/>
        <w:rPr>
          <w:rFonts w:ascii="Aptos" w:hAnsi="Aptos"/>
          <w:b w:val="off"/>
        </w:rPr>
      </w:pPr>
      <w:r>
        <w:rPr>
          <w:rFonts w:ascii="Aptos" w:hAnsi="Aptos"/>
        </w:rPr>
        <w:t>CHAPTER 1: Introduction</w:t>
      </w:r>
      <w:bookmarkEnd w:id="3"/>
    </w:p>
    <w:p w14:paraId="00000073">
      <w:pPr>
        <w:pStyle w:val="BodyText"/>
        <w:rPr>
          <w:rFonts w:ascii="Aptos" w:hAnsi="Aptos"/>
        </w:rPr>
      </w:pPr>
    </w:p>
    <w:p w14:paraId="00000074">
      <w:pPr>
        <w:pStyle w:val="Paragraph"/>
        <w:spacing w:before="0" w:after="0" w:line="360" w:lineRule="auto"/>
        <w:rPr>
          <w:rFonts w:ascii="Aptos" w:cs="Segoe UI" w:hAnsi="Aptos"/>
          <w:color w:val="0f4761"/>
          <w:sz w:val="16"/>
          <w:szCs w:val="16"/>
        </w:rPr>
      </w:pPr>
      <w:r>
        <w:rPr>
          <w:rStyle w:val="Normaltextrun"/>
          <w:rFonts w:ascii="Aptos" w:cs="Arial" w:hAnsi="Aptos"/>
          <w:color w:val="0f4761"/>
        </w:rPr>
        <w:t xml:space="preserve">1.1 Introduction </w:t>
      </w:r>
    </w:p>
    <w:p w14:paraId="00000075">
      <w:pPr>
        <w:pStyle w:val="BodyText"/>
        <w:rPr/>
      </w:pPr>
      <w:r>
        <w:t>Children's experiences in the UK social care system have been analysed</w:t>
      </w:r>
      <w:r>
        <w:t xml:space="preserve"> for a long time</w:t>
      </w:r>
      <w:r>
        <w:t>, particularly</w:t>
      </w:r>
      <w:r>
        <w:t xml:space="preserve"> when it comes to</w:t>
      </w:r>
      <w:r>
        <w:t xml:space="preserve"> terms of emotional, cultural, and psychological development. However, a growing body of evidence indicates that Black children in </w:t>
      </w:r>
      <w:r>
        <w:t>the Social Care</w:t>
      </w:r>
      <w:r>
        <w:t xml:space="preserve"> system face distinct and sometimes neglected issues </w:t>
      </w:r>
      <w:r>
        <w:t xml:space="preserve">that are </w:t>
      </w:r>
      <w:r>
        <w:t>linked to racial identification, belonging, and cultural detachment (Bernard and Harris, 2019). These issues are frequently caused by systemic inequalities and unconscious biases that are established in child welfare care organisations and procedures.</w:t>
      </w:r>
    </w:p>
    <w:p w14:paraId="00000076">
      <w:pPr>
        <w:pStyle w:val="BodyText"/>
        <w:rPr/>
      </w:pPr>
      <w:r>
        <w:t xml:space="preserve">As a result, the purpose of this research is to critically examine the identity crises that Black children experience in </w:t>
      </w:r>
      <w:r>
        <w:t xml:space="preserve">the </w:t>
      </w:r>
      <w:r>
        <w:t>social care</w:t>
      </w:r>
      <w:r>
        <w:t xml:space="preserve"> System</w:t>
      </w:r>
      <w:r>
        <w:t>. It will look into how the UK social care system addresses or fails to address children's racial and cultural requirements, and how such neglect affects their general well-being</w:t>
      </w:r>
      <w:r>
        <w:t xml:space="preserve"> and their development</w:t>
      </w:r>
      <w:r>
        <w:t xml:space="preserve">. This study adds to our understanding of the interaction </w:t>
      </w:r>
      <w:r>
        <w:t>among race, care, and identity formation within the broader</w:t>
      </w:r>
      <w:r>
        <w:t xml:space="preserve"> context of equality and diversity in health and social services. </w:t>
      </w:r>
      <w:r>
        <w:rPr/>
        <w:br w:type="textWrapping"/>
      </w:r>
      <w:r>
        <w:rPr/>
        <w:br w:type="textWrapping"/>
      </w:r>
      <w:r>
        <w:t xml:space="preserve">The problem is extremely </w:t>
      </w:r>
      <w:r>
        <w:t>important</w:t>
      </w:r>
      <w:r>
        <w:t xml:space="preserve"> to current concerns about racial equity, as national studies continue to identify discrepancies in outcomes for Black children in care (Children's Commissioner, 2022). This dissertation will examine existing literature to identify the core causes of these inequities and make actionable recommendations for better practice and policy.</w:t>
      </w:r>
    </w:p>
    <w:p w14:paraId="00000077">
      <w:pPr>
        <w:pStyle w:val="Paragraph"/>
        <w:spacing w:before="0" w:after="0" w:line="360" w:lineRule="auto"/>
        <w:ind w:left="1080"/>
        <w:rPr>
          <w:rFonts w:ascii="Aptos" w:cs="Segoe UI" w:hAnsi="Aptos"/>
          <w:sz w:val="16"/>
          <w:szCs w:val="16"/>
        </w:rPr>
      </w:pPr>
    </w:p>
    <w:p w14:paraId="00000078">
      <w:pPr>
        <w:pStyle w:val="Paragraph"/>
        <w:spacing w:before="0" w:after="0" w:line="360" w:lineRule="auto"/>
        <w:rPr>
          <w:rFonts w:ascii="Aptos" w:cs="Segoe UI" w:hAnsi="Aptos"/>
          <w:color w:val="0f4761"/>
          <w:sz w:val="16"/>
          <w:szCs w:val="16"/>
        </w:rPr>
      </w:pPr>
      <w:r>
        <w:rPr>
          <w:rStyle w:val="Normaltextrun"/>
          <w:rFonts w:ascii="Aptos" w:cs="Arial" w:hAnsi="Aptos"/>
          <w:color w:val="0f4761"/>
        </w:rPr>
        <w:t xml:space="preserve">1.2 Definitions and Terminology </w:t>
      </w:r>
    </w:p>
    <w:p w14:paraId="00000079">
      <w:pPr>
        <w:pStyle w:val="BodyText"/>
        <w:rPr/>
      </w:pPr>
      <w:r>
        <w:t>To ensure clarity, a few important terms are specified here.</w:t>
      </w:r>
      <w:r>
        <w:rPr/>
        <w:br w:type="textWrapping"/>
      </w:r>
      <w:r>
        <w:t xml:space="preserve">Identity Crisis: In this context, identity crisis refers to a period of doubt and bewilderment in which young people struggle to comprehend their racial, cultural, and personal identities (Erikson, 1968). Black children in care may face additional challenges due to a lack of cultural continuity and racial representation in their placements (Wainwright and Ridley, 2021). </w:t>
      </w:r>
      <w:r>
        <w:rPr/>
        <w:br w:type="textWrapping"/>
      </w:r>
      <w:r>
        <w:t xml:space="preserve">Social care system: refers to the network of services provided by local authorities and partner organisations in the United Kingdom that are responsible for protecting and </w:t>
      </w:r>
      <w:r>
        <w:t xml:space="preserve">promoting the </w:t>
      </w:r>
      <w:r>
        <w:t>well-being</w:t>
      </w:r>
      <w:r>
        <w:t xml:space="preserve"> of children who are unable to remain with their birth family (Department for Education</w:t>
      </w:r>
      <w:r>
        <w:t>.</w:t>
      </w:r>
      <w:r>
        <w:rPr/>
        <w:br w:type="textWrapping"/>
      </w:r>
      <w:r>
        <w:rPr>
          <w:lang w:val="en-US"/>
        </w:rPr>
        <w:t>Looked After Children (LAC): are children in the care of local authorities, whether in foster homes, residential care, or other approved arrangements, as defined in Section 22 of the Children</w:t>
      </w:r>
      <w:r>
        <w:rPr>
          <w:lang w:val="en-US"/>
        </w:rPr>
        <w:t>,</w:t>
      </w:r>
      <w:r>
        <w:rPr>
          <w:lang w:val="en-US"/>
        </w:rPr>
        <w:t xml:space="preserve"> </w:t>
      </w:r>
      <w:r>
        <w:rPr>
          <w:lang w:val="en-US"/>
        </w:rPr>
        <w:t>Ac</w:t>
      </w:r>
      <w:r>
        <w:rPr>
          <w:lang w:val="en-US"/>
        </w:rPr>
        <w:t xml:space="preserve">t </w:t>
      </w:r>
      <w:r>
        <w:t xml:space="preserve">of 1989. </w:t>
      </w:r>
      <w:r>
        <w:rPr/>
        <w:br w:type="textWrapping"/>
      </w:r>
      <w:r>
        <w:t>Cultural competence: refers to social care practitioners' ability to comprehend, communicate with, and connect effectively with persons from other cultures (Sue et al., 2009). In the context of this study, cultural competency is an essential ability for ensuring that care practices respect and strengthen Black children's racial and cultural identities.</w:t>
      </w:r>
    </w:p>
    <w:p w14:paraId="0000007A">
      <w:pPr>
        <w:pStyle w:val="BodyText"/>
        <w:rPr/>
      </w:pPr>
    </w:p>
    <w:p w14:paraId="0000007B">
      <w:pPr>
        <w:pStyle w:val="BodyText"/>
        <w:rPr/>
      </w:pPr>
      <w:r>
        <w:t xml:space="preserve">Systemic Racism: </w:t>
      </w:r>
      <w:r>
        <w:t xml:space="preserve">Williams (2020) defines systemic racism as institutional policies and practices that create and maintain racial inequity within systems and organisations. Within social care, this can appear as </w:t>
      </w:r>
      <w:r>
        <w:t>biased</w:t>
      </w:r>
      <w:r>
        <w:t xml:space="preserve"> decision making, underrepresentation of Black professionals, and a failure to acknowledge Black children's cultural requirements.</w:t>
      </w:r>
    </w:p>
    <w:p w14:paraId="0000007C">
      <w:pPr>
        <w:pStyle w:val="BodyText"/>
        <w:rPr/>
      </w:pPr>
    </w:p>
    <w:p w14:paraId="0000007D">
      <w:pPr>
        <w:pStyle w:val="BodyText"/>
        <w:rPr/>
      </w:pPr>
      <w:r>
        <w:t>Policies</w:t>
      </w:r>
      <w:r>
        <w:t>: Policies are formal principles or guidelines created by governments, institutions, or organisations to direct activities, choices, and behaviours.  They establish a consistent framework for achieving goals while ensuring fairness, accountability, and commitment to legal or ethical standards (Oxford Reference, 2024).</w:t>
      </w:r>
    </w:p>
    <w:p w14:paraId="0000007E">
      <w:pPr>
        <w:pStyle w:val="BodyText"/>
        <w:rPr>
          <w:rFonts w:ascii="Aptos" w:cs="Arial" w:eastAsia="Arial Unicode MS" w:hAnsi="Aptos"/>
        </w:rPr>
      </w:pPr>
    </w:p>
    <w:p w14:paraId="0000007F">
      <w:pPr>
        <w:pStyle w:val="Paragraph"/>
        <w:spacing w:before="0" w:after="0" w:line="360" w:lineRule="auto"/>
        <w:rPr>
          <w:rFonts w:ascii="Aptos" w:cs="Segoe UI" w:hAnsi="Aptos"/>
          <w:color w:val="0f4761"/>
          <w:sz w:val="16"/>
          <w:szCs w:val="16"/>
        </w:rPr>
      </w:pPr>
      <w:r>
        <w:rPr>
          <w:rStyle w:val="Normaltextrun"/>
          <w:rFonts w:ascii="Aptos" w:cs="Arial" w:hAnsi="Aptos"/>
          <w:color w:val="0f4761"/>
        </w:rPr>
        <w:t xml:space="preserve">1.3 Rationale for Research </w:t>
      </w:r>
    </w:p>
    <w:p w14:paraId="00000080">
      <w:pPr>
        <w:pStyle w:val="BodyText"/>
        <w:rPr/>
      </w:pPr>
      <w:r>
        <w:t>The basis for this study stems from the continuing inequities that Black children suffer in the UK's child welfare system. Despite being a minority of the population, Black children are disproportionately represented in care (Ofsted, 2022). Furthermore, research indicates that they are more likely to face placement instability, cross racial fostering, and lower levels of emotional support than their white peers (Ali, 2020).</w:t>
      </w:r>
    </w:p>
    <w:p w14:paraId="00000081">
      <w:pPr>
        <w:pStyle w:val="BodyText"/>
        <w:rPr/>
      </w:pPr>
      <w:r>
        <w:t>These systemic concerns are not just a source of social inequality, but also a major human rights concern. The United Nations Convention on the Rights of the Child (UNCRC) highlights every child's right to maintain their identity, which includes nationality, name, and family relationships (UNICEF, 1989). However, for many Black children in UK care, identity maintenance is difficult due to systems that do not promote cultural and racial continuity (Bernard, 2021).</w:t>
      </w:r>
    </w:p>
    <w:p w14:paraId="00000082">
      <w:pPr>
        <w:pStyle w:val="BodyText"/>
        <w:rPr/>
      </w:pPr>
      <w:r>
        <w:t xml:space="preserve">Existing literature also shows that a lack of culturally appropriate placements can cause disorientation, low self esteem, and identity fragmentation (Harris and Allen, 2021). Furthermore, the lack of Black role models in the system fosters sentiments of estrangement </w:t>
      </w:r>
      <w:r>
        <w:t>and invisibility (Bywaters et al., 2017). As a result, this study intends to identify these gaps and contribute</w:t>
      </w:r>
      <w:r>
        <w:t xml:space="preserve"> </w:t>
      </w:r>
      <w:r>
        <w:t xml:space="preserve">to the establishment of culturally responsive care practices. </w:t>
      </w:r>
      <w:r>
        <w:rPr/>
        <w:br w:type="textWrapping"/>
      </w:r>
      <w:r>
        <w:rPr/>
        <w:br w:type="textWrapping"/>
      </w:r>
      <w:r>
        <w:rPr/>
        <w:br w:type="textWrapping"/>
      </w:r>
      <w:r>
        <w:t>This dissertation will do a secondary study of current literature to not only explore existing policy frameworks but also critically evaluate how practice aligns or does not align with statutory norms. Finally, it aims to educate social care practitioners, policymakers, and educators on the value of identity preservation in promoting long term stability and well being for Black children in care.</w:t>
      </w:r>
      <w:r>
        <w:rPr>
          <w:rFonts w:ascii="Aptos" w:hAnsi="Aptos"/>
        </w:rPr>
        <w:br w:type="textWrapping"/>
      </w:r>
    </w:p>
    <w:p w14:paraId="00000083">
      <w:pPr>
        <w:pStyle w:val="Paragraph"/>
        <w:spacing w:before="0" w:after="0" w:line="360" w:lineRule="auto"/>
        <w:rPr>
          <w:rStyle w:val="Eop"/>
          <w:rFonts w:ascii="Aptos" w:cs="Arial" w:hAnsi="Aptos"/>
          <w:color w:val="0f4761"/>
        </w:rPr>
      </w:pPr>
      <w:r>
        <w:rPr>
          <w:rStyle w:val="Normaltextrun"/>
          <w:rFonts w:ascii="Aptos" w:cs="Arial" w:hAnsi="Aptos"/>
          <w:color w:val="0f4761"/>
        </w:rPr>
        <w:t xml:space="preserve">1.4 Aim and Objectives </w:t>
      </w:r>
    </w:p>
    <w:p w14:paraId="00000084">
      <w:pPr>
        <w:pStyle w:val="Paragraph"/>
        <w:spacing w:before="0" w:after="0" w:line="360" w:lineRule="auto"/>
        <w:rPr>
          <w:rFonts w:ascii="Aptos" w:cs="Segoe UI" w:hAnsi="Aptos"/>
          <w:color w:val="0f4761"/>
          <w:sz w:val="16"/>
          <w:szCs w:val="16"/>
        </w:rPr>
      </w:pPr>
    </w:p>
    <w:p w14:paraId="00000085">
      <w:pPr>
        <w:pStyle w:val="BodyText"/>
        <w:rPr>
          <w:rStyle w:val="Normaltextrun"/>
          <w:rFonts w:ascii="Times New Roman" w:cs="Times New Roman" w:eastAsia="Times New Roman" w:hAnsi="Times New Roman"/>
          <w:sz w:val="24"/>
          <w:szCs w:val="24"/>
        </w:rPr>
      </w:pPr>
      <w:r>
        <w:t>The study aims to examine the impact of the UK social care system on Black children's identity formation and assess how current policies and practices assist or hinder this process.</w:t>
      </w:r>
      <w:r>
        <w:t xml:space="preserve"> </w:t>
      </w:r>
      <w:r>
        <w:t>Here are the Objectives for this Study.</w:t>
      </w:r>
      <w:r>
        <w:rPr/>
        <w:br w:type="textWrapping"/>
      </w:r>
      <w:r>
        <w:rPr>
          <w:rFonts w:ascii="Times New Roman" w:cs="Times New Roman" w:eastAsia="Times New Roman" w:hAnsi="Times New Roman"/>
          <w:sz w:val="24"/>
          <w:szCs w:val="24"/>
        </w:rPr>
        <w:br w:type="textWrapping"/>
      </w:r>
      <w:r>
        <w:rPr>
          <w:rStyle w:val="Normaltextrun"/>
          <w:rFonts w:ascii="Aptos" w:cs="Arial" w:eastAsiaTheme="minorEastAsia" w:hAnsi="Aptos"/>
          <w:b/>
          <w:bCs/>
          <w14:ligatures w14:val="standardContextual"/>
        </w:rPr>
        <w:t xml:space="preserve">Research Objectives: </w:t>
      </w:r>
    </w:p>
    <w:p w14:paraId="00000086">
      <w:pPr>
        <w:pStyle w:val="BodyText"/>
        <w:rPr/>
      </w:pPr>
      <w:r>
        <w:rPr>
          <w:rStyle w:val="Normaltextrun"/>
          <w:rFonts w:ascii="Aptos" w:cs="Arial" w:hAnsi="Aptos"/>
          <w:b/>
          <w:bCs/>
        </w:rPr>
        <w:t>Objective 1:</w:t>
      </w:r>
      <w:r>
        <w:rPr>
          <w:rStyle w:val="Normaltextrun"/>
          <w:rFonts w:ascii="Aptos" w:cs="Arial" w:hAnsi="Aptos"/>
        </w:rPr>
        <w:t> </w:t>
      </w:r>
      <w:r>
        <w:rPr>
          <w:rStyle w:val="Eop"/>
          <w:rFonts w:ascii="Aptos" w:cs="Arial" w:hAnsi="Aptos"/>
        </w:rPr>
        <w:t> </w:t>
      </w:r>
      <w:r>
        <w:t>to analyse how historical and socioeconomic factors have impacted Black children's experiences in UK social care</w:t>
      </w:r>
    </w:p>
    <w:p w14:paraId="00000087">
      <w:pPr>
        <w:pStyle w:val="BodyText"/>
        <w:rPr>
          <w:rFonts w:ascii="Aptos" w:cs="Segoe UI" w:hAnsi="Aptos"/>
          <w:sz w:val="16"/>
          <w:szCs w:val="16"/>
        </w:rPr>
      </w:pPr>
    </w:p>
    <w:p w14:paraId="00000088">
      <w:pPr>
        <w:pStyle w:val="BodyText"/>
        <w:rPr>
          <w:rFonts w:ascii="Aptos" w:cs="Segoe UI" w:hAnsi="Aptos"/>
          <w:sz w:val="16"/>
          <w:szCs w:val="16"/>
        </w:rPr>
      </w:pPr>
      <w:r>
        <w:rPr>
          <w:rStyle w:val="Normaltextrun"/>
          <w:rFonts w:ascii="Aptos" w:cs="Arial" w:hAnsi="Aptos"/>
          <w:b/>
          <w:bCs/>
        </w:rPr>
        <w:t>Objective 2:</w:t>
      </w:r>
      <w:r>
        <w:rPr>
          <w:rStyle w:val="Normaltextrun"/>
          <w:rFonts w:ascii="Aptos" w:cs="Arial" w:hAnsi="Aptos"/>
        </w:rPr>
        <w:t> </w:t>
      </w:r>
      <w:r>
        <w:rPr>
          <w:rStyle w:val="Eop"/>
          <w:rFonts w:ascii="Aptos" w:cs="Arial" w:hAnsi="Aptos"/>
        </w:rPr>
        <w:t> </w:t>
      </w:r>
      <w:r>
        <w:t>to examine how systemic racism and institutional bias impact identity challenges for Black looked after children.</w:t>
      </w:r>
    </w:p>
    <w:p w14:paraId="00000089">
      <w:pPr>
        <w:pStyle w:val="BodyText"/>
        <w:rPr>
          <w:rStyle w:val="Normaltextrun"/>
          <w:rFonts w:ascii="Aptos" w:cs="Arial" w:hAnsi="Aptos"/>
          <w:b/>
          <w:bCs/>
        </w:rPr>
      </w:pPr>
      <w:r>
        <w:rPr>
          <w:rStyle w:val="Normaltextrun"/>
          <w:rFonts w:ascii="Aptos" w:cs="Arial" w:hAnsi="Aptos"/>
          <w:b/>
          <w:bCs/>
        </w:rPr>
        <w:t>Objective 3:</w:t>
      </w:r>
    </w:p>
    <w:p w14:paraId="0000008A">
      <w:pPr>
        <w:pStyle w:val="BodyText"/>
        <w:rPr/>
      </w:pPr>
      <w:r>
        <w:rPr>
          <w:rStyle w:val="Eop"/>
          <w:rFonts w:ascii="Aptos" w:cs="Arial" w:hAnsi="Aptos"/>
        </w:rPr>
        <w:t> </w:t>
      </w:r>
      <w:r>
        <w:t>to evaluate how UK legislation and policies, including the Children Act 1989 and</w:t>
      </w:r>
      <w:r>
        <w:t xml:space="preserve"> Equality Act 2010, protect and promote identity in care settings.</w:t>
      </w:r>
    </w:p>
    <w:p w14:paraId="0000008B">
      <w:pPr>
        <w:pStyle w:val="BodyText"/>
        <w:rPr>
          <w:rFonts w:ascii="Aptos" w:cs="Segoe UI" w:hAnsi="Aptos"/>
          <w:sz w:val="16"/>
          <w:szCs w:val="16"/>
        </w:rPr>
      </w:pPr>
      <w:r>
        <w:rPr>
          <w:rStyle w:val="Normaltextrun"/>
          <w:rFonts w:ascii="Aptos" w:cs="Arial" w:hAnsi="Aptos"/>
          <w:b/>
          <w:bCs/>
        </w:rPr>
        <w:t>Objective 4:</w:t>
      </w:r>
      <w:r>
        <w:rPr>
          <w:rStyle w:val="Normaltextrun"/>
          <w:rFonts w:ascii="Aptos" w:cs="Arial" w:hAnsi="Aptos"/>
        </w:rPr>
        <w:t> </w:t>
      </w:r>
      <w:r>
        <w:rPr>
          <w:rStyle w:val="Eop"/>
          <w:rFonts w:ascii="Aptos" w:cs="Arial" w:hAnsi="Aptos"/>
        </w:rPr>
        <w:t> </w:t>
      </w:r>
      <w:r>
        <w:t>Make recommendations for culturally competent practice and policy reform in the social care sector</w:t>
      </w:r>
    </w:p>
    <w:p w14:paraId="0000008C">
      <w:pPr>
        <w:pStyle w:val="Paragraph"/>
        <w:spacing w:before="0" w:after="0" w:line="360" w:lineRule="auto"/>
        <w:rPr>
          <w:rFonts w:ascii="Aptos" w:cs="Segoe UI" w:hAnsi="Aptos"/>
          <w:sz w:val="16"/>
          <w:szCs w:val="16"/>
        </w:rPr>
      </w:pPr>
      <w:r>
        <w:rPr>
          <w:rStyle w:val="Eop"/>
          <w:rFonts w:ascii="Aptos" w:cs="Arial" w:hAnsi="Aptos"/>
          <w:sz w:val="22"/>
          <w:szCs w:val="22"/>
        </w:rPr>
        <w:t> </w:t>
      </w:r>
    </w:p>
    <w:p w14:paraId="0000008D">
      <w:pPr>
        <w:pStyle w:val="Paragraph"/>
        <w:spacing w:before="0" w:after="0" w:line="360" w:lineRule="auto"/>
        <w:rPr>
          <w:rFonts w:ascii="Aptos" w:cs="Segoe UI" w:hAnsi="Aptos"/>
          <w:color w:val="0f4761"/>
          <w:sz w:val="16"/>
          <w:szCs w:val="16"/>
        </w:rPr>
      </w:pPr>
      <w:r>
        <w:rPr>
          <w:rStyle w:val="Normaltextrun"/>
          <w:rFonts w:ascii="Aptos" w:cs="Arial" w:hAnsi="Aptos"/>
          <w:color w:val="0f4761"/>
        </w:rPr>
        <w:t xml:space="preserve">1.5 Conclusion </w:t>
      </w:r>
    </w:p>
    <w:p w14:paraId="0000008E">
      <w:pPr>
        <w:rPr>
          <w:rFonts w:cs="Calibri Light" w:eastAsia="Calibri Light"/>
          <w:lang w:bidi="en-GB" w:eastAsia="en-GB"/>
        </w:rPr>
      </w:pPr>
      <w:r>
        <w:rPr>
          <w:rFonts w:cs="Calibri Light" w:eastAsia="Calibri Light"/>
          <w:lang w:bidi="en-GB" w:eastAsia="en-GB"/>
        </w:rPr>
        <w:t>This first chapter establishes the dissertation's framework and goal by defining the research focus, essential definitions, and study justification. It emphasises that Black children in care confront distinct identity issues caused by structural inequity, cultural isolation, and institutional bias. These elements influence their perceptions of themselves and their overall experiences in the care system. The chapter also sets the primary goal and particular objectives that will guide the future analysis, so providing a clear framework for the study.</w:t>
      </w:r>
    </w:p>
    <w:p w14:paraId="0000008F">
      <w:pPr>
        <w:jc w:val="left"/>
        <w:rPr>
          <w:rFonts w:cs="Calibri Light" w:eastAsia="Calibri Light"/>
          <w:lang w:bidi="en-GB" w:eastAsia="en-GB"/>
        </w:rPr>
      </w:pPr>
      <w:r>
        <w:rPr>
          <w:rFonts w:cs="Calibri Light" w:eastAsia="Calibri Light"/>
          <w:lang w:bidi="en-GB" w:eastAsia="en-GB"/>
        </w:rPr>
        <w:t>Based on this foundation, Chapter 2: Background Information and Analysis will look at the issue's theoretical, historical, and with policy contexts. In order to provide a better understanding of the systemic and individual elements impacting Black children's identities and outcomes, it will examine racial identity theory, related social care practices, and the lived experiences of Black children within the UK care system.</w:t>
      </w:r>
    </w:p>
    <w:p w14:paraId="00000090">
      <w:pPr>
        <w:spacing w:line="259" w:lineRule="auto"/>
        <w:jc w:val="left"/>
        <w:rPr/>
      </w:pPr>
    </w:p>
    <w:p w14:paraId="00000091"/>
    <w:p w14:paraId="00000092">
      <w:pPr>
        <w:spacing w:line="259" w:lineRule="auto"/>
        <w:jc w:val="left"/>
        <w:rPr>
          <w:rFonts w:ascii="Aptos" w:cs="Calibri Light" w:eastAsia="Calibri Light" w:hAnsi="Aptos"/>
          <w:b/>
          <w:sz w:val="32"/>
          <w:szCs w:val="32"/>
          <w:lang w:bidi="en-GB" w:eastAsia="en-GB"/>
        </w:rPr>
      </w:pPr>
      <w:bookmarkStart w:id="4" w:name="_Toc212114097"/>
      <w:r>
        <w:rPr>
          <w:rFonts w:ascii="Aptos" w:hAnsi="Aptos"/>
        </w:rPr>
        <w:br w:type="page"/>
      </w:r>
    </w:p>
    <w:p w14:paraId="00000093">
      <w:pPr>
        <w:pStyle w:val="Heading1"/>
        <w:ind w:left="0"/>
        <w:rPr>
          <w:rFonts w:ascii="Aptos" w:hAnsi="Aptos"/>
        </w:rPr>
      </w:pPr>
      <w:r>
        <w:rPr>
          <w:rFonts w:ascii="Aptos" w:hAnsi="Aptos"/>
        </w:rPr>
        <w:t xml:space="preserve">CHAPTER 2 </w:t>
      </w:r>
      <w:bookmarkEnd w:id="4"/>
    </w:p>
    <w:p w14:paraId="00000094">
      <w:pPr>
        <w:pStyle w:val="Heading1"/>
        <w:ind w:left="0"/>
        <w:rPr>
          <w:rFonts w:ascii="Segoe UI" w:cs="Segoe UI" w:hAnsi="Segoe UI"/>
          <w:color w:val="0f4761"/>
          <w:sz w:val="18"/>
          <w:szCs w:val="18"/>
        </w:rPr>
      </w:pPr>
      <w:r>
        <w:rPr>
          <w:rStyle w:val="Eop"/>
          <w:rFonts w:cs="Arial" w:eastAsia="Calibri Light"/>
          <w:color w:val="0f4761"/>
          <w:sz w:val="40"/>
          <w:szCs w:val="40"/>
        </w:rPr>
        <w:t> </w:t>
      </w:r>
    </w:p>
    <w:p w14:paraId="00000095">
      <w:pPr>
        <w:pStyle w:val="Paragraph"/>
        <w:spacing w:before="0" w:after="0" w:line="360" w:lineRule="auto"/>
        <w:rPr>
          <w:rFonts w:ascii="Aptos" w:cs="Segoe UI" w:hAnsi="Aptos"/>
          <w:sz w:val="16"/>
          <w:szCs w:val="16"/>
        </w:rPr>
      </w:pPr>
      <w:r>
        <w:rPr>
          <w:rStyle w:val="Normaltextrun"/>
          <w:rFonts w:ascii="Aptos" w:cs="Arial" w:hAnsi="Aptos"/>
          <w:color w:val="0f4761"/>
        </w:rPr>
        <w:t xml:space="preserve">2.1 Introduction </w:t>
      </w:r>
    </w:p>
    <w:p w14:paraId="00000096">
      <w:pPr>
        <w:pStyle w:val="Paragraph"/>
        <w:spacing w:line="360" w:lineRule="auto"/>
        <w:rPr>
          <w:rFonts w:ascii="Arial" w:cs="Calibri Light" w:eastAsia="Calibri Light" w:hAnsi="Arial"/>
          <w:sz w:val="22"/>
          <w:szCs w:val="22"/>
          <w:lang w:bidi="en-GB" w:eastAsia="en-GB"/>
        </w:rPr>
      </w:pPr>
      <w:r>
        <w:rPr>
          <w:rFonts w:ascii="Arial" w:cs="Calibri Light" w:eastAsia="Calibri Light" w:hAnsi="Arial"/>
          <w:sz w:val="22"/>
          <w:szCs w:val="22"/>
          <w:lang w:bidi="en-GB" w:eastAsia="en-GB"/>
        </w:rPr>
        <w:t>This chapter investigates the broader context of identity difficulties encountered by Black children in the UK social care system. It begins by examining the historical history of child welfare legislation and its links to racial inequality, demonstrating how previous policies continue to influence current outcomes. The debate then shifts to theoretical frameworks for identity development, belonging, and systemic disadvantage, laying the groundwork for comprehending the complex elements that shape these children's experiences.</w:t>
      </w:r>
    </w:p>
    <w:p w14:paraId="00000097">
      <w:pPr>
        <w:pStyle w:val="Paragraph"/>
        <w:spacing w:line="360" w:lineRule="auto"/>
        <w:rPr>
          <w:rFonts w:ascii="Arial" w:cs="Calibri Light" w:eastAsia="Calibri Light" w:hAnsi="Arial"/>
          <w:sz w:val="22"/>
          <w:szCs w:val="22"/>
          <w:lang w:bidi="en-GB" w:eastAsia="en-GB"/>
        </w:rPr>
      </w:pPr>
      <w:r>
        <w:rPr>
          <w:rFonts w:ascii="Arial" w:cs="Calibri Light" w:eastAsia="Calibri Light" w:hAnsi="Arial"/>
          <w:sz w:val="22"/>
          <w:szCs w:val="22"/>
          <w:lang w:bidi="en-GB" w:eastAsia="en-GB"/>
        </w:rPr>
        <w:t>A brief international comparison demonstrates how other Western countries have addressed similar issues, providing insight into potential best practices. The chapter concludes by looking at the current UK context, emphasising the ongoing disparity between policy intentions and the lived realities of Black looked after children. This contextual framework guides the subsequent study and emphasises the importance of more culturally responsive, egalitarian, and inclusive care methods within the social care system.</w:t>
      </w:r>
    </w:p>
    <w:p w14:paraId="00000098">
      <w:pPr>
        <w:pStyle w:val="Paragraph"/>
        <w:spacing w:before="0" w:after="0" w:line="360" w:lineRule="auto"/>
        <w:rPr>
          <w:rFonts w:ascii="Aptos" w:cs="Segoe UI" w:hAnsi="Aptos"/>
          <w:sz w:val="16"/>
          <w:szCs w:val="16"/>
        </w:rPr>
      </w:pPr>
      <w:r>
        <w:rPr>
          <w:rStyle w:val="Eop"/>
          <w:rFonts w:ascii="Aptos" w:cs="Arial" w:eastAsia="Calibri Light" w:hAnsi="Aptos"/>
          <w:sz w:val="22"/>
          <w:szCs w:val="22"/>
        </w:rPr>
        <w:t> </w:t>
      </w:r>
    </w:p>
    <w:p w14:paraId="00000099">
      <w:pPr>
        <w:pStyle w:val="Paragraph"/>
        <w:spacing w:before="0" w:after="0" w:line="360" w:lineRule="auto"/>
        <w:rPr>
          <w:rFonts w:ascii="Aptos" w:cs="Segoe UI" w:hAnsi="Aptos"/>
          <w:color w:val="0f4761"/>
          <w:sz w:val="16"/>
          <w:szCs w:val="16"/>
        </w:rPr>
      </w:pPr>
      <w:r>
        <w:rPr>
          <w:rStyle w:val="Normaltextrun"/>
          <w:rFonts w:ascii="Aptos" w:cs="Arial" w:hAnsi="Aptos"/>
          <w:color w:val="0f4761"/>
        </w:rPr>
        <w:t xml:space="preserve">2.2 Historical Background </w:t>
      </w:r>
    </w:p>
    <w:p w14:paraId="0000009A">
      <w:pPr>
        <w:pStyle w:val="Paragraph"/>
        <w:spacing w:before="0" w:after="0" w:line="360" w:lineRule="auto"/>
        <w:rPr>
          <w:rFonts w:ascii="Aptos" w:cs="Segoe UI" w:hAnsi="Aptos"/>
          <w:sz w:val="16"/>
          <w:szCs w:val="16"/>
        </w:rPr>
      </w:pPr>
      <w:r>
        <w:rPr>
          <w:rStyle w:val="Eop"/>
          <w:rFonts w:ascii="Aptos" w:cs="Arial" w:eastAsia="Calibri Light" w:hAnsi="Aptos"/>
          <w:sz w:val="22"/>
          <w:szCs w:val="22"/>
        </w:rPr>
        <w:t> </w:t>
      </w:r>
    </w:p>
    <w:p w14:paraId="0000009B">
      <w:pPr>
        <w:pStyle w:val="BodyText"/>
        <w:rPr/>
      </w:pPr>
      <w:r>
        <w:t xml:space="preserve">The UK child welfare system has changed dramatically over the last few decades, impacted by altering social, political, and cultural conditions. Following the creation of the welfare state after 1945, there was a great emphasis on universal social rights and state responsibility for citizens' well being. However, around the same time period, the Windrush generation arrived (from 1948 onwards), when Caribbean migrants were brought to Britain to </w:t>
      </w:r>
      <w:r>
        <w:t>built</w:t>
      </w:r>
      <w:r>
        <w:t xml:space="preserve"> up post war damages and fix employment shortages. Despite their valuable contributions, many Black families suffered ongoing prejudice in job, housing, and education. These disparities not only limited their social mobility, but also increased their exposure to child welfare interventions, which were frequently informed by biased beliefs about race, family life, and parenting</w:t>
      </w:r>
      <w:r>
        <w:t xml:space="preserve"> </w:t>
      </w:r>
      <w:r>
        <w:t>(Williams, 2020).</w:t>
      </w:r>
      <w:r>
        <w:t xml:space="preserve"> </w:t>
      </w:r>
      <w:r>
        <w:t xml:space="preserve">The Children Act 1989 was an important moment in UK child welfare legislation, establishing that "the child's welfare shall be the main priority" (s.1(1)). The Act also compelled local authorities to consider each child's "religious persuasion, racial origin, </w:t>
      </w:r>
      <w:r>
        <w:t>cultural and linguistic background" (section 22(5)(c)). This provision publicly acknowledged the role of cultural identity in improving children's well being and sense of belonging. However, while the Act is progressive in concept, its execution has been attacked for inconsistency and a lack of cultural depth. According to scholars such as Bernard and Harris (2019), local governments have frequently struggled to transform their statutory commitments into meaningful, identity affirming activities.</w:t>
      </w:r>
    </w:p>
    <w:p w14:paraId="0000009C">
      <w:pPr>
        <w:pStyle w:val="BodyText"/>
        <w:rPr/>
      </w:pPr>
      <w:r>
        <w:t>During the 1990s and early 2000s, a series of public investigations exposing child neglect and abuse pushed professional focus drastically towards risk management and child protection. This emphasis, while necessary for safety, frequently came at the expense of meeting children's emotional and cultural needs (Bywaters et al., 2017). As a result, concerns about ethnicity, identity, and belonging were routinely overlooked in care planning and placement decisions. Many Black children were put in mixed race foster or adoptive homes without adequate support to retain or develop a positive sense of racial and cultural identity (Wainwright &amp; Ridley, 2021).</w:t>
      </w:r>
    </w:p>
    <w:p w14:paraId="0000009D">
      <w:pPr>
        <w:pStyle w:val="BodyText"/>
        <w:rPr/>
      </w:pPr>
      <w:r>
        <w:t>These historical trends show how systemic disparities, institutional bias, and inconsistent policy execution have influenced the lived realities of Black cared for children. The legacy of these practices continues to have an impact on the social care scene today, with cultural identity remaining a source of concern. Understanding the historical and structural foundations is critical for assessing present identity based difficulties and implementing more culturally responsive, egalitarian, and inclusive approaches to child welfare in the United Kingdom.</w:t>
      </w:r>
      <w:r>
        <w:rPr>
          <w:rStyle w:val="Eop"/>
          <w:rFonts w:ascii="Aptos" w:cs="Arial" w:hAnsi="Aptos"/>
        </w:rPr>
        <w:t>  </w:t>
      </w:r>
    </w:p>
    <w:p w14:paraId="0000009E">
      <w:pPr>
        <w:pStyle w:val="Paragraph"/>
        <w:spacing w:before="0" w:after="0" w:line="360" w:lineRule="auto"/>
        <w:rPr>
          <w:rFonts w:ascii="Aptos" w:cs="Segoe UI" w:hAnsi="Aptos"/>
          <w:color w:val="0f4761"/>
          <w:sz w:val="16"/>
          <w:szCs w:val="16"/>
        </w:rPr>
      </w:pPr>
      <w:r>
        <w:rPr>
          <w:rStyle w:val="Normaltextrun"/>
          <w:rFonts w:ascii="Aptos" w:cs="Arial" w:hAnsi="Aptos"/>
          <w:color w:val="0f4761"/>
        </w:rPr>
        <w:t xml:space="preserve">2.3 Theoretical Background </w:t>
      </w:r>
    </w:p>
    <w:p w14:paraId="0000009F">
      <w:pPr>
        <w:pStyle w:val="Paragraph"/>
        <w:spacing w:line="360" w:lineRule="auto"/>
        <w:rPr>
          <w:rFonts w:ascii="Arial" w:cs="Calibri Light" w:eastAsia="Calibri Light" w:hAnsi="Arial"/>
          <w:sz w:val="22"/>
          <w:szCs w:val="22"/>
          <w:lang w:bidi="en-GB" w:eastAsia="en-GB"/>
        </w:rPr>
      </w:pPr>
      <w:r>
        <w:rPr>
          <w:rFonts w:ascii="Arial" w:cs="Calibri Light" w:eastAsia="Calibri Light" w:hAnsi="Arial"/>
          <w:sz w:val="22"/>
          <w:szCs w:val="22"/>
          <w:lang w:bidi="en-GB" w:eastAsia="en-GB"/>
        </w:rPr>
        <w:t>Black children's care experiences overlap with a variety of developmental, psychological, and social issues. Understanding these connections is critical to comprehending why cultural identity is so important in their overall well being. Several theoretical frameworks, including Erikson's Psychosocial Development Theory, Social Identity Theory, Attachment Theory, and Critical Race Theory (CRT), shed light on how identity, belonging, and institutional structures shape the lived experiences of Black children in the care system.</w:t>
      </w:r>
      <w:r>
        <w:rPr>
          <w:rFonts w:ascii="Arial" w:cs="Calibri Light" w:eastAsia="Calibri Light" w:hAnsi="Arial"/>
          <w:sz w:val="22"/>
          <w:szCs w:val="22"/>
          <w:lang w:bidi="en-GB" w:eastAsia="en-GB"/>
        </w:rPr>
        <w:br w:type="textWrapping"/>
      </w:r>
      <w:r>
        <w:rPr>
          <w:rFonts w:ascii="Arial" w:cs="Calibri Light" w:eastAsia="Calibri Light" w:hAnsi="Arial"/>
          <w:sz w:val="22"/>
          <w:szCs w:val="22"/>
          <w:lang w:bidi="en-GB" w:eastAsia="en-GB"/>
        </w:rPr>
        <w:br w:type="textWrapping"/>
      </w:r>
      <w:r>
        <w:rPr>
          <w:rFonts w:ascii="Arial" w:cs="Calibri Light" w:eastAsia="Calibri Light" w:hAnsi="Arial"/>
          <w:sz w:val="22"/>
          <w:szCs w:val="22"/>
          <w:lang w:bidi="en-GB" w:eastAsia="en-GB"/>
        </w:rPr>
        <w:t xml:space="preserve">According to Erik Erikson's (1968) Psychosocial Development Theory, the development of identities is a critical activity of adolescence, during which individuals strive for a sense of connection between their own experiences and their relationships with others. This developmental process can be severely disturbed for children in care, especially those who have experienced family separation, instability, or cultural isolation (Bernard, 2021). Erikson's approach emphasises the significance of constant emotional support and stable identity formation; nevertheless, critics argue that it does not adequately account for racial </w:t>
      </w:r>
      <w:r>
        <w:rPr>
          <w:rFonts w:ascii="Arial" w:cs="Calibri Light" w:eastAsia="Calibri Light" w:hAnsi="Arial"/>
          <w:sz w:val="22"/>
          <w:szCs w:val="22"/>
          <w:lang w:bidi="en-GB" w:eastAsia="en-GB"/>
        </w:rPr>
        <w:t>and cultural identity as key components of self concept (Harris and Allen, 2021). This constraint is especially important for Black children, whose identity formation frequently happens in settings that do not reflect or affirm their cultural heritage.</w:t>
      </w:r>
      <w:r>
        <w:rPr>
          <w:rFonts w:ascii="Arial" w:cs="Calibri Light" w:eastAsia="Calibri Light" w:hAnsi="Arial"/>
          <w:sz w:val="22"/>
          <w:szCs w:val="22"/>
          <w:lang w:bidi="en-GB" w:eastAsia="en-GB"/>
        </w:rPr>
        <w:br w:type="textWrapping"/>
      </w:r>
      <w:r>
        <w:rPr>
          <w:rFonts w:ascii="Arial" w:cs="Calibri Light" w:eastAsia="Calibri Light" w:hAnsi="Arial"/>
          <w:sz w:val="22"/>
          <w:szCs w:val="22"/>
          <w:lang w:bidi="en-GB" w:eastAsia="en-GB"/>
        </w:rPr>
        <w:t>Tajfel and Turner's (1979) Social Identity Theory emphasises the significance of belonging to socially valued groups in the development of positive self worth. The placing of Black children in care with carers who do not understand their cultural experiences, such as knowledge of Black hair care, cultural language patterns, food traditions, and lived experiences with racism, can undermine both individual and collective identity (Sue et al., 2009). When children's cultural experiences are misunderstood or devalued, they may internalise negative social perceptions about their racial identity, resulting in low self esteem and detachment from their ethnic community. This process has an impact not just on self perception, but also on long term psychosocial adaptation and resistance.</w:t>
      </w:r>
      <w:r>
        <w:rPr>
          <w:rFonts w:ascii="Arial" w:cs="Calibri Light" w:eastAsia="Calibri Light" w:hAnsi="Arial"/>
          <w:sz w:val="22"/>
          <w:szCs w:val="22"/>
          <w:lang w:bidi="en-GB" w:eastAsia="en-GB"/>
        </w:rPr>
        <w:t xml:space="preserve"> </w:t>
      </w:r>
    </w:p>
    <w:p w14:paraId="000000A0">
      <w:pPr>
        <w:pStyle w:val="Paragraph"/>
        <w:spacing w:line="360" w:lineRule="auto"/>
        <w:rPr>
          <w:rFonts w:ascii="Arial" w:cs="Calibri Light" w:eastAsia="Calibri Light" w:hAnsi="Arial"/>
          <w:sz w:val="22"/>
          <w:szCs w:val="22"/>
          <w:lang w:bidi="en-GB" w:eastAsia="en-GB"/>
        </w:rPr>
      </w:pPr>
      <w:r>
        <w:rPr>
          <w:rFonts w:ascii="Arial" w:cs="Calibri Light" w:eastAsia="Calibri Light" w:hAnsi="Arial"/>
          <w:sz w:val="22"/>
          <w:szCs w:val="22"/>
          <w:lang w:bidi="en-GB" w:eastAsia="en-GB"/>
        </w:rPr>
        <w:t xml:space="preserve">The </w:t>
      </w:r>
      <w:r>
        <w:rPr>
          <w:rFonts w:ascii="Arial" w:cs="Calibri Light" w:eastAsia="Calibri Light" w:hAnsi="Arial"/>
          <w:sz w:val="22"/>
          <w:szCs w:val="22"/>
          <w:lang w:bidi="en-GB" w:eastAsia="en-GB"/>
        </w:rPr>
        <w:t>Attachment Theory, developed by John Bowlby in 1969, emphasises the need of solid, loving connections in creating emotional security. Attachment is important for children in care because it not only meets their physical and emotional needs, but it also fosters a sense of cultural belonging and identity. Carers who lack cultural awareness or refuse to acknowledge a child's heritage may unintentionally contribute to disorientation and identity crisis (Bernard, 2021). This shows that culturally appropriate caring is essential for safe attachment and overall well being.</w:t>
      </w:r>
      <w:r>
        <w:rPr>
          <w:rFonts w:ascii="Arial" w:cs="Calibri Light" w:eastAsia="Calibri Light" w:hAnsi="Arial"/>
          <w:sz w:val="22"/>
          <w:szCs w:val="22"/>
          <w:lang w:bidi="en-GB" w:eastAsia="en-GB"/>
        </w:rPr>
        <w:br w:type="textWrapping"/>
      </w:r>
      <w:r>
        <w:rPr>
          <w:rFonts w:ascii="Arial" w:cs="Calibri Light" w:eastAsia="Calibri Light" w:hAnsi="Arial"/>
          <w:sz w:val="22"/>
          <w:szCs w:val="22"/>
          <w:lang w:bidi="en-GB" w:eastAsia="en-GB"/>
        </w:rPr>
        <w:t xml:space="preserve">The </w:t>
      </w:r>
      <w:r>
        <w:rPr>
          <w:rFonts w:ascii="Arial" w:cs="Calibri Light" w:eastAsia="Calibri Light" w:hAnsi="Arial"/>
          <w:sz w:val="22"/>
          <w:szCs w:val="22"/>
          <w:lang w:bidi="en-GB" w:eastAsia="en-GB"/>
        </w:rPr>
        <w:t>Critical Race Theory (CRT) provides a theoretical framework which examines systemic inequity. Crenshaw (1991) suggested that racism is profoundly rooted in institutional structures rather than a collection of individual circumstances. In social care, this emerges as biassed decision making, persistent preconceptions about Black parenting, and lower expectations for Black children's scholastic and social results (Williams, 2020). CRT urges practitioners and policymakers to look beyond individual level explanations and face the institutionalised basis of racial disparities in child welfare systems.</w:t>
      </w:r>
    </w:p>
    <w:p w14:paraId="000000A1">
      <w:pPr>
        <w:pStyle w:val="Paragraph"/>
        <w:spacing w:line="360" w:lineRule="auto"/>
        <w:rPr>
          <w:rFonts w:ascii="Arial" w:cs="Calibri Light" w:eastAsia="Calibri Light" w:hAnsi="Arial"/>
          <w:sz w:val="22"/>
          <w:szCs w:val="22"/>
          <w:lang w:bidi="en-GB" w:eastAsia="en-GB"/>
        </w:rPr>
      </w:pPr>
      <w:r>
        <w:rPr>
          <w:rFonts w:ascii="Arial" w:cs="Calibri Light" w:eastAsia="Calibri Light" w:hAnsi="Arial"/>
          <w:sz w:val="22"/>
          <w:szCs w:val="22"/>
          <w:lang w:bidi="en-GB" w:eastAsia="en-GB"/>
        </w:rPr>
        <w:t>These theories emphasise that identity is a socially situated experience influenced by ethnicity, belonging, and the institutional setting. Historical and institutional inequities, such as discriminatory legislation and inconsistent implementation of equality frameworks, have long shaped the experiences of Black children in care. The long term impact of these systems continues to define the social care environment in the United Kingdom. Recognising the historical and structural roots of inequality is critical for building culturally responsive, equitable, and inclusive approaches to child welfare practice. Ensuring that Black children's cultural identities are recognised and maintained is critical for enhancing their psychological well being, self esteem, and sense of belonging in the care system.</w:t>
      </w:r>
    </w:p>
    <w:p w14:paraId="000000A2">
      <w:pPr>
        <w:pStyle w:val="Paragraph"/>
        <w:spacing w:before="0" w:after="0" w:line="360" w:lineRule="auto"/>
        <w:rPr>
          <w:rFonts w:ascii="Aptos" w:cs="Segoe UI" w:hAnsi="Aptos"/>
          <w:color w:val="0f4761"/>
          <w:sz w:val="16"/>
          <w:szCs w:val="16"/>
        </w:rPr>
      </w:pPr>
      <w:r>
        <w:rPr>
          <w:rStyle w:val="Normaltextrun"/>
          <w:rFonts w:ascii="Aptos" w:cs="Arial" w:hAnsi="Aptos"/>
          <w:color w:val="0f4761"/>
        </w:rPr>
        <w:t xml:space="preserve">2.4 International Context </w:t>
      </w:r>
    </w:p>
    <w:p w14:paraId="000000A3">
      <w:pPr>
        <w:pStyle w:val="Paragraph"/>
        <w:spacing w:before="0" w:after="0" w:line="360" w:lineRule="auto"/>
        <w:rPr>
          <w:rFonts w:ascii="Aptos" w:cs="Segoe UI" w:hAnsi="Aptos"/>
          <w:sz w:val="16"/>
          <w:szCs w:val="16"/>
        </w:rPr>
      </w:pPr>
    </w:p>
    <w:p w14:paraId="000000A4">
      <w:pPr>
        <w:pStyle w:val="BodyText"/>
        <w:rPr/>
      </w:pPr>
      <w:r>
        <w:t>Concerns of racial and cultural identification among children in care are not limited to the United Kingdom, similar difficulties exist in other countries as well. A comparison of child welfare policies in nations such as the United States and Canada provides  insights into how different systems manage, or fail to address, the cultural requirements of minority children in care.</w:t>
      </w:r>
      <w:r>
        <w:t xml:space="preserve"> </w:t>
      </w:r>
      <w:r>
        <w:t>(Barn, 2019).</w:t>
      </w:r>
      <w:r>
        <w:rPr/>
        <w:br w:type="textWrapping"/>
      </w:r>
      <w:r>
        <w:t xml:space="preserve">In the United States, the Multi Ethnic Placement Act of 1994 was enacted to prevent delays in permanent placements caused by organisations attempting to racially match children with adoptive families. While the policy meant to promote efficiency and fairness, critics argue that it inevitably encouraged a "colour blind" approach to adoption and foster care, diminishing the value of racial and cultural identity </w:t>
      </w:r>
    </w:p>
    <w:p w14:paraId="000000A5">
      <w:pPr>
        <w:pStyle w:val="BodyText"/>
        <w:rPr/>
      </w:pPr>
      <w:r>
        <w:t xml:space="preserve">(McRoy, 2018). </w:t>
      </w:r>
    </w:p>
    <w:p w14:paraId="000000A6">
      <w:pPr>
        <w:pStyle w:val="BodyText"/>
        <w:rPr/>
      </w:pPr>
      <w:r>
        <w:t>Considering these changes to the law, Black children in the US foster care system continue to face disproportionate monitoring of their families, lengthier stays in care, and lower adoption rates than their white peers (Roberts, 2022). These tendencies are very similar to those seen in the United Kingdom, where Black children are also overrepresented in the care system and are frequently placed in homes that do not nurture their cultural heritage.</w:t>
      </w:r>
      <w:r>
        <w:rPr/>
        <w:br w:type="textWrapping"/>
      </w:r>
      <w:r>
        <w:t>In Canada, institutional injustices have been legally acknowledged as contributing to cultural and emotional harm, notably among Indigenous and Black children.</w:t>
      </w:r>
    </w:p>
    <w:p w14:paraId="000000A7">
      <w:pPr>
        <w:pStyle w:val="BodyText"/>
        <w:rPr/>
      </w:pPr>
      <w:r>
        <w:rPr>
          <w:rStyle w:val="Eop"/>
        </w:rPr>
        <w:t> </w:t>
      </w:r>
      <w:r>
        <w:t>The Truth and Reconciliation Commission (TRC, 2015) found that decades of forced integration and removal of Indigenous children from their homes caused significant cultural dislocation, trauma, and intergenerational distrust of state institutions. In response, Canada has included cultural identity preservation as a basic safeguarding concept in its child care programmes (Blackstock, 2016).</w:t>
      </w:r>
      <w:r>
        <w:rPr/>
        <w:br w:type="textWrapping"/>
      </w:r>
      <w:r>
        <w:t>International research shows that child welfare systems must move beyond neutral approaches. Ignoring race does not eliminate inequality rather, it reinforces it. For the United Kingdom, these global connections highlight the necessity of social care methods that respect and affirm children's ethnic and cultural identities.</w:t>
      </w:r>
    </w:p>
    <w:p w14:paraId="000000A8">
      <w:pPr>
        <w:pStyle w:val="BodyText"/>
        <w:rPr/>
      </w:pPr>
      <w:r>
        <w:t>This is critical for preventing further psychological and cultural harm while also building a more inclusive and equitable child welfare system.</w:t>
      </w:r>
    </w:p>
    <w:p w14:paraId="000000A9">
      <w:pPr>
        <w:pStyle w:val="BodyText"/>
        <w:rPr/>
      </w:pPr>
    </w:p>
    <w:p w14:paraId="000000AA">
      <w:pPr>
        <w:pStyle w:val="BodyText"/>
        <w:rPr>
          <w:rStyle w:val="Normaltextrun"/>
          <w:rFonts w:ascii="Aptos" w:cs="Arial" w:eastAsia="Times New Roman" w:hAnsi="Aptos"/>
          <w:color w:val="0f4761"/>
          <w:sz w:val="24"/>
          <w:szCs w:val="24"/>
          <w:lang w:bidi="ar-SA" w:eastAsia="zh-CN"/>
        </w:rPr>
      </w:pPr>
      <w:r>
        <w:rPr>
          <w:rStyle w:val="Normaltextrun"/>
          <w:rFonts w:ascii="Aptos" w:cs="Arial" w:eastAsia="Times New Roman" w:hAnsi="Aptos"/>
          <w:color w:val="0f4761"/>
          <w:sz w:val="24"/>
          <w:szCs w:val="24"/>
          <w:lang w:bidi="ar-SA" w:eastAsia="zh-CN"/>
        </w:rPr>
        <w:t>2.5 National/Local UK Context  </w:t>
      </w:r>
    </w:p>
    <w:p w14:paraId="000000AB">
      <w:pPr>
        <w:pStyle w:val="BodyText"/>
        <w:rPr/>
      </w:pPr>
      <w:r>
        <w:rPr>
          <w:rStyle w:val="Eop"/>
        </w:rPr>
        <w:t> </w:t>
      </w:r>
    </w:p>
    <w:p w14:paraId="000000AC">
      <w:pPr>
        <w:rPr>
          <w:rFonts w:cs="Arial"/>
        </w:rPr>
      </w:pPr>
      <w:r>
        <w:rPr>
          <w:rFonts w:cs="Arial"/>
        </w:rPr>
        <w:t xml:space="preserve">The United Kingdom has implemented a number of legislative and regulatory frameworks to promote equality, cultural sensitivity, and identity protection for children in social care. Among </w:t>
      </w:r>
      <w:r>
        <w:rPr>
          <w:rFonts w:cs="Arial"/>
        </w:rPr>
        <w:t>these is the Equality Act of 2010, which compels all public authorities to prevent prejudice, promote equality of opportunity, and build positive relationships between diverse communities. This regulation requires social workers to actively examine children's cultural and ethnic identities when assessing their welfare and making placement decisions (Great Britain, 2010). Another important policy document, Working Together to Safeguard Children (Department for Education, 2018), clearly requires agencies to examine "the child's background and any characteristics which are relevant to their welfare" (DfE, 2018, p. 18). Despite these prohibitions, research indicates that such guidance is frequently applied inconsistently, with bureaucratic and administrative goals preceding culturally appropriate practice (Harris and Allen, 2021). As a result, efficiency in procedures may take priority over cultural considerations.</w:t>
      </w:r>
      <w:r>
        <w:rPr>
          <w:rFonts w:cs="Arial" w:eastAsia="Times New Roman"/>
        </w:rPr>
        <w:t xml:space="preserve"> </w:t>
      </w:r>
      <w:r>
        <w:rPr>
          <w:rFonts w:cs="Arial"/>
        </w:rPr>
        <w:t>The Independent Review of Children's Social Care (MacAlister, 2022) found that children from Black and minority ethnic origins continue to have less successful outcomes and more instability in the care system. Persistent gaps illustrate that, while the UK has built comprehensive legislative frameworks, translating these objectives into actual practice remains challenging.</w:t>
      </w:r>
      <w:r>
        <w:rPr>
          <w:rFonts w:cs="Arial"/>
        </w:rPr>
        <w:br w:type="textWrapping"/>
      </w:r>
      <w:r>
        <w:rPr>
          <w:rFonts w:cs="Arial"/>
        </w:rPr>
        <w:t>Despite statutory requirements to promote equality, numerous large disparities remain. According to Ofsted data for 2022, black children in care continue to have lower rates of stable, long term placements than their white classmates. Placement breakdowns are also more common, frequently caused by misinterpretations of behaviour via a racialized lens or cultural misunderstandings between carers and children (Ali, 2020). The Lack of Black social workers and foster carers limits the possibility that children would meet role models with similar cultural</w:t>
      </w:r>
      <w:r>
        <w:rPr>
          <w:rFonts w:cs="Arial"/>
        </w:rPr>
        <w:t xml:space="preserve"> or personal experiences (Hackney Council, 2021).</w:t>
      </w:r>
      <w:r>
        <w:rPr>
          <w:rFonts w:cs="Arial"/>
        </w:rPr>
        <w:t xml:space="preserve"> </w:t>
      </w:r>
    </w:p>
    <w:p w14:paraId="000000AD">
      <w:pPr>
        <w:rPr>
          <w:rFonts w:cs="Arial"/>
        </w:rPr>
      </w:pPr>
      <w:r>
        <w:rPr>
          <w:rFonts w:cs="Arial"/>
        </w:rPr>
        <w:t>These difficulties highlight a system that, while capable of guaranteeing physical safety, frequently ignores the more fundamental psychological and cultural aspects of care. This has the potential to jeopardise children's sense of identification and belonging, both of which are important components of emotional well being. As a result, future changes must promote culturally competent practice alongside safeguarding, ensuring that equality principles are meaningfully implemented in the everyday realities of social care.</w:t>
      </w:r>
    </w:p>
    <w:p w14:paraId="000000AE">
      <w:pPr>
        <w:pStyle w:val="Paragraph"/>
        <w:spacing w:before="0" w:after="0" w:line="360" w:lineRule="auto"/>
        <w:rPr>
          <w:rFonts w:ascii="Aptos" w:cs="Segoe UI" w:hAnsi="Aptos"/>
          <w:sz w:val="16"/>
          <w:szCs w:val="16"/>
        </w:rPr>
      </w:pPr>
      <w:r>
        <w:rPr>
          <w:rStyle w:val="Eop"/>
          <w:rFonts w:ascii="Aptos" w:cs="Arial" w:eastAsia="Calibri Light" w:hAnsi="Aptos"/>
          <w:sz w:val="22"/>
          <w:szCs w:val="22"/>
        </w:rPr>
        <w:t> </w:t>
      </w:r>
    </w:p>
    <w:p w14:paraId="000000AF">
      <w:pPr>
        <w:pStyle w:val="Paragraph"/>
        <w:spacing w:before="0" w:after="0" w:line="360" w:lineRule="auto"/>
        <w:rPr>
          <w:rFonts w:ascii="Aptos" w:cs="Segoe UI" w:hAnsi="Aptos"/>
          <w:color w:val="0f4761"/>
          <w:sz w:val="16"/>
          <w:szCs w:val="16"/>
        </w:rPr>
      </w:pPr>
      <w:r>
        <w:rPr>
          <w:rStyle w:val="Normaltextrun"/>
          <w:rFonts w:ascii="Aptos" w:cs="Arial" w:hAnsi="Aptos"/>
          <w:color w:val="0f4761"/>
        </w:rPr>
        <w:t xml:space="preserve">2.6 Conclusion </w:t>
      </w:r>
    </w:p>
    <w:p w14:paraId="000000B0">
      <w:pPr>
        <w:pStyle w:val="Paragraph"/>
        <w:spacing w:before="0" w:after="0" w:line="360" w:lineRule="auto"/>
        <w:rPr>
          <w:rFonts w:ascii="Aptos" w:cs="Segoe UI" w:hAnsi="Aptos"/>
          <w:sz w:val="16"/>
          <w:szCs w:val="16"/>
        </w:rPr>
      </w:pPr>
      <w:r>
        <w:rPr>
          <w:rStyle w:val="Eop"/>
          <w:rFonts w:ascii="Aptos" w:cs="Arial" w:eastAsia="Calibri Light" w:hAnsi="Aptos"/>
          <w:sz w:val="22"/>
          <w:szCs w:val="22"/>
        </w:rPr>
        <w:t> </w:t>
      </w:r>
    </w:p>
    <w:p w14:paraId="000000B1">
      <w:pPr>
        <w:rPr>
          <w:lang w:bidi="en-GB" w:eastAsia="en-GB"/>
        </w:rPr>
      </w:pPr>
      <w:r>
        <w:rPr>
          <w:lang w:bidi="en-GB" w:eastAsia="en-GB"/>
        </w:rPr>
        <w:t xml:space="preserve">This chapter has shown that recent UK evidence, theoretical perspectives, and the legacy of historical inequality all imply that Black children in social care continue to face struggles to their identity development. Despite the existence of legislative frameworks such as the Children Act 1989 and the Equality Act 2010, which promote inclusion and cultural awareness, </w:t>
      </w:r>
      <w:r>
        <w:rPr>
          <w:lang w:bidi="en-GB" w:eastAsia="en-GB"/>
        </w:rPr>
        <w:t>inconsistencies in practice continue to reveal deep rooted structural flaws in the implementation of anti racist and culturally responsive policies. These flaws illustrate the disparity between statutory objectives and the realities that Black children face in the care system.</w:t>
      </w:r>
    </w:p>
    <w:p w14:paraId="000000B2">
      <w:pPr>
        <w:rPr>
          <w:lang w:bidi="en-GB" w:eastAsia="en-GB"/>
        </w:rPr>
      </w:pPr>
      <w:r>
        <w:rPr>
          <w:lang w:bidi="en-GB" w:eastAsia="en-GB"/>
        </w:rPr>
        <w:t xml:space="preserve">Insights from worldwide contexts demonstrate that neutral policies, which claim neutrality by ignoring race and ethnicity, frequently replicate rather than resolve inequity. Global data points out the necessity of acknowledging and valuing racial and cultural identity as essential to </w:t>
      </w:r>
      <w:r>
        <w:rPr>
          <w:lang w:bidi="en-GB" w:eastAsia="en-GB"/>
        </w:rPr>
        <w:t>children’s wellbeing and development.</w:t>
      </w:r>
    </w:p>
    <w:p w14:paraId="000000B3">
      <w:pPr>
        <w:rPr>
          <w:lang w:bidi="en-GB" w:eastAsia="en-GB"/>
        </w:rPr>
      </w:pPr>
      <w:r>
        <w:rPr>
          <w:lang w:bidi="en-GB" w:eastAsia="en-GB"/>
        </w:rPr>
        <w:t>The debate in this chapter emphasises the critical necessity to investigate how the lived experiences of Black children in care are portrayed and interpreted in academic and policy literature. To address the dissertation's fundamental aim and research aims, the subsequent chapter will describe the methodological framework, explaining the research design and thematic analysis used to critically engage with current</w:t>
      </w:r>
    </w:p>
    <w:p w14:paraId="000000B4">
      <w:pPr>
        <w:rPr>
          <w:rFonts w:ascii="Times New Roman" w:cs="Times New Roman" w:eastAsia="Times New Roman" w:hAnsi="Times New Roman"/>
          <w:sz w:val="24"/>
          <w:szCs w:val="24"/>
          <w:lang w:bidi="en-GB" w:eastAsia="en-GB"/>
        </w:rPr>
      </w:pPr>
    </w:p>
    <w:p w14:paraId="000000B5"/>
    <w:p w14:paraId="000000B6"/>
    <w:p w14:paraId="000000B7"/>
    <w:p w14:paraId="000000B8"/>
    <w:p w14:paraId="000000B9"/>
    <w:p w14:paraId="000000BA">
      <w:pPr>
        <w:rPr/>
        <w:sectPr>
          <w:footerReference w:type="default" r:id="rId23"/>
          <w:pgSz w:w="11906" w:h="16838"/>
          <w:pgMar w:top="1440" w:right="1440" w:bottom="1440" w:left="1440" w:header="708" w:footer="708" w:gutter="0"/>
          <w:cols w:space="708"/>
        </w:sectPr>
      </w:pPr>
      <w:r>
        <w:t>
</w:t>
      </w:r>
    </w:p>
    <w:p w14:paraId="000000BB">
      <w:pPr>
        <w:pStyle w:val="Heading1"/>
        <w:ind w:left="0"/>
        <w:rPr>
          <w:rFonts w:ascii="Aptos" w:hAnsi="Aptos"/>
        </w:rPr>
      </w:pPr>
      <w:bookmarkStart w:id="5" w:name="_Toc212114098"/>
      <w:r>
        <w:rPr>
          <w:rFonts w:ascii="Aptos" w:hAnsi="Aptos"/>
        </w:rPr>
        <w:t>C</w:t>
      </w:r>
      <w:r>
        <w:rPr>
          <w:rFonts w:ascii="Aptos" w:hAnsi="Aptos"/>
        </w:rPr>
        <w:t>HAPTER</w:t>
      </w:r>
      <w:r>
        <w:rPr>
          <w:rFonts w:ascii="Aptos" w:hAnsi="Aptos"/>
        </w:rPr>
        <w:t xml:space="preserve"> 3 – </w:t>
      </w:r>
      <w:r>
        <w:rPr>
          <w:rFonts w:ascii="Aptos" w:hAnsi="Aptos"/>
        </w:rPr>
        <w:t>Methods and Search Strategy</w:t>
      </w:r>
      <w:bookmarkEnd w:id="5"/>
    </w:p>
    <w:p w14:paraId="000000BC"/>
    <w:p w14:paraId="000000BD">
      <w:pPr>
        <w:pStyle w:val="Heading2"/>
        <w:rPr/>
      </w:pPr>
      <w:bookmarkStart w:id="6" w:name="_Toc212114099"/>
      <w:r>
        <w:t>3.</w:t>
      </w:r>
      <w:r>
        <w:t>1</w:t>
      </w:r>
      <w:r>
        <w:t xml:space="preserve"> –</w:t>
      </w:r>
      <w:r>
        <w:t xml:space="preserve"> </w:t>
      </w:r>
      <w:r>
        <w:t xml:space="preserve">Introduction </w:t>
      </w:r>
      <w:bookmarkEnd w:id="6"/>
    </w:p>
    <w:p w14:paraId="000000BE">
      <w:r>
        <w:t xml:space="preserve">This chapter describes the secondary research method used to investigate how the UK social care system affects the identity formation of Black children. Because the study does not collect primary data, all findings are based on available literature, which includes academic journals, government papers, statutory guidelines, and publications from credible organisations working in children's care. </w:t>
      </w:r>
    </w:p>
    <w:p w14:paraId="000000BF">
      <w:bookmarkStart w:id="7" w:name="_Toc212114100"/>
      <w:r>
        <w:t>The chapter clearly describes the search methodology, validation methodologies, and analytical procedures used to choose and analyse the literature.  This ensures transparency, reproducibility, and academic reputation.  The ideas given in Chapter 4 are directly related to the processes outlined in this section.</w:t>
      </w:r>
    </w:p>
    <w:p w14:paraId="000000C0">
      <w:pPr>
        <w:pStyle w:val="Heading2"/>
        <w:rPr/>
      </w:pPr>
      <w:r>
        <w:t>3.</w:t>
      </w:r>
      <w:r>
        <w:t>2</w:t>
      </w:r>
      <w:r>
        <w:t xml:space="preserve"> – Search Strategy </w:t>
      </w:r>
      <w:bookmarkEnd w:id="7"/>
    </w:p>
    <w:p w14:paraId="000000C1">
      <w:pPr>
        <w:rPr>
          <w:rFonts w:hAnsi="Symbol" w:hint="eastAsia"/>
        </w:rPr>
      </w:pPr>
    </w:p>
    <w:p w14:paraId="000000C2">
      <w:r>
        <w:t>Keywords were determined based on the dissertation title, research aims, and fundamental themes.  Key terms include:</w:t>
      </w:r>
    </w:p>
    <w:p w14:paraId="000000C3">
      <w:r>
        <w:t>• Black children</w:t>
      </w:r>
    </w:p>
    <w:p w14:paraId="000000C4">
      <w:r>
        <w:t xml:space="preserve">• </w:t>
      </w:r>
      <w:r>
        <w:t>cared for children</w:t>
      </w:r>
    </w:p>
    <w:p w14:paraId="000000C5">
      <w:r>
        <w:t>• identity</w:t>
      </w:r>
    </w:p>
    <w:p w14:paraId="000000C6">
      <w:r>
        <w:t xml:space="preserve">• </w:t>
      </w:r>
      <w:r>
        <w:t>racial identity</w:t>
      </w:r>
    </w:p>
    <w:p w14:paraId="000000C7">
      <w:r>
        <w:t>• social care</w:t>
      </w:r>
    </w:p>
    <w:p w14:paraId="000000C8">
      <w:pPr>
        <w:rPr/>
      </w:pPr>
      <w:r>
        <w:t xml:space="preserve">• </w:t>
      </w:r>
      <w:r>
        <w:t xml:space="preserve">child </w:t>
      </w:r>
      <w:r>
        <w:rPr/>
        <w:t>welfare</w:t>
      </w:r>
    </w:p>
    <w:p w14:paraId="000000C9">
      <w:r>
        <w:t xml:space="preserve">• </w:t>
      </w:r>
      <w:r>
        <w:t>foster care system</w:t>
      </w:r>
    </w:p>
    <w:p w14:paraId="000000CA">
      <w:r>
        <w:t xml:space="preserve">• </w:t>
      </w:r>
      <w:r>
        <w:t>UK policy</w:t>
      </w:r>
    </w:p>
    <w:p w14:paraId="000000CB">
      <w:r>
        <w:t xml:space="preserve"> </w:t>
      </w:r>
      <w:r>
        <w:rPr>
          <w:b/>
          <w:bCs/>
        </w:rPr>
        <w:t>Boolean Operators:</w:t>
      </w:r>
    </w:p>
    <w:p w14:paraId="000000CC">
      <w:pPr>
        <w:pStyle w:val="Normal"/>
        <w:rPr/>
      </w:pPr>
      <w:r>
        <w:rPr/>
        <w:t>Boolean operators such as AND, OR, and NOT were employed to filter searches, a</w:t>
      </w:r>
      <w:r>
        <w:rPr/>
        <w:t xml:space="preserve">nd each combination was </w:t>
      </w:r>
      <w:r>
        <w:rPr/>
        <w:t>used</w:t>
      </w:r>
      <w:r>
        <w:rPr/>
        <w:t xml:space="preserve"> to determine which searches gave the most relevant results.  Examples of combinations include: </w:t>
      </w:r>
    </w:p>
    <w:p w14:paraId="000000CD">
      <w:pPr>
        <w:pStyle w:val="Normal"/>
        <w:rPr/>
      </w:pPr>
      <w:r>
        <w:rPr/>
        <w:t>• Black children AND identity AND social care AND UK</w:t>
      </w:r>
    </w:p>
    <w:p w14:paraId="000000CE">
      <w:pPr>
        <w:pStyle w:val="Normal"/>
        <w:rPr/>
      </w:pPr>
      <w:r>
        <w:rPr/>
        <w:t>• racial or cultural identity AND </w:t>
      </w:r>
      <w:r>
        <w:rPr/>
        <w:t xml:space="preserve">cared for children </w:t>
      </w:r>
    </w:p>
    <w:p w14:paraId="000000CF">
      <w:pPr>
        <w:pStyle w:val="Normal"/>
        <w:rPr/>
      </w:pPr>
    </w:p>
    <w:p w14:paraId="000000D0">
      <w:pPr>
        <w:pStyle w:val="Normal"/>
        <w:rPr/>
      </w:pPr>
      <w:r>
        <w:rPr/>
        <w:t>T</w:t>
      </w:r>
      <w:r>
        <w:rPr/>
        <w:t xml:space="preserve">he search was organised in a controlled and systematic manner to guarantee that all relevant material was identified and recorded correctly.  The approach began by dividing the dissertation title into important ideas (e.g., Black children, identity, social care, UK) and creating connected keywords. These were expanded using synonyms and connected terms to broaden the reach while remaining relevant.  A search log was established to track all keywords, keyword combinations, and filters used in various databases.  </w:t>
      </w:r>
    </w:p>
    <w:p w14:paraId="000000D1">
      <w:pPr>
        <w:pStyle w:val="ListParagraph"/>
        <w:spacing w:line="360" w:lineRule="auto"/>
        <w:ind w:left="720" w:firstLine="0"/>
        <w:rPr>
          <w:rFonts w:ascii="Aptos" w:hAnsi="Aptos"/>
        </w:rPr>
      </w:pPr>
    </w:p>
    <w:p w14:paraId="000000D2">
      <w:pPr>
        <w:pStyle w:val="Heading2"/>
        <w:numPr>
          <w:ilvl w:val="1"/>
          <w:numId w:val="3"/>
        </w:numPr>
        <w:jc w:val="left"/>
        <w:rPr/>
      </w:pPr>
      <w:bookmarkStart w:id="8" w:name="_Toc212114101"/>
      <w:r>
        <w:t xml:space="preserve">– Searching for Information </w:t>
      </w:r>
      <w:bookmarkEnd w:id="8"/>
    </w:p>
    <w:p w14:paraId="000000D3">
      <w:pPr>
        <w:rPr>
          <w:rFonts w:hAnsi="Symbol" w:hint="eastAsia"/>
        </w:rPr>
      </w:pPr>
    </w:p>
    <w:p w14:paraId="000000D4">
      <w:r>
        <w:t>To ensure credible information, searches were undertaken utilising multiple academic and authoritative sources. • Google Scholar provides access to peer reviewed articles. • UWTSD library offers textbooks, academic papers, and periodicals. • Government and regulatory entities, such as Ofsted and the Department for Education (DfE), provide analytical reports. • Recognized organisations, including the Children's Commissioner and NSPCC.  The use of multiple sources ensured that actual proof and policy based insights relevant to the UK social care setting were included.</w:t>
      </w:r>
    </w:p>
    <w:p w14:paraId="000000D5">
      <w:r>
        <w:t>T</w:t>
      </w:r>
      <w:r>
        <w:t>o ensure relevance and quality, specific filters were used: • Date range: 2015–2025 • English language only • Priority given to UK-based studies • Peer reviewed and evidence based research preferred Foundational theories (e.g., Erikson's identity theory and Tajfel's social identity theory) were included despite their age since they remain relevant to present identity research.</w:t>
      </w:r>
    </w:p>
    <w:p w14:paraId="000000D6">
      <w:r>
        <w:rPr>
          <w:b/>
          <w:bCs/>
        </w:rPr>
        <w:t>Search Process:</w:t>
      </w:r>
    </w:p>
    <w:p w14:paraId="000000D7">
      <w:pPr>
        <w:pStyle w:val="BodyText"/>
        <w:rPr/>
      </w:pPr>
      <w:r>
        <w:rPr/>
        <w:t>For each search effort, notes were taken on the database used, such as the number of results obtained, the relevance of the articles, and whether the search words needed to be refined further.  To eliminate duplication and assure proper monitoring, useful sources were included immediately, complete with references.  This methodical documentation contributed to a clear evaluation and gave consistency and allowed efficient comparison of the effectiveness of various search tactics.</w:t>
      </w:r>
    </w:p>
    <w:p w14:paraId="000000D8">
      <w:pPr>
        <w:pStyle w:val="Heading2"/>
        <w:numPr>
          <w:ilvl w:val="1"/>
          <w:numId w:val="3"/>
        </w:numPr>
        <w:jc w:val="left"/>
        <w:rPr/>
      </w:pPr>
      <w:bookmarkStart w:id="9" w:name="_Toc212114102"/>
      <w:r>
        <w:t>– Research Validation</w:t>
      </w:r>
      <w:bookmarkEnd w:id="9"/>
    </w:p>
    <w:p w14:paraId="000000D9">
      <w:pPr>
        <w:pStyle w:val="NoSpacing"/>
        <w:spacing w:line="360"/>
        <w:rPr/>
      </w:pPr>
      <w:r>
        <w:rPr/>
        <w:br w:type="textWrapping"/>
      </w:r>
      <w:r>
        <w:rPr>
          <w:rStyle w:val="BodyTextChar"/>
        </w:rPr>
        <w:t>To ensure clarity and consistency in identifying relevant material, specific inclusion and exclusion criteria were applied.  Inclusion criteria:  • UK-based context  • Peer reviewed research  • Publication year 2015-2025  • Focus on Black children, racial or cultural identity  • Relevance to social services or child welfare Exclusion criteria include non English language sources, opinion articles without empirical support, studies published before 2015 (unless fundamental), and literature on generic social care issues without mentioning race or identity.  These criteria ensured that the literature chosen was directly relevant to the dissertation's study objective.</w:t>
      </w:r>
    </w:p>
    <w:p w14:paraId="000000DA">
      <w:pPr>
        <w:spacing w:line="360"/>
        <w:rPr/>
      </w:pPr>
      <w:r>
        <w:t>The examination was accomplished in two stages.  Titles, abstracts, and conclusions were all reviewed during the initial screening process.  Suitable publications were then thoroughly assessed,</w:t>
      </w:r>
      <w:r>
        <w:t xml:space="preserve"> including an assessment of methodology, sample selection, and relevance to the research aims.  For example, several research were left out because they focused only on the United States child welfare system and did not provide transferable learning relevant to UK practice.</w:t>
      </w:r>
    </w:p>
    <w:p w14:paraId="000000DB">
      <w:r>
        <w:t>The accuracy of sources was evaluated using the CRAAP framework (Currency, Relevance, Authority, Accuracy, and Purpose). Priority was given to publications within the last decade. Relevance: Sources should cover identity formation, racial identification, and experiences of Black children in care.  Authors with expertise in social work, psychology, or child welfare were preferred, as well as those from statutory authorities like Ofsted and DfE. Accuracy: Only evidence based sources with transparent methods and cited assertions were used.  Sources with political agendas, opinionated content, or commercial bias were eliminated.</w:t>
      </w:r>
    </w:p>
    <w:p w14:paraId="000000DC">
      <w:pPr>
        <w:pStyle w:val="Heading2"/>
        <w:numPr>
          <w:ilvl w:val="1"/>
          <w:numId w:val="3"/>
        </w:numPr>
        <w:jc w:val="left"/>
        <w:rPr/>
      </w:pPr>
      <w:bookmarkStart w:id="10" w:name="_Toc212114103"/>
      <w:r>
        <w:rPr>
          <w:rStyle w:val="Heading2Char"/>
        </w:rPr>
        <w:t>- Inclusion and Exclusion Criteria</w:t>
      </w:r>
      <w:bookmarkEnd w:id="10"/>
      <w:r>
        <w:rPr>
          <w:sz w:val="28"/>
          <w:szCs w:val="28"/>
        </w:rPr>
        <w:br w:type="textWrapping"/>
      </w:r>
    </w:p>
    <w:p w14:paraId="000000DD">
      <w:r>
        <w:rPr>
          <w:rFonts w:hAnsi="Symbol"/>
        </w:rPr>
        <w:t>To ensure clarity and consistency in identifying relevant material, specific inclusion and exclusion criteria were applied.  Inclusion criteria: UK-based context</w:t>
      </w:r>
      <w:r>
        <w:rPr>
          <w:rFonts w:hAnsi="Symbol"/>
        </w:rPr>
        <w:t xml:space="preserve">, </w:t>
      </w:r>
      <w:r>
        <w:rPr>
          <w:rFonts w:hAnsi="Symbol"/>
        </w:rPr>
        <w:t>Peer-reviewed research</w:t>
      </w:r>
      <w:r>
        <w:rPr>
          <w:rFonts w:hAnsi="Symbol"/>
        </w:rPr>
        <w:t xml:space="preserve"> </w:t>
      </w:r>
      <w:r>
        <w:rPr>
          <w:rFonts w:hAnsi="Symbol"/>
        </w:rPr>
        <w:t>Publication year 2015-2025</w:t>
      </w:r>
      <w:r>
        <w:rPr>
          <w:rFonts w:hAnsi="Symbol"/>
        </w:rPr>
        <w:t xml:space="preserve">, </w:t>
      </w:r>
      <w:r>
        <w:rPr>
          <w:rFonts w:hAnsi="Symbol"/>
        </w:rPr>
        <w:t>Focus on Black children, racial or cultural identity</w:t>
      </w:r>
      <w:r>
        <w:rPr>
          <w:rFonts w:hAnsi="Symbol"/>
        </w:rPr>
        <w:t xml:space="preserve">, </w:t>
      </w:r>
      <w:r>
        <w:rPr>
          <w:rFonts w:hAnsi="Symbol"/>
        </w:rPr>
        <w:t>Relevance to social services or child welfare Exclusion criteria include non English language sources, opinion articles without empirical support, studies published before 2015 (unless fundamental), and literature on generic social care issues without mentioning race or identity.  These criteria ensured that the literature chosen was directly relevant to the dissertation's study</w:t>
      </w:r>
      <w:r>
        <w:rPr>
          <w:rFonts w:hAnsi="Symbol"/>
        </w:rPr>
        <w:t xml:space="preserve"> </w:t>
      </w:r>
      <w:r>
        <w:rPr>
          <w:rFonts w:hAnsi="Symbol"/>
        </w:rPr>
        <w:t>objective.</w:t>
      </w:r>
    </w:p>
    <w:p w14:paraId="000000DE">
      <w:pPr>
        <w:pStyle w:val="Heading2"/>
        <w:numPr>
          <w:ilvl w:val="1"/>
          <w:numId w:val="3"/>
        </w:numPr>
        <w:jc w:val="left"/>
        <w:rPr/>
      </w:pPr>
      <w:bookmarkStart w:id="11" w:name="_Toc212114104"/>
      <w:r>
        <w:t xml:space="preserve">– Analysing Research </w:t>
      </w:r>
      <w:bookmarkEnd w:id="11"/>
    </w:p>
    <w:p w14:paraId="000000DF"/>
    <w:p w14:paraId="000000E0">
      <w:r>
        <w:t xml:space="preserve">A thematic analysis method was utilised, based on Braun and Clarke's (2019) framework.  This approach enabled the systematic discovery of </w:t>
      </w:r>
      <w:r>
        <w:t>recurring</w:t>
      </w:r>
      <w:r>
        <w:t xml:space="preserve"> patterns throughout the literature.  The analysis process involved: </w:t>
      </w:r>
    </w:p>
    <w:p w14:paraId="000000E1">
      <w:r>
        <w:t xml:space="preserve">1. Complete reading of selected articles:  Relevant data on identity development, racial identification, cultural identity, and the lived experiences of Black children in care were gathered. </w:t>
      </w:r>
    </w:p>
    <w:p w14:paraId="000000E2">
      <w:r>
        <w:t xml:space="preserve">2. Coding: We coded key ideas and patterns. Codes addressed issues such as cultural isolation, representation, structural bias, and racial identity construction. </w:t>
      </w:r>
    </w:p>
    <w:p w14:paraId="000000E3">
      <w:r>
        <w:t xml:space="preserve">3. Theme generation: Codes were organised into three final themes: </w:t>
      </w:r>
    </w:p>
    <w:p w14:paraId="000000E4">
      <w:r>
        <w:t xml:space="preserve">• Theme 1: Inadequate racial representation in care settings </w:t>
      </w:r>
    </w:p>
    <w:p w14:paraId="000000E5">
      <w:r>
        <w:t>• Theme 2: Cultural separation and identity uncertainty</w:t>
      </w:r>
    </w:p>
    <w:p w14:paraId="000000E6">
      <w:pPr>
        <w:rPr>
          <w:lang w:val="en-US"/>
        </w:rPr>
      </w:pPr>
      <w:r>
        <w:rPr>
          <w:lang w:val="en-US"/>
        </w:rPr>
        <w:t>• Theme 3 explores structural inequity in social care services.</w:t>
      </w:r>
      <w:r>
        <w:rPr>
          <w:lang w:val="en-US"/>
        </w:rPr>
        <w:t xml:space="preserve"> </w:t>
      </w:r>
      <w:r>
        <w:rPr>
          <w:lang w:val="en-US"/>
        </w:rPr>
        <w:t>Tables, spreadsheets, and colour coding were utilised to</w:t>
      </w:r>
      <w:r>
        <w:rPr>
          <w:lang w:val="en-US"/>
        </w:rPr>
        <w:t xml:space="preserve"> </w:t>
      </w:r>
      <w:r>
        <w:rPr>
          <w:lang w:val="en-US"/>
        </w:rPr>
        <w:t>arrange the findings and facilitate comparisons between authors and research.  This technique assisted in identifying consistency, inconsistencies, and holes in current knowledge.  The organised technique increased the trustworthiness of the findings and guaranteed that the final themes appropriately mirrored the patterns observed in the literature.</w:t>
      </w:r>
    </w:p>
    <w:p w14:paraId="000000E7">
      <w:pPr>
        <w:rPr>
          <w:lang w:val="en-US"/>
        </w:rPr>
      </w:pPr>
    </w:p>
    <w:p w14:paraId="000000E8">
      <w:pPr>
        <w:pStyle w:val="Heading2"/>
        <w:numPr>
          <w:ilvl w:val="1"/>
          <w:numId w:val="3"/>
        </w:numPr>
        <w:rPr/>
      </w:pPr>
      <w:bookmarkStart w:id="12" w:name="_Toc212114105"/>
      <w:r>
        <w:t xml:space="preserve">– Ethical Considerations </w:t>
      </w:r>
      <w:bookmarkEnd w:id="12"/>
    </w:p>
    <w:p w14:paraId="000000E9"/>
    <w:p w14:paraId="000000EA">
      <w:pPr>
        <w:rPr>
          <w:lang w:val="en-US"/>
        </w:rPr>
      </w:pPr>
      <w:r>
        <w:rPr>
          <w:rFonts w:hAnsi="Symbol"/>
        </w:rPr>
        <w:t>Although no primary data were obtained, ethical standards were followed throughout the research process.  Key issues included accurate r</w:t>
      </w:r>
      <w:r>
        <w:rPr>
          <w:rFonts w:hAnsi="Symbol"/>
          <w:lang w:val="en-US"/>
        </w:rPr>
        <w:t xml:space="preserve">eferencing to avoid plagiarism and retain academic honesty. Provided balanced evidence, avoiding biassed sources. Respect for sensitive subject matter: Many publications highlighted personal and potentially unpleasant experiences of Black children, with responsible interpretations.  Because no participants were involved and no personal data was obtained, issues such as consent, confidentiality, and data protection were irrelevant.  However, sensitivity to ethnic and racial issues remained a </w:t>
      </w:r>
      <w:r>
        <w:rPr>
          <w:rFonts w:hAnsi="Symbol"/>
          <w:lang w:val="en-US"/>
        </w:rPr>
        <w:t>topethical</w:t>
      </w:r>
      <w:r>
        <w:rPr>
          <w:rFonts w:hAnsi="Symbol"/>
          <w:lang w:val="en-US"/>
        </w:rPr>
        <w:t xml:space="preserve"> </w:t>
      </w:r>
      <w:r>
        <w:rPr>
          <w:rFonts w:hAnsi="Symbol"/>
          <w:lang w:val="en-US"/>
        </w:rPr>
        <w:t>goal.</w:t>
      </w:r>
    </w:p>
    <w:p w14:paraId="000000EB">
      <w:pPr>
        <w:rPr>
          <w:lang w:val="en-US"/>
        </w:rPr>
      </w:pPr>
    </w:p>
    <w:p w14:paraId="000000EC">
      <w:pPr>
        <w:rPr>
          <w:lang w:val="en-US"/>
        </w:rPr>
      </w:pPr>
    </w:p>
    <w:p w14:paraId="000000ED">
      <w:pPr>
        <w:rPr>
          <w:lang w:val="en-US"/>
        </w:rPr>
      </w:pPr>
    </w:p>
    <w:p w14:paraId="000000EE">
      <w:pPr>
        <w:pStyle w:val="Heading2"/>
        <w:rPr/>
      </w:pPr>
      <w:bookmarkStart w:id="13" w:name="_Toc212114106"/>
      <w:r>
        <w:t xml:space="preserve">3.8 </w:t>
      </w:r>
      <w:r>
        <w:t xml:space="preserve">– Chapter Conclusion </w:t>
      </w:r>
      <w:bookmarkEnd w:id="13"/>
    </w:p>
    <w:p w14:paraId="000000EF"/>
    <w:p w14:paraId="000000F0">
      <w:r>
        <w:t>This chapter provides a clear and structured overview of the research methodology used to discover and assess literature on identity formation among Black children in UK social care.  The use of specific keywords, credible databases, and rigorous validation and analysis methodologies ensured that the literature was relevant, reliable, and in line with the dissertation's aims.  The three themes formed through thematic analysis serve as the foundation for Chapter 4, which will go into detail about their implications for philosophy, policy, and practice.</w:t>
      </w:r>
    </w:p>
    <w:p w14:paraId="000000F1">
      <w:pPr>
        <w:spacing w:line="259" w:lineRule="auto"/>
        <w:jc w:val="left"/>
        <w:rPr>
          <w:rFonts w:ascii="Aptos" w:cs="Calibri Light" w:eastAsia="Calibri Light" w:hAnsi="Aptos"/>
          <w:b/>
          <w:sz w:val="32"/>
          <w:szCs w:val="32"/>
          <w:lang w:bidi="en-GB" w:eastAsia="en-GB"/>
        </w:rPr>
      </w:pPr>
      <w:bookmarkStart w:id="14" w:name="_Toc212114107"/>
      <w:bookmarkStart w:id="15" w:name="_Hlk214539915"/>
      <w:r>
        <w:rPr>
          <w:rFonts w:ascii="Aptos" w:hAnsi="Aptos"/>
        </w:rPr>
        <w:br w:type="page"/>
      </w:r>
    </w:p>
    <w:p w14:paraId="000000F2">
      <w:pPr>
        <w:pStyle w:val="Heading1"/>
        <w:ind w:left="0"/>
        <w:rPr>
          <w:rFonts w:ascii="Aptos" w:hAnsi="Aptos"/>
        </w:rPr>
      </w:pPr>
      <w:bookmarkEnd w:id="14"/>
      <w:bookmarkEnd w:id="15"/>
      <w:bookmarkStart w:id="16" w:name="_Toc214555987"/>
      <w:r>
        <w:rPr>
          <w:rFonts w:ascii="Aptos" w:hAnsi="Aptos"/>
        </w:rPr>
        <w:t>C</w:t>
      </w:r>
      <w:r>
        <w:rPr>
          <w:rFonts w:ascii="Aptos" w:hAnsi="Aptos"/>
        </w:rPr>
        <w:t>HAPTER</w:t>
      </w:r>
      <w:r>
        <w:rPr>
          <w:rFonts w:ascii="Aptos" w:hAnsi="Aptos"/>
        </w:rPr>
        <w:t xml:space="preserve"> 4 – Findings and Discussion </w:t>
      </w:r>
      <w:bookmarkEnd w:id="16"/>
    </w:p>
    <w:p w14:paraId="000000F3"/>
    <w:p w14:paraId="000000F4">
      <w:pPr>
        <w:pStyle w:val="Heading2"/>
        <w:rPr/>
      </w:pPr>
      <w:bookmarkStart w:id="17" w:name="_Toc212114108"/>
      <w:bookmarkStart w:id="18" w:name="_Toc214555988"/>
      <w:r>
        <w:t>4.1 – Introduction</w:t>
      </w:r>
      <w:bookmarkEnd w:id="17"/>
      <w:bookmarkEnd w:id="18"/>
    </w:p>
    <w:p w14:paraId="000000F5">
      <w:pPr>
        <w:rPr>
          <w:rStyle w:val="BodyTextChar"/>
        </w:rPr>
      </w:pPr>
      <w:r>
        <w:t>The chapter includes the findings and discussion of the read literature based on the studies published between 2015 and 2025 with the majority of literature published in 2021-2024</w:t>
      </w:r>
      <w:r>
        <w:t xml:space="preserve"> (see Figure 1)</w:t>
      </w:r>
      <w:r>
        <w:t xml:space="preserve">. It gives a critique of the themes found namely Inadequate Racial Representation in Care Settings, Cultural Separation and Identity Uncertainty and Structural Inequity in Social Care Services. The chapter discusses the way these themes respond to the research question through the discussion of patterns, divergent views, and the synthesis of theoretical, policy, and statistical information. </w:t>
      </w:r>
      <w:r>
        <w:rPr>
          <w:rStyle w:val="BodyTextChar"/>
        </w:rPr>
        <w:t>This is a systematic method of having a clear and critical interpretation of evidence.</w:t>
      </w:r>
    </w:p>
    <w:p w14:paraId="000000F6">
      <w:r>
        <w:rPr/>
        <w:drawing xmlns:mc="http://schemas.openxmlformats.org/markup-compatibility/2006">
          <wp:inline distT="0" distB="0" distL="114300" distR="114300">
            <wp:extent cx="5943600" cy="3118485"/>
            <wp:effectExtent l="0" t="0" r="9526" b="9526"/>
            <wp:docPr id="9"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00000F7">
      <w:pPr>
        <w:rPr>
          <w:b/>
          <w:i/>
        </w:rPr>
      </w:pPr>
      <w:r>
        <w:rPr>
          <w:b/>
          <w:i/>
        </w:rPr>
        <w:t>Figure 1: Publication Trend</w:t>
      </w:r>
    </w:p>
    <w:p w14:paraId="000000F8">
      <w:pPr>
        <w:pStyle w:val="Heading2"/>
        <w:rPr/>
      </w:pPr>
      <w:bookmarkStart w:id="19" w:name="_Toc212114109"/>
      <w:bookmarkStart w:id="20" w:name="_Toc214555989"/>
      <w:r>
        <w:t xml:space="preserve">4.2 – Thematic Analysis </w:t>
      </w:r>
      <w:bookmarkEnd w:id="19"/>
      <w:bookmarkEnd w:id="20"/>
    </w:p>
    <w:p w14:paraId="000000F9">
      <w:pPr>
        <w:pStyle w:val="Normal"/>
        <w:rPr/>
      </w:pPr>
      <w:bookmarkStart w:id="21" w:name="_GoBack"/>
      <w:bookmarkEnd w:id="21"/>
    </w:p>
    <w:p w14:paraId="000000FA">
      <w:r>
        <w:t>Thematic analysis is a methodical process of discovering, sorting and interpreting patterns of meaning in qualitative data. This is done in the secondary research, whereby results of previous studies synthesise to produce consistent themes to describe how and why certain issues arise (Braun and Clarke, 2006). The strategy allows the researcher to go beyond single findings and come up with a comprehensive interpretation of common ideas in the literature.</w:t>
      </w:r>
    </w:p>
    <w:p w14:paraId="000000FB">
      <w:r>
        <w:t xml:space="preserve">The thematic analysis was used in this research by line by line coding of the articles reviewed, then putting the codes in subthemes and general themes as demonstrated in the </w:t>
      </w:r>
      <w:r>
        <w:t xml:space="preserve">coding/results table in Chapter 3 and further elaborated in the appendices. Through this process, it was possible to identify patterns based on the experiences of Black children as specific to health and social care. Three general themes were established through the repeated process of comparison and refinement, which included Inadequate Racial Representation in Care Settings, Cultural Separation and Identity Uncertainty, and Structural Inequity in Social Care Services. These are the themes that are used to </w:t>
      </w:r>
      <w:r>
        <w:t>analyze</w:t>
      </w:r>
      <w:r>
        <w:t xml:space="preserve"> the discussion in the later parts of this chapter.</w:t>
      </w:r>
    </w:p>
    <w:p w14:paraId="000000FC">
      <w:pPr>
        <w:pStyle w:val="Heading2"/>
        <w:rPr/>
      </w:pPr>
      <w:bookmarkStart w:id="22" w:name="_Toc212114110"/>
      <w:bookmarkStart w:id="23" w:name="_Toc214555990"/>
      <w:r>
        <w:t xml:space="preserve">4.3 </w:t>
      </w:r>
      <w:bookmarkEnd w:id="22"/>
      <w:r>
        <w:t>Inadequate racial representation in care settings</w:t>
      </w:r>
      <w:bookmarkEnd w:id="23"/>
    </w:p>
    <w:p w14:paraId="000000FD">
      <w:pPr>
        <w:pStyle w:val="Normal"/>
        <w:rPr/>
      </w:pPr>
    </w:p>
    <w:p w14:paraId="000000FE">
      <w:pPr>
        <w:pStyle w:val="Heading4"/>
        <w:rPr>
          <w:rFonts w:ascii="Aptos" w:hAnsi="Aptos"/>
        </w:rPr>
      </w:pPr>
      <w:r>
        <w:rPr>
          <w:rFonts w:ascii="Aptos" w:hAnsi="Aptos"/>
        </w:rPr>
        <w:t xml:space="preserve">Definition </w:t>
      </w:r>
    </w:p>
    <w:p w14:paraId="000000FF">
      <w:r>
        <w:t>Poor racial representation in care environments can be defined as the constant invisibility, exclusion, and misidentification of the Black race in institutions meant to deliver health, social, and developmental care. By representation here we do not mean the numerical presence of Black professionals or service users, but the presence of the recognition of Black experience, of how data and research are responsive to the Black experience, of how care structures accommodate or do not accommodate Black cultural realities. The literature sheds light on the fact that black populations are also largely under represented in clinical and palliative care trials and, in most cases, are combined into the vague category of other that eliminates significant cultural and social distinctions (Reyes et al., 2024; Johnson et al., 2025). Representation reaches over clinical study, inter institutional norms, workforces, care practices. This theory has been especially applicable to the case of Black children, as the identity formation, emotional stability and subsequent wellbeing of such individuals are directly related to the settings and the adults that take care of them.</w:t>
      </w:r>
    </w:p>
    <w:p w14:paraId="00000100">
      <w:pPr>
        <w:pStyle w:val="Heading4"/>
        <w:rPr>
          <w:rFonts w:ascii="Aptos" w:hAnsi="Aptos"/>
        </w:rPr>
      </w:pPr>
      <w:r>
        <w:rPr>
          <w:rFonts w:ascii="Aptos" w:hAnsi="Aptos"/>
        </w:rPr>
        <w:t>Background Information</w:t>
      </w:r>
    </w:p>
    <w:p w14:paraId="00000101">
      <w:r>
        <w:t>Traditionally, care systems in the Western world were built up on the Eurocentric and white assumptions regarding childhood, health, family standards, etc. There has always been a marginalisation of Black participants or their complete exclusion in medical and social care research, which has led to diagnostic criteria, treatment courses, and models of development that do not reflect the experiences of Black people (</w:t>
      </w:r>
      <w:r>
        <w:t>Amutah</w:t>
      </w:r>
      <w:r>
        <w:t xml:space="preserve"> </w:t>
      </w:r>
      <w:r>
        <w:rPr>
          <w:i/>
        </w:rPr>
        <w:t>et al.,</w:t>
      </w:r>
      <w:r>
        <w:t xml:space="preserve"> 2021). This exclusion is currently manifested in the racialised disparities in health outcomes, the inappropriate use of biological ideas of race in medical higher education (</w:t>
      </w:r>
      <w:r>
        <w:t>Mouhab</w:t>
      </w:r>
      <w:r>
        <w:t xml:space="preserve"> </w:t>
      </w:r>
      <w:r>
        <w:rPr>
          <w:i/>
        </w:rPr>
        <w:t>et al.,</w:t>
      </w:r>
      <w:r>
        <w:t xml:space="preserve"> 2024), and the biased algorithmic instruments that underestimate the requirements of Black patients (Obermeyer et al., 2019). Similar tendencies can be observed in the field of social care, in which the Black families were historically framed as pathological instead of being supported, and in which structural racism is often ignored or denied (Hamed </w:t>
      </w:r>
      <w:r>
        <w:rPr>
          <w:i/>
        </w:rPr>
        <w:t>et al.,</w:t>
      </w:r>
      <w:r>
        <w:t xml:space="preserve"> 2022; Sim </w:t>
      </w:r>
      <w:r>
        <w:rPr>
          <w:i/>
        </w:rPr>
        <w:t>et al.,</w:t>
      </w:r>
      <w:r>
        <w:t xml:space="preserve"> 2021). </w:t>
      </w:r>
    </w:p>
    <w:p w14:paraId="00000102">
      <w:pPr>
        <w:pStyle w:val="Heading4"/>
        <w:rPr>
          <w:rFonts w:ascii="Aptos" w:hAnsi="Aptos"/>
        </w:rPr>
      </w:pPr>
      <w:r>
        <w:rPr>
          <w:rFonts w:ascii="Aptos" w:hAnsi="Aptos"/>
        </w:rPr>
        <w:t xml:space="preserve">Impact on Research </w:t>
      </w:r>
      <w:r>
        <w:rPr>
          <w:rFonts w:ascii="Aptos" w:hAnsi="Aptos"/>
        </w:rPr>
        <w:t>Title</w:t>
      </w:r>
    </w:p>
    <w:p w14:paraId="00000103">
      <w:r>
        <w:rPr>
          <w:lang w:val="en-US"/>
        </w:rPr>
        <w:t>The theme relates directly to the dissertation as it supports the main question of the study that is how the experiences of care influence the identities of Black children</w:t>
      </w:r>
      <w:r>
        <w:rPr>
          <w:lang w:val="en-US"/>
        </w:rPr>
        <w:t xml:space="preserve">. </w:t>
      </w:r>
      <w:r>
        <w:rPr>
          <w:lang w:val="en-US"/>
        </w:rPr>
        <w:t xml:space="preserve">Black children end up with the care that are </w:t>
      </w:r>
      <w:r>
        <w:t>biased when they are care settings that are not Black, research framework that does not accommodate Black populations, or normative care environments that downplay racial experiences. It has been demonstrated that the ammount</w:t>
      </w:r>
      <w:r>
        <w:t xml:space="preserve"> of Black practitioners in the healthcare and social care environment limits the possibility of achieving racial concordance, which is linked to better communication, trust, and satisfaction (</w:t>
      </w:r>
      <w:r>
        <w:t>Salsberg</w:t>
      </w:r>
      <w:r>
        <w:t xml:space="preserve"> </w:t>
      </w:r>
      <w:r>
        <w:rPr>
          <w:i/>
        </w:rPr>
        <w:t>et al.,</w:t>
      </w:r>
      <w:r>
        <w:t xml:space="preserve"> 2021; Shen </w:t>
      </w:r>
      <w:r>
        <w:rPr>
          <w:i/>
        </w:rPr>
        <w:t xml:space="preserve">et al., </w:t>
      </w:r>
      <w:r>
        <w:t xml:space="preserve">2018). Moreover, the research on communication reveals that Blacks tend to have less information, a lack of empathy, and poor quality of interpersonal interaction with care professionals (Shen </w:t>
      </w:r>
      <w:r>
        <w:rPr>
          <w:i/>
        </w:rPr>
        <w:t>et al.,</w:t>
      </w:r>
      <w:r>
        <w:t xml:space="preserve"> 2018), and qualitative research indicates that the concerns of Black patients are often overlooked or negatively stereotyped (Crenshaw </w:t>
      </w:r>
      <w:r>
        <w:rPr>
          <w:i/>
        </w:rPr>
        <w:t>et al.,</w:t>
      </w:r>
      <w:r>
        <w:t xml:space="preserve"> 2025). To Black children, whose advocacy ability is already limited by age and vulnerability, such representational gaps form an environment, whereby their identities might be ignored, misinterpreted, or disproved.</w:t>
      </w:r>
    </w:p>
    <w:p w14:paraId="00000104">
      <w:pPr>
        <w:pStyle w:val="Heading4"/>
        <w:rPr>
          <w:rFonts w:ascii="Aptos" w:hAnsi="Aptos"/>
        </w:rPr>
      </w:pPr>
      <w:r>
        <w:rPr>
          <w:rFonts w:ascii="Aptos" w:hAnsi="Aptos"/>
        </w:rPr>
        <w:t>Statistical Information</w:t>
      </w:r>
    </w:p>
    <w:p w14:paraId="00000105">
      <w:r>
        <w:t xml:space="preserve">The systematic under representation of Black patients in clinical research has been reported by research performed in various healthcare settings. Indicatively, Reyes </w:t>
      </w:r>
      <w:r>
        <w:rPr>
          <w:i/>
        </w:rPr>
        <w:t xml:space="preserve">et al. </w:t>
      </w:r>
      <w:r>
        <w:t xml:space="preserve">(2024) note that Black participants continue to be highly under represented in clinical trials, frequently grouped ambiguously, including in the other category, which prevents the accuracy and applicability of research results to Black populations. Regarding the workforce, </w:t>
      </w:r>
      <w:r>
        <w:t>Salsberg</w:t>
      </w:r>
      <w:r>
        <w:t xml:space="preserve"> </w:t>
      </w:r>
      <w:r>
        <w:rPr>
          <w:i/>
        </w:rPr>
        <w:t xml:space="preserve">et al. </w:t>
      </w:r>
      <w:r>
        <w:t xml:space="preserve">(2021) demonstrate that Black professionals continue to be under represented in the healthcare pipeline, particularly in senior and specialised positions. Such </w:t>
      </w:r>
      <w:r>
        <w:t>unrepresentation</w:t>
      </w:r>
      <w:r>
        <w:t xml:space="preserve"> is not insignificant: various studies have repeatedly shown that when patients and providers are racially concordant, it enhances communication, trust, satisfaction, and adherence to care. In the case of Black children in care whose feelings of cultural dislocation may have already been established, a lack of adults who resemble them or who are aware of their cultural experiences, can affirm the sense of invisibility and non belonging.</w:t>
      </w:r>
    </w:p>
    <w:p w14:paraId="00000106">
      <w:pPr>
        <w:pStyle w:val="Heading4"/>
        <w:rPr>
          <w:rFonts w:ascii="Aptos" w:hAnsi="Aptos"/>
        </w:rPr>
      </w:pPr>
      <w:r>
        <w:rPr>
          <w:rFonts w:ascii="Aptos" w:hAnsi="Aptos"/>
        </w:rPr>
        <w:t>Theories, Policies, and Legislation</w:t>
      </w:r>
    </w:p>
    <w:p w14:paraId="00000107">
      <w:r>
        <w:t xml:space="preserve">The theory that apply to this theme are the critical race theory (CRT), which holds that racism is structural and institutional rather than an individual prejudice. CRT assists in illuminating the fact that the lack of representation is not merely a failure, but a systemic trend, which conditions the manner the Black children are taken care of (Iruka et al., 2021). Also, identity development theories promote the significance of the environmental mirroring: children should be able to observe the elements of personal identity reflected and confirmed by adults and institutions. </w:t>
      </w:r>
    </w:p>
    <w:p w14:paraId="00000108">
      <w:r>
        <w:t xml:space="preserve">Relevant policies and laws have tried to address inequalities, yet without necessarily considering representational gaps. Equal opportunity systems and anti discrimination regulations have focused on the idea of fairness, but most of the policies are not focused on enforcing racial representation among care laborers or requiring non discriminative research methods (Bhopal and Pitkin, 2020). Health education policies, such as promoting cultural competence, are indeed being used to encourage cultural competence, however, as experience indicates, cultural competence training seldom goes into the underlying structural factors that are contributing to under representation. </w:t>
      </w:r>
    </w:p>
    <w:p w14:paraId="00000109">
      <w:pPr>
        <w:pStyle w:val="Heading4"/>
        <w:rPr>
          <w:rFonts w:ascii="Aptos" w:hAnsi="Aptos"/>
        </w:rPr>
      </w:pPr>
      <w:r>
        <w:rPr>
          <w:rFonts w:ascii="Aptos" w:hAnsi="Aptos"/>
        </w:rPr>
        <w:t>Implications</w:t>
      </w:r>
    </w:p>
    <w:p w14:paraId="0000010A">
      <w:r>
        <w:t xml:space="preserve">The profoundly damaging implication of the lack of proper racial representation in relation to the Black children. On the negative side, under representation is one of the causes of miscommunication, mistrust, and cultural isolation. Shen </w:t>
      </w:r>
      <w:r>
        <w:rPr>
          <w:i/>
        </w:rPr>
        <w:t xml:space="preserve">et al. </w:t>
      </w:r>
      <w:r>
        <w:t>(2018) reveal that poor communication between Black patients and clinicians, a lack of information exchange, and less engagement in the decision making process negatively affect the results of the treatment. These communication gaps may cause emotional distress and confusion among Black children, whose experiences need to be interpreted by adults and whose needs should be represented. Another implication is misinterpretation of symptoms or behaviour, especially in cases when professionals are biased against it implicitly. When their behaviour is the reaction to stress, cultural misunderstanding, or past traumas, children can be called difficult, aggressive, or uncooperative.</w:t>
      </w:r>
    </w:p>
    <w:p w14:paraId="0000010B">
      <w:r>
        <w:t>The negative consequences of poor representation are few, and it could be claimed that it has stimulated growing academic interest and political interest. With increasing systemic bias visibility, cultural safety, workforce diversification, and educational material revision are becoming the pressure on care institutions. Nevertheless, these changes are gradual and not enough to reverse the challenges that Black children are experiencing.</w:t>
      </w:r>
    </w:p>
    <w:p w14:paraId="0000010C">
      <w:pPr>
        <w:pStyle w:val="Heading4"/>
        <w:rPr>
          <w:rFonts w:ascii="Aptos" w:hAnsi="Aptos"/>
        </w:rPr>
      </w:pPr>
      <w:r>
        <w:rPr>
          <w:rFonts w:ascii="Aptos" w:hAnsi="Aptos"/>
        </w:rPr>
        <w:t>Examples from Your Articles</w:t>
      </w:r>
    </w:p>
    <w:p w14:paraId="0000010D">
      <w:r>
        <w:t xml:space="preserve">Three of the articles presented in the results chapter give powerful examples of the way in which inadequate representation works in reality. Shen </w:t>
      </w:r>
      <w:r>
        <w:rPr>
          <w:i/>
        </w:rPr>
        <w:t xml:space="preserve">et al. </w:t>
      </w:r>
      <w:r>
        <w:t xml:space="preserve">(2018) reveal that there are quantifiable racial differences in patient clinician communication. Though, the participants of the study are adults, the mechanisms they have discovered, less partnership building, less information giving, minor yet significant biases, can be directly applied to the care settings of children. Crenshaw, Lewis and Foronda (2025) also emphasize the role of racialised stereotypes in the experiences of patients. Their investigation indicates that black people tend to feel unheard, degraded, or disregarded, which goes in line with numerous black children and families who complain when approaching health or social care services. These studies </w:t>
      </w:r>
      <w:r>
        <w:t>support the idea that black children have lower chances of being understood or validated because of their not being represented by race.</w:t>
      </w:r>
    </w:p>
    <w:p w14:paraId="0000010E">
      <w:pPr>
        <w:pStyle w:val="Heading4"/>
        <w:rPr>
          <w:rFonts w:ascii="Aptos" w:hAnsi="Aptos"/>
        </w:rPr>
      </w:pPr>
      <w:r>
        <w:rPr>
          <w:rFonts w:ascii="Aptos" w:hAnsi="Aptos"/>
        </w:rPr>
        <w:t>Connections to Other Themes</w:t>
      </w:r>
    </w:p>
    <w:p w14:paraId="0000010F">
      <w:r>
        <w:t>This theme is also closely intersecting with the other themes of the dissertation. Poor representation itself is a source of cultural divide and identity confusion (Theme 2) since children that do not find themselves reflected in their caregivers or surrounding may feel disconnected with their cultural heritage. Moreover, structural inequity in social care services is caused, and consequently, by poor representation (Theme 3). The same systems that yield inequitable results to Black kids are the ones that neither hire Black people nor incorporate Black experiences in their research.</w:t>
      </w:r>
    </w:p>
    <w:p w14:paraId="00000110">
      <w:pPr>
        <w:pStyle w:val="Heading2"/>
        <w:rPr/>
      </w:pPr>
      <w:bookmarkStart w:id="24" w:name="_Toc214555991"/>
      <w:r>
        <w:t>4.</w:t>
      </w:r>
      <w:r>
        <w:t>4</w:t>
      </w:r>
      <w:r>
        <w:t xml:space="preserve"> – Theme </w:t>
      </w:r>
      <w:r>
        <w:t>2</w:t>
      </w:r>
      <w:r>
        <w:t xml:space="preserve"> (</w:t>
      </w:r>
      <w:r>
        <w:t>Cultural separation and identity uncertainty</w:t>
      </w:r>
      <w:r>
        <w:t>)</w:t>
      </w:r>
      <w:bookmarkEnd w:id="24"/>
      <w:r>
        <w:t xml:space="preserve"> </w:t>
      </w:r>
    </w:p>
    <w:p w14:paraId="00000111">
      <w:pPr>
        <w:pStyle w:val="Heading1"/>
        <w:rPr>
          <w:rFonts w:ascii="Aptos" w:hAnsi="Aptos"/>
          <w:sz w:val="28"/>
          <w:szCs w:val="28"/>
        </w:rPr>
      </w:pPr>
    </w:p>
    <w:p w14:paraId="00000112">
      <w:pPr>
        <w:pStyle w:val="Heading4"/>
        <w:rPr>
          <w:rFonts w:ascii="Aptos" w:hAnsi="Aptos"/>
        </w:rPr>
      </w:pPr>
      <w:r>
        <w:rPr>
          <w:rFonts w:ascii="Aptos" w:hAnsi="Aptos"/>
        </w:rPr>
        <w:t xml:space="preserve">Definition </w:t>
      </w:r>
    </w:p>
    <w:p w14:paraId="00000113">
      <w:r>
        <w:t>Cultural separation involves processes where the Black children and their families lose contact with the cultural norms, practices, and community networks that help them to achieve identity development. It encompasses both visible and invisible processes, including institutional erasure, racism and culturally inappropriate service provision, which undermine the connections to heritage, belonging and social identity. Uncertainty about identity is caused when this division becomes disruptive of the child in their attempt to constitute a coherent sense of self, which in many cases leads to confusion, fragmentation or invisibility. These two ideas are also interwoven closely, as families grow alienated to cultural landmarks, children are left to make sense of identity development in environments that do not identify or acknowledge who they are. This is a critical theme that can be used to comprehend the manner in which structural and interpersonal practices existing in social care, health, and education facilities can compromise the psychological wellbeing of Black children.</w:t>
      </w:r>
    </w:p>
    <w:p w14:paraId="00000114">
      <w:pPr>
        <w:pStyle w:val="Heading4"/>
        <w:rPr>
          <w:rFonts w:ascii="Aptos" w:hAnsi="Aptos"/>
        </w:rPr>
      </w:pPr>
      <w:r>
        <w:rPr>
          <w:rFonts w:ascii="Aptos" w:hAnsi="Aptos"/>
        </w:rPr>
        <w:t>Background Information</w:t>
      </w:r>
    </w:p>
    <w:p w14:paraId="00000115">
      <w:pPr>
        <w:pStyle w:val="BodyText"/>
        <w:bidi w:val="off"/>
        <w:rPr>
          <w:lang w:val="en-US"/>
        </w:rPr>
      </w:pPr>
      <w:r>
        <w:rPr>
          <w:rtl w:val="off"/>
          <w:lang w:val="en-US"/>
        </w:rPr>
        <w:t xml:space="preserve"> Due to colonialism, laws, and years of institutional monoculturalism, the UK has traditionally experienced cultural segregation. Minor cultural practices were put to the category of supplementary requirements rather than shared identity, and services were built under Eurocentric paradigms that assumed whiteness as a standard. Black families have frequently claimed systemic invalidation of their culture when they meet health and social care settings, and it has been demonstrated over several decades that Black children are over-represented dis out-of-home care where their culture is not congruent. Although visible discrimination may have reduced, there are still implicit forms of procedural and cognitive exclusion, according to more recent research. </w:t>
      </w:r>
    </w:p>
    <w:p w14:paraId="00000116">
      <w:pPr>
        <w:pStyle w:val="BodyText"/>
        <w:rPr/>
      </w:pPr>
      <w:r>
        <w:rPr/>
        <w:t xml:space="preserve"> (Silverio </w:t>
      </w:r>
      <w:r>
        <w:rPr/>
        <w:t xml:space="preserve">et al., </w:t>
      </w:r>
      <w:r>
        <w:rPr/>
        <w:t xml:space="preserve">2022; Fair </w:t>
      </w:r>
      <w:r>
        <w:rPr/>
        <w:t xml:space="preserve">et al., </w:t>
      </w:r>
      <w:r>
        <w:rPr/>
        <w:t xml:space="preserve">2025). </w:t>
      </w:r>
    </w:p>
    <w:p w14:paraId="00000117">
      <w:pPr>
        <w:pStyle w:val="Heading4"/>
        <w:rPr>
          <w:rFonts w:ascii="Aptos" w:hAnsi="Aptos"/>
        </w:rPr>
      </w:pPr>
      <w:r>
        <w:rPr>
          <w:rFonts w:ascii="Aptos" w:hAnsi="Aptos"/>
        </w:rPr>
        <w:t>Statistical Information</w:t>
      </w:r>
    </w:p>
    <w:p w14:paraId="00000118">
      <w:pPr>
        <w:pStyle w:val="BodyText"/>
        <w:bidi w:val="off"/>
        <w:rPr>
          <w:lang w:val="en-US"/>
        </w:rPr>
      </w:pPr>
      <w:r>
        <w:rPr>
          <w:rtl w:val="off"/>
          <w:lang w:val="en-US"/>
        </w:rPr>
        <w:t xml:space="preserve"> Quantitative data also help to explain the amount of cultural disparity. National statistics show that black children continue to be over represented in out of home care in England, and they are typically put with nanny carers who do not share their cultural background. According to Edwards et al. (2023), cultural incompatibilities in foster care are common, with a high percentage of Black Caribbean children reporting that their culture was not endorsed. Meanwhile, Dababnah et al. (2018) and Weitlauf et al. (2023) report statistically significant differences between Black families at the time of autism diagnosis, emphasising the role of structural inequity in clinical pathways in slowing access to culturally informed accountability of behaviour. </w:t>
      </w:r>
    </w:p>
    <w:p w14:paraId="00000119">
      <w:pPr>
        <w:pStyle w:val="Heading4"/>
        <w:rPr>
          <w:rFonts w:ascii="Aptos" w:hAnsi="Aptos"/>
        </w:rPr>
      </w:pPr>
      <w:r>
        <w:rPr>
          <w:rFonts w:ascii="Aptos" w:hAnsi="Aptos"/>
        </w:rPr>
        <w:t>Theories, Policies, and Legislation</w:t>
      </w:r>
    </w:p>
    <w:p w14:paraId="0000011A">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left"/>
        <w:rPr>
          <w:rStyle w:val="BodyTextChar"/>
          <w:lang w:val="en-US"/>
        </w:rPr>
      </w:pPr>
      <w:r>
        <w:rPr>
          <w:rFonts w:ascii="Segoe UI"/>
          <w:color w:val="000000"/>
          <w:sz w:val="18"/>
          <w:rtl w:val="off"/>
          <w:lang w:val="en-US"/>
        </w:rPr>
        <w:t xml:space="preserve"> </w:t>
      </w:r>
      <w:r>
        <w:rPr>
          <w:rStyle w:val="BodyTextChar"/>
          <w:rtl w:val="off"/>
          <w:lang w:val="en-US"/>
        </w:rPr>
        <w:t xml:space="preserve">The Cultural Safety theory, which is founded on decolonising tactics, emphasises the importance of safe care in addressing not just power inequality but also the restoration of marginalised cultural identities. Some studies argue that institutions' efforts to adopt Cultural Safety principles may be regarded as a risk of cultural isolation, even if the institution does not intend to hurt anyone (Lokugamage et al., 2021; Fair et al., 2025). Social identity theory also applies, assuming that membership in significant social groups provides psychological stability. When black children are excluded from cultural groups that promote healthy racial socialisation, their chances of developing a coherent identity are lowered. </w:t>
      </w:r>
    </w:p>
    <w:p w14:paraId="0000011B">
      <w:r>
        <w:t xml:space="preserve">There is unequal participation of policy and legislation in this issue. Despite the fact that legislations like the Children Act 1989 acknowledge the need to take into account the cultural background of a child in order to make a placement decision, various researches reveal that the practice is still uneven. </w:t>
      </w:r>
      <w:r>
        <w:rPr>
          <w:lang w:val="en-US"/>
        </w:rPr>
        <w:t xml:space="preserve">Statutory equality obligations and the focus of services on </w:t>
      </w:r>
      <w:r>
        <w:rPr>
          <w:lang w:val="en-US"/>
        </w:rPr>
        <w:t>black people</w:t>
      </w:r>
      <w:r>
        <w:t xml:space="preserve"> people in health settings have led to some research suggesting failures in culturally responsive maternity care (MacLellan </w:t>
      </w:r>
      <w:r>
        <w:rPr>
          <w:i/>
        </w:rPr>
        <w:t xml:space="preserve">et al., </w:t>
      </w:r>
      <w:r>
        <w:t>2022) and diagnostic pathways (</w:t>
      </w:r>
      <w:r>
        <w:t>Weitlauf</w:t>
      </w:r>
      <w:r>
        <w:t xml:space="preserve"> </w:t>
      </w:r>
      <w:r>
        <w:rPr>
          <w:i/>
        </w:rPr>
        <w:t xml:space="preserve">et al., </w:t>
      </w:r>
      <w:r>
        <w:t>2023). The straining of the policy will and its actual performance highlights the role of the systemic structures in perpetuating cultural division even in an ostensibly encompassing legal system.</w:t>
      </w:r>
    </w:p>
    <w:p w14:paraId="0000011C">
      <w:pPr>
        <w:pStyle w:val="Heading4"/>
        <w:rPr>
          <w:rFonts w:ascii="Aptos" w:hAnsi="Aptos"/>
        </w:rPr>
      </w:pPr>
      <w:r>
        <w:rPr>
          <w:rFonts w:ascii="Aptos" w:hAnsi="Aptos"/>
        </w:rPr>
        <w:t>Implications</w:t>
      </w:r>
    </w:p>
    <w:p w14:paraId="0000011D">
      <w:r>
        <w:t xml:space="preserve">There is a lot of meaning behind this theme. Culturally, on the downside, cultural isolation exposes children to increased exposures of psychological distress, such as anxiety, low self </w:t>
      </w:r>
      <w:r>
        <w:t xml:space="preserve">esteem and trauma reactions, especially where racism serves as an adverse childhood experience (Ayodeji </w:t>
      </w:r>
      <w:r>
        <w:rPr>
          <w:i/>
        </w:rPr>
        <w:t xml:space="preserve">et al., </w:t>
      </w:r>
      <w:r>
        <w:t xml:space="preserve">2021). The uncertainty of identity may result in the act of code switching, reticence in self presentation and lack of ability to create a stable interpersonal relationship. Furthermore, the issue of mistrust toward services, which is formed due to the experiences of exclusion or </w:t>
      </w:r>
      <w:r>
        <w:t>delegitimisation</w:t>
      </w:r>
      <w:r>
        <w:t xml:space="preserve">, may lead to disengagement, stalling help seeking, and coercive intervention trajectories (Lawrence </w:t>
      </w:r>
      <w:r>
        <w:rPr>
          <w:i/>
        </w:rPr>
        <w:t xml:space="preserve">et al., </w:t>
      </w:r>
      <w:r>
        <w:t xml:space="preserve">2021; Bansal </w:t>
      </w:r>
      <w:r>
        <w:rPr>
          <w:i/>
        </w:rPr>
        <w:t xml:space="preserve">et al., </w:t>
      </w:r>
      <w:r>
        <w:t xml:space="preserve">2022). Nevertheless, the theme has also positive connotations: research indicates that culturally congruent care, race concordant workforce, and community co production can decrease separation, enhance identity development and increase service engagement (Moore </w:t>
      </w:r>
      <w:r>
        <w:rPr>
          <w:i/>
        </w:rPr>
        <w:t xml:space="preserve">et al., </w:t>
      </w:r>
      <w:r>
        <w:t xml:space="preserve">2022; </w:t>
      </w:r>
      <w:r>
        <w:t>Aryasinghe</w:t>
      </w:r>
      <w:r>
        <w:t xml:space="preserve"> </w:t>
      </w:r>
      <w:r>
        <w:rPr>
          <w:i/>
        </w:rPr>
        <w:t xml:space="preserve">et al., </w:t>
      </w:r>
      <w:r>
        <w:t xml:space="preserve">2024). </w:t>
      </w:r>
    </w:p>
    <w:p w14:paraId="0000011E">
      <w:pPr>
        <w:pStyle w:val="Heading4"/>
        <w:rPr>
          <w:rFonts w:ascii="Aptos" w:hAnsi="Aptos"/>
        </w:rPr>
      </w:pPr>
      <w:r>
        <w:rPr>
          <w:rFonts w:ascii="Aptos" w:hAnsi="Aptos"/>
        </w:rPr>
        <w:t>Examples from Your Articles</w:t>
      </w:r>
    </w:p>
    <w:p w14:paraId="0000011F">
      <w:pPr>
        <w:pStyle w:val="Normal"/>
        <w:rPr/>
      </w:pPr>
    </w:p>
    <w:p w14:paraId="00000120">
      <w:pPr>
        <w:pStyle w:val="Normal"/>
        <w:bidi w:val="off"/>
        <w:rPr>
          <w:lang w:val="en-US"/>
        </w:rPr>
      </w:pPr>
      <w:r>
        <w:t xml:space="preserve"> Edwards </w:t>
      </w:r>
      <w:r>
        <w:rPr>
          <w:i/>
        </w:rPr>
        <w:t xml:space="preserve">et al. </w:t>
      </w:r>
      <w:r>
        <w:t xml:space="preserve">(2023) demonstrate that Black Caribbean youth in care frequently face a lack of attention to the culturally relevant practices, including hair care, food and social rituals, which has an effect of invisibility </w:t>
      </w:r>
      <w:r>
        <w:rPr/>
        <w:t xml:space="preserve">and undermining the development of the cultural identity. It is shown that care practices and identity disruption are directly proportionate to each other in the study. </w:t>
      </w:r>
      <w:r>
        <w:rPr>
          <w:rtl w:val="off"/>
          <w:lang w:val="en-US"/>
        </w:rPr>
        <w:t xml:space="preserve"> Bansal et al. (2022) provide a conceptual framework for the role of European therapeutic models in generating epistemic injustice and invalidating Black families' experiences and perceptions, resulting in doubt about identity. Meanwhile, Dababnah et al. (2018) highlight the impact of delays in diagnosis in autism evaluation in the context of Black families, which cause confusion about the need to interpret children's behaviours, increasing the identity concerns raised by prejudiced service relations. </w:t>
      </w:r>
    </w:p>
    <w:p w14:paraId="00000121">
      <w:pPr>
        <w:pStyle w:val="Heading4"/>
        <w:rPr>
          <w:rFonts w:ascii="Aptos" w:hAnsi="Aptos"/>
        </w:rPr>
      </w:pPr>
      <w:r>
        <w:rPr>
          <w:rFonts w:ascii="Aptos" w:hAnsi="Aptos"/>
        </w:rPr>
        <w:t>Connections to Other Themes</w:t>
      </w:r>
    </w:p>
    <w:p w14:paraId="00000122">
      <w:r>
        <w:t>This theme is related closely to the other themes in the dissertation. It is also directly connected with Theme 1, the insufficiency of racial representation at care facilities, as the absence of Black employees and carers is one of the factors that promote the environment where the cultural practices of children will remain unacknowledged and unpromoted. It is also consistent with Theme 3, structural inequity in social care services, in that systemic barriers and organisational cultures perpetuate the processes that generate cultural partitioning. The realization of these interrelations proves that identity uncertainty is not an isolated problem but the result of larger trends of inequity.</w:t>
      </w:r>
    </w:p>
    <w:p w14:paraId="00000123">
      <w:pPr>
        <w:pStyle w:val="Heading2"/>
        <w:rPr/>
      </w:pPr>
      <w:bookmarkStart w:id="25" w:name="_Toc214555992"/>
      <w:bookmarkStart w:id="26" w:name="_Toc212114112"/>
      <w:r>
        <w:t>4.</w:t>
      </w:r>
      <w:r>
        <w:t>5</w:t>
      </w:r>
      <w:r>
        <w:t>– Theme 3 (</w:t>
      </w:r>
      <w:r>
        <w:t>structural inequity in social care services.</w:t>
      </w:r>
      <w:r>
        <w:t>)</w:t>
      </w:r>
      <w:bookmarkEnd w:id="25"/>
      <w:r>
        <w:t xml:space="preserve"> </w:t>
      </w:r>
      <w:bookmarkEnd w:id="26"/>
    </w:p>
    <w:p w14:paraId="00000124">
      <w:pPr>
        <w:pStyle w:val="Heading4"/>
        <w:rPr>
          <w:rFonts w:ascii="Aptos" w:hAnsi="Aptos"/>
        </w:rPr>
      </w:pPr>
      <w:r>
        <w:rPr>
          <w:rFonts w:ascii="Aptos" w:hAnsi="Aptos"/>
        </w:rPr>
        <w:t xml:space="preserve">Definition </w:t>
      </w:r>
    </w:p>
    <w:p w14:paraId="00000125">
      <w:r>
        <w:t xml:space="preserve">Structural inequity within social care services can be defined as the inequality in power, resources, opportunities and outcomes and is systematically disadvantageous to some racial </w:t>
      </w:r>
      <w:r>
        <w:t xml:space="preserve">and social groups. In the framework of child welfare and primary healthcare, structural inequity determines the </w:t>
      </w:r>
      <w:r>
        <w:t>surveilled</w:t>
      </w:r>
      <w:r>
        <w:t xml:space="preserve">, the supported, the type of care used, and the chances of punitive intervention. Such notions like racialised family regulation (Thomas, </w:t>
      </w:r>
      <w:r>
        <w:t>Waldfogel</w:t>
      </w:r>
      <w:r>
        <w:t xml:space="preserve"> and Williams, 2022) and structural violence (Hamed </w:t>
      </w:r>
      <w:r>
        <w:rPr>
          <w:i/>
        </w:rPr>
        <w:t xml:space="preserve">et al., </w:t>
      </w:r>
      <w:r>
        <w:t>2020) are useful in explaining how these inequalities are normalised in ordinary practice, without necessarily having a deliberate discriminatory motive.</w:t>
      </w:r>
    </w:p>
    <w:p w14:paraId="00000126">
      <w:pPr>
        <w:pStyle w:val="Heading4"/>
        <w:rPr>
          <w:rFonts w:ascii="Aptos" w:hAnsi="Aptos"/>
        </w:rPr>
      </w:pPr>
      <w:r>
        <w:rPr>
          <w:rFonts w:ascii="Aptos" w:hAnsi="Aptos"/>
        </w:rPr>
        <w:t>Background Information</w:t>
      </w:r>
    </w:p>
    <w:p w14:paraId="00000127">
      <w:r>
        <w:t>In the UK, the evidence has consistently been repeated that ethnic minority families are disproportionately living in areas of concentrated deprivation, which is a trend that has been conditioned by decades of economic marginalisation and housing policy (</w:t>
      </w:r>
      <w:r>
        <w:t>Bywaters</w:t>
      </w:r>
      <w:r>
        <w:t xml:space="preserve"> </w:t>
      </w:r>
      <w:r>
        <w:rPr>
          <w:i/>
        </w:rPr>
        <w:t xml:space="preserve">et al., </w:t>
      </w:r>
      <w:r>
        <w:t xml:space="preserve">2016). The development of child protection systems and welfare in the United States has been associated with the policies that present Black families as dangerous and inadequate, supporting an intensive surveillance and </w:t>
      </w:r>
      <w:r>
        <w:t>deinvesting</w:t>
      </w:r>
      <w:r>
        <w:t xml:space="preserve"> in community based assistance (Thomas </w:t>
      </w:r>
      <w:r>
        <w:rPr>
          <w:i/>
        </w:rPr>
        <w:t xml:space="preserve">et al., </w:t>
      </w:r>
      <w:r>
        <w:t>2022). These historical forces give the context within which the current social care systems feed, and shape the manner in which risk is evaluated by the professionals and the resource and need of family are allocated.</w:t>
      </w:r>
    </w:p>
    <w:p w14:paraId="00000128">
      <w:pPr>
        <w:pStyle w:val="Heading4"/>
        <w:rPr>
          <w:rFonts w:ascii="Aptos" w:hAnsi="Aptos"/>
        </w:rPr>
      </w:pPr>
      <w:r>
        <w:rPr>
          <w:rFonts w:ascii="Aptos" w:hAnsi="Aptos"/>
        </w:rPr>
        <w:t>Impact on Research Question</w:t>
      </w:r>
    </w:p>
    <w:p w14:paraId="00000129">
      <w:r>
        <w:t>The dissertation topic focuses on structural inequity since it unveils the reasons why Black children still have poorer outcomes in care pathways despite having the same or less serious needs. The theme makes it clear that inequalities are not the result of individual practitioner actions but are rather a result of the organisation, funding and governance of services. Regarding the general research question, structural inequity assists in accounting for the role of systemic patterns in poor racial representation in care environments (Theme 1) and cultural segregation and uncertainty of identity in children (Theme 2). The concept of structural inequity as such offers a starting point to the assessment of how the racialised results in care are being reproduced</w:t>
      </w:r>
    </w:p>
    <w:p w14:paraId="0000012A">
      <w:pPr>
        <w:pStyle w:val="Heading4"/>
        <w:rPr>
          <w:rFonts w:ascii="Aptos" w:hAnsi="Aptos"/>
        </w:rPr>
      </w:pPr>
      <w:r>
        <w:rPr>
          <w:rFonts w:ascii="Aptos" w:hAnsi="Aptos"/>
        </w:rPr>
        <w:t>Statistical Information</w:t>
      </w:r>
    </w:p>
    <w:p w14:paraId="0000012B">
      <w:r>
        <w:t xml:space="preserve">An increasing statistical data underscores the magnitude and uniformity of these injustices. Thomas </w:t>
      </w:r>
      <w:r>
        <w:rPr>
          <w:i/>
        </w:rPr>
        <w:t xml:space="preserve">et al. </w:t>
      </w:r>
      <w:r>
        <w:t xml:space="preserve">(2022) show that Black families in the United States have much higher rates of child protective services (CPS) contact in comparison with White families with corresponding incomes. Interestingly, income forecasts CPS involvement among White families but not among Black families and it is possible to suggest that material improvement does not provide Black families with immunity against state surveillance as well. </w:t>
      </w:r>
      <w:r>
        <w:t>Bywaters</w:t>
      </w:r>
      <w:r>
        <w:t xml:space="preserve"> </w:t>
      </w:r>
      <w:r>
        <w:rPr>
          <w:i/>
        </w:rPr>
        <w:t xml:space="preserve">et al. </w:t>
      </w:r>
      <w:r>
        <w:t xml:space="preserve">(2016) in England, mention that children of Black and other minority ethnicities are over represented in deprived neighbourhoods, but with deprivation controlled, some minority groups are no longer </w:t>
      </w:r>
      <w:r>
        <w:t xml:space="preserve">more likely to get intervention. It is these statistics that question the simplified accounts of racial disproportionality in demonstrating that deprivation and ethnicity have a complex, structural interactions, not just as a result of family behaviour. Herbert </w:t>
      </w:r>
      <w:r>
        <w:rPr>
          <w:i/>
        </w:rPr>
        <w:t xml:space="preserve">et al. </w:t>
      </w:r>
      <w:r>
        <w:t>(2024) contribute to the evidence base establishing ongoing disparities regarding the access of children to primary healthcare, as the children of deprived neighbourhoods and Black, Asian, or mixed ethnicities have much worse access to services despite having similar needs.</w:t>
      </w:r>
    </w:p>
    <w:p w14:paraId="0000012C">
      <w:pPr>
        <w:pStyle w:val="Heading4"/>
        <w:rPr>
          <w:rFonts w:ascii="Aptos" w:hAnsi="Aptos"/>
        </w:rPr>
      </w:pPr>
      <w:r>
        <w:rPr>
          <w:rFonts w:ascii="Aptos" w:hAnsi="Aptos"/>
        </w:rPr>
        <w:t>Theories, Policies, and Legislation</w:t>
      </w:r>
    </w:p>
    <w:p w14:paraId="0000012D">
      <w:r>
        <w:t xml:space="preserve">A number of theoretical frameworks aid in explaining such patterns. The structural racism theory assumes that institutions exhibit unbalanced output when policies, routines and </w:t>
      </w:r>
      <w:r>
        <w:t>decision making</w:t>
      </w:r>
      <w:r>
        <w:t xml:space="preserve"> processes </w:t>
      </w:r>
      <w:r>
        <w:t>disfavor</w:t>
      </w:r>
      <w:r>
        <w:t xml:space="preserve"> some races in a non discriminatory way although they may not have any discriminatory interests. It is reflected in the account of racism as a structural violence given by Hamed </w:t>
      </w:r>
      <w:r>
        <w:rPr>
          <w:i/>
        </w:rPr>
        <w:t xml:space="preserve">et al. </w:t>
      </w:r>
      <w:r>
        <w:t xml:space="preserve">(2020), in which daily organisational work harms by routinised and invisible processes that limit access, undermine dignity and distrust. The critical race theory is also applicable, since it emphasises the establishment of racialised assumptions in systems, which influence the interpretation of risk, competence and need by professionals. These theoretical traditions are directly reflected in the concept of racialised family regulation by Thomas </w:t>
      </w:r>
      <w:r>
        <w:rPr>
          <w:i/>
        </w:rPr>
        <w:t xml:space="preserve">et al. </w:t>
      </w:r>
      <w:r>
        <w:t>(2022), who demonstrates the difference in the ways of treating poverty by welfare systems depending on the race with black families being subjected more to punishment.</w:t>
      </w:r>
    </w:p>
    <w:p w14:paraId="0000012E">
      <w:r>
        <w:t xml:space="preserve">Laws and policies are important in strengthening or weakening structural injustices. State child protection laws in the United States tend to mandate </w:t>
      </w:r>
      <w:r>
        <w:t>newborn</w:t>
      </w:r>
      <w:r>
        <w:t xml:space="preserve"> drug testing or reporting, but so widely used among hospitals that they frequently produce racialised surveillance patterns (Shetty </w:t>
      </w:r>
      <w:r>
        <w:rPr>
          <w:i/>
        </w:rPr>
        <w:t xml:space="preserve">et al., </w:t>
      </w:r>
      <w:r>
        <w:t xml:space="preserve">2024). Local authority funding cuts as part of austerity have in UK have had a disproportionate impact on deprived and ethnically diverse communities, limiting the provision of early help and increasing the impact of crisis-driven responses. The research on integrated care policy (Litchfield </w:t>
      </w:r>
      <w:r>
        <w:rPr>
          <w:i/>
        </w:rPr>
        <w:t xml:space="preserve">et al., </w:t>
      </w:r>
      <w:r>
        <w:t>2025) indicates that the aspiration to provide equitable service delivery is usually eroded by the short term round of funding and disjointed commissioning arrangements which are found to create instability and reinforce existing disparities in service access and quality provision.</w:t>
      </w:r>
    </w:p>
    <w:p w14:paraId="0000012F">
      <w:pPr>
        <w:pStyle w:val="Heading4"/>
        <w:rPr>
          <w:rFonts w:ascii="Aptos" w:hAnsi="Aptos"/>
        </w:rPr>
      </w:pPr>
      <w:r>
        <w:rPr>
          <w:rFonts w:ascii="Aptos" w:hAnsi="Aptos"/>
        </w:rPr>
        <w:t>Implications</w:t>
      </w:r>
    </w:p>
    <w:p w14:paraId="00000130">
      <w:r>
        <w:t xml:space="preserve">Structural inequity has multiple and serious implications on children and families. Structural inequity, along with its negative aspect, makes the Black families more likely to be followed, misunderstood or not served. The lack of continuity in primary health care of Black toddlers (Jones </w:t>
      </w:r>
      <w:r>
        <w:rPr>
          <w:i/>
        </w:rPr>
        <w:t xml:space="preserve">et al., </w:t>
      </w:r>
      <w:r>
        <w:t xml:space="preserve">2024), the lack of consistency in the </w:t>
      </w:r>
      <w:r>
        <w:t>newborn</w:t>
      </w:r>
      <w:r>
        <w:t xml:space="preserve"> drug testing practices which disproportionally impact Black babies (Shetty </w:t>
      </w:r>
      <w:r>
        <w:rPr>
          <w:i/>
        </w:rPr>
        <w:t xml:space="preserve">et al., </w:t>
      </w:r>
      <w:r>
        <w:t xml:space="preserve">2024), and the increased rates of CPS </w:t>
      </w:r>
      <w:r>
        <w:t xml:space="preserve">intervention that are not related to the real risk (Thomas </w:t>
      </w:r>
      <w:r>
        <w:rPr>
          <w:i/>
        </w:rPr>
        <w:t xml:space="preserve">et al., </w:t>
      </w:r>
      <w:r>
        <w:t xml:space="preserve">2022) all indicate a systemic disadvantage. These inequalities undermine confidence in services, slows down the process of seeking help and may result in unnecessary separation among family members. However, there exist some possible positive outcomes, as the research shows that economic incentives like increased tax credits can decrease CPS participation (Thomas </w:t>
      </w:r>
      <w:r>
        <w:rPr>
          <w:i/>
        </w:rPr>
        <w:t xml:space="preserve">et al., </w:t>
      </w:r>
      <w:r>
        <w:t>2022), and that high quality and well funded early childhood settings can reduce structural inequalities (</w:t>
      </w:r>
      <w:r>
        <w:t>Vuletich</w:t>
      </w:r>
      <w:r>
        <w:t xml:space="preserve"> </w:t>
      </w:r>
      <w:r>
        <w:rPr>
          <w:i/>
        </w:rPr>
        <w:t xml:space="preserve">et al., </w:t>
      </w:r>
      <w:r>
        <w:t>2024). Such results demonstrate that inequity is not unavoidable but is influenced by policy change and investment.</w:t>
      </w:r>
    </w:p>
    <w:p w14:paraId="00000131">
      <w:pPr>
        <w:pStyle w:val="Heading4"/>
        <w:rPr>
          <w:rFonts w:ascii="Aptos" w:hAnsi="Aptos"/>
        </w:rPr>
      </w:pPr>
      <w:r>
        <w:rPr>
          <w:rFonts w:ascii="Aptos" w:hAnsi="Aptos"/>
        </w:rPr>
        <w:t>Examples from Your Articles</w:t>
      </w:r>
    </w:p>
    <w:p w14:paraId="00000132">
      <w:r>
        <w:t xml:space="preserve">Three studies that shed light especially on the way in which structural inequity works. Thomas </w:t>
      </w:r>
      <w:r>
        <w:rPr>
          <w:i/>
        </w:rPr>
        <w:t xml:space="preserve">et al. </w:t>
      </w:r>
      <w:r>
        <w:t xml:space="preserve">(2022) demonstrate that the systemic factors that drive difference in CPS contact between races are not caused by parenting behaviour, but instead by the extension of racial inequalities by social care. Jones </w:t>
      </w:r>
      <w:r>
        <w:rPr>
          <w:i/>
        </w:rPr>
        <w:t xml:space="preserve">et al. </w:t>
      </w:r>
      <w:r>
        <w:t xml:space="preserve">(2024) illustrate institutional level factors have led to disparities in continuity of healthcare among Black children including clinic staffing and demographic composition factors. In the meantime, the article by Shetty </w:t>
      </w:r>
      <w:r>
        <w:rPr>
          <w:i/>
        </w:rPr>
        <w:t xml:space="preserve">et al. </w:t>
      </w:r>
      <w:r>
        <w:t xml:space="preserve">(2024) discloses the outcomes of hospital policies, leading to the disproportionality of </w:t>
      </w:r>
      <w:r>
        <w:t>newborn</w:t>
      </w:r>
      <w:r>
        <w:t xml:space="preserve"> drug tests on Black families, causing the unwarranted intervention of CPS. These articles all agree that it is the norms and policies of institutions that reproduce structural inequity and not personal bias. Although they are quite different in contexts child protection, primary care, hospital practice they all intersect in showing how racialised disadvantage persists in different systems, thus upholding the main claim of this dissertation.</w:t>
      </w:r>
    </w:p>
    <w:p w14:paraId="00000133">
      <w:pPr>
        <w:pStyle w:val="Heading4"/>
        <w:rPr>
          <w:rFonts w:ascii="Aptos" w:hAnsi="Aptos"/>
        </w:rPr>
      </w:pPr>
      <w:r>
        <w:rPr>
          <w:rFonts w:ascii="Aptos" w:hAnsi="Aptos"/>
        </w:rPr>
        <w:t>Connections to Other Themes</w:t>
      </w:r>
    </w:p>
    <w:p w14:paraId="00000134">
      <w:r>
        <w:t>The structural inequity also overlaps well with the other themes presented in the dissertation. Underrepresentation of racial groups in the care setting (Theme 1), which amplifies structural inequality, is a reflection of it as underrepresentation leads to culturally inappropriate practice and reduces advocacy in services. Equally, cultural isolation and lack of identity (Theme 2) are also commonly related to appropriately structured unequal systems which take children out of their cultural environments or do not provide culturally oriented care giving settings. All these themes are used to describe a system in which inequity is played out on structural, representational and relational levels, which determines the experiences and outcomes of Black children in care.</w:t>
      </w:r>
    </w:p>
    <w:p w14:paraId="00000135">
      <w:pPr>
        <w:pStyle w:val="Heading2"/>
        <w:rPr/>
      </w:pPr>
      <w:bookmarkStart w:id="27" w:name="_Toc214555993"/>
      <w:bookmarkStart w:id="28" w:name="_Toc212114113"/>
      <w:r>
        <w:t>4.6 – Chapter Conclusion</w:t>
      </w:r>
      <w:bookmarkEnd w:id="27"/>
      <w:r>
        <w:t xml:space="preserve"> </w:t>
      </w:r>
      <w:bookmarkEnd w:id="28"/>
    </w:p>
    <w:p w14:paraId="00000136">
      <w:r>
        <w:t xml:space="preserve">The chapter showed and discussed the key findings of the reviewed literature thematic analysis. Three main themes were researched Inadequate Racial Representation in Care Settings, Cultural Separation and Identity Uncertainty, and Structural Inequity in Social Care </w:t>
      </w:r>
      <w:r>
        <w:t xml:space="preserve">Services. The identified themes, collectively, demonstrated how the systemic conditions influenced by Eurocentric service models, racialised microaggressions, surveillance, misdiagnosis, and the lack of the Black representation determine the experiences and outcomes of Black children in the context of health and social care. The interactions between these patterns, which were also illustrated in the chapter, revealed that cultural invisibility, identity disruption, and unequal access are not solitary issues but instead mutually supportive ones. In the discussion, the role of such themes in creating disparities and the reasons why they are still prevalent in the various contexts of services were brought out by using relevant studies. </w:t>
      </w:r>
      <w:r>
        <w:t>In summary</w:t>
      </w:r>
      <w:r>
        <w:t xml:space="preserve">, the chapter highlighted the importance of culturally responsive practice, the implementation of anti racism policies, and better representation to overcome the barriers to the structural barriers that were identified. The next chapter will </w:t>
      </w:r>
      <w:r>
        <w:t xml:space="preserve">summarise </w:t>
      </w:r>
      <w:r>
        <w:t xml:space="preserve">on this finding and </w:t>
      </w:r>
      <w:r>
        <w:t xml:space="preserve">present </w:t>
      </w:r>
      <w:r>
        <w:t xml:space="preserve">the </w:t>
      </w:r>
      <w:r>
        <w:t>recommendations</w:t>
      </w:r>
      <w:r>
        <w:t>,</w:t>
      </w:r>
      <w:r>
        <w:t xml:space="preserve"> and</w:t>
      </w:r>
      <w:r>
        <w:t xml:space="preserve"> the development of interventions, and future research.</w:t>
      </w:r>
    </w:p>
    <w:p w14:paraId="00000137"/>
    <w:p w14:paraId="00000138">
      <w:pPr>
        <w:spacing w:line="259" w:lineRule="auto"/>
        <w:jc w:val="left"/>
        <w:rPr>
          <w:rFonts w:ascii="Aptos" w:cs="Calibri Light" w:eastAsia="Calibri Light" w:hAnsi="Aptos"/>
          <w:b/>
          <w:sz w:val="32"/>
          <w:szCs w:val="32"/>
          <w:lang w:bidi="en-GB" w:eastAsia="en-GB"/>
        </w:rPr>
      </w:pPr>
      <w:bookmarkStart w:id="29" w:name="_Toc212114114"/>
      <w:r>
        <w:rPr>
          <w:rFonts w:ascii="Aptos" w:hAnsi="Aptos"/>
        </w:rPr>
        <w:br w:type="page"/>
      </w:r>
    </w:p>
    <w:p w14:paraId="00000139">
      <w:pPr>
        <w:pStyle w:val="Heading1"/>
        <w:ind w:left="0"/>
        <w:rPr/>
      </w:pPr>
      <w:r>
        <w:rPr>
          <w:rFonts w:ascii="Aptos" w:hAnsi="Aptos"/>
        </w:rPr>
        <w:t>C</w:t>
      </w:r>
      <w:r>
        <w:rPr>
          <w:rFonts w:ascii="Aptos" w:hAnsi="Aptos"/>
        </w:rPr>
        <w:t>HAPTER</w:t>
      </w:r>
      <w:r>
        <w:rPr>
          <w:rFonts w:ascii="Aptos" w:hAnsi="Aptos"/>
        </w:rPr>
        <w:t xml:space="preserve"> </w:t>
      </w:r>
      <w:r>
        <w:rPr>
          <w:rFonts w:ascii="Aptos" w:hAnsi="Aptos"/>
        </w:rPr>
        <w:t>5</w:t>
      </w:r>
      <w:r>
        <w:rPr>
          <w:rFonts w:ascii="Aptos" w:hAnsi="Aptos"/>
        </w:rPr>
        <w:t xml:space="preserve"> – </w:t>
      </w:r>
      <w:r>
        <w:rPr>
          <w:rFonts w:ascii="Aptos" w:hAnsi="Aptos"/>
        </w:rPr>
        <w:t>Conclusion and Recommendations</w:t>
      </w:r>
      <w:r>
        <w:rPr>
          <w:rFonts w:ascii="Aptos" w:hAnsi="Aptos"/>
        </w:rPr>
        <w:t xml:space="preserve"> </w:t>
      </w:r>
      <w:bookmarkEnd w:id="29"/>
    </w:p>
    <w:p w14:paraId="0000013A"/>
    <w:p w14:paraId="0000013B">
      <w:pPr>
        <w:pStyle w:val="Heading2"/>
        <w:rPr/>
      </w:pPr>
      <w:bookmarkStart w:id="30" w:name="_Toc212114115"/>
      <w:r>
        <w:t xml:space="preserve">5.1 – Overall Conclusion </w:t>
      </w:r>
      <w:bookmarkEnd w:id="30"/>
    </w:p>
    <w:p w14:paraId="0000013C"/>
    <w:p w14:paraId="0000013D">
      <w:pPr>
        <w:pStyle w:val="BodyText"/>
        <w:bidi w:val="off"/>
        <w:rPr>
          <w:lang w:val="en-US"/>
        </w:rPr>
      </w:pPr>
      <w:r>
        <w:rPr>
          <w:rtl w:val="off"/>
          <w:lang w:val="en-US"/>
        </w:rPr>
        <w:t>This dissertation revealed that Black children in the UK social care system continue to confront major identity issues as a result of inadequate racial representation, cultural alienation, and persisting structural unfairness (Bernard and Harris, 2019; Bywaters et al., 2016). Although legislation such as the Children Act 1989 and the Equality Act 2010 highlight the importance of cultural identity and non discrimination (Children Act, 1989; Equality Act, 2010), the literature consistently demonstrates a disconnect between legislative purpose and everyday practice (MacAlister, 2022). The thematic analysis reveals that Black children’s experiences are affected not merely by individual interactions, but also by deeply established institutional patterns that influence placement stability, emotional well being, and cultural identity (Wainwright and Ridley, 2021).</w:t>
      </w:r>
    </w:p>
    <w:p w14:paraId="0000013E">
      <w:pPr>
        <w:pStyle w:val="BodyText"/>
        <w:bidi w:val="off"/>
        <w:rPr>
          <w:lang w:val="en-US"/>
        </w:rPr>
      </w:pPr>
    </w:p>
    <w:p w14:paraId="0000013F">
      <w:pPr>
        <w:pStyle w:val="BodyText"/>
        <w:bidi w:val="off"/>
        <w:rPr>
          <w:lang w:val="en-US"/>
        </w:rPr>
      </w:pPr>
      <w:r>
        <w:rPr>
          <w:rtl w:val="off"/>
          <w:lang w:val="en-US"/>
        </w:rPr>
        <w:t>Overall, the evidence indicates that identity disruption among Black children is the result of broader historical, social, and organisational causes (Harris and Allen, 2021). Improving outcomes requires a collaborative commitment to culturally sensitive practice, institutional transformation, and continued accountability in social care services (Barn, 2019). The conclusion emphasises the importance of practice based on cultural competency, representation, and anti racist principles to ensure that Black children establish healthy, stable identities while in care (Crenshaw, 1991; Williams, 2020).</w:t>
      </w:r>
    </w:p>
    <w:p w14:paraId="00000140">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80" w:line="240" w:lineRule="auto"/>
        <w:ind w:left="0" w:right="0" w:firstLine="0"/>
        <w:jc w:val="left"/>
        <w:rPr>
          <w:rFonts w:ascii="Times New Roman"/>
          <w:color w:val="242424"/>
          <w:sz w:val="18"/>
          <w:lang w:val="en-US"/>
        </w:rPr>
      </w:pPr>
      <w:r>
        <w:rPr>
          <w:rFonts w:ascii="Times New Roman"/>
          <w:color w:val="000000"/>
          <w:sz w:val="18"/>
          <w:rtl w:val="off"/>
          <w:lang w:val="en-US"/>
        </w:rPr>
        <w:br w:type="textWrapping"/>
      </w:r>
    </w:p>
    <w:p w14:paraId="00000141">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lang w:val="en-US"/>
        </w:rPr>
      </w:pPr>
      <w:r>
        <w:rPr>
          <w:rFonts w:ascii="Segoe UI"/>
          <w:color w:val="000000"/>
          <w:sz w:val="18"/>
          <w:lang w:val="en-US"/>
        </w:rPr>
        <w:br w:type="textWrapping"/>
      </w:r>
    </w:p>
    <w:p w14:paraId="00000142">
      <w:pPr>
        <w:pStyle w:val="Heading2"/>
        <w:rPr/>
      </w:pPr>
      <w:bookmarkStart w:id="31" w:name="_Toc212114116"/>
      <w:r>
        <w:t>5.</w:t>
      </w:r>
      <w:r>
        <w:t>2</w:t>
      </w:r>
      <w:r>
        <w:t xml:space="preserve"> – </w:t>
      </w:r>
      <w:r>
        <w:t>Recommendations</w:t>
      </w:r>
      <w:r>
        <w:t xml:space="preserve"> </w:t>
      </w:r>
      <w:bookmarkEnd w:id="31"/>
    </w:p>
    <w:p w14:paraId="00000143"/>
    <w:p w14:paraId="00000144">
      <w:pPr>
        <w:pStyle w:val="BodyText"/>
        <w:bidi w:val="off"/>
        <w:rPr>
          <w:lang w:val="en-US"/>
        </w:rPr>
      </w:pPr>
      <w:r>
        <w:rPr>
          <w:rtl w:val="off"/>
          <w:lang w:val="en-US"/>
        </w:rPr>
        <w:t>The findings of this dissertation show that Black children in the UK social care system continue to encounter major problems that impede their development of a secure sense of identity. These challenges are linked to systemic imbalances, insufficient racial representation in the workforce, and an ongoing lack of culturally responsive practice (Hackney Council, 2021; Ali, 2020). The following recommendations aim to address these concerns at both policy and practice levels, ensuring that cultural identity is viewed as a critical element of children’s well being rather than an optional or secondary consideration.</w:t>
      </w:r>
      <w:r>
        <w:rPr>
          <w:rtl w:val="off"/>
          <w:lang w:val="en-US"/>
        </w:rPr>
        <w:t xml:space="preserve"> </w:t>
      </w:r>
    </w:p>
    <w:p w14:paraId="00000145">
      <w:pPr>
        <w:rPr>
          <w:lang w:val="en-US"/>
        </w:rPr>
      </w:pPr>
    </w:p>
    <w:p w14:paraId="00000146">
      <w:pPr>
        <w:pStyle w:val="Heading1"/>
        <w:rPr>
          <w:rFonts w:ascii="Aptos" w:hAnsi="Aptos"/>
          <w:sz w:val="28"/>
          <w:szCs w:val="28"/>
        </w:rPr>
      </w:pPr>
      <w:bookmarkStart w:id="32" w:name="_Toc212114117"/>
      <w:r>
        <w:rPr>
          <w:rFonts w:ascii="Aptos" w:hAnsi="Aptos"/>
          <w:sz w:val="28"/>
          <w:szCs w:val="28"/>
        </w:rPr>
        <w:t>5.2.1 – Recommendation 1</w:t>
      </w:r>
      <w:bookmarkEnd w:id="32"/>
      <w:r>
        <w:rPr>
          <w:rFonts w:ascii="Aptos" w:hAnsi="Aptos"/>
          <w:sz w:val="28"/>
          <w:szCs w:val="28"/>
        </w:rPr>
        <w:t xml:space="preserve"> </w:t>
      </w:r>
    </w:p>
    <w:p w14:paraId="00000147">
      <w:pPr>
        <w:pStyle w:val="Heading1"/>
        <w:rPr>
          <w:rFonts w:ascii="Aptos" w:hAnsi="Aptos"/>
          <w:sz w:val="28"/>
          <w:szCs w:val="28"/>
        </w:rPr>
      </w:pPr>
    </w:p>
    <w:p w14:paraId="00000148">
      <w:pPr>
        <w:pStyle w:val="BodyText"/>
        <w:bidi w:val="off"/>
        <w:rPr>
          <w:lang w:val="en-US"/>
        </w:rPr>
      </w:pPr>
      <w:r>
        <w:rPr>
          <w:rtl w:val="off"/>
          <w:lang w:val="en-US"/>
        </w:rPr>
        <w:t>The first recommendation is to strengthen cultural competence and anti racist training across all areas of social care practice. Although cultural competence is highlighted within national guidelines, the literature indicates that existing approaches are inconsistent and frequently superficial (Lokugamage et al., 2021). Many training programmes emphasise general cultural knowledge without addressing the specific experiences of Black children or the historical and structural factors influencing their lives (Silverio et al., 2022). To improve outcomes, cultural competence training must become mandatory, continuous, and grounded in anti racist principles (Sue et al., 2009). This involves equipping practitioners with a deeper understanding of racial trauma, implicit bias, and the unintended harm institutional behaviours can inflict on Black children (Bansal et al., 2022). Training should also incorporate practical cultural knowledge, including Black hair care, community networks, and culturally specific communication styles (Moore et al., 2022). As highlighted in the thematic analysis, when Black children do not feel understood or culturally recognised, they are more likely to experience identity uncertainty, low self esteem, and a weakened sense of belonging (Edwards et al., 2023). Improved training can therefore bridge a critical gap in practice.</w:t>
      </w:r>
    </w:p>
    <w:p w14:paraId="00000149">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lang w:val="en-US"/>
        </w:rPr>
        <w:br w:type="textWrapping"/>
      </w:r>
    </w:p>
    <w:p w14:paraId="0000014A">
      <w:pPr>
        <w:pStyle w:val="Heading1"/>
        <w:rPr>
          <w:rFonts w:ascii="Aptos" w:hAnsi="Aptos"/>
          <w:sz w:val="28"/>
          <w:szCs w:val="28"/>
          <w:lang w:val="en-US"/>
        </w:rPr>
      </w:pPr>
    </w:p>
    <w:p w14:paraId="0000014B">
      <w:pPr>
        <w:pStyle w:val="Heading1"/>
        <w:rPr>
          <w:rFonts w:ascii="Aptos" w:hAnsi="Aptos"/>
          <w:sz w:val="28"/>
          <w:szCs w:val="28"/>
        </w:rPr>
      </w:pPr>
    </w:p>
    <w:p w14:paraId="0000014C">
      <w:pPr>
        <w:pStyle w:val="Heading1"/>
        <w:rPr>
          <w:rFonts w:ascii="Aptos" w:hAnsi="Aptos"/>
          <w:sz w:val="28"/>
          <w:szCs w:val="28"/>
        </w:rPr>
      </w:pPr>
      <w:bookmarkStart w:id="33" w:name="_Toc212114118"/>
      <w:r>
        <w:rPr>
          <w:rFonts w:ascii="Aptos" w:hAnsi="Aptos"/>
          <w:sz w:val="28"/>
          <w:szCs w:val="28"/>
        </w:rPr>
        <w:t>5.2.2 – Recommendation 2</w:t>
      </w:r>
      <w:bookmarkEnd w:id="33"/>
      <w:r>
        <w:rPr>
          <w:rFonts w:ascii="Aptos" w:hAnsi="Aptos"/>
          <w:sz w:val="28"/>
          <w:szCs w:val="28"/>
        </w:rPr>
        <w:t xml:space="preserve"> </w:t>
      </w:r>
    </w:p>
    <w:p w14:paraId="0000014D">
      <w:pPr>
        <w:pStyle w:val="Heading1"/>
        <w:rPr>
          <w:rFonts w:ascii="Aptos" w:hAnsi="Aptos"/>
          <w:sz w:val="28"/>
          <w:szCs w:val="28"/>
        </w:rPr>
      </w:pPr>
    </w:p>
    <w:p w14:paraId="0000014E">
      <w:pPr>
        <w:pStyle w:val="BodyText"/>
        <w:bidi w:val="off"/>
        <w:rPr>
          <w:lang w:val="en-US"/>
        </w:rPr>
      </w:pPr>
      <w:r>
        <w:rPr>
          <w:rtl w:val="off"/>
          <w:lang w:val="en-US"/>
        </w:rPr>
        <w:t>The second recommendation is to prioritise the recruitment and retention of Black foster carers and social workers. The dissertation’s findings demonstrate a significant shortage of racial representation within the workforce, contributing to the identity challenges faced by Black children (Salsberg et al., 2021). Many children are placed with carers who lack cultural understanding, limiting opportunities for positive racial socialisation and contributing to cultural isolation (Shen et al., 2018). Increasing the number of Black foster carers and practitioners would improve the likelihood of culturally responsive placements and enhance the quality of care. Recruitment initiatives must intentionally engage Black communities, faith based organisations, and cultural associations, while retention initiatives should address workplace discrimination, limited progression opportunities, and burnout (Roberts, 2022). A more representative workforce would provide Black children with visible role models, strengthen their self esteem, and support more coherent identity development (Barn, 2019).</w:t>
      </w:r>
    </w:p>
    <w:p w14:paraId="0000014F">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lang w:val="en-US"/>
        </w:rPr>
        <w:br w:type="textWrapping"/>
      </w:r>
    </w:p>
    <w:p w14:paraId="00000150">
      <w:pPr>
        <w:pStyle w:val="Heading1"/>
        <w:rPr>
          <w:rFonts w:ascii="Aptos" w:hAnsi="Aptos"/>
          <w:sz w:val="28"/>
          <w:szCs w:val="28"/>
          <w:lang w:val="en-US"/>
        </w:rPr>
      </w:pPr>
    </w:p>
    <w:p w14:paraId="00000151">
      <w:pPr>
        <w:pStyle w:val="Heading1"/>
        <w:rPr>
          <w:rFonts w:ascii="Aptos" w:hAnsi="Aptos"/>
          <w:sz w:val="28"/>
          <w:szCs w:val="28"/>
        </w:rPr>
      </w:pPr>
    </w:p>
    <w:p w14:paraId="00000152">
      <w:pPr>
        <w:pStyle w:val="Heading1"/>
        <w:rPr>
          <w:rFonts w:ascii="Aptos" w:hAnsi="Aptos"/>
          <w:sz w:val="28"/>
          <w:szCs w:val="28"/>
        </w:rPr>
      </w:pPr>
      <w:bookmarkStart w:id="34" w:name="_Toc212114119"/>
      <w:r>
        <w:rPr>
          <w:rFonts w:ascii="Aptos" w:hAnsi="Aptos"/>
          <w:sz w:val="28"/>
          <w:szCs w:val="28"/>
        </w:rPr>
        <w:t>5.2.3 – Recommendation 3</w:t>
      </w:r>
      <w:bookmarkEnd w:id="34"/>
      <w:r>
        <w:rPr>
          <w:rFonts w:ascii="Aptos" w:hAnsi="Aptos"/>
          <w:sz w:val="28"/>
          <w:szCs w:val="28"/>
        </w:rPr>
        <w:t xml:space="preserve"> </w:t>
      </w:r>
    </w:p>
    <w:p w14:paraId="00000153">
      <w:pPr>
        <w:pStyle w:val="Heading1"/>
        <w:rPr>
          <w:rFonts w:ascii="Aptos" w:hAnsi="Aptos"/>
          <w:sz w:val="28"/>
          <w:szCs w:val="28"/>
        </w:rPr>
      </w:pPr>
    </w:p>
    <w:p w14:paraId="00000154">
      <w:pPr>
        <w:pStyle w:val="BodyText"/>
        <w:bidi w:val="off"/>
        <w:rPr>
          <w:lang w:val="en-US"/>
        </w:rPr>
      </w:pPr>
      <w:r>
        <w:rPr>
          <w:rtl w:val="off"/>
          <w:lang w:val="en-US"/>
        </w:rPr>
        <w:t>The third recommendation concerns embedding identity based decision making into all care planning processes and improving enforcement of cultural requirements during policy implementation. Although the Children Act 1989 requires practitioners to consider a child’s racial, cultural, and linguistic background, research shows that these considerations are inconsistently applied (DfE, 2018; MacAlister, 2022). Placement decisions often prioritise availability, resulting in cultural mismatches that exacerbate identity disruption (Wainwright and Ridley, 2021). To address this gap, each Looked After Child should have an Identity Support Plan outlining their cultural needs, heritage links, and identity development goals. These plans should be regularly reviewed and integrated into statutory processes to strengthen accountability. Local authorities must also justify placements that do not meet a child’s cultural needs and document efforts to secure culturally appropriate options (Ofsted, 2022). Furthermore, inspectorates su</w:t>
      </w:r>
      <w:r>
        <w:rPr>
          <w:rtl w:val="off"/>
          <w:lang w:val="en-US"/>
        </w:rPr>
        <w:t>ch as Ofsted should incorporate cultural identity indicators within their evaluation frameworks. Investment in culturally informed programmes, mentoring initiatives, and community based support structures is also essential to ensure continuity of identity even when placements are not culturally matched (Blackstock, 2016).</w:t>
      </w:r>
    </w:p>
    <w:p w14:paraId="00000155">
      <w:pPr>
        <w:pStyle w:val="BodyText"/>
        <w:bidi w:val="off"/>
        <w:rPr>
          <w:lang w:val="en-US"/>
        </w:rPr>
      </w:pPr>
      <w:r>
        <w:rPr>
          <w:rtl w:val="off"/>
          <w:lang w:val="en-US"/>
        </w:rPr>
        <w:br w:type="textWrapping"/>
      </w:r>
    </w:p>
    <w:p w14:paraId="00000156">
      <w:pPr>
        <w:pStyle w:val="BodyText"/>
        <w:bidi w:val="off"/>
        <w:rPr>
          <w:lang w:val="en-US"/>
        </w:rPr>
      </w:pPr>
      <w:r>
        <w:rPr>
          <w:rtl w:val="off"/>
          <w:lang w:val="en-US"/>
        </w:rPr>
        <w:t>Taken together, these recommendations aim to address the structural issues identified in the thematic analysis. Strengthening cultural competence, improving racial representation in the workforce, and embedding identity focused planning are fundamental steps towards building a more equitable social care system. If implemented effectively, these measures would enhance placement stability, strengthen children’s emotional well being, and empower Black looked after children to develop strong, confident identities. Such changes require a shift in organisational culture, resource allocation, and policy enforcement, but they are crucial for ensuring that Black children in care are supported with dignity, humanity, and cultural integrity.</w:t>
      </w:r>
    </w:p>
    <w:p w14:paraId="00000157">
      <w:pPr>
        <w:framePr w:w="0" w:h="0" w:vAnchor="margin" w:hAnchor="text" w:x="0" w:y="0"/>
        <w:pBdr>
          <w:top w:val="none" w:sz="4" w:space="0"/>
          <w:left w:val="none" w:sz="4" w:space="0"/>
          <w:bottom w:val="none" w:sz="4" w:space="0"/>
          <w:right w:val="none" w:sz="4" w:space="0"/>
          <w:between w:val="none" w:sz="4" w:space="0"/>
          <w:bar w:val="none" w:sz="4" w:space="0"/>
        </w:pBdr>
        <w:shd w:val="clear" w:fill="ffffff"/>
        <w:bidi w:val="off"/>
        <w:spacing w:before="0" w:after="180" w:line="240" w:lineRule="auto"/>
        <w:ind w:left="0" w:right="0" w:firstLine="0"/>
        <w:jc w:val="left"/>
        <w:rPr>
          <w:rFonts w:ascii="Times New Roman"/>
          <w:color w:val="242424"/>
          <w:sz w:val="18"/>
          <w:lang w:val="en-US"/>
        </w:rPr>
      </w:pPr>
      <w:r>
        <w:rPr>
          <w:rFonts w:ascii="Times New Roman"/>
          <w:color w:val="000000"/>
          <w:sz w:val="18"/>
          <w:rtl w:val="off"/>
          <w:lang w:val="en-US"/>
        </w:rPr>
        <w:br w:type="textWrapping"/>
      </w:r>
    </w:p>
    <w:p w14:paraId="00000158">
      <w:pPr>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240" w:lineRule="auto"/>
        <w:ind w:left="0" w:right="0" w:firstLine="0"/>
        <w:jc w:val="left"/>
        <w:rPr>
          <w:rFonts w:ascii="Segoe UI"/>
          <w:color w:val="000000"/>
          <w:sz w:val="18"/>
          <w:lang w:val="en-US"/>
        </w:rPr>
      </w:pPr>
      <w:r>
        <w:rPr>
          <w:rFonts w:ascii="Segoe UI"/>
          <w:color w:val="000000"/>
          <w:sz w:val="18"/>
          <w:lang w:val="en-US"/>
        </w:rPr>
        <w:br w:type="textWrapping"/>
      </w:r>
    </w:p>
    <w:p w14:paraId="00000159">
      <w:pPr>
        <w:rPr>
          <w:lang w:val="en-US"/>
        </w:rPr>
      </w:pPr>
    </w:p>
    <w:p w14:paraId="0000015A"/>
    <w:p w14:paraId="0000015B"/>
    <w:p w14:paraId="0000015C"/>
    <w:p w14:paraId="0000015D"/>
    <w:p w14:paraId="0000015E"/>
    <w:p w14:paraId="0000015F"/>
    <w:p w14:paraId="00000160"/>
    <w:p w14:paraId="00000161"/>
    <w:p w14:paraId="00000162"/>
    <w:p w14:paraId="00000163"/>
    <w:p w14:paraId="00000164"/>
    <w:p w14:paraId="00000165"/>
    <w:p w14:paraId="00000166"/>
    <w:p w14:paraId="00000167"/>
    <w:p w14:paraId="00000168">
      <w:pPr>
        <w:spacing w:line="259" w:lineRule="auto"/>
        <w:jc w:val="left"/>
        <w:rPr>
          <w:rFonts w:ascii="Aptos" w:cs="Calibri Light" w:eastAsia="Calibri Light" w:hAnsi="Aptos"/>
          <w:b/>
          <w:sz w:val="32"/>
          <w:szCs w:val="32"/>
          <w:lang w:bidi="en-GB" w:eastAsia="en-GB"/>
        </w:rPr>
      </w:pPr>
      <w:bookmarkStart w:id="35" w:name="_Toc212114120"/>
      <w:r>
        <w:rPr>
          <w:rFonts w:ascii="Aptos" w:hAnsi="Aptos"/>
        </w:rPr>
        <w:br w:type="page"/>
      </w:r>
    </w:p>
    <w:p w14:paraId="00000169">
      <w:pPr>
        <w:pStyle w:val="Heading1"/>
        <w:ind w:left="0"/>
        <w:rPr>
          <w:rFonts w:ascii="Aptos" w:hAnsi="Aptos"/>
        </w:rPr>
      </w:pPr>
      <w:r>
        <w:rPr>
          <w:rFonts w:ascii="Aptos" w:hAnsi="Aptos"/>
        </w:rPr>
        <w:t>C</w:t>
      </w:r>
      <w:r>
        <w:rPr>
          <w:rFonts w:ascii="Aptos" w:hAnsi="Aptos"/>
        </w:rPr>
        <w:t>HAPTER</w:t>
      </w:r>
      <w:r>
        <w:rPr>
          <w:rFonts w:ascii="Aptos" w:hAnsi="Aptos"/>
        </w:rPr>
        <w:t xml:space="preserve"> </w:t>
      </w:r>
      <w:r>
        <w:rPr>
          <w:rFonts w:ascii="Aptos" w:hAnsi="Aptos"/>
        </w:rPr>
        <w:t>6</w:t>
      </w:r>
      <w:r>
        <w:rPr>
          <w:rFonts w:ascii="Aptos" w:hAnsi="Aptos"/>
        </w:rPr>
        <w:t xml:space="preserve"> – </w:t>
      </w:r>
      <w:r>
        <w:rPr>
          <w:rFonts w:ascii="Aptos" w:hAnsi="Aptos"/>
        </w:rPr>
        <w:t>References and Appendices</w:t>
      </w:r>
      <w:bookmarkEnd w:id="35"/>
      <w:r>
        <w:rPr>
          <w:rFonts w:ascii="Aptos" w:hAnsi="Aptos"/>
        </w:rPr>
        <w:t xml:space="preserve"> </w:t>
      </w:r>
    </w:p>
    <w:p w14:paraId="0000016A"/>
    <w:p w14:paraId="0000016B">
      <w:pPr>
        <w:pStyle w:val="Heading1"/>
        <w:ind w:left="0"/>
        <w:rPr>
          <w:rFonts w:ascii="Aptos" w:hAnsi="Aptos"/>
          <w:sz w:val="28"/>
          <w:szCs w:val="28"/>
        </w:rPr>
      </w:pPr>
      <w:bookmarkStart w:id="36" w:name="_Toc212114121"/>
      <w:r>
        <w:rPr>
          <w:rFonts w:ascii="Aptos" w:hAnsi="Aptos"/>
          <w:sz w:val="28"/>
          <w:szCs w:val="28"/>
        </w:rPr>
        <w:t>6.1 – References</w:t>
      </w:r>
      <w:bookmarkEnd w:id="36"/>
      <w:r>
        <w:rPr>
          <w:rFonts w:ascii="Aptos" w:hAnsi="Aptos"/>
          <w:sz w:val="28"/>
          <w:szCs w:val="28"/>
        </w:rPr>
        <w:t xml:space="preserve"> </w:t>
      </w:r>
    </w:p>
    <w:p w14:paraId="0000016C"/>
    <w:p w14:paraId="0000016D">
      <w:r>
        <w:t>Ali, L. (2020) Race, Identity and Belonging in the Care System. London: Palgrave Macmillan.</w:t>
      </w:r>
    </w:p>
    <w:p w14:paraId="0000016E">
      <w:r>
        <w:t xml:space="preserve">Alvarez, K., Cervantes, P.E., Nelson, K.L., </w:t>
      </w:r>
      <w:r>
        <w:t>Seag</w:t>
      </w:r>
      <w:r>
        <w:t xml:space="preserve">, D.E.M., Horwitz, S.M. and </w:t>
      </w:r>
      <w:r>
        <w:t>Hoagwood</w:t>
      </w:r>
      <w:r>
        <w:t xml:space="preserve">, K.E. (2021). Review: Structural Racism, Children’s Mental Health Service Systems, and Recommendations for Policy and Practice Change. Journal of the American Academy of Child &amp; Adolescent Psychiatry, 61(9), pp.1087–1105. </w:t>
      </w:r>
      <w:r>
        <w:t>doi:https</w:t>
      </w:r>
      <w:r>
        <w:t>://doi.org/10.1016/j.jaac.2021.12.006</w:t>
      </w:r>
      <w:r>
        <w:t>.</w:t>
      </w:r>
    </w:p>
    <w:p w14:paraId="0000016F">
      <w:r>
        <w:t>Amutah</w:t>
      </w:r>
      <w:r>
        <w:t xml:space="preserve">, C., </w:t>
      </w:r>
      <w:r>
        <w:t>Greenidge</w:t>
      </w:r>
      <w:r>
        <w:t xml:space="preserve">, K., </w:t>
      </w:r>
      <w:r>
        <w:t>Mante</w:t>
      </w:r>
      <w:r>
        <w:t xml:space="preserve">, A., </w:t>
      </w:r>
      <w:r>
        <w:t>Munyikwa</w:t>
      </w:r>
      <w:r>
        <w:t xml:space="preserve">, M., Surya, S.L., Higginbotham, E., Jones, D.S., </w:t>
      </w:r>
      <w:r>
        <w:t>Lavizzo Mourey</w:t>
      </w:r>
      <w:r>
        <w:t xml:space="preserve">, R., Roberts, D., Tsai, J. and </w:t>
      </w:r>
      <w:r>
        <w:t>Aysola</w:t>
      </w:r>
      <w:r>
        <w:t xml:space="preserve">, J. (2021). Misrepresenting Race — the Role of Medical Schools in Propagating Physician Bias. New England Journal of Medicine, 384(9), pp.1–11. </w:t>
      </w:r>
      <w:r>
        <w:t>doi:https</w:t>
      </w:r>
      <w:r>
        <w:t>://doi.org/10.1056/nejmms2025768</w:t>
      </w:r>
      <w:r>
        <w:t>.</w:t>
      </w:r>
    </w:p>
    <w:p w14:paraId="00000170">
      <w:r>
        <w:t>Aryasinghe</w:t>
      </w:r>
      <w:r>
        <w:t xml:space="preserve">, S., Averill, P., </w:t>
      </w:r>
      <w:r>
        <w:t>Waithe</w:t>
      </w:r>
      <w:r>
        <w:t xml:space="preserve">, C., </w:t>
      </w:r>
      <w:r>
        <w:t>Ibuanokpe</w:t>
      </w:r>
      <w:r>
        <w:t xml:space="preserve">, S., Newby </w:t>
      </w:r>
      <w:r>
        <w:t>Mayers</w:t>
      </w:r>
      <w:r>
        <w:t xml:space="preserve">, R., </w:t>
      </w:r>
      <w:r>
        <w:t>Lakhdar</w:t>
      </w:r>
      <w:r>
        <w:t xml:space="preserve">, N., Amine </w:t>
      </w:r>
      <w:r>
        <w:t>Sylla</w:t>
      </w:r>
      <w:r>
        <w:t xml:space="preserve">, M., Cox, E., Das, S. and Mayer, E. (2024). Improving the Maternity Experience for Black, African, Caribbean and mixed Black Families in an Integrated Care system: a Multigroup Community and Interprofessional co-production Prioritisation Exercise Using Nominal Group Technique. BMJ Quality &amp; Safety, 34(5), pp.1–12. </w:t>
      </w:r>
      <w:r>
        <w:t>doi:https</w:t>
      </w:r>
      <w:r>
        <w:t>://doi.org/10.1136/bmjqs-2024-017848</w:t>
      </w:r>
      <w:r>
        <w:t>.</w:t>
      </w:r>
    </w:p>
    <w:p w14:paraId="00000171">
      <w:r>
        <w:t xml:space="preserve">Ayodeji, E., </w:t>
      </w:r>
      <w:r>
        <w:t>Dubicka</w:t>
      </w:r>
      <w:r>
        <w:t xml:space="preserve">, B., </w:t>
      </w:r>
      <w:r>
        <w:t>Abuah</w:t>
      </w:r>
      <w:r>
        <w:t xml:space="preserve">, O., </w:t>
      </w:r>
      <w:r>
        <w:t>Odebiyi</w:t>
      </w:r>
      <w:r>
        <w:t xml:space="preserve">, B., Sultana, R. and Ani, C. (2021). Editorial Perspective: Mental Health Needs of Children and Young People of Black ethnicity. 1 Is it time to reconceptualise racism as a traumatic experience? Child and Adolescent Mental Health, 26(3), pp.265–266. </w:t>
      </w:r>
      <w:r>
        <w:t>doi:https</w:t>
      </w:r>
      <w:r>
        <w:t>://doi.org/10.1111/camh.12482</w:t>
      </w:r>
      <w:r>
        <w:t>.</w:t>
      </w:r>
    </w:p>
    <w:p w14:paraId="00000172">
      <w:r>
        <w:t xml:space="preserve">Bansal, N., Karlsen, S., </w:t>
      </w:r>
      <w:r>
        <w:t>Sashidharan</w:t>
      </w:r>
      <w:r>
        <w:t xml:space="preserve">, S.P., Cohen, R., Chew-Graham, C.A. and </w:t>
      </w:r>
      <w:r>
        <w:t>Malpass</w:t>
      </w:r>
      <w:r>
        <w:t xml:space="preserve">, A. (2022). Understanding Ethnic Inequalities in Mental Healthcare in the UK: a meta-ethnography. PLOS Medicine, 19(12), pp.1–36. </w:t>
      </w:r>
      <w:r>
        <w:t>doi:https</w:t>
      </w:r>
      <w:r>
        <w:t>://doi.org/10.1371/journal.pmed.1004139</w:t>
      </w:r>
      <w:r>
        <w:t>.</w:t>
      </w:r>
    </w:p>
    <w:p w14:paraId="00000173">
      <w:r>
        <w:t>Barn, R. (2010) Care and Identity: Ethnic Minority Children in the British Care System. Bristol: Policy Press.</w:t>
      </w:r>
    </w:p>
    <w:p w14:paraId="00000174">
      <w:r>
        <w:t>Bernard, C. (2021) Working with Black Children and Families in Social Work. London: Routledge.</w:t>
      </w:r>
    </w:p>
    <w:p w14:paraId="00000175">
      <w:r>
        <w:t>Bernard, C. and Harris, P. (2019) ‘Social work with Black children and families: Anti-racist practice reconsidered’, British Journal of Social Work, 49(3), pp. 711–730. [Online] Available at: </w:t>
      </w:r>
      <w:r>
        <w:rPr>
          <w:rStyle w:val="Hyperlink"/>
        </w:rPr>
        <w:fldChar w:fldCharType="begin"/>
      </w:r>
      <w:r>
        <w:rPr>
          <w:rStyle w:val="Hyperlink"/>
        </w:rPr>
        <w:instrText xml:space="preserve">HYPERLINK "https://doi.org/10.1093/bjsw/bcy081" </w:instrText>
      </w:r>
      <w:r>
        <w:rPr>
          <w:rStyle w:val="Hyperlink"/>
        </w:rPr>
        <w:fldChar w:fldCharType="separate"/>
      </w:r>
      <w:r>
        <w:rPr>
          <w:rStyle w:val="Hyperlink"/>
        </w:rPr>
        <w:t>https://doi.org/10.1093/bjsw/bcy081</w:t>
      </w:r>
      <w:r>
        <w:fldChar w:fldCharType="end"/>
      </w:r>
      <w:r>
        <w:t> (Accessed: 23 October 2025).</w:t>
      </w:r>
    </w:p>
    <w:p w14:paraId="00000176">
      <w:r>
        <w:t xml:space="preserve">Bhopal, K. and Pitkin, C. (2020). ‘Same Old story, </w:t>
      </w:r>
      <w:r>
        <w:t>Just</w:t>
      </w:r>
      <w:r>
        <w:t xml:space="preserve"> a Different policy’: Race and Policy Making in Higher Education in the UK. Race Ethnicity and Education, 23(4), pp.1–18. </w:t>
      </w:r>
      <w:r>
        <w:t>doi:https</w:t>
      </w:r>
      <w:r>
        <w:t>://doi.org/10.1080/13613324.2020.1718082</w:t>
      </w:r>
      <w:r>
        <w:t>.</w:t>
      </w:r>
    </w:p>
    <w:p w14:paraId="00000177">
      <w:r>
        <w:t>Bowlby, J. (1969) Attachment and Loss: Vol. 1 Attachment. London: Hogarth Press.</w:t>
      </w:r>
    </w:p>
    <w:p w14:paraId="00000178">
      <w:r>
        <w:t>Bywaters</w:t>
      </w:r>
      <w:r>
        <w:t>, P. et al. (2017) ‘Explaining the “inverse intervention law” in child welfare’, Children and Youth Services Review, 81, pp. 156–169. [Online] Available at: </w:t>
      </w:r>
      <w:r>
        <w:rPr>
          <w:rStyle w:val="Hyperlink"/>
        </w:rPr>
        <w:fldChar w:fldCharType="begin"/>
      </w:r>
      <w:r>
        <w:rPr>
          <w:rStyle w:val="Hyperlink"/>
        </w:rPr>
        <w:instrText xml:space="preserve">HYPERLINK "https://doi.org/10.1016/j.childyouth.2017.08.008" </w:instrText>
      </w:r>
      <w:r>
        <w:rPr>
          <w:rStyle w:val="Hyperlink"/>
        </w:rPr>
        <w:fldChar w:fldCharType="separate"/>
      </w:r>
      <w:r>
        <w:rPr>
          <w:rStyle w:val="Hyperlink"/>
        </w:rPr>
        <w:t>https://doi.org/10.1016/j.childyouth.2017.08.008</w:t>
      </w:r>
      <w:r>
        <w:fldChar w:fldCharType="end"/>
      </w:r>
      <w:r>
        <w:t> (Accessed: 23 October 2025).</w:t>
      </w:r>
    </w:p>
    <w:p w14:paraId="00000179">
      <w:r>
        <w:t>Bywaters</w:t>
      </w:r>
      <w:r>
        <w:t xml:space="preserve">, P., </w:t>
      </w:r>
      <w:r>
        <w:t>Kwhali</w:t>
      </w:r>
      <w:r>
        <w:t xml:space="preserve">, J., Brady, G., Sparks, T. and Bos, E. (2016). Out of Sight, out of Mind: Ethnic Inequalities in Child Protection and Out-of-Home Care Intervention Rates. British Journal of Social Work, 47(7), pp.1884–1902. </w:t>
      </w:r>
      <w:r>
        <w:t>doi:https</w:t>
      </w:r>
      <w:r>
        <w:t>://doi.org/10.1093/</w:t>
      </w:r>
      <w:r>
        <w:t>bjsw</w:t>
      </w:r>
      <w:r>
        <w:t>/bcw165</w:t>
      </w:r>
      <w:r>
        <w:t>.</w:t>
      </w:r>
    </w:p>
    <w:p w14:paraId="0000017A">
      <w:r>
        <w:t>Children Act 1989. [Online] Available at: </w:t>
      </w:r>
      <w:r>
        <w:rPr>
          <w:rStyle w:val="Hyperlink"/>
        </w:rPr>
        <w:fldChar w:fldCharType="begin"/>
      </w:r>
      <w:r>
        <w:rPr>
          <w:rStyle w:val="Hyperlink"/>
        </w:rPr>
        <w:instrText xml:space="preserve">HYPERLINK "https://www.legislation.gov.uk/ukpga/1989/41/contents" </w:instrText>
      </w:r>
      <w:r>
        <w:rPr>
          <w:rStyle w:val="Hyperlink"/>
        </w:rPr>
        <w:fldChar w:fldCharType="separate"/>
      </w:r>
      <w:r>
        <w:rPr>
          <w:rStyle w:val="Hyperlink"/>
        </w:rPr>
        <w:t>https://www.legislation.gov.uk/ukpga/1989/41/contents</w:t>
      </w:r>
      <w:r>
        <w:fldChar w:fldCharType="end"/>
      </w:r>
      <w:r>
        <w:t> (Accessed: 23 October 2025).</w:t>
      </w:r>
    </w:p>
    <w:p w14:paraId="0000017B">
      <w:r>
        <w:t>Children’s Commissioner (2022) Children in Care and Care Leavers 2022. [Online] Available at: </w:t>
      </w:r>
      <w:r>
        <w:rPr>
          <w:rStyle w:val="Hyperlink"/>
        </w:rPr>
        <w:fldChar w:fldCharType="begin"/>
      </w:r>
      <w:r>
        <w:rPr>
          <w:rStyle w:val="Hyperlink"/>
        </w:rPr>
        <w:instrText xml:space="preserve">HYPERLINK "https://www.childrenscommissioner.gov.uk/" </w:instrText>
      </w:r>
      <w:r>
        <w:rPr>
          <w:rStyle w:val="Hyperlink"/>
        </w:rPr>
        <w:fldChar w:fldCharType="separate"/>
      </w:r>
      <w:r>
        <w:rPr>
          <w:rStyle w:val="Hyperlink"/>
        </w:rPr>
        <w:t>https://www.childrenscommissioner.gov.uk</w:t>
      </w:r>
      <w:r>
        <w:fldChar w:fldCharType="end"/>
      </w:r>
      <w:r>
        <w:t> (Accessed: 23 October 2025).</w:t>
      </w:r>
    </w:p>
    <w:p w14:paraId="0000017C">
      <w:r>
        <w:t>Crenshaw, K. (1991) ‘Mapping the margins’, Stanford Law Review, 43(6), pp. 1241–1299.</w:t>
      </w:r>
    </w:p>
    <w:p w14:paraId="0000017D">
      <w:r>
        <w:t xml:space="preserve">Crenshaw, N., Lewis, L. and Foronda, C.L. (2025). Racism in Clinical Nursing practice: </w:t>
      </w:r>
      <w:r>
        <w:t>a</w:t>
      </w:r>
      <w:r>
        <w:t xml:space="preserve"> Qualitative Study. BMC Nursing, 24(1), pp.1–10. </w:t>
      </w:r>
      <w:r>
        <w:t>doi:https</w:t>
      </w:r>
      <w:r>
        <w:t>://doi.org/10.1186/s12912-024-02521-8</w:t>
      </w:r>
      <w:r>
        <w:t>.</w:t>
      </w:r>
    </w:p>
    <w:p w14:paraId="0000017E">
      <w:r>
        <w:t>Dababnah</w:t>
      </w:r>
      <w:r>
        <w:t xml:space="preserve">, S., </w:t>
      </w:r>
      <w:r>
        <w:t>Shaia</w:t>
      </w:r>
      <w:r>
        <w:t xml:space="preserve">, W.E., Campion, K. and Nichols, H.M. (2018). ‘We Had to Keep Pushing’: Caregivers’ Perspectives on Autism Screening and Referral Practices of Black Children in Primary Care. Intellectual and Developmental Disabilities, 56(5), pp.321–336. </w:t>
      </w:r>
      <w:r>
        <w:t>doi:https</w:t>
      </w:r>
      <w:r>
        <w:t>://doi.org/10.1352/1934-9556-56.5.321</w:t>
      </w:r>
      <w:r>
        <w:t>.</w:t>
      </w:r>
    </w:p>
    <w:p w14:paraId="0000017F">
      <w:r>
        <w:t>Department for Education (DfE) (2018) Working Together to Safeguard Children. [Online] Available at: </w:t>
      </w:r>
      <w:r>
        <w:rPr>
          <w:rStyle w:val="Hyperlink"/>
        </w:rPr>
        <w:fldChar w:fldCharType="begin"/>
      </w:r>
      <w:r>
        <w:rPr>
          <w:rStyle w:val="Hyperlink"/>
        </w:rPr>
        <w:instrText xml:space="preserve">HYPERLINK "https://www.gov.uk/" </w:instrText>
      </w:r>
      <w:r>
        <w:rPr>
          <w:rStyle w:val="Hyperlink"/>
        </w:rPr>
        <w:fldChar w:fldCharType="separate"/>
      </w:r>
      <w:r>
        <w:rPr>
          <w:rStyle w:val="Hyperlink"/>
        </w:rPr>
        <w:t>https://www.gov.uk</w:t>
      </w:r>
      <w:r>
        <w:fldChar w:fldCharType="end"/>
      </w:r>
      <w:r>
        <w:t> (Accessed: 23 October 2025).</w:t>
      </w:r>
    </w:p>
    <w:p w14:paraId="00000180">
      <w:r>
        <w:t xml:space="preserve">Devonport, T.J., Ward, G., Morrissey, H., Burt, C., Harris, J., Burt, S., Patel, R., Manning, R., Paredes, R. and Nicholls, W. (2022). A Systematic Review of Inequalities in the Mental Health Experiences of Black African, Black Caribbean and Black-mixed UK Populations: Implications for Action. Journal of Racial and Ethnic Health Disparities, 10(4), pp.1669–1681. </w:t>
      </w:r>
      <w:r>
        <w:t>doi:https</w:t>
      </w:r>
      <w:r>
        <w:t>://doi.org/10.1007/s40615-022-01352-0</w:t>
      </w:r>
      <w:r>
        <w:t>.</w:t>
      </w:r>
    </w:p>
    <w:p w14:paraId="00000181">
      <w:r>
        <w:t xml:space="preserve">Edwards, T., Clarke, M.K. and </w:t>
      </w:r>
      <w:r>
        <w:t>Laylor</w:t>
      </w:r>
      <w:r>
        <w:t xml:space="preserve">, A. (2023). ‘It’s Not a System of Care’: Black Youth’s Stories of Family Separation and Anti-Black Racism in Ontario’s Child Welfare System. Journal of Black Studies, 55(3), pp.232–252. </w:t>
      </w:r>
      <w:r>
        <w:t>doi:https</w:t>
      </w:r>
      <w:r>
        <w:t>://doi.org/10.1177/00219347231220677</w:t>
      </w:r>
      <w:r>
        <w:t>.</w:t>
      </w:r>
    </w:p>
    <w:p w14:paraId="00000182">
      <w:r>
        <w:t>Egede</w:t>
      </w:r>
      <w:r>
        <w:t xml:space="preserve">, L.E., Walker, R.J. and Williams, J.S. (2023). Addressing Structural Inequalities, Structural Racism, and Social Determinants of Health: </w:t>
      </w:r>
      <w:r>
        <w:t>a</w:t>
      </w:r>
      <w:r>
        <w:t xml:space="preserve"> Vision for the Future. Journal of General Internal Medicine, 39(3), pp.487–491. </w:t>
      </w:r>
      <w:r>
        <w:t>doi:https</w:t>
      </w:r>
      <w:r>
        <w:t>://doi.org/10.1007/s11606-023-08426-7</w:t>
      </w:r>
      <w:r>
        <w:t>.</w:t>
      </w:r>
    </w:p>
    <w:p w14:paraId="00000183">
      <w:r>
        <w:t>Equality Act 2010. [Online] Available at: </w:t>
      </w:r>
      <w:r>
        <w:rPr>
          <w:rStyle w:val="Hyperlink"/>
        </w:rPr>
        <w:fldChar w:fldCharType="begin"/>
      </w:r>
      <w:r>
        <w:rPr>
          <w:rStyle w:val="Hyperlink"/>
        </w:rPr>
        <w:instrText xml:space="preserve">HYPERLINK "https://www.legislation.gov.uk/ukpga/2010/15/contents" </w:instrText>
      </w:r>
      <w:r>
        <w:rPr>
          <w:rStyle w:val="Hyperlink"/>
        </w:rPr>
        <w:fldChar w:fldCharType="separate"/>
      </w:r>
      <w:r>
        <w:rPr>
          <w:rStyle w:val="Hyperlink"/>
        </w:rPr>
        <w:t>https://www.legislation.gov.uk/ukpga/2010/15/contents</w:t>
      </w:r>
      <w:r>
        <w:fldChar w:fldCharType="end"/>
      </w:r>
      <w:r>
        <w:t> (Accessed: 23 October 2025).</w:t>
      </w:r>
    </w:p>
    <w:p w14:paraId="00000184">
      <w:r>
        <w:t xml:space="preserve">Fair, F., Furness, A., Higginbottom, G., </w:t>
      </w:r>
      <w:r>
        <w:t>Oddie</w:t>
      </w:r>
      <w:r>
        <w:t xml:space="preserve">, S. and </w:t>
      </w:r>
      <w:r>
        <w:t>Soltani</w:t>
      </w:r>
      <w:r>
        <w:t xml:space="preserve">, H. (2025). Parent’s Experiences of the Impact of Ethnicity and Skin Pigmentation on Perinatal care. Ethnicity &amp; Health, 30(5), pp.1–21. </w:t>
      </w:r>
      <w:r>
        <w:t>doi:https</w:t>
      </w:r>
      <w:r>
        <w:t>://doi.org/10.1080/13557858.2025.2488893</w:t>
      </w:r>
      <w:r>
        <w:t>.</w:t>
      </w:r>
    </w:p>
    <w:p w14:paraId="00000185">
      <w:r>
        <w:t>Hackney Council (2021) Recruiting Black Foster Carers. [Online] Available at: </w:t>
      </w:r>
      <w:r>
        <w:rPr>
          <w:rStyle w:val="Hyperlink"/>
        </w:rPr>
        <w:fldChar w:fldCharType="begin"/>
      </w:r>
      <w:r>
        <w:rPr>
          <w:rStyle w:val="Hyperlink"/>
        </w:rPr>
        <w:instrText xml:space="preserve">HYPERLINK "https://www.hackney.gov.uk/" </w:instrText>
      </w:r>
      <w:r>
        <w:rPr>
          <w:rStyle w:val="Hyperlink"/>
        </w:rPr>
        <w:fldChar w:fldCharType="separate"/>
      </w:r>
      <w:r>
        <w:rPr>
          <w:rStyle w:val="Hyperlink"/>
        </w:rPr>
        <w:t>https://www.hackney.gov.uk</w:t>
      </w:r>
      <w:r>
        <w:fldChar w:fldCharType="end"/>
      </w:r>
      <w:r>
        <w:t> (Accessed: 23 October 2025).</w:t>
      </w:r>
    </w:p>
    <w:p w14:paraId="00000186">
      <w:r>
        <w:t xml:space="preserve">Hall, W.J., Chapman, M.V., Lee, K.M., Merino, Y.M., Thomas, T.W., Payne, B.K., </w:t>
      </w:r>
      <w:r>
        <w:t>Eng</w:t>
      </w:r>
      <w:r>
        <w:t xml:space="preserve">, E., Day, S.H. and Coyne-Beasley, T. (2015). Implicit Racial/Ethnic Bias among Health Care Professionals and Its Influence on Health Care Outcomes: </w:t>
      </w:r>
      <w:r>
        <w:t>a</w:t>
      </w:r>
      <w:r>
        <w:t xml:space="preserve"> Systematic Review. American Journal of Public Health, 105(12), pp.60–76. </w:t>
      </w:r>
      <w:r>
        <w:t>doi:https</w:t>
      </w:r>
      <w:r>
        <w:t>://doi.org/10.2105/ajph.2015.302903</w:t>
      </w:r>
      <w:r>
        <w:t>.</w:t>
      </w:r>
    </w:p>
    <w:p w14:paraId="00000187">
      <w:r>
        <w:t xml:space="preserve">Hamed, S., Bradby, H., </w:t>
      </w:r>
      <w:r>
        <w:t>Ahlberg</w:t>
      </w:r>
      <w:r>
        <w:t>, B.M. and Thapar-</w:t>
      </w:r>
      <w:r>
        <w:t>Björkert</w:t>
      </w:r>
      <w:r>
        <w:t xml:space="preserve">, S. (2022). Racism in healthcare: </w:t>
      </w:r>
      <w:r>
        <w:t>a</w:t>
      </w:r>
      <w:r>
        <w:t xml:space="preserve"> Scoping Review. BMC Public Health, 22(988), pp.1–11. </w:t>
      </w:r>
      <w:r>
        <w:t>doi:https</w:t>
      </w:r>
      <w:r>
        <w:t>://doi.org/10.1186/s12889-022-13122-y</w:t>
      </w:r>
      <w:r>
        <w:t>.</w:t>
      </w:r>
    </w:p>
    <w:p w14:paraId="00000188">
      <w:r>
        <w:t>Hamed, S., Thapar-</w:t>
      </w:r>
      <w:r>
        <w:t>Björkert</w:t>
      </w:r>
      <w:r>
        <w:t xml:space="preserve">, S., Bradby, H. and </w:t>
      </w:r>
      <w:r>
        <w:t>Ahlberg</w:t>
      </w:r>
      <w:r>
        <w:t xml:space="preserve">, B.M. (2020). Racism in European Health Care: Structural Violence and beyond. Qualitative Health Research, 30(11), pp.1662–1673. </w:t>
      </w:r>
      <w:r>
        <w:t>doi:https</w:t>
      </w:r>
      <w:r>
        <w:t>://doi.org/10.1177/1049732320931430</w:t>
      </w:r>
      <w:r>
        <w:t>.</w:t>
      </w:r>
    </w:p>
    <w:p w14:paraId="00000189">
      <w:r>
        <w:t>Harris, P. and Allen, R. (2021) ‘Cultural competence in child welfare practice’, Child &amp; Family Social Work, 26(4), pp. 654–665.</w:t>
      </w:r>
    </w:p>
    <w:p w14:paraId="0000018A">
      <w:r>
        <w:t xml:space="preserve">Hassen, N., </w:t>
      </w:r>
      <w:r>
        <w:t>Lofters</w:t>
      </w:r>
      <w:r>
        <w:t xml:space="preserve">, A., Michael, S., Mall, A., Pinto, A.D. and </w:t>
      </w:r>
      <w:r>
        <w:t>Rackal</w:t>
      </w:r>
      <w:r>
        <w:t xml:space="preserve">, J. (2021). Implementing Anti-Racism Interventions in Healthcare Settings: </w:t>
      </w:r>
      <w:r>
        <w:t>a</w:t>
      </w:r>
      <w:r>
        <w:t xml:space="preserve"> Scoping Review. International Journal of Environmental Research and Public Health, 18(6), pp.1–11. </w:t>
      </w:r>
      <w:r>
        <w:t>doi:https</w:t>
      </w:r>
      <w:r>
        <w:t>://doi.org/10.3390/ijerph18062993</w:t>
      </w:r>
      <w:r>
        <w:t>.</w:t>
      </w:r>
    </w:p>
    <w:p w14:paraId="0000018B">
      <w:r>
        <w:t xml:space="preserve">Herbert, K., </w:t>
      </w:r>
      <w:r>
        <w:t>Herlitz</w:t>
      </w:r>
      <w:r>
        <w:t xml:space="preserve">, L., Woodman, J., Powell, C. and Morris, S. (2024). Patient and Caregiver Characteristics Associated with Differential Use of Primary Care for Children and Young </w:t>
      </w:r>
      <w:r>
        <w:t xml:space="preserve">People in the UK: </w:t>
      </w:r>
      <w:r>
        <w:t>a</w:t>
      </w:r>
      <w:r>
        <w:t xml:space="preserve"> Scoping Review. BMJ Open, 14(5), </w:t>
      </w:r>
      <w:r>
        <w:t>p.e</w:t>
      </w:r>
      <w:r>
        <w:t xml:space="preserve">078505. </w:t>
      </w:r>
      <w:r>
        <w:t>doi:https</w:t>
      </w:r>
      <w:r>
        <w:t>://doi.org/10.1136/bmjopen-2023-078505</w:t>
      </w:r>
      <w:r>
        <w:t>.</w:t>
      </w:r>
    </w:p>
    <w:p w14:paraId="0000018C">
      <w:r>
        <w:t>Herlitz</w:t>
      </w:r>
      <w:r>
        <w:t xml:space="preserve">, L., Ashford, E., Powell, C., Herbert, K., Morris, S. and Woodman, J. (2024). Access to Primary Care for Children and Young People (CYP) in the UK: </w:t>
      </w:r>
      <w:r>
        <w:t>a</w:t>
      </w:r>
      <w:r>
        <w:t xml:space="preserve"> Scoping Review of CYP’s, Caregivers’ and Healthcare Professionals’ Views and Experiences of Facilitators and Barriers. BMJ Open, 14(5), </w:t>
      </w:r>
      <w:r>
        <w:t>p.e</w:t>
      </w:r>
      <w:r>
        <w:t xml:space="preserve">081620. </w:t>
      </w:r>
      <w:r>
        <w:t>doi:https</w:t>
      </w:r>
      <w:r>
        <w:t>://doi.org/10.1136/bmjopen-2023-081620</w:t>
      </w:r>
      <w:r>
        <w:t>.</w:t>
      </w:r>
    </w:p>
    <w:p w14:paraId="0000018D">
      <w:r>
        <w:t xml:space="preserve">Hui, A., Latif, A., </w:t>
      </w:r>
      <w:r>
        <w:t>Hinsliff</w:t>
      </w:r>
      <w:r>
        <w:t xml:space="preserve">-Smith, K. and Chen, T. (2020). Exploring the Impacts of Organisational structure, Policy and Practice on the Health Inequalities of Marginalised communities: Illustrative Cases from the UK Healthcare System. Health Policy (Amsterdam, Netherlands), 124(3), pp.298–302. </w:t>
      </w:r>
      <w:r>
        <w:t>doi:https</w:t>
      </w:r>
      <w:r>
        <w:t>://doi.org/10.1016/j.healthpol.2020.01.003</w:t>
      </w:r>
      <w:r>
        <w:t>.</w:t>
      </w:r>
    </w:p>
    <w:p w14:paraId="0000018E">
      <w:r>
        <w:t>Iruka, I.U., Durden, T.R., Gardner-</w:t>
      </w:r>
      <w:r>
        <w:t>Neblett</w:t>
      </w:r>
      <w:r>
        <w:t xml:space="preserve">, N., </w:t>
      </w:r>
      <w:r>
        <w:t>Ibekwe</w:t>
      </w:r>
      <w:r>
        <w:t xml:space="preserve">-Okafor, N., </w:t>
      </w:r>
      <w:r>
        <w:t>Sansbury</w:t>
      </w:r>
      <w:r>
        <w:t xml:space="preserve">, A. and Telfer, N.A. (2021). Attending to the Adversity of Racism against Young Black Children. Policy Insights from the </w:t>
      </w:r>
      <w:r>
        <w:t>Behavioral</w:t>
      </w:r>
      <w:r>
        <w:t xml:space="preserve"> and Brain Sciences, 8(2), pp.175–182. </w:t>
      </w:r>
      <w:r>
        <w:t>doi:https</w:t>
      </w:r>
      <w:r>
        <w:t>://doi.org/10.1177/23727322211029313</w:t>
      </w:r>
      <w:r>
        <w:t>.</w:t>
      </w:r>
    </w:p>
    <w:p w14:paraId="0000018F">
      <w:r>
        <w:t xml:space="preserve">Johnson, K.S., Bullock, K., Smith, C.B., </w:t>
      </w:r>
      <w:r>
        <w:t>Ejem</w:t>
      </w:r>
      <w:r>
        <w:t xml:space="preserve">, D.B., Barrett, N.J., Preston, A., Bethea, K., Hasan, M. and Rhodes, R.L. (2025). Evaluation of Reporting of Race and Ethnicity in Hospice and Palliative Care Research. Journal of Palliative Medicine, 28(6), pp.1–10. </w:t>
      </w:r>
      <w:r>
        <w:t>doi:https</w:t>
      </w:r>
      <w:r>
        <w:t>://doi.org/10.1089/jpm.2023.0694</w:t>
      </w:r>
      <w:r>
        <w:t>.</w:t>
      </w:r>
    </w:p>
    <w:p w14:paraId="00000190">
      <w:r>
        <w:t xml:space="preserve">Jones, M.N., </w:t>
      </w:r>
      <w:r>
        <w:t>Falade</w:t>
      </w:r>
      <w:r>
        <w:t xml:space="preserve">, E., Primack, I., Liu, C., </w:t>
      </w:r>
      <w:r>
        <w:t>Lipps</w:t>
      </w:r>
      <w:r>
        <w:t xml:space="preserve">, L., Ehrlich, S., Beck, A.F., Copeland, K., Burkhardt, M.C., DeBlasio, D.J. and Corley, A.M.S. (2024). The Impact of Structural Racism on Continuity of Care at </w:t>
      </w:r>
      <w:r>
        <w:t>Pediatric</w:t>
      </w:r>
      <w:r>
        <w:t xml:space="preserve"> Academic Primary Care Clinics. Academic </w:t>
      </w:r>
      <w:r>
        <w:t>Pediatrics</w:t>
      </w:r>
      <w:r>
        <w:t xml:space="preserve">, 24(7), pp.1116–1123. </w:t>
      </w:r>
      <w:r>
        <w:t>doi:https</w:t>
      </w:r>
      <w:r>
        <w:t>://doi.org/10.1016/j.acap.2024.05.011</w:t>
      </w:r>
      <w:r>
        <w:t>.</w:t>
      </w:r>
    </w:p>
    <w:p w14:paraId="00000191">
      <w:r>
        <w:t xml:space="preserve">Khan, N., Hafeez, D., </w:t>
      </w:r>
      <w:r>
        <w:t>Goolamallee</w:t>
      </w:r>
      <w:r>
        <w:t xml:space="preserve">, T., Arora, A., Smith, W., Shankar, R. and Dave, S. (2023). Racial Microaggressions in Healthcare Settings: </w:t>
      </w:r>
      <w:r>
        <w:t>a</w:t>
      </w:r>
      <w:r>
        <w:t xml:space="preserve"> Scoping Review. </w:t>
      </w:r>
      <w:r>
        <w:t>BJPsych</w:t>
      </w:r>
      <w:r>
        <w:t xml:space="preserve"> Open, 9(S1), </w:t>
      </w:r>
      <w:r>
        <w:t>pp.S</w:t>
      </w:r>
      <w:r>
        <w:t xml:space="preserve">7–S8. </w:t>
      </w:r>
      <w:r>
        <w:t>doi:https</w:t>
      </w:r>
      <w:r>
        <w:t>://doi.org/10.1192/bjo.2023.97</w:t>
      </w:r>
      <w:r>
        <w:t>.</w:t>
      </w:r>
    </w:p>
    <w:p w14:paraId="00000192">
      <w:r>
        <w:t xml:space="preserve">Lawrence, V., McCombie, C., Nikolakopoulos, G. and Morgan, C. (2021). Navigating the Mental Health system: Narratives of Identity and Recovery among People with Psychosis across Ethnic Groups. Social Science &amp; Medicine (1982), 279(1), pp.1–9. </w:t>
      </w:r>
      <w:r>
        <w:t>doi:https</w:t>
      </w:r>
      <w:r>
        <w:t>://doi.org/10.1016/j.socscimed.2021.113981</w:t>
      </w:r>
      <w:r>
        <w:t>.</w:t>
      </w:r>
    </w:p>
    <w:p w14:paraId="00000193">
      <w:r>
        <w:t xml:space="preserve">Litchfield, I., Harper, L., Syed, M., Dutton, F., </w:t>
      </w:r>
      <w:r>
        <w:t>Melyda</w:t>
      </w:r>
      <w:r>
        <w:t xml:space="preserve">, M., </w:t>
      </w:r>
      <w:r>
        <w:t>Wolhuter</w:t>
      </w:r>
      <w:r>
        <w:t xml:space="preserve">, C. and Bird, C. (2025). Understanding the Influence of leadership, organisation, and Policy on Delivering an Integrated Child Health and Social Care Service in Community settings: a qualitative </w:t>
      </w:r>
      <w:r>
        <w:t xml:space="preserve">Exploration Using the SELFIE Framework. Health Policy, 0(0), pp.1–9. </w:t>
      </w:r>
      <w:r>
        <w:t>doi:https</w:t>
      </w:r>
      <w:r>
        <w:t>://doi.org/10.1016/j.healthpol.2025.105335</w:t>
      </w:r>
      <w:r>
        <w:t>.</w:t>
      </w:r>
    </w:p>
    <w:p w14:paraId="00000194">
      <w:r>
        <w:t>Lokugamage</w:t>
      </w:r>
      <w:r>
        <w:t xml:space="preserve">, A.U., Rix, E., Fleming, T., </w:t>
      </w:r>
      <w:r>
        <w:t>Khetan</w:t>
      </w:r>
      <w:r>
        <w:t xml:space="preserve">, T., Meredith, A. and Hastie, C.R. (2021). Translating Cultural Safety to the UK. Journal of Medical Ethics, 49(4), pp.244–251. </w:t>
      </w:r>
      <w:r>
        <w:t>doi:https</w:t>
      </w:r>
      <w:r>
        <w:t>://doi.org/10.1136/medethics-2020-107017</w:t>
      </w:r>
      <w:r>
        <w:t>.</w:t>
      </w:r>
    </w:p>
    <w:p w14:paraId="00000195">
      <w:r>
        <w:t xml:space="preserve">MacLellan, J., Collins, S., Myatt, M., Pope, C., Knighton, W. and Rai, T. (2022). Black, Asian and Minority Ethnic women’s Experiences of Maternity Services in the </w:t>
      </w:r>
      <w:r>
        <w:t>UK :</w:t>
      </w:r>
      <w:r>
        <w:t xml:space="preserve"> a Qualitative Evidence Synthesis. Journal of Advanced Nursing, 78(7), pp.2175–2190. </w:t>
      </w:r>
      <w:r>
        <w:t>doi:https</w:t>
      </w:r>
      <w:r>
        <w:t>://doi.org/10.1111/jan.15233</w:t>
      </w:r>
      <w:r>
        <w:t>.</w:t>
      </w:r>
    </w:p>
    <w:p w14:paraId="00000196">
      <w:r>
        <w:t>McRoy</w:t>
      </w:r>
      <w:r>
        <w:t>, R. (2018) ‘The Multi-Ethnic Placement Act: Twenty years later’, Child Welfare, 96(2), pp. 25–43.</w:t>
      </w:r>
    </w:p>
    <w:p w14:paraId="00000197">
      <w:r>
        <w:t xml:space="preserve">Merz, S., </w:t>
      </w:r>
      <w:r>
        <w:t>Aksakal</w:t>
      </w:r>
      <w:r>
        <w:t xml:space="preserve">, T., </w:t>
      </w:r>
      <w:r>
        <w:t>Hibtay</w:t>
      </w:r>
      <w:r>
        <w:t xml:space="preserve">, A., </w:t>
      </w:r>
      <w:r>
        <w:t>Yücesoy</w:t>
      </w:r>
      <w:r>
        <w:t xml:space="preserve">, H., </w:t>
      </w:r>
      <w:r>
        <w:t>Fieselmann</w:t>
      </w:r>
      <w:r>
        <w:t xml:space="preserve">, J., </w:t>
      </w:r>
      <w:r>
        <w:t>Annaç</w:t>
      </w:r>
      <w:r>
        <w:t xml:space="preserve">, K., </w:t>
      </w:r>
      <w:r>
        <w:t>Yılmaz</w:t>
      </w:r>
      <w:r>
        <w:t xml:space="preserve">-Aslan, Y., </w:t>
      </w:r>
      <w:r>
        <w:t>Brzoska</w:t>
      </w:r>
      <w:r>
        <w:t xml:space="preserve">, P. and </w:t>
      </w:r>
      <w:r>
        <w:t>Tezcan-Güntekin</w:t>
      </w:r>
      <w:r>
        <w:t xml:space="preserve">, H. (2024). Racism against Healthcare Users in Inpatient care: </w:t>
      </w:r>
      <w:r>
        <w:t>a</w:t>
      </w:r>
      <w:r>
        <w:t xml:space="preserve"> Scoping Review. International Journal for Equity in Health, 23(1), p.89. </w:t>
      </w:r>
      <w:r>
        <w:t>doi:https</w:t>
      </w:r>
      <w:r>
        <w:t>://doi.org/10.1186/s12939-024-02156-w</w:t>
      </w:r>
      <w:r>
        <w:t>.</w:t>
      </w:r>
    </w:p>
    <w:p w14:paraId="00000198">
      <w:r>
        <w:t xml:space="preserve">Moore, C., Coates, E., Watson, A., de </w:t>
      </w:r>
      <w:r>
        <w:t>Heer</w:t>
      </w:r>
      <w:r>
        <w:t>, R., McLeod, A. and Prudhomme, A. (2022). It’s Important to Work with People That Look like me”: Black Patients’ Preferences for patient-provider Race Concordance. Journal of Racial and Ethnic Health Disparities, 10(5), pp.2552–</w:t>
      </w:r>
      <w:r>
        <w:t>2564,.</w:t>
      </w:r>
      <w:r>
        <w:t xml:space="preserve"> </w:t>
      </w:r>
      <w:r>
        <w:t>doi:https</w:t>
      </w:r>
      <w:r>
        <w:t>://doi.org/10.1007/s40615-022-01435-y</w:t>
      </w:r>
      <w:r>
        <w:t>.</w:t>
      </w:r>
    </w:p>
    <w:p w14:paraId="00000199">
      <w:r>
        <w:t>Mouhab</w:t>
      </w:r>
      <w:r>
        <w:t xml:space="preserve">, A., </w:t>
      </w:r>
      <w:r>
        <w:t>Radjack</w:t>
      </w:r>
      <w:r>
        <w:t xml:space="preserve">, R., Moro, M.R. and Lambert, M. (2024). Racial Biases in Clinical Practice and Medical education: </w:t>
      </w:r>
      <w:r>
        <w:t>a</w:t>
      </w:r>
      <w:r>
        <w:t xml:space="preserve"> Scoping Review. BMC Medical Education, 24(1), pp.1–11. </w:t>
      </w:r>
      <w:r>
        <w:t>doi:https</w:t>
      </w:r>
      <w:r>
        <w:t>://doi.org/10.1186/s12909-024-06119-1</w:t>
      </w:r>
      <w:r>
        <w:t>.</w:t>
      </w:r>
    </w:p>
    <w:p w14:paraId="0000019A">
      <w:r>
        <w:t>Nazroo</w:t>
      </w:r>
      <w:r>
        <w:t xml:space="preserve">, J.Y., </w:t>
      </w:r>
      <w:r>
        <w:t>Bhui</w:t>
      </w:r>
      <w:r>
        <w:t xml:space="preserve">, K.S. and Rhodes, J. (2019). Where next for Understanding race/ethnic Inequalities in Severe Mental illness? Structural, Interpersonal and Institutional Racism. Sociology of Health &amp; Illness, 42(2), pp.262–276. </w:t>
      </w:r>
      <w:r>
        <w:t>doi:https</w:t>
      </w:r>
      <w:r>
        <w:t>://doi.org/10.1111/1467-9566.13001</w:t>
      </w:r>
      <w:r>
        <w:t>.</w:t>
      </w:r>
    </w:p>
    <w:p w14:paraId="0000019B">
      <w:r>
        <w:t xml:space="preserve">Obermeyer, Z., Powers, B., </w:t>
      </w:r>
      <w:r>
        <w:t>Vogeli</w:t>
      </w:r>
      <w:r>
        <w:t xml:space="preserve">, C. and Mullainathan, S. (2019). Dissecting Racial Bias in an Algorithm Used to Manage the Health of Populations. Science, 366(6464), pp.447–453. </w:t>
      </w:r>
      <w:r>
        <w:t>doi:https</w:t>
      </w:r>
      <w:r>
        <w:t>://doi.org/10.1126/science.aax2342</w:t>
      </w:r>
      <w:r>
        <w:t>.</w:t>
      </w:r>
    </w:p>
    <w:p w14:paraId="0000019C">
      <w:r>
        <w:t>Ofsted (2022) Children Looked After in England 2022. [Online] Available at: </w:t>
      </w:r>
      <w:r>
        <w:rPr>
          <w:rStyle w:val="Hyperlink"/>
        </w:rPr>
        <w:fldChar w:fldCharType="begin"/>
      </w:r>
      <w:r>
        <w:rPr>
          <w:rStyle w:val="Hyperlink"/>
        </w:rPr>
        <w:instrText xml:space="preserve">HYPERLINK "https://www.gov.uk/government/statistics" </w:instrText>
      </w:r>
      <w:r>
        <w:rPr>
          <w:rStyle w:val="Hyperlink"/>
        </w:rPr>
        <w:fldChar w:fldCharType="separate"/>
      </w:r>
      <w:r>
        <w:rPr>
          <w:rStyle w:val="Hyperlink"/>
        </w:rPr>
        <w:t>https://www.gov.uk/government/statistics</w:t>
      </w:r>
      <w:r>
        <w:fldChar w:fldCharType="end"/>
      </w:r>
      <w:r>
        <w:t> (Accessed: 23 October 2025).</w:t>
      </w:r>
    </w:p>
    <w:p w14:paraId="0000019D">
      <w:r>
        <w:t>Ojo-Aromokudu</w:t>
      </w:r>
      <w:r>
        <w:t xml:space="preserve">, O., </w:t>
      </w:r>
      <w:r>
        <w:t>Suffel</w:t>
      </w:r>
      <w:r>
        <w:t xml:space="preserve">, A.M., Bell, S. and </w:t>
      </w:r>
      <w:r>
        <w:t>Mounier</w:t>
      </w:r>
      <w:r>
        <w:t xml:space="preserve">-Jack, S. (2023). Views and experiences of primary care among Black communities in the United Kingdom: a qualitative systematic </w:t>
      </w:r>
      <w:r>
        <w:t xml:space="preserve">review. Views and experiences of primary care among Black communities in the United Kingdom: a qualitative systematic review, 28(7), pp.1–20. </w:t>
      </w:r>
      <w:r>
        <w:t>doi:https</w:t>
      </w:r>
      <w:r>
        <w:t>://doi.org/10.1080/13557858.2023.2208313</w:t>
      </w:r>
      <w:r>
        <w:t>.</w:t>
      </w:r>
    </w:p>
    <w:p w14:paraId="0000019E">
      <w:r>
        <w:t>Oxford Reference. (2024) Policy. Oxford University Press. Available at: https://www.oxfordreference.com/ (Accessed: 5 November 2025).</w:t>
      </w:r>
    </w:p>
    <w:p w14:paraId="0000019F">
      <w:r>
        <w:t xml:space="preserve">Reyes, K.R., Lau, B.H.-F., Tang, F., Gardner, B., Cui, K., Trejo, E. and Velazquez, A.I. (2024). Unveiling Inequities in representation: Racial Disparities in Supportive Care Breast Cancer Clinical Trial </w:t>
      </w:r>
      <w:r>
        <w:t>enrollment</w:t>
      </w:r>
      <w:r>
        <w:t xml:space="preserve">. Journal of Clinical Oncology, 42(16_suppl), p.1605. </w:t>
      </w:r>
      <w:r>
        <w:t>doi:https</w:t>
      </w:r>
      <w:r>
        <w:t>://doi.org/10.1200/jco.2024.42.16_suppl.1605</w:t>
      </w:r>
      <w:r>
        <w:t>.</w:t>
      </w:r>
    </w:p>
    <w:p w14:paraId="000001A0">
      <w:r>
        <w:t>Salsberg</w:t>
      </w:r>
      <w:r>
        <w:t xml:space="preserve">, E., </w:t>
      </w:r>
      <w:r>
        <w:t>Richwine</w:t>
      </w:r>
      <w:r>
        <w:t xml:space="preserve">, C., </w:t>
      </w:r>
      <w:r>
        <w:t>Westergaard</w:t>
      </w:r>
      <w:r>
        <w:t xml:space="preserve">, S., Martinez, M.P., </w:t>
      </w:r>
      <w:r>
        <w:t>Oyeyemi</w:t>
      </w:r>
      <w:r>
        <w:t xml:space="preserve">, T., </w:t>
      </w:r>
      <w:r>
        <w:t>Vichare</w:t>
      </w:r>
      <w:r>
        <w:t xml:space="preserve">, A. and Chen, C.P. (2021). Estimation and Comparison of Current and Future Racial/Ethnic Representation in the US Health Care Workforce. JAMA Network Open, 4(3), pp.1–11. </w:t>
      </w:r>
      <w:r>
        <w:t>doi:https</w:t>
      </w:r>
      <w:r>
        <w:t>://doi.org/10.1001/jamanetworkopen.2021.3789</w:t>
      </w:r>
      <w:r>
        <w:t>.</w:t>
      </w:r>
    </w:p>
    <w:p w14:paraId="000001A1">
      <w:r>
        <w:t xml:space="preserve">Schatz, A.A., Brooks-Coley, K., Harrington, E., Murray, M.S. and Carlson, R.W. (2022). Patient, Caregiver, and Oncologist Experiences with and Perceptions of Racial Bias and Discrimination in Cancer Care Delivery. Journal of the National Comprehensive Cancer Network, 20(10), pp.1092–1098. </w:t>
      </w:r>
      <w:r>
        <w:t>doi:https</w:t>
      </w:r>
      <w:r>
        <w:t>://doi.org/10.6004/jnccn.2022.7051</w:t>
      </w:r>
      <w:r>
        <w:t>.</w:t>
      </w:r>
    </w:p>
    <w:p w14:paraId="000001A2">
      <w:r>
        <w:t>Shen, M.J., Peterson, E.B., Costas-</w:t>
      </w:r>
      <w:r>
        <w:t>Muñiz</w:t>
      </w:r>
      <w:r>
        <w:t xml:space="preserve">, R., Hernandez, M.H., Jewell, S.T., </w:t>
      </w:r>
      <w:r>
        <w:t>Matsoukas</w:t>
      </w:r>
      <w:r>
        <w:t xml:space="preserve">, K. and </w:t>
      </w:r>
      <w:r>
        <w:t>Bylund</w:t>
      </w:r>
      <w:r>
        <w:t xml:space="preserve">, C.L. (2018). The Effects of Race and Racial Concordance on Patient-Physician Communication: </w:t>
      </w:r>
      <w:r>
        <w:t>a</w:t>
      </w:r>
      <w:r>
        <w:t xml:space="preserve"> Systematic Review of the Literature. Journal of Racial and Ethnic Health Disparities, 5(1), pp.117–140. </w:t>
      </w:r>
      <w:r>
        <w:t>doi:https</w:t>
      </w:r>
      <w:r>
        <w:t>://doi.org/10.1007/s40615-017-0350-4</w:t>
      </w:r>
      <w:r>
        <w:t>.</w:t>
      </w:r>
    </w:p>
    <w:p w14:paraId="000001A3">
      <w:r>
        <w:t xml:space="preserve">Shetty, C., </w:t>
      </w:r>
      <w:r>
        <w:t>Oshman</w:t>
      </w:r>
      <w:r>
        <w:t xml:space="preserve">, L., Costa, A., </w:t>
      </w:r>
      <w:r>
        <w:t>Waidley</w:t>
      </w:r>
      <w:r>
        <w:t xml:space="preserve">, V., </w:t>
      </w:r>
      <w:r>
        <w:t>Madlambayan</w:t>
      </w:r>
      <w:r>
        <w:t xml:space="preserve">, E., </w:t>
      </w:r>
      <w:r>
        <w:t>Joassaint</w:t>
      </w:r>
      <w:r>
        <w:t xml:space="preserve">, M., McCabe, K., Townsel, C., Wu, J.P., Frank, C.J. and </w:t>
      </w:r>
      <w:r>
        <w:t>Chandanabhumma</w:t>
      </w:r>
      <w:r>
        <w:t xml:space="preserve">, P.P. (2024). Structural Racism in </w:t>
      </w:r>
      <w:r>
        <w:t>Newborn</w:t>
      </w:r>
      <w:r>
        <w:t xml:space="preserve"> Drug Testing: Perspectives of Health Care and Child Protective Services Professionals. The Annals of Family Medicine, 22(4), pp.271–278. </w:t>
      </w:r>
      <w:r>
        <w:t>doi:https</w:t>
      </w:r>
      <w:r>
        <w:t>://doi.org/10.1370/afm.3139</w:t>
      </w:r>
      <w:r>
        <w:t>.</w:t>
      </w:r>
    </w:p>
    <w:p w14:paraId="000001A4">
      <w:r>
        <w:t xml:space="preserve">Silverio, S.A., Backer, K.D., Dasgupta, T., Torres, O., Easter, A., </w:t>
      </w:r>
      <w:r>
        <w:t>Khazaezadeh</w:t>
      </w:r>
      <w:r>
        <w:t xml:space="preserve">, N., </w:t>
      </w:r>
      <w:r>
        <w:t>Rajasingam</w:t>
      </w:r>
      <w:r>
        <w:t xml:space="preserve">, D., Wolfe, I., Sandall, J. and Magee, L.A. (2022). On Race and Ethnicity during a Global pandemic: an ‘imperfect Mosaic’ of Maternal and Child Health Services in ethnically-diverse South London, United Kingdom. </w:t>
      </w:r>
      <w:r>
        <w:t>eClinicalMedicine</w:t>
      </w:r>
      <w:r>
        <w:t xml:space="preserve">, 48, pp.1–10. </w:t>
      </w:r>
      <w:r>
        <w:t>doi:https</w:t>
      </w:r>
      <w:r>
        <w:t>://doi.org/10.1016/j.eclinm.2022.101433</w:t>
      </w:r>
      <w:r>
        <w:t>.</w:t>
      </w:r>
    </w:p>
    <w:p w14:paraId="000001A5">
      <w:r>
        <w:t xml:space="preserve">Silverio, S.A., Varman, N., Barry, P., </w:t>
      </w:r>
      <w:r>
        <w:t>Khazaezadeh</w:t>
      </w:r>
      <w:r>
        <w:t xml:space="preserve">, N., </w:t>
      </w:r>
      <w:r>
        <w:t>Rajasingam</w:t>
      </w:r>
      <w:r>
        <w:t xml:space="preserve">, D., Magee, L.A. and Matthew, J. (2023). Inside the ‘imperfect mosaic’: Minority ethnic Women’s Qualitative </w:t>
      </w:r>
      <w:r>
        <w:t xml:space="preserve">Experiences of Race and Ethnicity during pregnancy, childbirth, and Maternity Care in the United Kingdom. BMC Public Health, 23(1), pp.1–11. </w:t>
      </w:r>
      <w:r>
        <w:t>doi:https</w:t>
      </w:r>
      <w:r>
        <w:t>://doi.org/10.1186/s12889-023-17505-7</w:t>
      </w:r>
      <w:r>
        <w:t>.</w:t>
      </w:r>
    </w:p>
    <w:p w14:paraId="000001A6">
      <w:r>
        <w:t xml:space="preserve">Sim, W., Lim, W.H., Ng, C.H., Chin, Y.H., </w:t>
      </w:r>
      <w:r>
        <w:t>Yaow</w:t>
      </w:r>
      <w:r>
        <w:t xml:space="preserve">, C.Y.L., Cheong, C.W.Z., Khoo, C.M., </w:t>
      </w:r>
      <w:r>
        <w:t>Samarasekera</w:t>
      </w:r>
      <w:r>
        <w:t xml:space="preserve">, D.D., Devi, M.K. and Chong, C.S. (2021). The Perspectives of Health Professionals and Patients on Racism in healthcare: </w:t>
      </w:r>
      <w:r>
        <w:t>a</w:t>
      </w:r>
      <w:r>
        <w:t xml:space="preserve"> Qualitative Systematic Review. PLOS ONE, 16(8), </w:t>
      </w:r>
      <w:r>
        <w:t>p.e</w:t>
      </w:r>
      <w:r>
        <w:t xml:space="preserve">0255936. </w:t>
      </w:r>
      <w:r>
        <w:t>doi:https</w:t>
      </w:r>
      <w:r>
        <w:t>://doi.org/10.1371/journal.pone.0255936</w:t>
      </w:r>
      <w:r>
        <w:t>.</w:t>
      </w:r>
    </w:p>
    <w:p w14:paraId="000001A7">
      <w:r>
        <w:t>Sue, D.W. et al. (2009) ‘Racial microaggressions and the power to name’, American Psychologist, 64(3), pp. 277–289.</w:t>
      </w:r>
    </w:p>
    <w:p w14:paraId="000001A8">
      <w:r>
        <w:t xml:space="preserve">Tajfel, H. and Turner, J.C. (1979) ‘An integrative theory of intergroup conflict’, in Austin, W. G. and </w:t>
      </w:r>
      <w:r>
        <w:t>Worchel</w:t>
      </w:r>
      <w:r>
        <w:t>, S. (eds) The Social Psychology of Intergroup Relations. Monterey: Brooks/Cole.</w:t>
      </w:r>
    </w:p>
    <w:p w14:paraId="000001A9">
      <w:r>
        <w:t xml:space="preserve">Thomas, M.M.C., </w:t>
      </w:r>
      <w:r>
        <w:t>Waldfogel</w:t>
      </w:r>
      <w:r>
        <w:t xml:space="preserve">, J. and Williams, O.F. (2022). Inequities in Child Protective Services Contact between Black and White Children. Child Maltreatment, 28(1), pp.42–54. </w:t>
      </w:r>
      <w:r>
        <w:t>doi:https</w:t>
      </w:r>
      <w:r>
        <w:t>://doi.org/10.1177/10775595211070248</w:t>
      </w:r>
      <w:r>
        <w:t>.</w:t>
      </w:r>
    </w:p>
    <w:p w14:paraId="000001AA">
      <w:r>
        <w:t>Udonsi</w:t>
      </w:r>
      <w:r>
        <w:t xml:space="preserve">, P. (2022). Young, Gifted and black: </w:t>
      </w:r>
      <w:r>
        <w:t>the</w:t>
      </w:r>
      <w:r>
        <w:t xml:space="preserve"> Intersectionality of race, Intellectual Disability and Neurodivergence. Critical and Radical Social Work, 10(2), pp.1–16. </w:t>
      </w:r>
      <w:r>
        <w:t>doi:https</w:t>
      </w:r>
      <w:r>
        <w:t>://doi.org/10.1332/204986021x16530492120870</w:t>
      </w:r>
      <w:r>
        <w:t>.</w:t>
      </w:r>
    </w:p>
    <w:p w14:paraId="000001AB">
      <w:r>
        <w:t>UNICEF (1989) UNCRC. [Online] Available at: </w:t>
      </w:r>
      <w:r>
        <w:rPr>
          <w:rStyle w:val="Hyperlink"/>
        </w:rPr>
        <w:fldChar w:fldCharType="begin"/>
      </w:r>
      <w:r>
        <w:rPr>
          <w:rStyle w:val="Hyperlink"/>
        </w:rPr>
        <w:instrText xml:space="preserve">HYPERLINK "https://www.unicef.org.uk/" </w:instrText>
      </w:r>
      <w:r>
        <w:rPr>
          <w:rStyle w:val="Hyperlink"/>
        </w:rPr>
        <w:fldChar w:fldCharType="separate"/>
      </w:r>
      <w:r>
        <w:rPr>
          <w:rStyle w:val="Hyperlink"/>
        </w:rPr>
        <w:t>https://www.unicef.org.uk</w:t>
      </w:r>
      <w:r>
        <w:fldChar w:fldCharType="end"/>
      </w:r>
      <w:r>
        <w:t> (Accessed: 23 October 2025).</w:t>
      </w:r>
    </w:p>
    <w:p w14:paraId="000001AC">
      <w:r>
        <w:t>Vuletich</w:t>
      </w:r>
      <w:r>
        <w:t xml:space="preserve">, H.A., Stafford, B.A., Iruka, I.U. and Payne, B.K. (2024). Exploring the Relation between Early Childhood Education and Historical and Contemporary Racism and Bias for Black Children. Early Childhood Research Quarterly, 69(1), </w:t>
      </w:r>
      <w:r>
        <w:t>pp.S</w:t>
      </w:r>
      <w:r>
        <w:t xml:space="preserve">51–S59. </w:t>
      </w:r>
      <w:r>
        <w:t>doi:https</w:t>
      </w:r>
      <w:r>
        <w:t>://doi.org/10.1016/j.ecresq.2023.10.006</w:t>
      </w:r>
      <w:r>
        <w:t>.</w:t>
      </w:r>
    </w:p>
    <w:p w14:paraId="000001AD">
      <w:r>
        <w:t>Wainwright, J. and Ridley, J. (2021) ‘Identity, belonging and Black children in care’, Adoption &amp; Fostering, 45(2), pp. 135–150.</w:t>
      </w:r>
    </w:p>
    <w:p w14:paraId="000001AE">
      <w:r>
        <w:t xml:space="preserve">Webb, C., </w:t>
      </w:r>
      <w:r>
        <w:t>Bywaters</w:t>
      </w:r>
      <w:r>
        <w:t xml:space="preserve">, P., Scourfield, J., Davidson, G. and Bunting, L. (2020). Cuts Both ways: Ethnicity, poverty, and the Social Gradient in Child Welfare Interventions. Children and Youth Services Review, 117(1), p.105299. </w:t>
      </w:r>
      <w:r>
        <w:t>doi:https</w:t>
      </w:r>
      <w:r>
        <w:t>://doi.org/10.1016/j.childyouth.2020.105299</w:t>
      </w:r>
      <w:r>
        <w:t>.</w:t>
      </w:r>
    </w:p>
    <w:p w14:paraId="000001AF">
      <w:r>
        <w:t>Weitlauf</w:t>
      </w:r>
      <w:r>
        <w:t xml:space="preserve">, A.S., Miceli, A., </w:t>
      </w:r>
      <w:r>
        <w:t>Vehorn</w:t>
      </w:r>
      <w:r>
        <w:t xml:space="preserve">, A., Dada, Y., Pinnock, T., Harris, J.W., Hine, J. and Warren, Z. (2023). Screening, Diagnosis, and Intervention for Autism: Experiences of Black and Multiracial Families Seeking Care. Journal of Autism and Developmental Disorders, 54(1), pp.931–942. </w:t>
      </w:r>
      <w:r>
        <w:t>doi:https</w:t>
      </w:r>
      <w:r>
        <w:t>://doi.org/10.1007/s10803-022-05861-z</w:t>
      </w:r>
      <w:r>
        <w:t>.</w:t>
      </w:r>
    </w:p>
    <w:p w14:paraId="000001B0">
      <w:r>
        <w:t>Williams, P. (2020) Race and Social Care in Britain. London: Policy Press.</w:t>
      </w:r>
    </w:p>
    <w:p w14:paraId="000001B1"/>
    <w:p w14:paraId="000001B2">
      <w:pPr>
        <w:pStyle w:val="Heading1"/>
        <w:ind w:left="0"/>
        <w:rPr>
          <w:rFonts w:ascii="Aptos" w:hAnsi="Aptos"/>
          <w:sz w:val="28"/>
          <w:szCs w:val="28"/>
        </w:rPr>
      </w:pPr>
      <w:bookmarkStart w:id="37" w:name="_Toc212114122"/>
      <w:r>
        <w:rPr>
          <w:rFonts w:ascii="Aptos" w:hAnsi="Aptos"/>
          <w:sz w:val="28"/>
          <w:szCs w:val="28"/>
        </w:rPr>
        <w:t>6.2 – Appendices</w:t>
      </w:r>
      <w:bookmarkEnd w:id="37"/>
      <w:r>
        <w:rPr>
          <w:rFonts w:ascii="Aptos" w:hAnsi="Aptos"/>
          <w:sz w:val="28"/>
          <w:szCs w:val="28"/>
        </w:rPr>
        <w:t xml:space="preserve"> </w:t>
      </w:r>
    </w:p>
    <w:p w14:paraId="000001B3"/>
    <w:p w14:paraId="000001B4">
      <w:pPr>
        <w:pStyle w:val="Heading1"/>
        <w:rPr/>
      </w:pPr>
      <w:r>
        <w:t>Appendix I:</w:t>
      </w:r>
      <w:r>
        <w:tab/>
        <w:t>Thematic Analysis</w:t>
      </w:r>
    </w:p>
    <w:p w14:paraId="000001B5">
      <w:pPr>
        <w:rPr>
          <w:b/>
          <w:bCs/>
        </w:rPr>
      </w:pPr>
    </w:p>
    <w:tbl>
      <w:tblPr>
        <w:tblStyle w:val="PlainTable5"/>
        <w:tblW w:w="0" w:type="auto"/>
        <w:tblLook w:val="04A0"/>
      </w:tblPr>
      <w:tblGrid>
        <w:gridCol w:w="2035"/>
        <w:gridCol w:w="2380"/>
        <w:gridCol w:w="4611"/>
      </w:tblGrid>
      <w:tr>
        <w:trPr>
          <w:cnfStyle w:val="100000000000"/>
        </w:trPr>
        <w:tc>
          <w:tcPr>
            <w:cnfStyle w:val="101000000000"/>
            <w:tcW w:w="0" w:type="auto"/>
            <w:tcBorders>
              <w:top w:val="single" w:color="auto" w:sz="4" w:space="0"/>
            </w:tcBorders>
          </w:tcPr>
          <w:p w14:paraId="000001B6">
            <w:pPr>
              <w:spacing w:after="160"/>
              <w:rPr>
                <w:b/>
                <w:bCs/>
              </w:rPr>
            </w:pPr>
            <w:r>
              <w:rPr>
                <w:b/>
                <w:bCs/>
              </w:rPr>
              <w:t>Theme</w:t>
            </w:r>
          </w:p>
        </w:tc>
        <w:tc>
          <w:tcPr>
            <w:cnfStyle w:val="100000000000"/>
            <w:tcW w:w="0" w:type="auto"/>
            <w:tcBorders>
              <w:top w:val="single" w:color="auto" w:sz="4" w:space="0"/>
            </w:tcBorders>
          </w:tcPr>
          <w:p w14:paraId="000001B7">
            <w:pPr>
              <w:spacing w:after="160"/>
              <w:rPr>
                <w:b/>
                <w:bCs/>
              </w:rPr>
            </w:pPr>
            <w:r>
              <w:rPr>
                <w:b/>
                <w:bCs/>
              </w:rPr>
              <w:t>Subtheme</w:t>
            </w:r>
          </w:p>
        </w:tc>
        <w:tc>
          <w:tcPr>
            <w:cnfStyle w:val="100000000000"/>
            <w:tcW w:w="0" w:type="auto"/>
            <w:tcBorders>
              <w:top w:val="single" w:color="auto" w:sz="4" w:space="0"/>
            </w:tcBorders>
          </w:tcPr>
          <w:p w14:paraId="000001B8">
            <w:pPr>
              <w:spacing w:after="160"/>
              <w:rPr>
                <w:b/>
                <w:bCs/>
              </w:rPr>
            </w:pPr>
            <w:r>
              <w:rPr>
                <w:b/>
                <w:bCs/>
              </w:rPr>
              <w:t>Codings</w:t>
            </w:r>
            <w:r>
              <w:rPr>
                <w:b/>
                <w:bCs/>
              </w:rPr>
              <w:t xml:space="preserve"> </w:t>
            </w:r>
          </w:p>
        </w:tc>
      </w:tr>
      <w:tr>
        <w:trPr>
          <w:cnfStyle w:val="000000100000"/>
        </w:trPr>
        <w:tc>
          <w:tcPr>
            <w:cnfStyle w:val="001000100000"/>
            <w:tcW w:w="0" w:type="auto"/>
          </w:tcPr>
          <w:p w14:paraId="000001B9">
            <w:pPr>
              <w:spacing w:after="160"/>
              <w:rPr/>
            </w:pPr>
            <w:r>
              <w:rPr>
                <w:b/>
                <w:bCs/>
              </w:rPr>
              <w:t>Theme 1: Inadequate Racial Representation in Care Settings</w:t>
            </w:r>
          </w:p>
        </w:tc>
        <w:tc>
          <w:tcPr>
            <w:cnfStyle w:val="000000100000"/>
            <w:tcW w:w="0" w:type="auto"/>
          </w:tcPr>
          <w:p w14:paraId="000001BA">
            <w:pPr>
              <w:spacing w:after="160"/>
              <w:rPr/>
            </w:pPr>
            <w:r>
              <w:rPr>
                <w:b/>
                <w:bCs/>
              </w:rPr>
              <w:t>Lack of Racial Visibility</w:t>
            </w:r>
          </w:p>
        </w:tc>
        <w:tc>
          <w:tcPr>
            <w:cnfStyle w:val="000000100000"/>
            <w:tcW w:w="0" w:type="auto"/>
          </w:tcPr>
          <w:p w14:paraId="000001BB">
            <w:pPr>
              <w:spacing w:after="160"/>
              <w:rPr/>
            </w:pPr>
            <w:r>
              <w:t xml:space="preserve">Underrepresentation of Black children and families in clinical and social care datasets; Black children </w:t>
            </w:r>
            <w:r>
              <w:t>categorised</w:t>
            </w:r>
            <w:r>
              <w:t xml:space="preserve"> as “other.”</w:t>
            </w:r>
          </w:p>
        </w:tc>
      </w:tr>
      <w:tr>
        <w:trPr/>
        <w:tc>
          <w:tcPr>
            <w:cnfStyle w:val="001000010000"/>
            <w:tcW w:w="0" w:type="auto"/>
          </w:tcPr>
          <w:p w14:paraId="000001BC">
            <w:pPr>
              <w:spacing w:after="160"/>
              <w:rPr/>
            </w:pPr>
          </w:p>
        </w:tc>
        <w:tc>
          <w:tcPr>
            <w:cnfStyle w:val="000000010000"/>
            <w:tcW w:w="0" w:type="auto"/>
          </w:tcPr>
          <w:p w14:paraId="000001BD">
            <w:pPr>
              <w:spacing w:after="160"/>
              <w:rPr/>
            </w:pPr>
            <w:r>
              <w:rPr>
                <w:b/>
                <w:bCs/>
              </w:rPr>
              <w:t>Misclassification and Erasure</w:t>
            </w:r>
          </w:p>
        </w:tc>
        <w:tc>
          <w:tcPr>
            <w:cnfStyle w:val="000000010000"/>
            <w:tcW w:w="0" w:type="auto"/>
          </w:tcPr>
          <w:p w14:paraId="000001BE">
            <w:pPr>
              <w:spacing w:after="160"/>
              <w:rPr/>
            </w:pPr>
            <w:r>
              <w:t>Research practices that collapse Black identities into broad “BAME/Other” groupings, reducing visibility in care planning.</w:t>
            </w:r>
          </w:p>
        </w:tc>
      </w:tr>
      <w:tr>
        <w:trPr>
          <w:cnfStyle w:val="000000100000"/>
        </w:trPr>
        <w:tc>
          <w:tcPr>
            <w:cnfStyle w:val="001000100000"/>
            <w:tcW w:w="0" w:type="auto"/>
          </w:tcPr>
          <w:p w14:paraId="000001BF">
            <w:pPr>
              <w:spacing w:after="160"/>
              <w:rPr/>
            </w:pPr>
          </w:p>
        </w:tc>
        <w:tc>
          <w:tcPr>
            <w:cnfStyle w:val="000000100000"/>
            <w:tcW w:w="0" w:type="auto"/>
          </w:tcPr>
          <w:p w14:paraId="000001C0">
            <w:pPr>
              <w:spacing w:after="160"/>
              <w:rPr/>
            </w:pPr>
            <w:r>
              <w:rPr>
                <w:b/>
                <w:bCs/>
              </w:rPr>
              <w:t>Workforce Underrepresentation</w:t>
            </w:r>
          </w:p>
        </w:tc>
        <w:tc>
          <w:tcPr>
            <w:cnfStyle w:val="000000100000"/>
            <w:tcW w:w="0" w:type="auto"/>
          </w:tcPr>
          <w:p w14:paraId="000001C1">
            <w:pPr>
              <w:spacing w:after="160"/>
              <w:rPr/>
            </w:pPr>
            <w:r>
              <w:t>Limited presence of Black professionals in health/social care; few Black role models for Black children in care settings.</w:t>
            </w:r>
          </w:p>
        </w:tc>
      </w:tr>
      <w:tr>
        <w:trPr/>
        <w:tc>
          <w:tcPr>
            <w:cnfStyle w:val="001000010000"/>
            <w:tcW w:w="0" w:type="auto"/>
          </w:tcPr>
          <w:p w14:paraId="000001C2">
            <w:pPr>
              <w:spacing w:after="160"/>
              <w:rPr/>
            </w:pPr>
          </w:p>
        </w:tc>
        <w:tc>
          <w:tcPr>
            <w:cnfStyle w:val="000000010000"/>
            <w:tcW w:w="0" w:type="auto"/>
          </w:tcPr>
          <w:p w14:paraId="000001C3">
            <w:pPr>
              <w:spacing w:after="160"/>
              <w:rPr/>
            </w:pPr>
            <w:r>
              <w:rPr>
                <w:b/>
                <w:bCs/>
              </w:rPr>
              <w:t>Eurocentric Structural Norms</w:t>
            </w:r>
          </w:p>
        </w:tc>
        <w:tc>
          <w:tcPr>
            <w:cnfStyle w:val="000000010000"/>
            <w:tcW w:w="0" w:type="auto"/>
          </w:tcPr>
          <w:p w14:paraId="000001C4">
            <w:pPr>
              <w:spacing w:after="160"/>
              <w:rPr/>
            </w:pPr>
            <w:r>
              <w:t>Care systems built around White middle-class norms that disregard Black cultural and family structures.</w:t>
            </w:r>
          </w:p>
        </w:tc>
      </w:tr>
      <w:tr>
        <w:trPr>
          <w:cnfStyle w:val="000000100000"/>
        </w:trPr>
        <w:tc>
          <w:tcPr>
            <w:cnfStyle w:val="001000100000"/>
            <w:tcW w:w="0" w:type="auto"/>
          </w:tcPr>
          <w:p w14:paraId="000001C5">
            <w:pPr>
              <w:spacing w:after="160"/>
              <w:rPr/>
            </w:pPr>
          </w:p>
        </w:tc>
        <w:tc>
          <w:tcPr>
            <w:cnfStyle w:val="000000100000"/>
            <w:tcW w:w="0" w:type="auto"/>
          </w:tcPr>
          <w:p w14:paraId="000001C6">
            <w:pPr>
              <w:spacing w:after="160"/>
              <w:rPr/>
            </w:pPr>
            <w:r>
              <w:rPr>
                <w:b/>
                <w:bCs/>
              </w:rPr>
              <w:t>Racism in Communication Practices</w:t>
            </w:r>
          </w:p>
        </w:tc>
        <w:tc>
          <w:tcPr>
            <w:cnfStyle w:val="000000100000"/>
            <w:tcW w:w="0" w:type="auto"/>
          </w:tcPr>
          <w:p w14:paraId="000001C7">
            <w:pPr>
              <w:spacing w:after="160"/>
              <w:rPr/>
            </w:pPr>
            <w:r>
              <w:t>Biased clinical interactions where Black children and families are misunderstood or dismissed by professionals.</w:t>
            </w:r>
          </w:p>
        </w:tc>
      </w:tr>
      <w:tr>
        <w:trPr/>
        <w:tc>
          <w:tcPr>
            <w:cnfStyle w:val="001000010000"/>
            <w:tcW w:w="0" w:type="auto"/>
          </w:tcPr>
          <w:p w14:paraId="000001C8">
            <w:pPr>
              <w:spacing w:after="160"/>
              <w:rPr/>
            </w:pPr>
          </w:p>
        </w:tc>
        <w:tc>
          <w:tcPr>
            <w:cnfStyle w:val="000000010000"/>
            <w:tcW w:w="0" w:type="auto"/>
          </w:tcPr>
          <w:p w14:paraId="000001C9">
            <w:pPr>
              <w:spacing w:after="160"/>
              <w:rPr/>
            </w:pPr>
            <w:r>
              <w:rPr>
                <w:b/>
                <w:bCs/>
              </w:rPr>
              <w:t>Stereotyping and Dismissiveness</w:t>
            </w:r>
          </w:p>
        </w:tc>
        <w:tc>
          <w:tcPr>
            <w:cnfStyle w:val="000000010000"/>
            <w:tcW w:w="0" w:type="auto"/>
          </w:tcPr>
          <w:p w14:paraId="000001CA">
            <w:pPr>
              <w:spacing w:after="160"/>
              <w:rPr/>
            </w:pPr>
            <w:r>
              <w:t xml:space="preserve">Concerns of Black children and families </w:t>
            </w:r>
            <w:r>
              <w:t>minimised</w:t>
            </w:r>
            <w:r>
              <w:t xml:space="preserve"> or attributed to stereotypes.</w:t>
            </w:r>
          </w:p>
        </w:tc>
      </w:tr>
      <w:tr>
        <w:trPr>
          <w:cnfStyle w:val="000000100000"/>
        </w:trPr>
        <w:tc>
          <w:tcPr>
            <w:cnfStyle w:val="001000100000"/>
            <w:tcW w:w="0" w:type="auto"/>
          </w:tcPr>
          <w:p w14:paraId="000001CB">
            <w:pPr>
              <w:spacing w:after="160"/>
              <w:rPr/>
            </w:pPr>
          </w:p>
        </w:tc>
        <w:tc>
          <w:tcPr>
            <w:cnfStyle w:val="000000100000"/>
            <w:tcW w:w="0" w:type="auto"/>
          </w:tcPr>
          <w:p w14:paraId="000001CC">
            <w:pPr>
              <w:spacing w:after="160"/>
              <w:rPr/>
            </w:pPr>
            <w:r>
              <w:rPr>
                <w:b/>
                <w:bCs/>
              </w:rPr>
              <w:t xml:space="preserve">Institutional </w:t>
            </w:r>
            <w:r>
              <w:rPr>
                <w:b/>
                <w:bCs/>
              </w:rPr>
              <w:t>Colourblindness</w:t>
            </w:r>
          </w:p>
        </w:tc>
        <w:tc>
          <w:tcPr>
            <w:cnfStyle w:val="000000100000"/>
            <w:tcW w:w="0" w:type="auto"/>
          </w:tcPr>
          <w:p w14:paraId="000001CD">
            <w:pPr>
              <w:spacing w:after="160"/>
              <w:rPr/>
            </w:pPr>
            <w:r>
              <w:t>Colourblind</w:t>
            </w:r>
            <w:r>
              <w:t xml:space="preserve"> approaches that ignore racial realities and place Black children at continued disadvantage.</w:t>
            </w:r>
          </w:p>
        </w:tc>
      </w:tr>
      <w:tr>
        <w:trPr/>
        <w:tc>
          <w:tcPr>
            <w:cnfStyle w:val="001000010000"/>
            <w:tcW w:w="0" w:type="auto"/>
          </w:tcPr>
          <w:p w14:paraId="000001CE">
            <w:pPr>
              <w:spacing w:after="160"/>
              <w:rPr/>
            </w:pPr>
          </w:p>
        </w:tc>
        <w:tc>
          <w:tcPr>
            <w:cnfStyle w:val="000000010000"/>
            <w:tcW w:w="0" w:type="auto"/>
          </w:tcPr>
          <w:p w14:paraId="000001CF">
            <w:pPr>
              <w:spacing w:after="160"/>
              <w:rPr/>
            </w:pPr>
            <w:r>
              <w:rPr>
                <w:b/>
                <w:bCs/>
              </w:rPr>
              <w:t>Technological Bias</w:t>
            </w:r>
          </w:p>
        </w:tc>
        <w:tc>
          <w:tcPr>
            <w:cnfStyle w:val="000000010000"/>
            <w:tcW w:w="0" w:type="auto"/>
          </w:tcPr>
          <w:p w14:paraId="000001D0">
            <w:pPr>
              <w:spacing w:after="160"/>
              <w:rPr/>
            </w:pPr>
            <w:r>
              <w:t>Algorithmic bias in service resource allocation disproportionately affecting Black children.</w:t>
            </w:r>
          </w:p>
        </w:tc>
      </w:tr>
      <w:tr>
        <w:trPr>
          <w:cnfStyle w:val="000000100000"/>
        </w:trPr>
        <w:tc>
          <w:tcPr>
            <w:cnfStyle w:val="001000100000"/>
            <w:tcW w:w="0" w:type="auto"/>
          </w:tcPr>
          <w:p w14:paraId="000001D1">
            <w:pPr>
              <w:spacing w:after="160"/>
              <w:rPr/>
            </w:pPr>
          </w:p>
        </w:tc>
        <w:tc>
          <w:tcPr>
            <w:cnfStyle w:val="000000100000"/>
            <w:tcW w:w="0" w:type="auto"/>
          </w:tcPr>
          <w:p w14:paraId="000001D2">
            <w:pPr>
              <w:spacing w:after="160"/>
              <w:rPr/>
            </w:pPr>
            <w:r>
              <w:rPr>
                <w:b/>
                <w:bCs/>
              </w:rPr>
              <w:t>Epistemic Underrepresentation</w:t>
            </w:r>
          </w:p>
        </w:tc>
        <w:tc>
          <w:tcPr>
            <w:cnfStyle w:val="000000100000"/>
            <w:tcW w:w="0" w:type="auto"/>
          </w:tcPr>
          <w:p w14:paraId="000001D3">
            <w:pPr>
              <w:spacing w:after="160"/>
              <w:rPr/>
            </w:pPr>
            <w:r>
              <w:t>Research frameworks excluding cultural markers relevant to Black children and families.</w:t>
            </w:r>
          </w:p>
        </w:tc>
      </w:tr>
      <w:tr>
        <w:trPr/>
        <w:tc>
          <w:tcPr>
            <w:cnfStyle w:val="001000010000"/>
            <w:tcW w:w="0" w:type="auto"/>
          </w:tcPr>
          <w:p w14:paraId="000001D4">
            <w:pPr>
              <w:spacing w:after="160"/>
              <w:rPr/>
            </w:pPr>
          </w:p>
        </w:tc>
        <w:tc>
          <w:tcPr>
            <w:cnfStyle w:val="000000010000"/>
            <w:tcW w:w="0" w:type="auto"/>
          </w:tcPr>
          <w:p w14:paraId="000001D5">
            <w:pPr>
              <w:spacing w:after="160"/>
              <w:rPr/>
            </w:pPr>
            <w:r>
              <w:rPr>
                <w:b/>
                <w:bCs/>
              </w:rPr>
              <w:t>Cultural Invisibility</w:t>
            </w:r>
          </w:p>
        </w:tc>
        <w:tc>
          <w:tcPr>
            <w:cnfStyle w:val="000000010000"/>
            <w:tcW w:w="0" w:type="auto"/>
          </w:tcPr>
          <w:p w14:paraId="000001D6">
            <w:pPr>
              <w:spacing w:after="160"/>
              <w:rPr/>
            </w:pPr>
            <w:r>
              <w:t>Care environments lacking cultural artefacts, affirmations, or representation relevant to Black childhood identity.</w:t>
            </w:r>
          </w:p>
        </w:tc>
      </w:tr>
      <w:tr>
        <w:trPr>
          <w:cnfStyle w:val="000000100000"/>
        </w:trPr>
        <w:tc>
          <w:tcPr>
            <w:cnfStyle w:val="001000100000"/>
            <w:tcW w:w="0" w:type="auto"/>
          </w:tcPr>
          <w:p w14:paraId="000001D7">
            <w:pPr>
              <w:spacing w:after="160"/>
              <w:rPr/>
            </w:pPr>
          </w:p>
        </w:tc>
        <w:tc>
          <w:tcPr>
            <w:cnfStyle w:val="000000100000"/>
            <w:tcW w:w="0" w:type="auto"/>
          </w:tcPr>
          <w:p w14:paraId="000001D8">
            <w:pPr>
              <w:spacing w:after="160"/>
              <w:rPr/>
            </w:pPr>
            <w:r>
              <w:rPr>
                <w:b/>
                <w:bCs/>
              </w:rPr>
              <w:t xml:space="preserve">Racist </w:t>
            </w:r>
            <w:r>
              <w:rPr>
                <w:b/>
                <w:bCs/>
              </w:rPr>
              <w:t>Behavioural</w:t>
            </w:r>
            <w:r>
              <w:rPr>
                <w:b/>
                <w:bCs/>
              </w:rPr>
              <w:t xml:space="preserve"> Framing</w:t>
            </w:r>
          </w:p>
        </w:tc>
        <w:tc>
          <w:tcPr>
            <w:cnfStyle w:val="000000100000"/>
            <w:tcW w:w="0" w:type="auto"/>
          </w:tcPr>
          <w:p w14:paraId="000001D9">
            <w:pPr>
              <w:spacing w:after="160"/>
              <w:rPr/>
            </w:pPr>
            <w:r>
              <w:t xml:space="preserve">Misinterpretation of Black children’s </w:t>
            </w:r>
            <w:r>
              <w:t>behaviour</w:t>
            </w:r>
            <w:r>
              <w:t xml:space="preserve"> as aggressive, problematic, or maladaptive due to racial bias.</w:t>
            </w:r>
          </w:p>
        </w:tc>
      </w:tr>
      <w:tr>
        <w:trPr/>
        <w:tc>
          <w:tcPr>
            <w:cnfStyle w:val="001000010000"/>
            <w:tcW w:w="0" w:type="auto"/>
          </w:tcPr>
          <w:p w14:paraId="000001DA">
            <w:pPr>
              <w:spacing w:after="160"/>
              <w:rPr/>
            </w:pPr>
            <w:r>
              <w:rPr>
                <w:b/>
                <w:bCs/>
              </w:rPr>
              <w:t>Theme 2: Cultural Separation and Identity Uncertainty</w:t>
            </w:r>
          </w:p>
        </w:tc>
        <w:tc>
          <w:tcPr>
            <w:cnfStyle w:val="000000010000"/>
            <w:tcW w:w="0" w:type="auto"/>
          </w:tcPr>
          <w:p w14:paraId="000001DB">
            <w:pPr>
              <w:spacing w:after="160"/>
              <w:rPr/>
            </w:pPr>
            <w:r>
              <w:rPr>
                <w:b/>
                <w:bCs/>
              </w:rPr>
              <w:t>Systemic Cultural Disconnect</w:t>
            </w:r>
          </w:p>
        </w:tc>
        <w:tc>
          <w:tcPr>
            <w:cnfStyle w:val="000000010000"/>
            <w:tcW w:w="0" w:type="auto"/>
          </w:tcPr>
          <w:p w14:paraId="000001DC">
            <w:pPr>
              <w:spacing w:after="160"/>
              <w:rPr/>
            </w:pPr>
            <w:r>
              <w:t>Eurocentric service frameworks shaping assessments; communication barriers between practitioners and Black families.</w:t>
            </w:r>
          </w:p>
        </w:tc>
      </w:tr>
      <w:tr>
        <w:trPr>
          <w:cnfStyle w:val="000000100000"/>
        </w:trPr>
        <w:tc>
          <w:tcPr>
            <w:cnfStyle w:val="001000100000"/>
            <w:tcW w:w="0" w:type="auto"/>
          </w:tcPr>
          <w:p w14:paraId="000001DD">
            <w:pPr>
              <w:spacing w:after="160"/>
              <w:rPr/>
            </w:pPr>
          </w:p>
        </w:tc>
        <w:tc>
          <w:tcPr>
            <w:cnfStyle w:val="000000100000"/>
            <w:tcW w:w="0" w:type="auto"/>
          </w:tcPr>
          <w:p w14:paraId="000001DE">
            <w:pPr>
              <w:spacing w:after="160"/>
              <w:rPr/>
            </w:pPr>
            <w:r>
              <w:rPr>
                <w:b/>
                <w:bCs/>
              </w:rPr>
              <w:t>Culturally Incongruent Care Pathways</w:t>
            </w:r>
          </w:p>
        </w:tc>
        <w:tc>
          <w:tcPr>
            <w:cnfStyle w:val="000000100000"/>
            <w:tcW w:w="0" w:type="auto"/>
          </w:tcPr>
          <w:p w14:paraId="000001DF">
            <w:pPr>
              <w:spacing w:after="160"/>
              <w:rPr/>
            </w:pPr>
            <w:r>
              <w:t>Assessments lacking cultural awareness lead to misinterpretation and diagnostic inaccuracy for Black children.</w:t>
            </w:r>
          </w:p>
        </w:tc>
      </w:tr>
      <w:tr>
        <w:trPr/>
        <w:tc>
          <w:tcPr>
            <w:cnfStyle w:val="001000010000"/>
            <w:tcW w:w="0" w:type="auto"/>
          </w:tcPr>
          <w:p w14:paraId="000001E0">
            <w:pPr>
              <w:spacing w:after="160"/>
              <w:rPr/>
            </w:pPr>
          </w:p>
        </w:tc>
        <w:tc>
          <w:tcPr>
            <w:cnfStyle w:val="000000010000"/>
            <w:tcW w:w="0" w:type="auto"/>
          </w:tcPr>
          <w:p w14:paraId="000001E1">
            <w:pPr>
              <w:spacing w:after="160"/>
              <w:rPr/>
            </w:pPr>
            <w:r>
              <w:rPr>
                <w:b/>
                <w:bCs/>
              </w:rPr>
              <w:t>Everyday Racism and Exclusion</w:t>
            </w:r>
          </w:p>
        </w:tc>
        <w:tc>
          <w:tcPr>
            <w:cnfStyle w:val="000000010000"/>
            <w:tcW w:w="0" w:type="auto"/>
          </w:tcPr>
          <w:p w14:paraId="000001E2">
            <w:pPr>
              <w:spacing w:after="160"/>
              <w:rPr/>
            </w:pPr>
            <w:r>
              <w:t xml:space="preserve">Microaggressions, anticipated discrimination, and subtle racist encounters create psychological </w:t>
            </w:r>
            <w:r>
              <w:t>distance and cultural fragmentation for Black children.</w:t>
            </w:r>
          </w:p>
        </w:tc>
      </w:tr>
      <w:tr>
        <w:trPr>
          <w:cnfStyle w:val="000000100000"/>
        </w:trPr>
        <w:tc>
          <w:tcPr>
            <w:cnfStyle w:val="001000100000"/>
            <w:tcW w:w="0" w:type="auto"/>
          </w:tcPr>
          <w:p w14:paraId="000001E3">
            <w:pPr>
              <w:spacing w:after="160"/>
              <w:rPr/>
            </w:pPr>
          </w:p>
        </w:tc>
        <w:tc>
          <w:tcPr>
            <w:cnfStyle w:val="000000100000"/>
            <w:tcW w:w="0" w:type="auto"/>
          </w:tcPr>
          <w:p w14:paraId="000001E4">
            <w:pPr>
              <w:spacing w:after="160"/>
              <w:rPr/>
            </w:pPr>
            <w:r>
              <w:rPr>
                <w:b/>
                <w:bCs/>
              </w:rPr>
              <w:t>Invalidating Cultural Ways of Knowing</w:t>
            </w:r>
          </w:p>
        </w:tc>
        <w:tc>
          <w:tcPr>
            <w:cnfStyle w:val="000000100000"/>
            <w:tcW w:w="0" w:type="auto"/>
          </w:tcPr>
          <w:p w14:paraId="000001E5">
            <w:pPr>
              <w:spacing w:after="160"/>
              <w:rPr/>
            </w:pPr>
            <w:r>
              <w:t>Epistemic injustice where Black family narratives, cultural meanings and explanations are dismissed by professionals.</w:t>
            </w:r>
          </w:p>
        </w:tc>
      </w:tr>
      <w:tr>
        <w:trPr/>
        <w:tc>
          <w:tcPr>
            <w:cnfStyle w:val="001000010000"/>
            <w:tcW w:w="0" w:type="auto"/>
          </w:tcPr>
          <w:p w14:paraId="000001E6">
            <w:pPr>
              <w:spacing w:after="160"/>
              <w:rPr/>
            </w:pPr>
          </w:p>
        </w:tc>
        <w:tc>
          <w:tcPr>
            <w:cnfStyle w:val="000000010000"/>
            <w:tcW w:w="0" w:type="auto"/>
          </w:tcPr>
          <w:p w14:paraId="000001E7">
            <w:pPr>
              <w:spacing w:after="160"/>
              <w:rPr/>
            </w:pPr>
            <w:r>
              <w:rPr>
                <w:b/>
                <w:bCs/>
              </w:rPr>
              <w:t>Insecure Identity Interpretation</w:t>
            </w:r>
          </w:p>
        </w:tc>
        <w:tc>
          <w:tcPr>
            <w:cnfStyle w:val="000000010000"/>
            <w:tcW w:w="0" w:type="auto"/>
          </w:tcPr>
          <w:p w14:paraId="000001E8">
            <w:pPr>
              <w:spacing w:after="160"/>
              <w:rPr/>
            </w:pPr>
            <w:r>
              <w:t xml:space="preserve">Diagnostic delays cause confusion and uncertainty in how Black children understand their developmental or </w:t>
            </w:r>
            <w:r>
              <w:t>behavioural</w:t>
            </w:r>
            <w:r>
              <w:t xml:space="preserve"> identity.</w:t>
            </w:r>
          </w:p>
        </w:tc>
      </w:tr>
      <w:tr>
        <w:trPr>
          <w:cnfStyle w:val="000000100000"/>
        </w:trPr>
        <w:tc>
          <w:tcPr>
            <w:cnfStyle w:val="001000100000"/>
            <w:tcW w:w="0" w:type="auto"/>
          </w:tcPr>
          <w:p w14:paraId="000001E9">
            <w:pPr>
              <w:spacing w:after="160"/>
              <w:rPr/>
            </w:pPr>
          </w:p>
        </w:tc>
        <w:tc>
          <w:tcPr>
            <w:cnfStyle w:val="000000100000"/>
            <w:tcW w:w="0" w:type="auto"/>
          </w:tcPr>
          <w:p w14:paraId="000001EA">
            <w:pPr>
              <w:spacing w:after="160"/>
              <w:rPr/>
            </w:pPr>
            <w:r>
              <w:rPr>
                <w:b/>
                <w:bCs/>
              </w:rPr>
              <w:t>Loss of Cultural Belonging</w:t>
            </w:r>
          </w:p>
        </w:tc>
        <w:tc>
          <w:tcPr>
            <w:cnfStyle w:val="000000100000"/>
            <w:tcW w:w="0" w:type="auto"/>
          </w:tcPr>
          <w:p w14:paraId="000001EB">
            <w:pPr>
              <w:spacing w:after="160"/>
              <w:rPr/>
            </w:pPr>
            <w:r>
              <w:t>Foster placements or service pathways weakening access to cultural rituals, language, food, hair care and community networks.</w:t>
            </w:r>
          </w:p>
        </w:tc>
      </w:tr>
      <w:tr>
        <w:trPr/>
        <w:tc>
          <w:tcPr>
            <w:cnfStyle w:val="001000010000"/>
            <w:tcW w:w="0" w:type="auto"/>
          </w:tcPr>
          <w:p w14:paraId="000001EC">
            <w:pPr>
              <w:spacing w:after="160"/>
              <w:rPr/>
            </w:pPr>
          </w:p>
        </w:tc>
        <w:tc>
          <w:tcPr>
            <w:cnfStyle w:val="000000010000"/>
            <w:tcW w:w="0" w:type="auto"/>
          </w:tcPr>
          <w:p w14:paraId="000001ED">
            <w:pPr>
              <w:spacing w:after="160"/>
              <w:rPr/>
            </w:pPr>
            <w:r>
              <w:rPr>
                <w:b/>
                <w:bCs/>
              </w:rPr>
              <w:t>Threatened Sense of Identity</w:t>
            </w:r>
          </w:p>
        </w:tc>
        <w:tc>
          <w:tcPr>
            <w:cnfStyle w:val="000000010000"/>
            <w:tcW w:w="0" w:type="auto"/>
          </w:tcPr>
          <w:p w14:paraId="000001EE">
            <w:pPr>
              <w:spacing w:after="160"/>
              <w:rPr/>
            </w:pPr>
            <w:r>
              <w:t>Black children report feeling invisible or culturally erased in educational or care settings.</w:t>
            </w:r>
          </w:p>
        </w:tc>
      </w:tr>
      <w:tr>
        <w:trPr>
          <w:cnfStyle w:val="000000100000"/>
        </w:trPr>
        <w:tc>
          <w:tcPr>
            <w:cnfStyle w:val="001000100000"/>
            <w:tcW w:w="0" w:type="auto"/>
          </w:tcPr>
          <w:p w14:paraId="000001EF">
            <w:pPr>
              <w:spacing w:after="160"/>
              <w:rPr/>
            </w:pPr>
          </w:p>
        </w:tc>
        <w:tc>
          <w:tcPr>
            <w:cnfStyle w:val="000000100000"/>
            <w:tcW w:w="0" w:type="auto"/>
          </w:tcPr>
          <w:p w14:paraId="000001F0">
            <w:pPr>
              <w:spacing w:after="160"/>
              <w:rPr/>
            </w:pPr>
            <w:r>
              <w:rPr>
                <w:b/>
                <w:bCs/>
              </w:rPr>
              <w:t>Imposed Institutional Identities</w:t>
            </w:r>
          </w:p>
        </w:tc>
        <w:tc>
          <w:tcPr>
            <w:cnfStyle w:val="000000100000"/>
            <w:tcW w:w="0" w:type="auto"/>
          </w:tcPr>
          <w:p w14:paraId="000001F1">
            <w:pPr>
              <w:spacing w:after="160"/>
              <w:rPr/>
            </w:pPr>
            <w:r>
              <w:t xml:space="preserve">Service labels replace personal identities, shaping Black children’s self-perception through </w:t>
            </w:r>
            <w:r>
              <w:t>medicalised</w:t>
            </w:r>
            <w:r>
              <w:t xml:space="preserve"> or deficit-based narratives.</w:t>
            </w:r>
          </w:p>
        </w:tc>
      </w:tr>
      <w:tr>
        <w:trPr/>
        <w:tc>
          <w:tcPr>
            <w:cnfStyle w:val="001000010000"/>
            <w:tcW w:w="0" w:type="auto"/>
          </w:tcPr>
          <w:p w14:paraId="000001F2">
            <w:pPr>
              <w:spacing w:after="160"/>
              <w:rPr/>
            </w:pPr>
          </w:p>
        </w:tc>
        <w:tc>
          <w:tcPr>
            <w:cnfStyle w:val="000000010000"/>
            <w:tcW w:w="0" w:type="auto"/>
          </w:tcPr>
          <w:p w14:paraId="000001F3">
            <w:pPr>
              <w:spacing w:after="160"/>
              <w:rPr/>
            </w:pPr>
            <w:r>
              <w:rPr>
                <w:b/>
                <w:bCs/>
              </w:rPr>
              <w:t>Weak Cultural Mirroring</w:t>
            </w:r>
          </w:p>
        </w:tc>
        <w:tc>
          <w:tcPr>
            <w:cnfStyle w:val="000000010000"/>
            <w:tcW w:w="0" w:type="auto"/>
          </w:tcPr>
          <w:p w14:paraId="000001F4">
            <w:pPr>
              <w:spacing w:after="160"/>
              <w:rPr/>
            </w:pPr>
            <w:r>
              <w:t>Low representation of Black staff limits cultural mirroring and identity affirmation for Black children.</w:t>
            </w:r>
          </w:p>
        </w:tc>
      </w:tr>
      <w:tr>
        <w:trPr>
          <w:cnfStyle w:val="000000100000"/>
        </w:trPr>
        <w:tc>
          <w:tcPr>
            <w:cnfStyle w:val="001000100000"/>
            <w:tcW w:w="0" w:type="auto"/>
          </w:tcPr>
          <w:p w14:paraId="000001F5">
            <w:pPr>
              <w:spacing w:after="160"/>
              <w:rPr/>
            </w:pPr>
          </w:p>
        </w:tc>
        <w:tc>
          <w:tcPr>
            <w:cnfStyle w:val="000000100000"/>
            <w:tcW w:w="0" w:type="auto"/>
          </w:tcPr>
          <w:p w14:paraId="000001F6">
            <w:pPr>
              <w:spacing w:after="160"/>
              <w:rPr/>
            </w:pPr>
            <w:r>
              <w:rPr>
                <w:b/>
                <w:bCs/>
              </w:rPr>
              <w:t>Mistrust and Disengagement</w:t>
            </w:r>
          </w:p>
        </w:tc>
        <w:tc>
          <w:tcPr>
            <w:cnfStyle w:val="000000100000"/>
            <w:tcW w:w="0" w:type="auto"/>
          </w:tcPr>
          <w:p w14:paraId="000001F7">
            <w:pPr>
              <w:spacing w:after="160"/>
              <w:rPr/>
            </w:pPr>
            <w:r>
              <w:t>Negative experiences cause Black families to withdraw from services, enter late, or avoid help due to fear of judgement.</w:t>
            </w:r>
          </w:p>
        </w:tc>
      </w:tr>
      <w:tr>
        <w:trPr/>
        <w:tc>
          <w:tcPr>
            <w:cnfStyle w:val="001000010000"/>
            <w:tcW w:w="0" w:type="auto"/>
          </w:tcPr>
          <w:p w14:paraId="000001F8">
            <w:pPr>
              <w:spacing w:after="160"/>
              <w:rPr/>
            </w:pPr>
            <w:r>
              <w:rPr>
                <w:b/>
                <w:bCs/>
              </w:rPr>
              <w:t>Theme 3: Structural Inequity in Social Care Services</w:t>
            </w:r>
          </w:p>
        </w:tc>
        <w:tc>
          <w:tcPr>
            <w:cnfStyle w:val="000000010000"/>
            <w:tcW w:w="0" w:type="auto"/>
          </w:tcPr>
          <w:p w14:paraId="000001F9">
            <w:pPr>
              <w:spacing w:after="160"/>
              <w:rPr/>
            </w:pPr>
            <w:r>
              <w:rPr>
                <w:b/>
                <w:bCs/>
              </w:rPr>
              <w:t>Racialised</w:t>
            </w:r>
            <w:r>
              <w:rPr>
                <w:b/>
                <w:bCs/>
              </w:rPr>
              <w:t xml:space="preserve"> Surveillance and Intervention</w:t>
            </w:r>
          </w:p>
        </w:tc>
        <w:tc>
          <w:tcPr>
            <w:cnfStyle w:val="000000010000"/>
            <w:tcW w:w="0" w:type="auto"/>
          </w:tcPr>
          <w:p w14:paraId="000001FA">
            <w:pPr>
              <w:spacing w:after="160"/>
              <w:rPr/>
            </w:pPr>
            <w:r>
              <w:t xml:space="preserve">Disproportionate CPS involvement with Black families; </w:t>
            </w:r>
            <w:r>
              <w:t>racialised</w:t>
            </w:r>
            <w:r>
              <w:t xml:space="preserve"> risk assessments; newborn drug testing disproportionately targeting Black infants.</w:t>
            </w:r>
          </w:p>
        </w:tc>
      </w:tr>
      <w:tr>
        <w:trPr>
          <w:cnfStyle w:val="000000100000"/>
        </w:trPr>
        <w:tc>
          <w:tcPr>
            <w:cnfStyle w:val="001000100000"/>
            <w:tcW w:w="0" w:type="auto"/>
          </w:tcPr>
          <w:p w14:paraId="000001FB">
            <w:pPr>
              <w:spacing w:after="160"/>
              <w:rPr/>
            </w:pPr>
          </w:p>
        </w:tc>
        <w:tc>
          <w:tcPr>
            <w:cnfStyle w:val="000000100000"/>
            <w:tcW w:w="0" w:type="auto"/>
          </w:tcPr>
          <w:p w14:paraId="000001FC">
            <w:pPr>
              <w:spacing w:after="160"/>
              <w:rPr/>
            </w:pPr>
          </w:p>
        </w:tc>
        <w:tc>
          <w:tcPr>
            <w:cnfStyle w:val="000000100000"/>
            <w:tcW w:w="0" w:type="auto"/>
          </w:tcPr>
          <w:p w14:paraId="000001FD">
            <w:pPr>
              <w:spacing w:after="160"/>
              <w:rPr/>
            </w:pPr>
            <w:r>
              <w:t xml:space="preserve">Poverty-linked </w:t>
            </w:r>
            <w:r>
              <w:t>behaviour</w:t>
            </w:r>
            <w:r>
              <w:t xml:space="preserve"> perceived as high-risk for Black families because of </w:t>
            </w:r>
            <w:r>
              <w:t>racialised</w:t>
            </w:r>
            <w:r>
              <w:t xml:space="preserve"> assumptions.</w:t>
            </w:r>
          </w:p>
        </w:tc>
      </w:tr>
      <w:tr>
        <w:trPr/>
        <w:tc>
          <w:tcPr>
            <w:cnfStyle w:val="001000010000"/>
            <w:tcW w:w="0" w:type="auto"/>
          </w:tcPr>
          <w:p w14:paraId="000001FE">
            <w:pPr>
              <w:spacing w:after="160"/>
              <w:rPr/>
            </w:pPr>
          </w:p>
        </w:tc>
        <w:tc>
          <w:tcPr>
            <w:cnfStyle w:val="000000010000"/>
            <w:tcW w:w="0" w:type="auto"/>
          </w:tcPr>
          <w:p w14:paraId="000001FF">
            <w:pPr>
              <w:spacing w:after="160"/>
              <w:rPr/>
            </w:pPr>
            <w:r>
              <w:rPr>
                <w:b/>
                <w:bCs/>
              </w:rPr>
              <w:t>Unequal Access and Quality of Services</w:t>
            </w:r>
          </w:p>
        </w:tc>
        <w:tc>
          <w:tcPr>
            <w:cnfStyle w:val="000000010000"/>
            <w:tcW w:w="0" w:type="auto"/>
          </w:tcPr>
          <w:p w14:paraId="00000200">
            <w:pPr>
              <w:spacing w:after="160"/>
              <w:rPr/>
            </w:pPr>
            <w:r>
              <w:t xml:space="preserve">Lower continuity of primary care among Black toddlers; </w:t>
            </w:r>
            <w:r>
              <w:t>underutilisation</w:t>
            </w:r>
            <w:r>
              <w:t xml:space="preserve"> of primary care despite equal need.</w:t>
            </w:r>
          </w:p>
        </w:tc>
      </w:tr>
      <w:tr>
        <w:trPr>
          <w:cnfStyle w:val="000000100000"/>
        </w:trPr>
        <w:tc>
          <w:tcPr>
            <w:cnfStyle w:val="001000100000"/>
            <w:tcW w:w="0" w:type="auto"/>
          </w:tcPr>
          <w:p w14:paraId="00000201">
            <w:pPr>
              <w:spacing w:after="160"/>
              <w:rPr/>
            </w:pPr>
          </w:p>
        </w:tc>
        <w:tc>
          <w:tcPr>
            <w:cnfStyle w:val="000000100000"/>
            <w:tcW w:w="0" w:type="auto"/>
          </w:tcPr>
          <w:p w14:paraId="00000202">
            <w:pPr>
              <w:spacing w:after="160"/>
              <w:rPr/>
            </w:pPr>
          </w:p>
        </w:tc>
        <w:tc>
          <w:tcPr>
            <w:cnfStyle w:val="000000100000"/>
            <w:tcW w:w="0" w:type="auto"/>
          </w:tcPr>
          <w:p w14:paraId="00000203">
            <w:pPr>
              <w:spacing w:after="160"/>
              <w:rPr/>
            </w:pPr>
            <w:r>
              <w:t>Service fragmentation and inconsistent funding disproportionately impacting areas with high Black populations.</w:t>
            </w:r>
          </w:p>
        </w:tc>
      </w:tr>
      <w:tr>
        <w:trPr/>
        <w:tc>
          <w:tcPr>
            <w:cnfStyle w:val="001000010000"/>
            <w:tcW w:w="0" w:type="auto"/>
          </w:tcPr>
          <w:p w14:paraId="00000204">
            <w:pPr>
              <w:spacing w:after="160"/>
              <w:rPr/>
            </w:pPr>
          </w:p>
        </w:tc>
        <w:tc>
          <w:tcPr>
            <w:cnfStyle w:val="000000010000"/>
            <w:tcW w:w="0" w:type="auto"/>
          </w:tcPr>
          <w:p w14:paraId="00000205">
            <w:pPr>
              <w:spacing w:after="160"/>
              <w:rPr/>
            </w:pPr>
            <w:r>
              <w:rPr>
                <w:b/>
                <w:bCs/>
              </w:rPr>
              <w:t>Structural Violence Embedded in Systems</w:t>
            </w:r>
          </w:p>
        </w:tc>
        <w:tc>
          <w:tcPr>
            <w:cnfStyle w:val="000000010000"/>
            <w:tcW w:w="0" w:type="auto"/>
          </w:tcPr>
          <w:p w14:paraId="00000206">
            <w:pPr>
              <w:spacing w:after="160"/>
              <w:rPr/>
            </w:pPr>
            <w:r>
              <w:t>Organisational</w:t>
            </w:r>
            <w:r>
              <w:t xml:space="preserve"> practices </w:t>
            </w:r>
            <w:r>
              <w:t>normalising</w:t>
            </w:r>
            <w:r>
              <w:t xml:space="preserve"> racial harm; institutional routines reinforcing inequity; trust erosion between Black families and services.</w:t>
            </w:r>
          </w:p>
        </w:tc>
      </w:tr>
      <w:tr>
        <w:trPr>
          <w:cnfStyle w:val="000000100000"/>
        </w:trPr>
        <w:tc>
          <w:tcPr>
            <w:cnfStyle w:val="001000100000"/>
            <w:tcW w:w="0" w:type="auto"/>
          </w:tcPr>
          <w:p w14:paraId="00000207">
            <w:pPr>
              <w:spacing w:after="160"/>
              <w:rPr/>
            </w:pPr>
          </w:p>
        </w:tc>
        <w:tc>
          <w:tcPr>
            <w:cnfStyle w:val="000000100000"/>
            <w:tcW w:w="0" w:type="auto"/>
          </w:tcPr>
          <w:p w14:paraId="00000208">
            <w:pPr>
              <w:spacing w:after="160"/>
              <w:rPr/>
            </w:pPr>
            <w:r>
              <w:rPr>
                <w:b/>
                <w:bCs/>
              </w:rPr>
              <w:t>Policy and Economic Drivers of Inequity</w:t>
            </w:r>
          </w:p>
        </w:tc>
        <w:tc>
          <w:tcPr>
            <w:cnfStyle w:val="000000100000"/>
            <w:tcW w:w="0" w:type="auto"/>
          </w:tcPr>
          <w:p w14:paraId="00000209">
            <w:pPr>
              <w:spacing w:after="160"/>
              <w:rPr/>
            </w:pPr>
            <w:r>
              <w:t>Black families disproportionately located in deprived areas due to historic and structural inequity; policy failures perpetuating disparities.</w:t>
            </w:r>
          </w:p>
        </w:tc>
      </w:tr>
      <w:tr>
        <w:trPr/>
        <w:tc>
          <w:tcPr>
            <w:cnfStyle w:val="001000010000"/>
            <w:tcW w:w="0" w:type="auto"/>
          </w:tcPr>
          <w:p w14:paraId="0000020A">
            <w:pPr>
              <w:spacing w:after="160"/>
              <w:rPr/>
            </w:pPr>
          </w:p>
        </w:tc>
        <w:tc>
          <w:tcPr>
            <w:cnfStyle w:val="000000010000"/>
            <w:tcW w:w="0" w:type="auto"/>
          </w:tcPr>
          <w:p w14:paraId="0000020B">
            <w:pPr>
              <w:spacing w:after="160"/>
              <w:rPr/>
            </w:pPr>
          </w:p>
        </w:tc>
        <w:tc>
          <w:tcPr>
            <w:cnfStyle w:val="000000010000"/>
            <w:tcW w:w="0" w:type="auto"/>
          </w:tcPr>
          <w:p w14:paraId="0000020C">
            <w:pPr>
              <w:spacing w:after="160"/>
              <w:rPr/>
            </w:pPr>
            <w:r>
              <w:t xml:space="preserve">Economic supports (e.g., tax credits) shown to reduce CPS involvement with </w:t>
            </w:r>
            <w:r>
              <w:t>marginalised</w:t>
            </w:r>
            <w:r>
              <w:t xml:space="preserve"> children including Black children.</w:t>
            </w:r>
          </w:p>
        </w:tc>
      </w:tr>
      <w:tr>
        <w:trPr>
          <w:cnfStyle w:val="000000100000"/>
        </w:trPr>
        <w:tc>
          <w:tcPr>
            <w:cnfStyle w:val="001000100000"/>
            <w:tcW w:w="0" w:type="auto"/>
            <w:tcBorders>
              <w:bottom w:val="single" w:color="auto" w:sz="4" w:space="0"/>
            </w:tcBorders>
          </w:tcPr>
          <w:p w14:paraId="0000020D">
            <w:pPr>
              <w:spacing w:after="160"/>
              <w:rPr/>
            </w:pPr>
          </w:p>
        </w:tc>
        <w:tc>
          <w:tcPr>
            <w:cnfStyle w:val="000000100000"/>
            <w:tcW w:w="0" w:type="auto"/>
            <w:tcBorders>
              <w:bottom w:val="single" w:color="auto" w:sz="4" w:space="0"/>
            </w:tcBorders>
          </w:tcPr>
          <w:p w14:paraId="0000020E">
            <w:pPr>
              <w:spacing w:after="160"/>
              <w:rPr/>
            </w:pPr>
          </w:p>
        </w:tc>
        <w:tc>
          <w:tcPr>
            <w:cnfStyle w:val="000000100000"/>
            <w:tcW w:w="0" w:type="auto"/>
            <w:tcBorders>
              <w:bottom w:val="single" w:color="auto" w:sz="4" w:space="0"/>
            </w:tcBorders>
          </w:tcPr>
          <w:p w14:paraId="0000020F">
            <w:pPr>
              <w:spacing w:after="160"/>
              <w:rPr/>
            </w:pPr>
            <w:r>
              <w:t xml:space="preserve">Policy-implementation gaps where well-intended policies fail to </w:t>
            </w:r>
            <w:r>
              <w:t>produce equitable outcomes for Black children.</w:t>
            </w:r>
          </w:p>
        </w:tc>
      </w:tr>
    </w:tbl>
    <w:p w14:paraId="00000210"/>
    <w:p w14:paraId="00000211"/>
    <w:p w14:paraId="00000212"/>
    <w:p w14:paraId="00000213"/>
    <w:p w14:paraId="00000214"/>
    <w:p w14:paraId="00000215"/>
    <w:p w14:paraId="00000216"/>
    <w:p w14:paraId="00000217"/>
    <w:p w14:paraId="00000218"/>
    <w:p w14:paraId="00000219"/>
    <w:p w14:paraId="0000021A"/>
    <w:p w14:paraId="0000021B"/>
    <w:p w14:paraId="0000021C">
      <w:pPr>
        <w:pStyle w:val="Heading1"/>
        <w:ind w:left="0"/>
        <w:rPr>
          <w:rFonts w:ascii="Aptos" w:hAnsi="Aptos"/>
        </w:rPr>
      </w:pPr>
      <w:bookmarkStart w:id="38" w:name="_Toc212114123"/>
      <w:r>
        <w:rPr>
          <w:rFonts w:ascii="Aptos" w:hAnsi="Aptos"/>
        </w:rPr>
        <w:t>Additional Information</w:t>
      </w:r>
      <w:bookmarkEnd w:id="38"/>
      <w:r>
        <w:rPr>
          <w:rFonts w:ascii="Aptos" w:hAnsi="Aptos"/>
        </w:rPr>
        <w:t xml:space="preserve"> </w:t>
      </w:r>
    </w:p>
    <w:p w14:paraId="0000021D"/>
    <w:p w14:paraId="0000021E">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Pr>
          <w:rFonts w:ascii="Aptos" w:eastAsia="Arial Unicode MS" w:hAnsi="Aptos"/>
          <w:b/>
        </w:rPr>
        <w:t>It is important to remember that the word limit is part of the task.</w:t>
      </w:r>
      <w:r>
        <w:rPr>
          <w:rFonts w:ascii="Aptos" w:eastAsia="Arial Unicode MS" w:hAnsi="Aptos"/>
        </w:rPr>
        <w:t xml:space="preserve">  You will lose marks if you go over or under 10% of your given word count for the dissertation. </w:t>
      </w:r>
    </w:p>
    <w:p w14:paraId="0000021F">
      <w:pPr>
        <w:pStyle w:val="ListParagraph"/>
        <w:widowControl w:val="on"/>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contextualSpacing w:val="on"/>
        <w:jc w:val="both"/>
        <w:rPr>
          <w:rFonts w:ascii="Aptos" w:cstheme="minorBidi" w:eastAsia="Arial Unicode MS" w:hAnsi="Aptos"/>
        </w:rPr>
      </w:pPr>
      <w:r>
        <w:rPr>
          <w:rFonts w:ascii="Aptos" w:cstheme="minorBidi" w:eastAsia="Arial Unicode MS" w:hAnsi="Aptos"/>
        </w:rPr>
        <w:t xml:space="preserve">It is a requirement that you submit your work in a </w:t>
      </w:r>
      <w:r>
        <w:rPr>
          <w:rFonts w:ascii="Aptos" w:cstheme="minorBidi" w:eastAsia="Arial Unicode MS" w:hAnsi="Aptos"/>
        </w:rPr>
        <w:t>MS W</w:t>
      </w:r>
      <w:r>
        <w:rPr>
          <w:rFonts w:ascii="Aptos" w:cstheme="minorBidi" w:eastAsia="Arial Unicode MS" w:hAnsi="Aptos"/>
        </w:rPr>
        <w:t>ord processed format.</w:t>
      </w:r>
    </w:p>
    <w:p w14:paraId="00000220">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Pr>
          <w:rFonts w:eastAsia="Arial Unicode MS"/>
        </w:rPr>
        <w:t>.  Seek guidance for illustrative material.</w:t>
      </w:r>
    </w:p>
    <w:p w14:paraId="00000221">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 xml:space="preserve">Black word-processed print to be used. The font chosen for the main body of the finished work is Arial, Calibri or Aptos, point 11.  </w:t>
      </w:r>
    </w:p>
    <w:p w14:paraId="00000222">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Pr>
          <w:rFonts w:eastAsia="Arial Unicode MS"/>
        </w:rPr>
        <w:t xml:space="preserve">Text should be at least 1½ line spacing (usually double-spaced) and </w:t>
      </w:r>
      <w:r>
        <w:rPr>
          <w:rFonts w:eastAsia="Arial Unicode MS"/>
        </w:rPr>
        <w:t>of justified alignment (straight edges both sides)</w:t>
      </w:r>
      <w:r>
        <w:rPr>
          <w:rFonts w:eastAsia="Arial Unicode MS"/>
        </w:rPr>
        <w:t>.</w:t>
      </w:r>
    </w:p>
    <w:p w14:paraId="00000223">
      <w:pPr>
        <w:numPr>
          <w:ilvl w:val="0"/>
          <w:numId w:val="1"/>
        </w:numPr>
        <w:spacing w:after="0" w:line="600" w:lineRule="auto"/>
        <w:contextualSpacing w:val="on"/>
        <w:rPr>
          <w:rFonts w:eastAsia="Arial Unicode MS"/>
        </w:rPr>
      </w:pPr>
      <w:r>
        <w:rPr>
          <w:rFonts w:eastAsia="Arial Unicode MS"/>
        </w:rPr>
        <w:t>Pages shall be numbered consecutively from the first page of the first chapter throughout the main text (including appendices) in Arabic numerals (i.e. 1, 2, 3, etc.).</w:t>
      </w:r>
    </w:p>
    <w:p w14:paraId="00000224">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Pr>
          <w:rFonts w:eastAsia="Arial Unicode MS"/>
        </w:rPr>
        <w:t>Page numbers should be located at the bottom of the page.</w:t>
      </w:r>
    </w:p>
    <w:p w14:paraId="00000225">
      <w:pPr>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pPr>
      <w:r>
        <w:rPr>
          <w:rFonts w:eastAsia="Arial Unicode MS"/>
        </w:rPr>
        <w:t>Main text should be divided into chapters beginning with an introductory chapter which sets the scene.  Each chapter should begin on a separate page.</w:t>
      </w:r>
    </w:p>
    <w:p w14:paraId="00000226"/>
    <w:sectPr>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00000000"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Calibri">
    <w:panose1 w:val="020f0502020204030204"/>
    <w:charset w:val="00"/>
    <w:family w:val="swiss"/>
    <w:pitch w:val="variable"/>
    <w:sig w:usb0="00000000" w:usb1="00000000" w:usb2="00000009" w:usb3="00000000" w:csb0="000001ff" w:csb1="00000000"/>
  </w:font>
  <w:font w:name="DengXian">
    <w:altName w:val="等线"/>
    <w:panose1 w:val="02010600030101010101"/>
    <w:charset w:val="86"/>
    <w:family w:val="auto"/>
    <w:pitch w:val="variable"/>
    <w:sig w:usb0="00000000" w:usb1="38cf7cfa" w:usb2="00000016" w:usb3="00000000" w:csb0="0004000f" w:csb1="00000000"/>
  </w:font>
  <w:font w:name="Arial">
    <w:panose1 w:val="020b0604020202020204"/>
    <w:charset w:val="00"/>
    <w:family w:val="swiss"/>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DengXian Light">
    <w:charset w:val="86"/>
    <w:family w:val="auto"/>
    <w:pitch w:val="variable"/>
    <w:sig w:usb0="00000000" w:usb1="38cf7cfa" w:usb2="00000016" w:usb3="00000000" w:csb0="0004000f" w:csb1="00000000"/>
  </w:font>
  <w:font w:name="Aptos">
    <w:altName w:val="Calibri"/>
    <w:charset w:val="00"/>
    <w:family w:val="swiss"/>
    <w:pitch w:val="variable"/>
    <w:sig w:usb0="20000287" w:usb1="00000003" w:usb2="00000000" w:usb3="00000000" w:csb0="0000019f" w:csb1="00000000"/>
  </w:font>
  <w:font w:name="Arial Unicode MS">
    <w:panose1 w:val="020b0604020202020204"/>
    <w:charset w:val="80"/>
    <w:family w:val="swiss"/>
    <w:pitch w:val="variable"/>
    <w:sig w:usb0="00000000" w:usb1="00000000" w:usb2="0000003f" w:usb3="00000000" w:csb0="003f01ff" w:csb1="00000000"/>
  </w:font>
  <w:font w:name="Segoe UI">
    <w:panose1 w:val="020b0502040204020203"/>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 w:name="Segoe Scrip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p w14:paraId="00000227">
    <w:pPr>
      <w:pStyle w:val="Footer"/>
      <w:jc w:val="center"/>
      <w:rPr/>
    </w:pPr>
    <w:r>
      <w:fldChar w:fldCharType="begin"/>
    </w:r>
    <w:r>
      <w:instrText xml:space="preserve"> PAGE   \* MERGEFORMAT </w:instrText>
    </w:r>
    <w:r>
      <w:fldChar w:fldCharType="separate"/>
    </w:r>
    <w:r>
      <w:t>2</w:t>
    </w:r>
    <w:r>
      <w:fldChar w:fldCharType="end"/>
    </w:r>
  </w:p>
  <w:p w14:paraId="00000228">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p14 ">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multiLevelType w:val="multilevel"/>
    <w:lvl w:ilvl="0" w:tentative="0">
      <w:start w:val="3"/>
      <w:numFmt w:val="decimal"/>
      <w:lvlText w:val="%1"/>
      <w:lvlJc w:val="left"/>
      <w:pPr>
        <w:ind w:left="360" w:hanging="360"/>
      </w:pPr>
      <w:rPr>
        <w:rFonts w:hint="default"/>
      </w:rPr>
    </w:lvl>
    <w:lvl w:ilvl="1" w:tentative="0">
      <w:start w:val="3"/>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
    <w:multiLevelType w:val="multilevel"/>
    <w:lvl w:ilvl="0" w:tentative="0">
      <w:start w:val="1"/>
      <w:numFmt w:val="bullet"/>
      <w:lvlText w:val=""/>
      <w:lvlJc w:val="left"/>
      <w:pPr>
        <w:tabs>
          <w:tab w:val="num" w:pos="720"/>
        </w:tabs>
        <w:ind w:left="720" w:hanging="360"/>
      </w:pPr>
      <w:rPr>
        <w:rFonts w:ascii="Symbol" w:hAnsi="Symbol" w:hint="default"/>
        <w:sz w:val="20"/>
      </w:rPr>
    </w:lvl>
    <w:lvl w:ilvl="1" w:tentative="0">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multiLevelType w:val="hybridMultilevel"/>
    <w:lvl w:ilvl="0" w:tentative="0">
      <w:numFmt w:val="bullet"/>
      <w:lvlText w:val="•"/>
      <w:lvlJc w:val="left"/>
      <w:pPr>
        <w:ind w:left="720" w:hanging="360"/>
      </w:pPr>
      <w:rPr>
        <w:rFonts w:hint="default"/>
        <w:lang w:val="en-GB" w:bidi="en-GB" w:eastAsia="en-GB"/>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D05D8"/>
    <w:rsid w:val="000D0641"/>
    <w:rsid w:val="000D2B00"/>
    <w:rsid w:val="000F7722"/>
    <w:rsid w:val="00111C60"/>
    <w:rsid w:val="001601E6"/>
    <w:rsid w:val="00185F73"/>
    <w:rsid w:val="001C3AF6"/>
    <w:rsid w:val="001D1485"/>
    <w:rsid w:val="001F19A6"/>
    <w:rsid w:val="00211184"/>
    <w:rsid w:val="0021364B"/>
    <w:rsid w:val="0025020C"/>
    <w:rsid w:val="00254526"/>
    <w:rsid w:val="00256951"/>
    <w:rsid w:val="00271602"/>
    <w:rsid w:val="002757DA"/>
    <w:rsid w:val="002865F5"/>
    <w:rsid w:val="00292A36"/>
    <w:rsid w:val="00295C5A"/>
    <w:rsid w:val="002D64A3"/>
    <w:rsid w:val="002F5E53"/>
    <w:rsid w:val="00312A5A"/>
    <w:rsid w:val="003135AD"/>
    <w:rsid w:val="0032052C"/>
    <w:rsid w:val="00393F39"/>
    <w:rsid w:val="003A66FD"/>
    <w:rsid w:val="003B1E32"/>
    <w:rsid w:val="00427656"/>
    <w:rsid w:val="004456CF"/>
    <w:rsid w:val="00485A30"/>
    <w:rsid w:val="004A54CB"/>
    <w:rsid w:val="004D4021"/>
    <w:rsid w:val="004E785E"/>
    <w:rsid w:val="004F7202"/>
    <w:rsid w:val="005119DE"/>
    <w:rsid w:val="005446BF"/>
    <w:rsid w:val="0055147E"/>
    <w:rsid w:val="005531A7"/>
    <w:rsid w:val="005B3EDE"/>
    <w:rsid w:val="005B6E67"/>
    <w:rsid w:val="005C5E80"/>
    <w:rsid w:val="005D21AF"/>
    <w:rsid w:val="005D7A1E"/>
    <w:rsid w:val="005E1650"/>
    <w:rsid w:val="005F4BA4"/>
    <w:rsid w:val="00600053"/>
    <w:rsid w:val="00604A87"/>
    <w:rsid w:val="00621776"/>
    <w:rsid w:val="00621872"/>
    <w:rsid w:val="00636D9A"/>
    <w:rsid w:val="00697B5A"/>
    <w:rsid w:val="006A3F0D"/>
    <w:rsid w:val="006A4515"/>
    <w:rsid w:val="006C78AA"/>
    <w:rsid w:val="006F04D4"/>
    <w:rsid w:val="006F4AB2"/>
    <w:rsid w:val="007063BA"/>
    <w:rsid w:val="00730C3C"/>
    <w:rsid w:val="0073280B"/>
    <w:rsid w:val="00750B5B"/>
    <w:rsid w:val="0077163A"/>
    <w:rsid w:val="00785752"/>
    <w:rsid w:val="00791DFA"/>
    <w:rsid w:val="007A59C8"/>
    <w:rsid w:val="007A712E"/>
    <w:rsid w:val="007C246B"/>
    <w:rsid w:val="007C685B"/>
    <w:rsid w:val="007D5DE7"/>
    <w:rsid w:val="007F7847"/>
    <w:rsid w:val="00804B94"/>
    <w:rsid w:val="00807B11"/>
    <w:rsid w:val="0082760D"/>
    <w:rsid w:val="0083283E"/>
    <w:rsid w:val="008351D3"/>
    <w:rsid w:val="00840722"/>
    <w:rsid w:val="00880B2D"/>
    <w:rsid w:val="00883AB0"/>
    <w:rsid w:val="00891DB4"/>
    <w:rsid w:val="00894108"/>
    <w:rsid w:val="008B1DFA"/>
    <w:rsid w:val="008C38C3"/>
    <w:rsid w:val="008D6F0F"/>
    <w:rsid w:val="008E7B2E"/>
    <w:rsid w:val="008F1B83"/>
    <w:rsid w:val="0090248B"/>
    <w:rsid w:val="009063B3"/>
    <w:rsid w:val="00916814"/>
    <w:rsid w:val="00995444"/>
    <w:rsid w:val="009A0805"/>
    <w:rsid w:val="009D06C5"/>
    <w:rsid w:val="009D534C"/>
    <w:rsid w:val="009D728C"/>
    <w:rsid w:val="009E5B14"/>
    <w:rsid w:val="00A90A7A"/>
    <w:rsid w:val="00A96D2C"/>
    <w:rsid w:val="00AA437C"/>
    <w:rsid w:val="00AB78F0"/>
    <w:rsid w:val="00AC25C4"/>
    <w:rsid w:val="00AF4CBD"/>
    <w:rsid w:val="00B01396"/>
    <w:rsid w:val="00B2418B"/>
    <w:rsid w:val="00B26973"/>
    <w:rsid w:val="00B32022"/>
    <w:rsid w:val="00B575E2"/>
    <w:rsid w:val="00B63012"/>
    <w:rsid w:val="00B7073C"/>
    <w:rsid w:val="00B8224E"/>
    <w:rsid w:val="00B858A1"/>
    <w:rsid w:val="00BA2120"/>
    <w:rsid w:val="00BB65AC"/>
    <w:rsid w:val="00BC0912"/>
    <w:rsid w:val="00BC7BF8"/>
    <w:rsid w:val="00BD2909"/>
    <w:rsid w:val="00BE123C"/>
    <w:rsid w:val="00C11C7F"/>
    <w:rsid w:val="00C17A49"/>
    <w:rsid w:val="00C91479"/>
    <w:rsid w:val="00C925A6"/>
    <w:rsid w:val="00CB3AF6"/>
    <w:rsid w:val="00CB3C13"/>
    <w:rsid w:val="00CC107A"/>
    <w:rsid w:val="00CE3FD1"/>
    <w:rsid w:val="00CE620E"/>
    <w:rsid w:val="00CF0C98"/>
    <w:rsid w:val="00CF1ED5"/>
    <w:rsid w:val="00CF7865"/>
    <w:rsid w:val="00D13A82"/>
    <w:rsid w:val="00D13DB7"/>
    <w:rsid w:val="00D50AB3"/>
    <w:rsid w:val="00D61C0D"/>
    <w:rsid w:val="00D72BEF"/>
    <w:rsid w:val="00DA3C55"/>
    <w:rsid w:val="00DB71AC"/>
    <w:rsid w:val="00DC00D1"/>
    <w:rsid w:val="00DD02A4"/>
    <w:rsid w:val="00DE1A02"/>
    <w:rsid w:val="00E05C6C"/>
    <w:rsid w:val="00E157E1"/>
    <w:rsid w:val="00E2182C"/>
    <w:rsid w:val="00E325CF"/>
    <w:rsid w:val="00E40B0D"/>
    <w:rsid w:val="00E71420"/>
    <w:rsid w:val="00E94DA0"/>
    <w:rsid w:val="00EA5CC3"/>
    <w:rsid w:val="00EA7D18"/>
    <w:rsid w:val="00EF6341"/>
    <w:rsid w:val="00F0560A"/>
    <w:rsid w:val="00F158D7"/>
    <w:rsid w:val="00F20EE5"/>
    <w:rsid w:val="00F44833"/>
    <w:rsid w:val="00F544B0"/>
    <w:rsid w:val="00F67C87"/>
    <w:rsid w:val="00F84C23"/>
    <w:rsid w:val="00FD3DE0"/>
    <w:rsid w:val="00FD7729"/>
    <w:rsid w:val="00FD7C22"/>
    <w:rsid w:val="00FE5C58"/>
    <w:rsid w:val="00FF16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2F6E26"/>
  <w15:chartTrackingRefBased/>
  <w15:docId w15:val="{B75B84A8-BAE9-43B9-9F42-914CDCFC627E}"/>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2"/>
        <w:szCs w:val="22"/>
        <w:lang w:val="en-GB" w:bidi="ar-SA" w:eastAsia="zh-CN"/>
        <w14:ligatures w14:val="standardContextual"/>
      </w:rPr>
    </w:rPrDefault>
    <w:pPrDefault>
      <w:pPr>
        <w:spacing w:after="160" w:line="259" w:lineRule="auto"/>
      </w:pPr>
    </w:pPrDefault>
  </w:docDefaults>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FollowedHyperlink">
    <w:name w:val="FollowedHyperlink"/>
    <w:basedOn w:val="DefaultParagraphFont"/>
    <w:uiPriority w:val="99"/>
    <w:semiHidden w:val="on"/>
    <w:unhideWhenUsed w:val="on"/>
    <w:rPr>
      <w:color w:val="954f72" w:themeColor="followed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spacing w:line="360" w:lineRule="auto"/>
      <w:jc w:val="both"/>
    </w:pPr>
    <w:rPr>
      <w:rFonts w:ascii="Arial" w:hAnsi="Arial"/>
    </w:rPr>
  </w:style>
  <w:style w:type="paragraph" w:styleId="Heading1">
    <w:name w:val="Heading 1"/>
    <w:basedOn w:val="Normal"/>
    <w:link w:val="Heading1Char"/>
    <w:uiPriority w:val="1"/>
    <w:qFormat w:val="on"/>
    <w:pPr>
      <w:widowControl w:val="off"/>
      <w:spacing w:after="0" w:line="240" w:lineRule="auto"/>
      <w:ind w:left="220"/>
      <w:jc w:val="left"/>
    </w:pPr>
    <w:rPr>
      <w:rFonts w:cs="Calibri Light" w:eastAsia="Calibri Light"/>
      <w:b/>
      <w:sz w:val="32"/>
      <w:szCs w:val="32"/>
      <w:lang w:bidi="en-GB" w:eastAsia="en-GB"/>
    </w:rPr>
  </w:style>
  <w:style w:type="paragraph" w:styleId="Heading2">
    <w:name w:val="Heading 2"/>
    <w:basedOn w:val="Normal"/>
    <w:next w:val="Normal"/>
    <w:link w:val="Heading2Char"/>
    <w:uiPriority w:val="9"/>
    <w:unhideWhenUsed w:val="on"/>
    <w:qFormat w:val="on"/>
    <w:pPr>
      <w:keepNext w:val="on"/>
      <w:keepLines w:val="on"/>
      <w:spacing w:before="40" w:after="0"/>
    </w:pPr>
    <w:rPr>
      <w:rFonts w:cstheme="majorBidi" w:eastAsiaTheme="majorEastAsia"/>
      <w:color w:val="2f5395" w:themeColor="accent1" w:themeShade="bf"/>
      <w:sz w:val="24"/>
      <w:szCs w:val="26"/>
    </w:rPr>
  </w:style>
  <w:style w:type="paragraph" w:styleId="Heading3">
    <w:name w:val="Heading 3"/>
    <w:basedOn w:val="Normal"/>
    <w:next w:val="Normal"/>
    <w:link w:val="Heading3Char"/>
    <w:uiPriority w:val="9"/>
    <w:semiHidden w:val="on"/>
    <w:unhideWhenUsed w:val="on"/>
    <w:qFormat w:val="on"/>
    <w:pPr>
      <w:keepNext w:val="on"/>
      <w:keepLines w:val="on"/>
      <w:spacing w:before="40" w:after="0"/>
    </w:pPr>
    <w:rPr>
      <w:rFonts w:asciiTheme="majorHAnsi" w:cstheme="majorBidi" w:eastAsiaTheme="majorEastAsia" w:hAnsiTheme="majorHAnsi"/>
      <w:color w:val="1f3763" w:themeColor="accent1" w:themeShade="7f"/>
      <w:sz w:val="24"/>
      <w:szCs w:val="24"/>
    </w:rPr>
  </w:style>
  <w:style w:type="paragraph" w:styleId="Heading4">
    <w:name w:val="Heading 4"/>
    <w:basedOn w:val="Normal"/>
    <w:next w:val="Normal"/>
    <w:link w:val="Heading4Char"/>
    <w:uiPriority w:val="9"/>
    <w:unhideWhenUsed w:val="on"/>
    <w:qFormat w:val="on"/>
    <w:pPr>
      <w:keepNext w:val="on"/>
      <w:keepLines w:val="on"/>
      <w:spacing w:before="40" w:after="0"/>
    </w:pPr>
    <w:rPr>
      <w:rFonts w:asciiTheme="majorHAnsi" w:cstheme="majorBidi" w:eastAsiaTheme="majorEastAsia" w:hAnsiTheme="majorHAnsi"/>
      <w:i/>
      <w:iCs/>
      <w:color w:val="2f5395" w:themeColor="accent1" w:themeShade="bf"/>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BodyText">
    <w:name w:val="Body Text"/>
    <w:basedOn w:val="Normal"/>
    <w:link w:val="BodyTextChar"/>
    <w:uiPriority w:val="1"/>
    <w:unhideWhenUsed w:val="on"/>
    <w:qFormat w:val="on"/>
    <w:pPr>
      <w:widowControl w:val="off"/>
      <w:spacing w:after="0"/>
      <w:jc w:val="left"/>
    </w:pPr>
    <w:rPr>
      <w:rFonts w:cs="Calibri Light" w:eastAsia="Calibri Light"/>
      <w:lang w:bidi="en-GB" w:eastAsia="en-GB"/>
    </w:rPr>
  </w:style>
  <w:style w:type="character" w:customStyle="1" w:styleId="BodyTextChar">
    <w:name w:val="Body Text Char"/>
    <w:basedOn w:val="DefaultParagraphFont"/>
    <w:link w:val="BodyText"/>
    <w:uiPriority w:val="1"/>
    <w:rPr>
      <w:rFonts w:ascii="Arial" w:cs="Calibri Light" w:eastAsia="Calibri Light" w:hAnsi="Arial"/>
      <w:lang w:bidi="en-GB" w:eastAsia="en-GB"/>
    </w:rPr>
  </w:style>
  <w:style w:type="character" w:customStyle="1" w:styleId="Heading1Char">
    <w:name w:val="Heading 1 Char"/>
    <w:basedOn w:val="DefaultParagraphFont"/>
    <w:link w:val="Heading1"/>
    <w:uiPriority w:val="1"/>
    <w:rPr>
      <w:rFonts w:ascii="Arial" w:cs="Calibri Light" w:eastAsia="Calibri Light" w:hAnsi="Arial"/>
      <w:b/>
      <w:sz w:val="32"/>
      <w:szCs w:val="32"/>
      <w:lang w:bidi="en-GB" w:eastAsia="en-GB"/>
    </w:rPr>
  </w:style>
  <w:style w:type="table" w:styleId="TableGrid">
    <w:name w:val="Table Grid"/>
    <w:basedOn w:val="NormalTable"/>
    <w:uiPriority w:val="59"/>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val="on"/>
    <w:pPr>
      <w:spacing w:before="100" w:after="100" w:line="240" w:lineRule="auto"/>
      <w:jc w:val="left"/>
    </w:pPr>
    <w:rPr>
      <w:rFonts w:ascii="Times New Roman" w:cs="Times New Roman" w:eastAsia="Times New Roman" w:hAnsi="Times New Roman"/>
      <w:sz w:val="24"/>
      <w:szCs w:val="24"/>
      <w:lang w:eastAsia="en-GB"/>
    </w:rPr>
  </w:style>
  <w:style w:type="paragraph" w:styleId="ListParagraph">
    <w:name w:val="List Paragraph"/>
    <w:basedOn w:val="Normal"/>
    <w:uiPriority w:val="34"/>
    <w:qFormat w:val="on"/>
    <w:pPr>
      <w:widowControl w:val="off"/>
      <w:spacing w:after="0" w:line="240" w:lineRule="auto"/>
      <w:ind w:left="940" w:hanging="360"/>
      <w:jc w:val="left"/>
    </w:pPr>
    <w:rPr>
      <w:rFonts w:ascii="Calibri Light" w:cs="Calibri Light" w:eastAsia="Calibri Light" w:hAnsi="Calibri Light"/>
      <w:lang w:bidi="en-GB" w:eastAsia="en-GB"/>
    </w:rPr>
  </w:style>
  <w:style w:type="character" w:customStyle="1" w:styleId="Heading2Char">
    <w:name w:val="Heading 2 Char"/>
    <w:basedOn w:val="DefaultParagraphFont"/>
    <w:link w:val="Heading2"/>
    <w:uiPriority w:val="9"/>
    <w:rPr>
      <w:rFonts w:ascii="Aptos" w:cstheme="majorBidi" w:eastAsiaTheme="majorEastAsia" w:hAnsi="Aptos"/>
      <w:color w:val="2f5395" w:themeColor="accent1" w:themeShade="bf"/>
      <w:sz w:val="24"/>
      <w:szCs w:val="26"/>
    </w:rPr>
  </w:style>
  <w:style w:type="paragraph" w:styleId="Header">
    <w:name w:val="Header"/>
    <w:basedOn w:val="Normal"/>
    <w:link w:val="HeaderChar"/>
    <w:uiPriority w:val="99"/>
    <w:unhideWhenUsed w:val="on"/>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Aptos" w:hAnsi="Aptos"/>
    </w:rPr>
  </w:style>
  <w:style w:type="paragraph" w:styleId="Footer">
    <w:name w:val="Footer"/>
    <w:basedOn w:val="Normal"/>
    <w:link w:val="FooterChar"/>
    <w:uiPriority w:val="99"/>
    <w:unhideWhenUsed w:val="on"/>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Aptos" w:hAnsi="Aptos"/>
    </w:rPr>
  </w:style>
  <w:style w:type="character" w:styleId="Hyperlink">
    <w:name w:val="Hyperlink"/>
    <w:basedOn w:val="DefaultParagraphFont"/>
    <w:uiPriority w:val="99"/>
    <w:unhideWhenUsed w:val="on"/>
    <w:rPr>
      <w:color w:val="0000ff"/>
      <w:u w:val="single"/>
    </w:rPr>
  </w:style>
  <w:style w:type="character" w:styleId="UnresolvedMention">
    <w:name w:val="Unresolved Mention"/>
    <w:basedOn w:val="DefaultParagraphFont"/>
    <w:uiPriority w:val="99"/>
    <w:semiHidden w:val="on"/>
    <w:unhideWhenUsed w:val="on"/>
    <w:rPr>
      <w:color w:val="605e5c"/>
      <w:shd w:val="clear" w:color="auto" w:fill="e1dfdd"/>
    </w:rPr>
  </w:style>
  <w:style w:type="paragraph" w:customStyle="1" w:styleId="Paragraph">
    <w:name w:val="Paragraph"/>
    <w:basedOn w:val="Normal"/>
    <w:uiPriority w:val="99"/>
    <w:pPr>
      <w:spacing w:before="100" w:after="100" w:line="240" w:lineRule="auto"/>
      <w:jc w:val="left"/>
    </w:pPr>
    <w:rPr>
      <w:rFonts w:ascii="Times New Roman" w:cs="Times New Roman" w:eastAsia="Times New Roman" w:hAnsi="Times New Roman"/>
      <w:sz w:val="24"/>
      <w:szCs w:val="24"/>
    </w:rPr>
  </w:style>
  <w:style w:type="character" w:customStyle="1" w:styleId="Normaltextrun">
    <w:name w:val="Normaltextrun"/>
    <w:basedOn w:val="DefaultParagraphFont"/>
    <w:uiPriority w:val="99"/>
  </w:style>
  <w:style w:type="character" w:customStyle="1" w:styleId="Eop">
    <w:name w:val="Eop"/>
    <w:basedOn w:val="DefaultParagraphFont"/>
    <w:uiPriority w:val="99"/>
  </w:style>
  <w:style w:type="character" w:customStyle="1" w:styleId="Heading4Char">
    <w:name w:val="Heading 4 Char"/>
    <w:basedOn w:val="DefaultParagraphFont"/>
    <w:link w:val="Heading4"/>
    <w:uiPriority w:val="9"/>
    <w:rPr>
      <w:rFonts w:asciiTheme="majorHAnsi" w:cstheme="majorBidi" w:eastAsiaTheme="majorEastAsia" w:hAnsiTheme="majorHAnsi"/>
      <w:i/>
      <w:iCs/>
      <w:color w:val="2f5395" w:themeColor="accent1" w:themeShade="bf"/>
    </w:rPr>
  </w:style>
  <w:style w:type="character" w:styleId="Strong">
    <w:name w:val="Strong"/>
    <w:basedOn w:val="DefaultParagraphFont"/>
    <w:uiPriority w:val="22"/>
    <w:qFormat w:val="on"/>
    <w:rPr>
      <w:b/>
      <w:bCs/>
    </w:rPr>
  </w:style>
  <w:style w:type="character" w:customStyle="1" w:styleId="Heading3Char">
    <w:name w:val="Heading 3 Char"/>
    <w:basedOn w:val="DefaultParagraphFont"/>
    <w:link w:val="Heading3"/>
    <w:uiPriority w:val="9"/>
    <w:semiHidden w:val="on"/>
    <w:rPr>
      <w:rFonts w:asciiTheme="majorHAnsi" w:cstheme="majorBidi" w:eastAsiaTheme="majorEastAsia" w:hAnsiTheme="majorHAnsi"/>
      <w:color w:val="1f3763" w:themeColor="accent1" w:themeShade="7f"/>
      <w:sz w:val="24"/>
      <w:szCs w:val="24"/>
    </w:rPr>
  </w:style>
  <w:style w:type="paragraph" w:styleId="TOCHeading">
    <w:name w:val="TOC Heading"/>
    <w:basedOn w:val="Heading1"/>
    <w:next w:val="Normal"/>
    <w:uiPriority w:val="39"/>
    <w:unhideWhenUsed w:val="on"/>
    <w:qFormat w:val="on"/>
    <w:pPr>
      <w:keepNext w:val="on"/>
      <w:keepLines w:val="on"/>
      <w:widowControl w:val="on"/>
      <w:spacing w:before="240" w:line="259" w:lineRule="auto"/>
      <w:ind w:left="0"/>
    </w:pPr>
    <w:rPr>
      <w:rFonts w:asciiTheme="majorHAnsi" w:cstheme="majorBidi" w:eastAsiaTheme="majorEastAsia" w:hAnsiTheme="majorHAnsi"/>
      <w:b w:val="off"/>
      <w:color w:val="2f5395" w:themeColor="accent1" w:themeShade="bf"/>
      <w:lang w:bidi="ar-SA"/>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20"/>
    </w:pPr>
  </w:style>
  <w:style w:type="table" w:styleId="PlainTable5">
    <w:name w:val="Plain Table 5"/>
    <w:basedOn w:val="NormalTable"/>
    <w:uiPriority w:val="45"/>
    <w:pPr>
      <w:spacing w:after="0" w:line="240" w:lineRule="auto"/>
    </w:pPr>
    <w:rPr>
      <w:rFonts w:eastAsiaTheme="minorHAnsi"/>
      <w:lang w:val="en-US" w:eastAsia="en-US"/>
    </w:rPr>
    <w:tblPr>
      <w:tblStyleRowBandSize w:val="1"/>
      <w:tblStyleColBandSize w:val="1"/>
    </w:tblPr>
    <w:tblStylePr w:type="firstRow">
      <w:rPr>
        <w:rFonts w:asciiTheme="majorHAnsi" w:cstheme="majorBidi" w:eastAsiaTheme="majorEastAsia" w:hAnsiTheme="majorHAnsi"/>
        <w:i/>
        <w:iCs/>
        <w:sz w:val="26"/>
      </w:rPr>
      <w:tblPr/>
      <w:tcPr>
        <w:tcBorders>
          <w:bottom w:val="single" w:color="7f7f7f" w:themeColor="text1" w:themeTint="80" w:sz="4" w:space="0"/>
        </w:tcBorders>
        <w:shd w:val="clear" w:color="auto" w:fill="ffffff" w:themeFill="background1"/>
      </w:tcPr>
    </w:tblStylePr>
    <w:tblStylePr w:type="lastRow">
      <w:rPr>
        <w:rFonts w:asciiTheme="majorHAnsi" w:cstheme="majorBidi" w:eastAsiaTheme="majorEastAsia" w:hAnsiTheme="majorHAns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cstheme="majorBidi" w:eastAsiaTheme="majorEastAsia" w:hAnsiTheme="majorHAnsi"/>
        <w:i/>
        <w:iCs/>
        <w:sz w:val="26"/>
      </w:rPr>
      <w:tblPr/>
      <w:tcPr>
        <w:tcBorders>
          <w:right w:val="single" w:color="7f7f7f" w:themeColor="text1" w:themeTint="80" w:sz="4" w:space="0"/>
        </w:tcBorders>
        <w:shd w:val="clear" w:color="auto" w:fill="ffffff" w:themeFill="background1"/>
      </w:tcPr>
    </w:tblStylePr>
    <w:tblStylePr w:type="lastCol">
      <w:rPr>
        <w:rFonts w:asciiTheme="majorHAnsi" w:cstheme="majorBidi" w:eastAsiaTheme="majorEastAsia" w:hAnsiTheme="majorHAns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sz="4" w:space="0"/>
        </w:tcBorders>
      </w:tcPr>
    </w:tblStylePr>
    <w:tblStylePr w:type="nwCell">
      <w:tblPr/>
      <w:tcPr>
        <w:tcBorders>
          <w:right w:val="nil" w:sz="4" w:space="0"/>
        </w:tcBorders>
      </w:tcPr>
    </w:tblStylePr>
    <w:tblStylePr w:type="swCell">
      <w:tblPr/>
      <w:tcPr>
        <w:tcBorders>
          <w:right w:val="nil" w:sz="4" w:space="0"/>
        </w:tcBorders>
      </w:tcPr>
    </w:tblStylePr>
    <w:tblStylePr w:type="seCell">
      <w:tblPr/>
      <w:tcPr>
        <w:tcBorders>
          <w:left w:val="nil" w:sz="4" w:space="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theme" Target="theme/theme1.xml"/><Relationship Id="rId22" Type="http://schemas.openxmlformats.org/officeDocument/2006/relationships/image" Target="media/image2.png"/><Relationship Id="rId23" Type="http://schemas.openxmlformats.org/officeDocument/2006/relationships/footer" Target="footer1.xml"/><Relationship Id="rId24" Type="http://schemas.openxmlformats.org/officeDocument/2006/relationships/chart" Target="charts/chart1.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11" Type="http://schemas.openxmlformats.org/officeDocument/2006/relationships/hyperlink" Target="https://doi.org/10.1093/bjsw/bcy081" TargetMode="External"/><Relationship Id="rId12" Type="http://schemas.openxmlformats.org/officeDocument/2006/relationships/hyperlink" Target="https://doi.org/10.1016/j.childyouth.2017.08.008" TargetMode="External"/><Relationship Id="rId13" Type="http://schemas.openxmlformats.org/officeDocument/2006/relationships/hyperlink" Target="https://www.legislation.gov.uk/ukpga/1989/41/contents" TargetMode="External"/><Relationship Id="rId14" Type="http://schemas.openxmlformats.org/officeDocument/2006/relationships/hyperlink" Target="https://www.childrenscommissioner.gov.uk/" TargetMode="External"/><Relationship Id="rId15" Type="http://schemas.openxmlformats.org/officeDocument/2006/relationships/hyperlink" Target="https://www.gov.uk/" TargetMode="External"/><Relationship Id="rId16" Type="http://schemas.openxmlformats.org/officeDocument/2006/relationships/hyperlink" Target="https://www.legislation.gov.uk/ukpga/2010/15/contents" TargetMode="External"/><Relationship Id="rId17" Type="http://schemas.openxmlformats.org/officeDocument/2006/relationships/hyperlink" Target="https://www.hackney.gov.uk/" TargetMode="External"/><Relationship Id="rId18" Type="http://schemas.openxmlformats.org/officeDocument/2006/relationships/hyperlink" Target="https://www.gov.uk/government/statistics" TargetMode="External"/><Relationship Id="rId19" Type="http://schemas.openxmlformats.org/officeDocument/2006/relationships/hyperlink" Target="https://www.unicef.org.uk/"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charts/_rels/chart1.xml.rels><?xml version="1.0" encoding="UTF-8" standalone="yes"?>
<Relationships xmlns="http://schemas.openxmlformats.org/package/2006/relationships"><Relationship Id="rId1" Type="http://schemas.microsoft.com/office/2011/relationships/chartColorStyle" Target="colors1.xml"/><Relationship Id="rId2" Type="http://schemas.microsoft.com/office/2011/relationships/chartStyle" Target="style1.xml"/><Relationship Id="rId3" Type="http://schemas.openxmlformats.org/officeDocument/2006/relationships/oleObject" Target="file:///C:\Users\USER\Downloads\Theme%20sources%20and%20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[Theme sources and analysis.xlsx]Graph!PivotTable63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Publication Years of</a:t>
            </a:r>
            <a:r>
              <a:rPr lang="en-US" baseline="0"/>
              <a:t> Selected Papters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areaChart>
        <c:grouping val="standard"/>
        <c:varyColors val="0"/>
        <c:ser>
          <c:idx val="0"/>
          <c:order val="0"/>
          <c:tx>
            <c:strRef>
              <c:f>Graph!$B$10</c:f>
              <c:strCache>
                <c:ptCount val="1"/>
                <c:pt idx="0">
                  <c:v>Total</c:v>
                </c:pt>
              </c:strCache>
            </c:strRef>
          </c:tx>
          <c:spPr>
            <a:solidFill>
              <a:schemeClr val="accent1"/>
            </a:solidFill>
            <a:ln>
              <a:noFill/>
            </a:ln>
            <a:effectLst/>
          </c:spPr>
          <c:cat>
            <c:strRef>
              <c:f>Graph!$A$11:$A$22</c:f>
              <c:strCache>
                <c:ptCount val="11"/>
                <c:pt idx="0">
                  <c:v>2015</c:v>
                </c:pt>
                <c:pt idx="1">
                  <c:v>2016</c:v>
                </c:pt>
                <c:pt idx="2">
                  <c:v>2017</c:v>
                </c:pt>
                <c:pt idx="3">
                  <c:v>2018</c:v>
                </c:pt>
                <c:pt idx="4">
                  <c:v>2019</c:v>
                </c:pt>
                <c:pt idx="5">
                  <c:v>2020</c:v>
                </c:pt>
                <c:pt idx="6">
                  <c:v>2021</c:v>
                </c:pt>
                <c:pt idx="7">
                  <c:v>2022</c:v>
                </c:pt>
                <c:pt idx="8">
                  <c:v>2023</c:v>
                </c:pt>
                <c:pt idx="9">
                  <c:v>2024</c:v>
                </c:pt>
                <c:pt idx="10">
                  <c:v>2025</c:v>
                </c:pt>
              </c:strCache>
            </c:strRef>
          </c:cat>
          <c:val>
            <c:numRef>
              <c:f>Graph!$B$11:$B$22</c:f>
              <c:numCache>
                <c:formatCode>General</c:formatCode>
                <c:ptCount val="11"/>
                <c:pt idx="0">
                  <c:v>1</c:v>
                </c:pt>
                <c:pt idx="1">
                  <c:v>1</c:v>
                </c:pt>
                <c:pt idx="2">
                  <c:v>1</c:v>
                </c:pt>
                <c:pt idx="3">
                  <c:v>1</c:v>
                </c:pt>
                <c:pt idx="4">
                  <c:v>2</c:v>
                </c:pt>
                <c:pt idx="5">
                  <c:v>3</c:v>
                </c:pt>
                <c:pt idx="6">
                  <c:v>8</c:v>
                </c:pt>
                <c:pt idx="7">
                  <c:v>9</c:v>
                </c:pt>
                <c:pt idx="8">
                  <c:v>6</c:v>
                </c:pt>
                <c:pt idx="9">
                  <c:v>9</c:v>
                </c:pt>
                <c:pt idx="10">
                  <c:v>4</c:v>
                </c:pt>
              </c:numCache>
            </c:numRef>
          </c:val>
          <c:extLst>
            <c:ext xmlns:c16="http://schemas.microsoft.com/office/drawing/2014/chart" uri="{C3380CC4-5D6E-409C-BE32-E72D297353CC}">
              <c16:uniqueId val="{00000000-9952-4774-BCFD-3EF13A837206}"/>
            </c:ext>
          </c:extLst>
        </c:ser>
        <c:dLbls>
          <c:showLegendKey val="0"/>
          <c:showVal val="0"/>
          <c:showCatName val="0"/>
          <c:showSerName val="0"/>
          <c:showPercent val="0"/>
          <c:showBubbleSize val="0"/>
        </c:dLbls>
        <c:axId val="1921668383"/>
        <c:axId val="53737343"/>
      </c:areaChart>
      <c:catAx>
        <c:axId val="19216683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737343"/>
        <c:crosses val="autoZero"/>
        <c:auto val="1"/>
        <c:lblAlgn val="ctr"/>
        <c:lblOffset val="100"/>
        <c:noMultiLvlLbl val="0"/>
      </c:catAx>
      <c:valAx>
        <c:axId val="537373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Count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1668383"/>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035E9-372D-41C3-B241-A3FDEA683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25965</TotalTime>
  <Pages>48</Pages>
  <Words>12499</Words>
  <Characters>79870</Characters>
  <Application>Microsoft Office Word</Application>
  <DocSecurity>0</DocSecurity>
  <Lines>1109</Lines>
  <Paragraphs>262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Harries</dc:creator>
  <cp:lastModifiedBy>Temi 0suns</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c7f4adb3-ef12-4c3e-89dd-9d3d77c90b8f</vt:lpwstr>
  </property>
</Properties>
</file>