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A9C1C" w14:textId="3AC74529" w:rsidR="006E2BA8" w:rsidRDefault="00C27C79">
      <w:r>
        <w:t>Saint Bernard, born in 10</w:t>
      </w:r>
      <w:r w:rsidR="00F56EA8">
        <w:t>7</w:t>
      </w:r>
      <w:r>
        <w:t xml:space="preserve">1 in </w:t>
      </w:r>
      <w:r w:rsidR="00F56EA8">
        <w:t>Burgandy</w:t>
      </w:r>
      <w:r>
        <w:t xml:space="preserve"> to the daughter of Count Bernard de M</w:t>
      </w:r>
      <w:r w:rsidR="00CA2676">
        <w:t>ontbar, Elizabeth, and the Lord of Fontaines, Tecelin</w:t>
      </w:r>
      <w:r w:rsidR="00BA79A9">
        <w:t>,</w:t>
      </w:r>
      <w:r w:rsidR="00F56EA8">
        <w:rPr>
          <w:rStyle w:val="FootnoteReference"/>
        </w:rPr>
        <w:footnoteReference w:id="1"/>
      </w:r>
      <w:r w:rsidR="002B5B77">
        <w:t xml:space="preserve"> </w:t>
      </w:r>
      <w:r w:rsidR="00BA79A9">
        <w:t>was the founder of t</w:t>
      </w:r>
      <w:r w:rsidR="00BA79A9" w:rsidRPr="00BA79A9">
        <w:t>he abbey of Clairvaux in 1115.</w:t>
      </w:r>
      <w:r w:rsidR="00BA79A9">
        <w:t xml:space="preserve"> </w:t>
      </w:r>
      <w:r w:rsidR="002775E1">
        <w:t xml:space="preserve">Around the same time as the official founding of the abbey, Bernard sends a letter to his nephew, Robert, attempting to convince him to return to the Cistercians after leaving to join the Cluniacs. </w:t>
      </w:r>
      <w:r w:rsidR="008868D8">
        <w:t>When he was a young child, Roberts parents had promised him to the abbey of Cluney</w:t>
      </w:r>
      <w:r w:rsidR="00955B58">
        <w:t xml:space="preserve"> along with some land.</w:t>
      </w:r>
      <w:r w:rsidR="00AA539B">
        <w:t xml:space="preserve"> Despite his oblation, Robert became attached to his uncle Bernard and at the age of thirteen, followed him to Citeaux to become a Cistercian</w:t>
      </w:r>
      <w:r w:rsidR="00F40FFF">
        <w:t>, and at the age of sixteen</w:t>
      </w:r>
      <w:r w:rsidR="00B72A69">
        <w:t xml:space="preserve"> Robert took the vows to officially become a Cistercian. </w:t>
      </w:r>
      <w:r w:rsidR="0098661D">
        <w:t xml:space="preserve">The abbey of Cluney wanted Robert to rejoin them, according to Saint Bernard’s </w:t>
      </w:r>
      <w:r w:rsidR="0098661D" w:rsidRPr="0098661D">
        <w:rPr>
          <w:i/>
          <w:iCs/>
        </w:rPr>
        <w:t>Life</w:t>
      </w:r>
      <w:r w:rsidR="00560751">
        <w:t xml:space="preserve"> this was</w:t>
      </w:r>
      <w:r w:rsidR="0098661D">
        <w:t xml:space="preserve"> because the monks of Cluney </w:t>
      </w:r>
      <w:r w:rsidR="00560751">
        <w:t>w</w:t>
      </w:r>
      <w:r w:rsidR="0098661D">
        <w:t>ere degenerates who</w:t>
      </w:r>
      <w:r w:rsidR="00560751">
        <w:t xml:space="preserve"> were interested in Robert’s considerable inheritance, so they manipulated the Holy See with the information of Roberts child oblation to them and used this to convince Robert to rejoin them. </w:t>
      </w:r>
      <w:r w:rsidR="00560751">
        <w:rPr>
          <w:rStyle w:val="FootnoteReference"/>
        </w:rPr>
        <w:footnoteReference w:id="2"/>
      </w:r>
    </w:p>
    <w:p w14:paraId="41793FF0" w14:textId="2B2F7BBC" w:rsidR="006E2BA8" w:rsidRDefault="006D511F">
      <w:r>
        <w:t>In an attempt to convince Robert to rejoin the Cistercians, Saint Bernard writes a letter to his nephew</w:t>
      </w:r>
      <w:r w:rsidR="0021493C">
        <w:t xml:space="preserve"> that explores the Cistercians unique beliefs about child oblates compared to the Cluniacs. The most important point Saint Bernard makes to Robert, and the belief held by Cistercians concerning child oblates, </w:t>
      </w:r>
      <w:r w:rsidR="00004CA1">
        <w:t>is that a child who</w:t>
      </w:r>
      <w:r w:rsidR="00647AF9">
        <w:t xml:space="preserve"> was</w:t>
      </w:r>
      <w:r w:rsidR="00004CA1">
        <w:t xml:space="preserve"> oblated to an abbey by their parents is unable to make that decision for themselves and therefore their vow is not nearly as strong as a vow that they could have made as an adult on their terms and beliefs. </w:t>
      </w:r>
      <w:r w:rsidR="00004CA1">
        <w:rPr>
          <w:rStyle w:val="FootnoteReference"/>
        </w:rPr>
        <w:footnoteReference w:id="3"/>
      </w:r>
      <w:r w:rsidR="00D57814">
        <w:t xml:space="preserve"> </w:t>
      </w:r>
      <w:r w:rsidR="00D57814">
        <w:rPr>
          <w:rStyle w:val="FootnoteReference"/>
        </w:rPr>
        <w:footnoteReference w:id="4"/>
      </w:r>
      <w:r w:rsidR="000B33CD">
        <w:t xml:space="preserve"> It seems it was an important distinction for the Cistercians to make</w:t>
      </w:r>
      <w:r w:rsidR="00B61B11">
        <w:t xml:space="preserve"> between a child who was essentially forced to take their vows and an adult who can make a fully informed choice to take those vows, and Bernard criticises the Cluniacs</w:t>
      </w:r>
      <w:r w:rsidR="00DD2DD4">
        <w:t xml:space="preserve"> for their acceptance of child oblation.</w:t>
      </w:r>
    </w:p>
    <w:p w14:paraId="46F19F8E" w14:textId="4BCAE1E1" w:rsidR="00DD2DD4" w:rsidRDefault="00DD2DD4">
      <w:r>
        <w:t xml:space="preserve">Bernard also criticises the Cluniacs and their interest in </w:t>
      </w:r>
      <w:r w:rsidR="00794C05">
        <w:t>Robert’s</w:t>
      </w:r>
      <w:r>
        <w:t xml:space="preserve"> inheritance, </w:t>
      </w:r>
      <w:r w:rsidR="00794C05">
        <w:t>and the fact that when Roberts parents oblated him to the abbey of Cluney, they also gave land</w:t>
      </w:r>
      <w:r w:rsidR="005964C9">
        <w:t xml:space="preserve">. Bernard implies in his letter that the fact that the abbey of Cluney kept the land but managed to lose Robert to the Cistercians means that the Cluniacs cared more about the land they received from Roberts parents </w:t>
      </w:r>
      <w:r w:rsidR="00FB3399">
        <w:t xml:space="preserve">and his inheritance </w:t>
      </w:r>
      <w:r w:rsidR="005964C9">
        <w:t>than Robert himself.</w:t>
      </w:r>
      <w:r w:rsidR="00FB3399">
        <w:t xml:space="preserve"> </w:t>
      </w:r>
      <w:r w:rsidR="00FB3399">
        <w:rPr>
          <w:rStyle w:val="FootnoteReference"/>
        </w:rPr>
        <w:footnoteReference w:id="5"/>
      </w:r>
      <w:r w:rsidR="00FB3399">
        <w:t xml:space="preserve"> This goes against the Cistercians extremely strict observations of their vows of poverty</w:t>
      </w:r>
      <w:r w:rsidR="0001595C">
        <w:t xml:space="preserve"> and humility</w:t>
      </w:r>
      <w:r w:rsidR="00FB3399">
        <w:t xml:space="preserve">, where they </w:t>
      </w:r>
      <w:r w:rsidR="00B71B42">
        <w:t xml:space="preserve">are not meant to have any personal worldly possessions, </w:t>
      </w:r>
      <w:r w:rsidR="00B71B42">
        <w:rPr>
          <w:rStyle w:val="FootnoteReference"/>
        </w:rPr>
        <w:footnoteReference w:id="6"/>
      </w:r>
      <w:r w:rsidR="00B73E38">
        <w:t xml:space="preserve"> so the Cluniacs coveting the land and Robert’s inheritance over valuing Robert as a member of their order.</w:t>
      </w:r>
    </w:p>
    <w:p w14:paraId="7132FAEE" w14:textId="77777777" w:rsidR="00B55B6F" w:rsidRDefault="00B55B6F"/>
    <w:p w14:paraId="3F12B2A5" w14:textId="77777777" w:rsidR="00B55B6F" w:rsidRDefault="00B55B6F"/>
    <w:p w14:paraId="2CCF126D" w14:textId="77777777" w:rsidR="00B55B6F" w:rsidRDefault="00B55B6F"/>
    <w:p w14:paraId="28B5F482" w14:textId="0EE5105D" w:rsidR="006E2BA8" w:rsidRDefault="00B73E38">
      <w:r>
        <w:lastRenderedPageBreak/>
        <w:t xml:space="preserve">Saint Bernard then condemns Robert’s decision to leave the Cistercians and rejoin the Cluniacs. He reminds his nephew of how Robert had </w:t>
      </w:r>
      <w:r w:rsidR="00DD26BD">
        <w:t xml:space="preserve">insisted on </w:t>
      </w:r>
      <w:r>
        <w:t>follow</w:t>
      </w:r>
      <w:r w:rsidR="00DD26BD">
        <w:t>ing</w:t>
      </w:r>
      <w:r>
        <w:t xml:space="preserve"> him to Clairvaux despite his oblation to the abbey of Cluney</w:t>
      </w:r>
      <w:r w:rsidR="00DD26BD">
        <w:t xml:space="preserve">, and how Robert had been distraught that he had had to wait for two years before he was able to officially take his vows and become a Cistercian. Bernard describes Robert as someone who was so passionate and believing in the Cistercians </w:t>
      </w:r>
      <w:r w:rsidR="00B55B6F">
        <w:t xml:space="preserve">that he could barely muster up the patience to wait for the ‘mercy’ of finally being able to be an official member of the Cistercian order. Therefore, Bernard is blindsided by Robert leaving the Cistercians to rejoin the Cluniacs, and is both grieving him and enraged with him, </w:t>
      </w:r>
      <w:r w:rsidR="00B55B6F">
        <w:rPr>
          <w:rStyle w:val="FootnoteReference"/>
        </w:rPr>
        <w:footnoteReference w:id="7"/>
      </w:r>
      <w:r w:rsidR="00B55B6F">
        <w:t xml:space="preserve"> and insists that Robert must have been tricked by the Cluniacs in some way and that he will be condemned and not gain salvation as Robert has broken his vows. </w:t>
      </w:r>
      <w:r w:rsidR="00B55B6F">
        <w:rPr>
          <w:rStyle w:val="FootnoteReference"/>
        </w:rPr>
        <w:footnoteReference w:id="8"/>
      </w:r>
    </w:p>
    <w:p w14:paraId="44289254" w14:textId="77777777" w:rsidR="00887564" w:rsidRDefault="00887564"/>
    <w:p w14:paraId="60C6865E" w14:textId="4EE41A90" w:rsidR="00B55B6F" w:rsidRDefault="00B55B6F"/>
    <w:p w14:paraId="78FFB145" w14:textId="7C7258C6" w:rsidR="00560751" w:rsidRDefault="00B55B6F">
      <w:r>
        <w:br w:type="page"/>
      </w:r>
    </w:p>
    <w:p w14:paraId="25A66BE3" w14:textId="612CD7BB" w:rsidR="00295404" w:rsidRPr="00295404" w:rsidRDefault="00295404">
      <w:pPr>
        <w:rPr>
          <w:b/>
          <w:bCs/>
          <w:u w:val="single"/>
        </w:rPr>
      </w:pPr>
      <w:r w:rsidRPr="00295404">
        <w:rPr>
          <w:b/>
          <w:bCs/>
          <w:u w:val="single"/>
        </w:rPr>
        <w:lastRenderedPageBreak/>
        <w:t>Bibliography</w:t>
      </w:r>
    </w:p>
    <w:p w14:paraId="09A4D554" w14:textId="044005B7" w:rsidR="00295404" w:rsidRPr="00295404" w:rsidRDefault="00295404">
      <w:pPr>
        <w:rPr>
          <w:u w:val="single"/>
        </w:rPr>
      </w:pPr>
      <w:r w:rsidRPr="00295404">
        <w:rPr>
          <w:u w:val="single"/>
        </w:rPr>
        <w:t>Primary sources</w:t>
      </w:r>
    </w:p>
    <w:p w14:paraId="33DA4970" w14:textId="77777777" w:rsidR="00295404" w:rsidRDefault="00295404" w:rsidP="002775E1">
      <w:pPr>
        <w:spacing w:after="0"/>
      </w:pPr>
      <w:r>
        <w:t xml:space="preserve">Chibnall, Marjorie, </w:t>
      </w:r>
      <w:r w:rsidRPr="00887564">
        <w:rPr>
          <w:i/>
          <w:iCs/>
        </w:rPr>
        <w:t>The Ecclesiastical History of Orderic Vitalis</w:t>
      </w:r>
      <w:r>
        <w:t>, Vol. IV, (Oxford: Clarendon</w:t>
      </w:r>
    </w:p>
    <w:p w14:paraId="4E2DC42E" w14:textId="5189F073" w:rsidR="00295404" w:rsidRDefault="00295404" w:rsidP="00295404">
      <w:pPr>
        <w:ind w:firstLine="720"/>
      </w:pPr>
      <w:r>
        <w:t>Press, 1973)</w:t>
      </w:r>
    </w:p>
    <w:p w14:paraId="3083F45B" w14:textId="77777777" w:rsidR="00295404" w:rsidRDefault="00295404" w:rsidP="002775E1">
      <w:pPr>
        <w:spacing w:after="0"/>
      </w:pPr>
      <w:r w:rsidRPr="00B05314">
        <w:t>Neander, Augustus</w:t>
      </w:r>
      <w:r>
        <w:t>,</w:t>
      </w:r>
      <w:r w:rsidRPr="00B05314">
        <w:rPr>
          <w:i/>
          <w:iCs/>
        </w:rPr>
        <w:t xml:space="preserve"> The Life and Time of Saint Bernard</w:t>
      </w:r>
      <w:r>
        <w:t xml:space="preserve">, trans. by </w:t>
      </w:r>
      <w:r w:rsidRPr="00B05314">
        <w:t>Marie-Théodor</w:t>
      </w:r>
      <w:r>
        <w:t xml:space="preserve"> Ratisbonne (P.J. </w:t>
      </w:r>
    </w:p>
    <w:p w14:paraId="4184C1FD" w14:textId="58402979" w:rsidR="00295404" w:rsidRDefault="00295404" w:rsidP="002775E1">
      <w:pPr>
        <w:ind w:firstLine="720"/>
      </w:pPr>
      <w:r>
        <w:t>Kenedy and Sons, 1918)</w:t>
      </w:r>
    </w:p>
    <w:p w14:paraId="378CDBA6" w14:textId="77777777" w:rsidR="00B73E38" w:rsidRDefault="00B71B42" w:rsidP="00B73E38">
      <w:pPr>
        <w:spacing w:after="0"/>
      </w:pPr>
      <w:r w:rsidRPr="00B71B42">
        <w:t>Patrologia Latina</w:t>
      </w:r>
      <w:r>
        <w:t>,</w:t>
      </w:r>
      <w:r w:rsidR="001315DF" w:rsidRPr="001315DF">
        <w:t xml:space="preserve"> </w:t>
      </w:r>
      <w:r w:rsidR="001315DF">
        <w:t>‘</w:t>
      </w:r>
      <w:r w:rsidR="001315DF" w:rsidRPr="001315DF">
        <w:t>The Rule of St. Benedict</w:t>
      </w:r>
      <w:r w:rsidR="001315DF">
        <w:t>’,</w:t>
      </w:r>
      <w:r w:rsidRPr="00B71B42">
        <w:t xml:space="preserve"> </w:t>
      </w:r>
      <w:r w:rsidRPr="00B71B42">
        <w:rPr>
          <w:i/>
          <w:iCs/>
        </w:rPr>
        <w:t>Select Historical Documents of the Middle Ages</w:t>
      </w:r>
      <w:r w:rsidRPr="00B71B42">
        <w:t>,</w:t>
      </w:r>
      <w:r>
        <w:t xml:space="preserve"> </w:t>
      </w:r>
    </w:p>
    <w:p w14:paraId="1D5847E4" w14:textId="3CB99B70" w:rsidR="00295404" w:rsidRDefault="00B71B42" w:rsidP="00B73E38">
      <w:pPr>
        <w:ind w:left="720"/>
      </w:pPr>
      <w:r w:rsidRPr="00B71B42">
        <w:t>Vol. 66, col. 215ff, trans</w:t>
      </w:r>
      <w:r>
        <w:t>.</w:t>
      </w:r>
      <w:r w:rsidRPr="00B71B42">
        <w:t xml:space="preserve"> by Ernest F. Henderson, (London: George Bell and Sons, 1910)</w:t>
      </w:r>
      <w:r>
        <w:t xml:space="preserve"> &lt;</w:t>
      </w:r>
      <w:r w:rsidRPr="00B71B42">
        <w:t>https://sourcebooks.fordham.edu/source/rul-benedict.asp</w:t>
      </w:r>
      <w:r>
        <w:t xml:space="preserve">&gt; </w:t>
      </w:r>
      <w:r w:rsidR="001315DF">
        <w:t>[Accessed 25 October 2025]</w:t>
      </w:r>
    </w:p>
    <w:p w14:paraId="76ACC9C8" w14:textId="1CE84CFB" w:rsidR="00295404" w:rsidRPr="00295404" w:rsidRDefault="00295404">
      <w:pPr>
        <w:rPr>
          <w:u w:val="single"/>
        </w:rPr>
      </w:pPr>
      <w:r w:rsidRPr="00295404">
        <w:rPr>
          <w:u w:val="single"/>
        </w:rPr>
        <w:t>Modern scholarship</w:t>
      </w:r>
    </w:p>
    <w:p w14:paraId="5D4ADFDB" w14:textId="46172EFF" w:rsidR="00D57814" w:rsidRDefault="00D57814" w:rsidP="00D57814">
      <w:r>
        <w:t xml:space="preserve">Burton, Janet and Kerr, Julie, </w:t>
      </w:r>
      <w:r w:rsidRPr="00D57814">
        <w:rPr>
          <w:i/>
          <w:iCs/>
        </w:rPr>
        <w:t>Cistercians</w:t>
      </w:r>
      <w:r w:rsidRPr="00D57814">
        <w:rPr>
          <w:i/>
          <w:iCs/>
        </w:rPr>
        <w:t xml:space="preserve"> In The Middle Ages</w:t>
      </w:r>
      <w:r>
        <w:t>, (Suffolk: Boydell Press, 2011)</w:t>
      </w:r>
    </w:p>
    <w:sectPr w:rsidR="00D578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F657E" w14:textId="77777777" w:rsidR="00EF1165" w:rsidRDefault="00EF1165" w:rsidP="00F56EA8">
      <w:pPr>
        <w:spacing w:after="0" w:line="240" w:lineRule="auto"/>
      </w:pPr>
      <w:r>
        <w:separator/>
      </w:r>
    </w:p>
  </w:endnote>
  <w:endnote w:type="continuationSeparator" w:id="0">
    <w:p w14:paraId="089298CB" w14:textId="77777777" w:rsidR="00EF1165" w:rsidRDefault="00EF1165" w:rsidP="00F56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54D9B" w14:textId="77777777" w:rsidR="00EF1165" w:rsidRDefault="00EF1165" w:rsidP="00F56EA8">
      <w:pPr>
        <w:spacing w:after="0" w:line="240" w:lineRule="auto"/>
      </w:pPr>
      <w:r>
        <w:separator/>
      </w:r>
    </w:p>
  </w:footnote>
  <w:footnote w:type="continuationSeparator" w:id="0">
    <w:p w14:paraId="7DCB9479" w14:textId="77777777" w:rsidR="00EF1165" w:rsidRDefault="00EF1165" w:rsidP="00F56EA8">
      <w:pPr>
        <w:spacing w:after="0" w:line="240" w:lineRule="auto"/>
      </w:pPr>
      <w:r>
        <w:continuationSeparator/>
      </w:r>
    </w:p>
  </w:footnote>
  <w:footnote w:id="1">
    <w:p w14:paraId="3D25F167" w14:textId="535F20CC" w:rsidR="00F56EA8" w:rsidRDefault="00F56EA8">
      <w:pPr>
        <w:pStyle w:val="FootnoteText"/>
      </w:pPr>
      <w:r>
        <w:rPr>
          <w:rStyle w:val="FootnoteReference"/>
        </w:rPr>
        <w:footnoteRef/>
      </w:r>
      <w:r w:rsidR="00B05314">
        <w:t xml:space="preserve"> </w:t>
      </w:r>
      <w:r w:rsidR="00B05314" w:rsidRPr="00B05314">
        <w:t xml:space="preserve">Augustus Neander, </w:t>
      </w:r>
      <w:r w:rsidR="00B05314" w:rsidRPr="00B05314">
        <w:rPr>
          <w:i/>
          <w:iCs/>
        </w:rPr>
        <w:t>The Life and Time of Saint Bernard</w:t>
      </w:r>
      <w:r w:rsidR="00B05314">
        <w:t xml:space="preserve">, trans. by </w:t>
      </w:r>
      <w:r w:rsidR="00B05314" w:rsidRPr="00B05314">
        <w:t>Marie-Théodor</w:t>
      </w:r>
      <w:r w:rsidR="00B05314">
        <w:t xml:space="preserve"> Ratisbonne (P.J. Kenedy and Sons, 1918) </w:t>
      </w:r>
      <w:r>
        <w:t>pp. 18-19</w:t>
      </w:r>
    </w:p>
  </w:footnote>
  <w:footnote w:id="2">
    <w:p w14:paraId="28BBA0E5" w14:textId="4CAD279C" w:rsidR="00560751" w:rsidRDefault="00560751">
      <w:pPr>
        <w:pStyle w:val="FootnoteText"/>
      </w:pPr>
      <w:r>
        <w:rPr>
          <w:rStyle w:val="FootnoteReference"/>
        </w:rPr>
        <w:footnoteRef/>
      </w:r>
      <w:r>
        <w:t xml:space="preserve"> </w:t>
      </w:r>
      <w:r w:rsidRPr="00B05314">
        <w:t xml:space="preserve">Neander, </w:t>
      </w:r>
      <w:r w:rsidRPr="00B05314">
        <w:rPr>
          <w:i/>
          <w:iCs/>
        </w:rPr>
        <w:t>The Life and Time of Saint Bernard</w:t>
      </w:r>
      <w:r>
        <w:t>, pp. 98-99</w:t>
      </w:r>
    </w:p>
  </w:footnote>
  <w:footnote w:id="3">
    <w:p w14:paraId="11B616CC" w14:textId="72A6B4F1" w:rsidR="00004CA1" w:rsidRDefault="00004CA1" w:rsidP="00004CA1">
      <w:pPr>
        <w:spacing w:after="0"/>
      </w:pPr>
      <w:r>
        <w:rPr>
          <w:rStyle w:val="FootnoteReference"/>
        </w:rPr>
        <w:footnoteRef/>
      </w:r>
      <w:r>
        <w:rPr>
          <w:sz w:val="20"/>
          <w:szCs w:val="20"/>
        </w:rPr>
        <w:t xml:space="preserve"> </w:t>
      </w:r>
      <w:r w:rsidRPr="00004CA1">
        <w:rPr>
          <w:sz w:val="20"/>
          <w:szCs w:val="20"/>
        </w:rPr>
        <w:t>Marjorie</w:t>
      </w:r>
      <w:r>
        <w:rPr>
          <w:sz w:val="20"/>
          <w:szCs w:val="20"/>
        </w:rPr>
        <w:t xml:space="preserve"> </w:t>
      </w:r>
      <w:r w:rsidRPr="00004CA1">
        <w:rPr>
          <w:sz w:val="20"/>
          <w:szCs w:val="20"/>
        </w:rPr>
        <w:t>Chibnall</w:t>
      </w:r>
      <w:r>
        <w:rPr>
          <w:sz w:val="20"/>
          <w:szCs w:val="20"/>
        </w:rPr>
        <w:t>,</w:t>
      </w:r>
      <w:r w:rsidRPr="00004CA1">
        <w:rPr>
          <w:i/>
          <w:iCs/>
          <w:sz w:val="20"/>
          <w:szCs w:val="20"/>
        </w:rPr>
        <w:t xml:space="preserve"> </w:t>
      </w:r>
      <w:r w:rsidRPr="00004CA1">
        <w:rPr>
          <w:i/>
          <w:iCs/>
          <w:sz w:val="20"/>
          <w:szCs w:val="20"/>
        </w:rPr>
        <w:t>The Ecclesiastical History of Orderic Vitalis</w:t>
      </w:r>
      <w:r w:rsidRPr="00004CA1">
        <w:rPr>
          <w:sz w:val="20"/>
          <w:szCs w:val="20"/>
        </w:rPr>
        <w:t>, Vol. IV, (Oxford: Clarendon</w:t>
      </w:r>
      <w:r w:rsidRPr="00004CA1">
        <w:rPr>
          <w:sz w:val="20"/>
          <w:szCs w:val="20"/>
        </w:rPr>
        <w:t xml:space="preserve"> </w:t>
      </w:r>
      <w:r w:rsidRPr="00004CA1">
        <w:rPr>
          <w:sz w:val="20"/>
          <w:szCs w:val="20"/>
        </w:rPr>
        <w:t>Press, 1973)</w:t>
      </w:r>
      <w:r>
        <w:rPr>
          <w:sz w:val="20"/>
          <w:szCs w:val="20"/>
        </w:rPr>
        <w:t>, p. 53</w:t>
      </w:r>
    </w:p>
  </w:footnote>
  <w:footnote w:id="4">
    <w:p w14:paraId="12E19D60" w14:textId="2732630B" w:rsidR="00D57814" w:rsidRDefault="00D57814" w:rsidP="00FB3399">
      <w:pPr>
        <w:spacing w:after="0"/>
      </w:pPr>
      <w:r>
        <w:rPr>
          <w:rStyle w:val="FootnoteReference"/>
        </w:rPr>
        <w:footnoteRef/>
      </w:r>
      <w:r w:rsidRPr="00D57814">
        <w:rPr>
          <w:sz w:val="20"/>
          <w:szCs w:val="20"/>
        </w:rPr>
        <w:t xml:space="preserve"> Janet Burton</w:t>
      </w:r>
      <w:r w:rsidRPr="00D57814">
        <w:rPr>
          <w:sz w:val="20"/>
          <w:szCs w:val="20"/>
        </w:rPr>
        <w:t xml:space="preserve"> </w:t>
      </w:r>
      <w:r w:rsidRPr="00D57814">
        <w:rPr>
          <w:sz w:val="20"/>
          <w:szCs w:val="20"/>
        </w:rPr>
        <w:t>and, Julie Kerr</w:t>
      </w:r>
      <w:r>
        <w:rPr>
          <w:sz w:val="20"/>
          <w:szCs w:val="20"/>
        </w:rPr>
        <w:t>,</w:t>
      </w:r>
      <w:r w:rsidRPr="00D57814">
        <w:rPr>
          <w:i/>
          <w:iCs/>
          <w:sz w:val="20"/>
          <w:szCs w:val="20"/>
        </w:rPr>
        <w:t xml:space="preserve"> </w:t>
      </w:r>
      <w:r w:rsidRPr="00D57814">
        <w:rPr>
          <w:i/>
          <w:iCs/>
          <w:sz w:val="20"/>
          <w:szCs w:val="20"/>
        </w:rPr>
        <w:t xml:space="preserve">Cistercians </w:t>
      </w:r>
      <w:r w:rsidR="00DD26BD">
        <w:rPr>
          <w:i/>
          <w:iCs/>
          <w:sz w:val="20"/>
          <w:szCs w:val="20"/>
        </w:rPr>
        <w:t>i</w:t>
      </w:r>
      <w:r w:rsidRPr="00D57814">
        <w:rPr>
          <w:i/>
          <w:iCs/>
          <w:sz w:val="20"/>
          <w:szCs w:val="20"/>
        </w:rPr>
        <w:t xml:space="preserve">n </w:t>
      </w:r>
      <w:r w:rsidR="00DD26BD" w:rsidRPr="00D57814">
        <w:rPr>
          <w:i/>
          <w:iCs/>
          <w:sz w:val="20"/>
          <w:szCs w:val="20"/>
        </w:rPr>
        <w:t>the</w:t>
      </w:r>
      <w:r w:rsidRPr="00D57814">
        <w:rPr>
          <w:i/>
          <w:iCs/>
          <w:sz w:val="20"/>
          <w:szCs w:val="20"/>
        </w:rPr>
        <w:t xml:space="preserve"> Middle Ages</w:t>
      </w:r>
      <w:r w:rsidRPr="00D57814">
        <w:rPr>
          <w:sz w:val="20"/>
          <w:szCs w:val="20"/>
        </w:rPr>
        <w:t>, (Suffolk: Boydell Press, 2011)</w:t>
      </w:r>
      <w:r>
        <w:rPr>
          <w:sz w:val="20"/>
          <w:szCs w:val="20"/>
        </w:rPr>
        <w:t>, p. 34</w:t>
      </w:r>
    </w:p>
  </w:footnote>
  <w:footnote w:id="5">
    <w:p w14:paraId="3F3E9406" w14:textId="0972C186" w:rsidR="00FB3399" w:rsidRDefault="00FB3399" w:rsidP="00FB3399">
      <w:pPr>
        <w:spacing w:after="0"/>
      </w:pPr>
      <w:r>
        <w:rPr>
          <w:rStyle w:val="FootnoteReference"/>
        </w:rPr>
        <w:footnoteRef/>
      </w:r>
      <w:r>
        <w:t xml:space="preserve"> </w:t>
      </w:r>
      <w:r w:rsidRPr="00FB3399">
        <w:rPr>
          <w:sz w:val="20"/>
          <w:szCs w:val="20"/>
        </w:rPr>
        <w:t>Marjorie Chibnall,</w:t>
      </w:r>
      <w:r w:rsidRPr="00FB3399">
        <w:rPr>
          <w:i/>
          <w:iCs/>
          <w:sz w:val="20"/>
          <w:szCs w:val="20"/>
        </w:rPr>
        <w:t xml:space="preserve"> The Ecclesiastical History of Orderic Vitalis</w:t>
      </w:r>
      <w:r w:rsidRPr="00FB3399">
        <w:rPr>
          <w:sz w:val="20"/>
          <w:szCs w:val="20"/>
        </w:rPr>
        <w:t>, Vol. IV, (Oxford: Clarendon Press, 1973), p. 53</w:t>
      </w:r>
    </w:p>
  </w:footnote>
  <w:footnote w:id="6">
    <w:p w14:paraId="0A081001" w14:textId="1AB1C1F3" w:rsidR="00B71B42" w:rsidRDefault="00B71B42" w:rsidP="001315DF">
      <w:r>
        <w:rPr>
          <w:rStyle w:val="FootnoteReference"/>
        </w:rPr>
        <w:footnoteRef/>
      </w:r>
      <w:r>
        <w:t xml:space="preserve"> </w:t>
      </w:r>
      <w:r w:rsidR="001315DF" w:rsidRPr="001315DF">
        <w:rPr>
          <w:sz w:val="20"/>
          <w:szCs w:val="20"/>
        </w:rPr>
        <w:t xml:space="preserve">Patrologia Latina, ‘The Rule of St. Benedict’, </w:t>
      </w:r>
      <w:r w:rsidR="001315DF" w:rsidRPr="001315DF">
        <w:rPr>
          <w:i/>
          <w:iCs/>
          <w:sz w:val="20"/>
          <w:szCs w:val="20"/>
        </w:rPr>
        <w:t>Select Historical Documents of the Middle Ages</w:t>
      </w:r>
      <w:r w:rsidR="001315DF" w:rsidRPr="001315DF">
        <w:rPr>
          <w:sz w:val="20"/>
          <w:szCs w:val="20"/>
        </w:rPr>
        <w:t>, Vol. 66, col. 215ff, trans. by Ernest F. Henderson, (London: George Bell and Sons, 1910) &lt;https://sourcebooks.fordham.edu/source/rul-benedict.asp&gt; [Accessed 25 October 2025]</w:t>
      </w:r>
    </w:p>
  </w:footnote>
  <w:footnote w:id="7">
    <w:p w14:paraId="79B1D638" w14:textId="6F2F4309" w:rsidR="00B55B6F" w:rsidRDefault="00B55B6F">
      <w:pPr>
        <w:pStyle w:val="FootnoteText"/>
      </w:pPr>
      <w:r>
        <w:rPr>
          <w:rStyle w:val="FootnoteReference"/>
        </w:rPr>
        <w:footnoteRef/>
      </w:r>
      <w:r>
        <w:t xml:space="preserve"> </w:t>
      </w:r>
      <w:r w:rsidRPr="00B05314">
        <w:t xml:space="preserve">Augustus Neander, </w:t>
      </w:r>
      <w:r w:rsidRPr="00B05314">
        <w:rPr>
          <w:i/>
          <w:iCs/>
        </w:rPr>
        <w:t>The Life and Time of Saint Bernard</w:t>
      </w:r>
      <w:r>
        <w:t xml:space="preserve">, trans. by </w:t>
      </w:r>
      <w:r w:rsidRPr="00B05314">
        <w:t>Marie-Théodor</w:t>
      </w:r>
      <w:r>
        <w:t xml:space="preserve"> Ratisbonne (P.J. Kenedy and Sons, 1918) p</w:t>
      </w:r>
      <w:r>
        <w:t>. 99</w:t>
      </w:r>
    </w:p>
  </w:footnote>
  <w:footnote w:id="8">
    <w:p w14:paraId="04B18180" w14:textId="0B1ABFB9" w:rsidR="00B55B6F" w:rsidRDefault="00B55B6F" w:rsidP="00B55B6F">
      <w:pPr>
        <w:spacing w:after="0"/>
      </w:pPr>
      <w:r>
        <w:rPr>
          <w:rStyle w:val="FootnoteReference"/>
        </w:rPr>
        <w:footnoteRef/>
      </w:r>
      <w:r>
        <w:t xml:space="preserve"> </w:t>
      </w:r>
      <w:r w:rsidRPr="00FB3399">
        <w:rPr>
          <w:sz w:val="20"/>
          <w:szCs w:val="20"/>
        </w:rPr>
        <w:t>Marjorie Chibnall,</w:t>
      </w:r>
      <w:r w:rsidRPr="00FB3399">
        <w:rPr>
          <w:i/>
          <w:iCs/>
          <w:sz w:val="20"/>
          <w:szCs w:val="20"/>
        </w:rPr>
        <w:t xml:space="preserve"> The Ecclesiastical History of Orderic Vitalis</w:t>
      </w:r>
      <w:r w:rsidRPr="00FB3399">
        <w:rPr>
          <w:sz w:val="20"/>
          <w:szCs w:val="20"/>
        </w:rPr>
        <w:t>, Vol. IV, (Oxford: Clarendon Press, 1973), p</w:t>
      </w:r>
      <w:r>
        <w:rPr>
          <w:sz w:val="20"/>
          <w:szCs w:val="20"/>
        </w:rPr>
        <w:t>p</w:t>
      </w:r>
      <w:r w:rsidRPr="00FB3399">
        <w:rPr>
          <w:sz w:val="20"/>
          <w:szCs w:val="20"/>
        </w:rPr>
        <w:t>. 53</w:t>
      </w:r>
      <w:r>
        <w:rPr>
          <w:sz w:val="20"/>
          <w:szCs w:val="20"/>
        </w:rPr>
        <w:t>-54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A8"/>
    <w:rsid w:val="00004CA1"/>
    <w:rsid w:val="0001595C"/>
    <w:rsid w:val="000B33CD"/>
    <w:rsid w:val="00107476"/>
    <w:rsid w:val="001315DF"/>
    <w:rsid w:val="0021493C"/>
    <w:rsid w:val="00221051"/>
    <w:rsid w:val="002775E1"/>
    <w:rsid w:val="00295404"/>
    <w:rsid w:val="002B5B77"/>
    <w:rsid w:val="002C447E"/>
    <w:rsid w:val="003A4C52"/>
    <w:rsid w:val="004770F3"/>
    <w:rsid w:val="004F2C33"/>
    <w:rsid w:val="005456E7"/>
    <w:rsid w:val="00560751"/>
    <w:rsid w:val="005964C9"/>
    <w:rsid w:val="00647AF9"/>
    <w:rsid w:val="00676EE9"/>
    <w:rsid w:val="006C4255"/>
    <w:rsid w:val="006C68BA"/>
    <w:rsid w:val="006D511F"/>
    <w:rsid w:val="006E2BA8"/>
    <w:rsid w:val="00794C05"/>
    <w:rsid w:val="0079620F"/>
    <w:rsid w:val="0087454B"/>
    <w:rsid w:val="00885D9A"/>
    <w:rsid w:val="008868D8"/>
    <w:rsid w:val="00887564"/>
    <w:rsid w:val="00896579"/>
    <w:rsid w:val="00955B58"/>
    <w:rsid w:val="0098661D"/>
    <w:rsid w:val="00A218C8"/>
    <w:rsid w:val="00AA539B"/>
    <w:rsid w:val="00B05314"/>
    <w:rsid w:val="00B05556"/>
    <w:rsid w:val="00B55A5C"/>
    <w:rsid w:val="00B55B6F"/>
    <w:rsid w:val="00B61B11"/>
    <w:rsid w:val="00B71B42"/>
    <w:rsid w:val="00B72A69"/>
    <w:rsid w:val="00B73E38"/>
    <w:rsid w:val="00B82FEF"/>
    <w:rsid w:val="00BA32CC"/>
    <w:rsid w:val="00BA79A9"/>
    <w:rsid w:val="00C21173"/>
    <w:rsid w:val="00C27C79"/>
    <w:rsid w:val="00CA2676"/>
    <w:rsid w:val="00CD7AAD"/>
    <w:rsid w:val="00CE07A9"/>
    <w:rsid w:val="00D57814"/>
    <w:rsid w:val="00D66DC4"/>
    <w:rsid w:val="00DA34F7"/>
    <w:rsid w:val="00DD26BD"/>
    <w:rsid w:val="00DD2DD4"/>
    <w:rsid w:val="00DF5A51"/>
    <w:rsid w:val="00EF1165"/>
    <w:rsid w:val="00F40FFF"/>
    <w:rsid w:val="00F56EA8"/>
    <w:rsid w:val="00F93010"/>
    <w:rsid w:val="00FB3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8F2A2"/>
  <w15:chartTrackingRefBased/>
  <w15:docId w15:val="{4E71D46E-0B6E-4782-963B-0BE0B58F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BA8"/>
    <w:rPr>
      <w:rFonts w:eastAsiaTheme="majorEastAsia" w:cstheme="majorBidi"/>
      <w:color w:val="272727" w:themeColor="text1" w:themeTint="D8"/>
    </w:rPr>
  </w:style>
  <w:style w:type="paragraph" w:styleId="Title">
    <w:name w:val="Title"/>
    <w:basedOn w:val="Normal"/>
    <w:next w:val="Normal"/>
    <w:link w:val="TitleChar"/>
    <w:uiPriority w:val="10"/>
    <w:qFormat/>
    <w:rsid w:val="006E2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BA8"/>
    <w:pPr>
      <w:spacing w:before="160"/>
      <w:jc w:val="center"/>
    </w:pPr>
    <w:rPr>
      <w:i/>
      <w:iCs/>
      <w:color w:val="404040" w:themeColor="text1" w:themeTint="BF"/>
    </w:rPr>
  </w:style>
  <w:style w:type="character" w:customStyle="1" w:styleId="QuoteChar">
    <w:name w:val="Quote Char"/>
    <w:basedOn w:val="DefaultParagraphFont"/>
    <w:link w:val="Quote"/>
    <w:uiPriority w:val="29"/>
    <w:rsid w:val="006E2BA8"/>
    <w:rPr>
      <w:i/>
      <w:iCs/>
      <w:color w:val="404040" w:themeColor="text1" w:themeTint="BF"/>
    </w:rPr>
  </w:style>
  <w:style w:type="paragraph" w:styleId="ListParagraph">
    <w:name w:val="List Paragraph"/>
    <w:basedOn w:val="Normal"/>
    <w:uiPriority w:val="34"/>
    <w:qFormat/>
    <w:rsid w:val="006E2BA8"/>
    <w:pPr>
      <w:ind w:left="720"/>
      <w:contextualSpacing/>
    </w:pPr>
  </w:style>
  <w:style w:type="character" w:styleId="IntenseEmphasis">
    <w:name w:val="Intense Emphasis"/>
    <w:basedOn w:val="DefaultParagraphFont"/>
    <w:uiPriority w:val="21"/>
    <w:qFormat/>
    <w:rsid w:val="006E2BA8"/>
    <w:rPr>
      <w:i/>
      <w:iCs/>
      <w:color w:val="0F4761" w:themeColor="accent1" w:themeShade="BF"/>
    </w:rPr>
  </w:style>
  <w:style w:type="paragraph" w:styleId="IntenseQuote">
    <w:name w:val="Intense Quote"/>
    <w:basedOn w:val="Normal"/>
    <w:next w:val="Normal"/>
    <w:link w:val="IntenseQuoteChar"/>
    <w:uiPriority w:val="30"/>
    <w:qFormat/>
    <w:rsid w:val="006E2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BA8"/>
    <w:rPr>
      <w:i/>
      <w:iCs/>
      <w:color w:val="0F4761" w:themeColor="accent1" w:themeShade="BF"/>
    </w:rPr>
  </w:style>
  <w:style w:type="character" w:styleId="IntenseReference">
    <w:name w:val="Intense Reference"/>
    <w:basedOn w:val="DefaultParagraphFont"/>
    <w:uiPriority w:val="32"/>
    <w:qFormat/>
    <w:rsid w:val="006E2BA8"/>
    <w:rPr>
      <w:b/>
      <w:bCs/>
      <w:smallCaps/>
      <w:color w:val="0F4761" w:themeColor="accent1" w:themeShade="BF"/>
      <w:spacing w:val="5"/>
    </w:rPr>
  </w:style>
  <w:style w:type="paragraph" w:styleId="FootnoteText">
    <w:name w:val="footnote text"/>
    <w:basedOn w:val="Normal"/>
    <w:link w:val="FootnoteTextChar"/>
    <w:uiPriority w:val="99"/>
    <w:semiHidden/>
    <w:unhideWhenUsed/>
    <w:rsid w:val="00F56E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6EA8"/>
    <w:rPr>
      <w:sz w:val="20"/>
      <w:szCs w:val="20"/>
    </w:rPr>
  </w:style>
  <w:style w:type="character" w:styleId="FootnoteReference">
    <w:name w:val="footnote reference"/>
    <w:basedOn w:val="DefaultParagraphFont"/>
    <w:uiPriority w:val="99"/>
    <w:semiHidden/>
    <w:unhideWhenUsed/>
    <w:rsid w:val="00F56EA8"/>
    <w:rPr>
      <w:vertAlign w:val="superscript"/>
    </w:rPr>
  </w:style>
  <w:style w:type="character" w:styleId="Hyperlink">
    <w:name w:val="Hyperlink"/>
    <w:basedOn w:val="DefaultParagraphFont"/>
    <w:uiPriority w:val="99"/>
    <w:unhideWhenUsed/>
    <w:rsid w:val="00B71B42"/>
    <w:rPr>
      <w:color w:val="467886" w:themeColor="hyperlink"/>
      <w:u w:val="single"/>
    </w:rPr>
  </w:style>
  <w:style w:type="character" w:styleId="UnresolvedMention">
    <w:name w:val="Unresolved Mention"/>
    <w:basedOn w:val="DefaultParagraphFont"/>
    <w:uiPriority w:val="99"/>
    <w:semiHidden/>
    <w:unhideWhenUsed/>
    <w:rsid w:val="00B71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6382F-375E-49E3-A308-5605F0CD5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3</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Leitch (2305899)</dc:creator>
  <cp:keywords/>
  <dc:description/>
  <cp:lastModifiedBy>Emmett Leitch (2305899)</cp:lastModifiedBy>
  <cp:revision>8</cp:revision>
  <dcterms:created xsi:type="dcterms:W3CDTF">2025-10-13T08:51:00Z</dcterms:created>
  <dcterms:modified xsi:type="dcterms:W3CDTF">2025-10-28T18:37:00Z</dcterms:modified>
</cp:coreProperties>
</file>