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64EC3548" w:rsidR="00301299" w:rsidRPr="00301299" w:rsidRDefault="005931E1" w:rsidP="00301299">
      <w:pPr>
        <w:jc w:val="center"/>
        <w:rPr>
          <w:sz w:val="28"/>
          <w:szCs w:val="28"/>
        </w:rPr>
      </w:pPr>
      <w:r>
        <w:rPr>
          <w:noProof/>
        </w:rPr>
        <w:drawing>
          <wp:anchor distT="0" distB="0" distL="114300" distR="114300" simplePos="0" relativeHeight="251659264" behindDoc="0" locked="0" layoutInCell="1" allowOverlap="1" wp14:anchorId="2CB6BD01" wp14:editId="3AD84164">
            <wp:simplePos x="0" y="0"/>
            <wp:positionH relativeFrom="column">
              <wp:posOffset>728456</wp:posOffset>
            </wp:positionH>
            <wp:positionV relativeFrom="paragraph">
              <wp:posOffset>303862</wp:posOffset>
            </wp:positionV>
            <wp:extent cx="4511040" cy="2251522"/>
            <wp:effectExtent l="0" t="0" r="3810" b="0"/>
            <wp:wrapSquare wrapText="bothSides"/>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040" cy="2251522"/>
                    </a:xfrm>
                    <a:prstGeom prst="rect">
                      <a:avLst/>
                    </a:prstGeom>
                    <a:noFill/>
                    <a:ln>
                      <a:noFill/>
                    </a:ln>
                  </pic:spPr>
                </pic:pic>
              </a:graphicData>
            </a:graphic>
          </wp:anchor>
        </w:drawing>
      </w:r>
      <w:r w:rsidR="00301299" w:rsidRPr="00301299">
        <w:rPr>
          <w:sz w:val="28"/>
          <w:szCs w:val="28"/>
        </w:rPr>
        <w:t>Wales Institute of Science and Art</w:t>
      </w:r>
    </w:p>
    <w:p w14:paraId="22765B51" w14:textId="0F986876" w:rsidR="00C12345" w:rsidRDefault="00C12345" w:rsidP="00C12345"/>
    <w:p w14:paraId="7D682349" w14:textId="77777777" w:rsidR="00C12345" w:rsidRPr="00C12345" w:rsidRDefault="00C12345" w:rsidP="00C12345"/>
    <w:p w14:paraId="311ECA5C" w14:textId="433BF6EA" w:rsidR="00301299" w:rsidRDefault="00301299" w:rsidP="00C12345"/>
    <w:p w14:paraId="2FB04DC4" w14:textId="77777777" w:rsidR="005931E1" w:rsidRDefault="005931E1" w:rsidP="00C12345"/>
    <w:p w14:paraId="4180CBF7" w14:textId="77777777" w:rsidR="00301299" w:rsidRDefault="00301299" w:rsidP="00DE16E9">
      <w:pPr>
        <w:rPr>
          <w:sz w:val="96"/>
          <w:szCs w:val="96"/>
        </w:rPr>
      </w:pPr>
    </w:p>
    <w:p w14:paraId="45F030AA" w14:textId="3BA9F979" w:rsidR="00301299" w:rsidRPr="00301299" w:rsidRDefault="00031FDD" w:rsidP="00301299">
      <w:pPr>
        <w:jc w:val="center"/>
        <w:rPr>
          <w:sz w:val="96"/>
          <w:szCs w:val="96"/>
        </w:rPr>
      </w:pPr>
      <w:r>
        <w:rPr>
          <w:sz w:val="96"/>
          <w:szCs w:val="96"/>
        </w:rPr>
        <w:t>Research proposal</w:t>
      </w:r>
      <w:r w:rsidR="0055482C">
        <w:rPr>
          <w:sz w:val="96"/>
          <w:szCs w:val="96"/>
        </w:rPr>
        <w:t xml:space="preserve"> </w:t>
      </w:r>
      <w:r w:rsidR="003B27EC">
        <w:rPr>
          <w:sz w:val="96"/>
          <w:szCs w:val="96"/>
        </w:rPr>
        <w:t xml:space="preserve"> </w:t>
      </w:r>
    </w:p>
    <w:p w14:paraId="4C871724" w14:textId="77777777" w:rsidR="00301299" w:rsidRDefault="00301299" w:rsidP="00301299">
      <w:pPr>
        <w:jc w:val="center"/>
        <w:rPr>
          <w:sz w:val="36"/>
          <w:szCs w:val="36"/>
        </w:rPr>
      </w:pPr>
    </w:p>
    <w:p w14:paraId="5CA9D88E" w14:textId="77777777" w:rsidR="00DC4A7D" w:rsidRDefault="00DC4A7D" w:rsidP="009B0EC0">
      <w:pPr>
        <w:jc w:val="center"/>
        <w:rPr>
          <w:sz w:val="36"/>
          <w:szCs w:val="36"/>
        </w:rPr>
      </w:pPr>
      <w:bookmarkStart w:id="0" w:name="_Hlk188949841"/>
      <w:r>
        <w:rPr>
          <w:sz w:val="36"/>
          <w:szCs w:val="36"/>
        </w:rPr>
        <w:t>Changemakers. Creativity and Value Creation</w:t>
      </w:r>
    </w:p>
    <w:bookmarkEnd w:id="0"/>
    <w:p w14:paraId="2E737668" w14:textId="4C753372" w:rsidR="009B0EC0" w:rsidRPr="00BF5DCF" w:rsidRDefault="00301299" w:rsidP="009B0EC0">
      <w:pPr>
        <w:jc w:val="center"/>
        <w:rPr>
          <w:sz w:val="36"/>
          <w:szCs w:val="36"/>
        </w:rPr>
      </w:pPr>
      <w:r w:rsidRPr="00301299">
        <w:rPr>
          <w:sz w:val="36"/>
          <w:szCs w:val="36"/>
        </w:rPr>
        <w:t>AC</w:t>
      </w:r>
      <w:r w:rsidR="00DC4A7D">
        <w:rPr>
          <w:sz w:val="36"/>
          <w:szCs w:val="36"/>
        </w:rPr>
        <w:t>B</w:t>
      </w:r>
      <w:r w:rsidRPr="00301299">
        <w:rPr>
          <w:sz w:val="36"/>
          <w:szCs w:val="36"/>
        </w:rPr>
        <w:t>A</w:t>
      </w:r>
      <w:r w:rsidR="00DC4A7D">
        <w:rPr>
          <w:sz w:val="36"/>
          <w:szCs w:val="36"/>
        </w:rPr>
        <w:t>5</w:t>
      </w:r>
      <w:r w:rsidRPr="00301299">
        <w:rPr>
          <w:sz w:val="36"/>
          <w:szCs w:val="36"/>
        </w:rPr>
        <w:t>0</w:t>
      </w:r>
      <w:r w:rsidR="00DC4A7D">
        <w:rPr>
          <w:sz w:val="36"/>
          <w:szCs w:val="36"/>
        </w:rPr>
        <w:t>14</w:t>
      </w:r>
      <w:r w:rsidR="009B0EC0">
        <w:rPr>
          <w:sz w:val="36"/>
          <w:szCs w:val="36"/>
        </w:rPr>
        <w:t xml:space="preserve"> </w:t>
      </w:r>
    </w:p>
    <w:p w14:paraId="50046D85" w14:textId="77777777" w:rsidR="00301299" w:rsidRDefault="00301299" w:rsidP="00DE16E9">
      <w:pPr>
        <w:rPr>
          <w:sz w:val="32"/>
          <w:szCs w:val="32"/>
        </w:rPr>
      </w:pPr>
    </w:p>
    <w:p w14:paraId="22892D1A" w14:textId="0D4D8B45" w:rsidR="00301299" w:rsidRDefault="009B0EC0" w:rsidP="00301299">
      <w:pPr>
        <w:jc w:val="center"/>
        <w:rPr>
          <w:sz w:val="40"/>
          <w:szCs w:val="40"/>
        </w:rPr>
      </w:pPr>
      <w:r>
        <w:rPr>
          <w:sz w:val="32"/>
          <w:szCs w:val="32"/>
        </w:rPr>
        <w:t>Ysabelle Tuddenham</w:t>
      </w:r>
    </w:p>
    <w:p w14:paraId="6BFE1304" w14:textId="34A3E0B8" w:rsidR="00301299" w:rsidRDefault="009B0EC0" w:rsidP="00301299">
      <w:pPr>
        <w:jc w:val="center"/>
      </w:pPr>
      <w:r>
        <w:rPr>
          <w:sz w:val="24"/>
          <w:szCs w:val="24"/>
        </w:rPr>
        <w:t>2205445</w:t>
      </w:r>
    </w:p>
    <w:p w14:paraId="5E3CE57E" w14:textId="01E59352" w:rsidR="00301299" w:rsidRDefault="00A41898"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February</w:t>
      </w:r>
      <w:r w:rsidR="00301299">
        <w:t xml:space="preserve"> 202</w:t>
      </w:r>
      <w:r>
        <w:t>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rPr>
      </w:sdtEndPr>
      <w:sdtContent>
        <w:p w14:paraId="50721EAD" w14:textId="26566536" w:rsidR="00B25D24" w:rsidRDefault="00B25D24">
          <w:pPr>
            <w:pStyle w:val="TOCHeading"/>
          </w:pPr>
          <w:r>
            <w:t>Contents</w:t>
          </w:r>
        </w:p>
        <w:p w14:paraId="426C1D3D" w14:textId="112B4A0D" w:rsidR="00345799"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8661128" w:history="1">
            <w:r w:rsidR="00345799" w:rsidRPr="00B67FE2">
              <w:rPr>
                <w:rStyle w:val="Hyperlink"/>
                <w:noProof/>
              </w:rPr>
              <w:t>1</w:t>
            </w:r>
            <w:r w:rsidR="00345799">
              <w:rPr>
                <w:rFonts w:eastAsiaTheme="minorEastAsia"/>
                <w:noProof/>
                <w:kern w:val="2"/>
                <w:sz w:val="24"/>
                <w:szCs w:val="24"/>
                <w:lang w:eastAsia="en-GB"/>
                <w14:ligatures w14:val="standardContextual"/>
              </w:rPr>
              <w:tab/>
            </w:r>
            <w:r w:rsidR="00345799" w:rsidRPr="00B67FE2">
              <w:rPr>
                <w:rStyle w:val="Hyperlink"/>
                <w:noProof/>
                <w:lang w:eastAsia="en-GB"/>
              </w:rPr>
              <w:t>Proposed research title</w:t>
            </w:r>
            <w:r w:rsidR="00345799">
              <w:rPr>
                <w:noProof/>
                <w:webHidden/>
              </w:rPr>
              <w:tab/>
            </w:r>
            <w:r w:rsidR="00345799">
              <w:rPr>
                <w:noProof/>
                <w:webHidden/>
              </w:rPr>
              <w:fldChar w:fldCharType="begin"/>
            </w:r>
            <w:r w:rsidR="00345799">
              <w:rPr>
                <w:noProof/>
                <w:webHidden/>
              </w:rPr>
              <w:instrText xml:space="preserve"> PAGEREF _Toc198661128 \h </w:instrText>
            </w:r>
            <w:r w:rsidR="00345799">
              <w:rPr>
                <w:noProof/>
                <w:webHidden/>
              </w:rPr>
            </w:r>
            <w:r w:rsidR="00345799">
              <w:rPr>
                <w:noProof/>
                <w:webHidden/>
              </w:rPr>
              <w:fldChar w:fldCharType="separate"/>
            </w:r>
            <w:r w:rsidR="00345799">
              <w:rPr>
                <w:noProof/>
                <w:webHidden/>
              </w:rPr>
              <w:t>1</w:t>
            </w:r>
            <w:r w:rsidR="00345799">
              <w:rPr>
                <w:noProof/>
                <w:webHidden/>
              </w:rPr>
              <w:fldChar w:fldCharType="end"/>
            </w:r>
          </w:hyperlink>
        </w:p>
        <w:p w14:paraId="48AA7E02" w14:textId="4AEFD02A"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29" w:history="1">
            <w:r w:rsidRPr="00B67FE2">
              <w:rPr>
                <w:rStyle w:val="Hyperlink"/>
                <w:noProof/>
              </w:rPr>
              <w:t>2</w:t>
            </w:r>
            <w:r>
              <w:rPr>
                <w:rFonts w:eastAsiaTheme="minorEastAsia"/>
                <w:noProof/>
                <w:kern w:val="2"/>
                <w:sz w:val="24"/>
                <w:szCs w:val="24"/>
                <w:lang w:eastAsia="en-GB"/>
                <w14:ligatures w14:val="standardContextual"/>
              </w:rPr>
              <w:tab/>
            </w:r>
            <w:r w:rsidRPr="00B67FE2">
              <w:rPr>
                <w:rStyle w:val="Hyperlink"/>
                <w:noProof/>
              </w:rPr>
              <w:t>Abstract</w:t>
            </w:r>
            <w:r>
              <w:rPr>
                <w:noProof/>
                <w:webHidden/>
              </w:rPr>
              <w:tab/>
            </w:r>
            <w:r>
              <w:rPr>
                <w:noProof/>
                <w:webHidden/>
              </w:rPr>
              <w:fldChar w:fldCharType="begin"/>
            </w:r>
            <w:r>
              <w:rPr>
                <w:noProof/>
                <w:webHidden/>
              </w:rPr>
              <w:instrText xml:space="preserve"> PAGEREF _Toc198661129 \h </w:instrText>
            </w:r>
            <w:r>
              <w:rPr>
                <w:noProof/>
                <w:webHidden/>
              </w:rPr>
            </w:r>
            <w:r>
              <w:rPr>
                <w:noProof/>
                <w:webHidden/>
              </w:rPr>
              <w:fldChar w:fldCharType="separate"/>
            </w:r>
            <w:r>
              <w:rPr>
                <w:noProof/>
                <w:webHidden/>
              </w:rPr>
              <w:t>1</w:t>
            </w:r>
            <w:r>
              <w:rPr>
                <w:noProof/>
                <w:webHidden/>
              </w:rPr>
              <w:fldChar w:fldCharType="end"/>
            </w:r>
          </w:hyperlink>
        </w:p>
        <w:p w14:paraId="4FB0EC31" w14:textId="34403AC6"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0" w:history="1">
            <w:r w:rsidRPr="00B67FE2">
              <w:rPr>
                <w:rStyle w:val="Hyperlink"/>
                <w:noProof/>
              </w:rPr>
              <w:t>3</w:t>
            </w:r>
            <w:r>
              <w:rPr>
                <w:rFonts w:eastAsiaTheme="minorEastAsia"/>
                <w:noProof/>
                <w:kern w:val="2"/>
                <w:sz w:val="24"/>
                <w:szCs w:val="24"/>
                <w:lang w:eastAsia="en-GB"/>
                <w14:ligatures w14:val="standardContextual"/>
              </w:rPr>
              <w:tab/>
            </w:r>
            <w:r w:rsidRPr="00B67FE2">
              <w:rPr>
                <w:rStyle w:val="Hyperlink"/>
                <w:noProof/>
              </w:rPr>
              <w:t>Introduction</w:t>
            </w:r>
            <w:r>
              <w:rPr>
                <w:noProof/>
                <w:webHidden/>
              </w:rPr>
              <w:tab/>
            </w:r>
            <w:r>
              <w:rPr>
                <w:noProof/>
                <w:webHidden/>
              </w:rPr>
              <w:fldChar w:fldCharType="begin"/>
            </w:r>
            <w:r>
              <w:rPr>
                <w:noProof/>
                <w:webHidden/>
              </w:rPr>
              <w:instrText xml:space="preserve"> PAGEREF _Toc198661130 \h </w:instrText>
            </w:r>
            <w:r>
              <w:rPr>
                <w:noProof/>
                <w:webHidden/>
              </w:rPr>
            </w:r>
            <w:r>
              <w:rPr>
                <w:noProof/>
                <w:webHidden/>
              </w:rPr>
              <w:fldChar w:fldCharType="separate"/>
            </w:r>
            <w:r>
              <w:rPr>
                <w:noProof/>
                <w:webHidden/>
              </w:rPr>
              <w:t>1</w:t>
            </w:r>
            <w:r>
              <w:rPr>
                <w:noProof/>
                <w:webHidden/>
              </w:rPr>
              <w:fldChar w:fldCharType="end"/>
            </w:r>
          </w:hyperlink>
        </w:p>
        <w:p w14:paraId="5161E8FE" w14:textId="61F23B58" w:rsidR="00345799" w:rsidRDefault="00345799">
          <w:pPr>
            <w:pStyle w:val="TOC2"/>
            <w:tabs>
              <w:tab w:val="left" w:pos="960"/>
              <w:tab w:val="right" w:leader="dot" w:pos="9016"/>
            </w:tabs>
            <w:rPr>
              <w:rFonts w:eastAsiaTheme="minorEastAsia"/>
              <w:noProof/>
              <w:kern w:val="2"/>
              <w:sz w:val="24"/>
              <w:szCs w:val="24"/>
              <w:lang w:eastAsia="en-GB"/>
              <w14:ligatures w14:val="standardContextual"/>
            </w:rPr>
          </w:pPr>
          <w:hyperlink w:anchor="_Toc198661131" w:history="1">
            <w:r w:rsidRPr="00B67FE2">
              <w:rPr>
                <w:rStyle w:val="Hyperlink"/>
                <w:noProof/>
              </w:rPr>
              <w:t>3.1</w:t>
            </w:r>
            <w:r>
              <w:rPr>
                <w:rFonts w:eastAsiaTheme="minorEastAsia"/>
                <w:noProof/>
                <w:kern w:val="2"/>
                <w:sz w:val="24"/>
                <w:szCs w:val="24"/>
                <w:lang w:eastAsia="en-GB"/>
                <w14:ligatures w14:val="standardContextual"/>
              </w:rPr>
              <w:tab/>
            </w:r>
            <w:r w:rsidRPr="00B67FE2">
              <w:rPr>
                <w:rStyle w:val="Hyperlink"/>
                <w:noProof/>
              </w:rPr>
              <w:t>Background</w:t>
            </w:r>
            <w:r>
              <w:rPr>
                <w:noProof/>
                <w:webHidden/>
              </w:rPr>
              <w:tab/>
            </w:r>
            <w:r>
              <w:rPr>
                <w:noProof/>
                <w:webHidden/>
              </w:rPr>
              <w:fldChar w:fldCharType="begin"/>
            </w:r>
            <w:r>
              <w:rPr>
                <w:noProof/>
                <w:webHidden/>
              </w:rPr>
              <w:instrText xml:space="preserve"> PAGEREF _Toc198661131 \h </w:instrText>
            </w:r>
            <w:r>
              <w:rPr>
                <w:noProof/>
                <w:webHidden/>
              </w:rPr>
            </w:r>
            <w:r>
              <w:rPr>
                <w:noProof/>
                <w:webHidden/>
              </w:rPr>
              <w:fldChar w:fldCharType="separate"/>
            </w:r>
            <w:r>
              <w:rPr>
                <w:noProof/>
                <w:webHidden/>
              </w:rPr>
              <w:t>1</w:t>
            </w:r>
            <w:r>
              <w:rPr>
                <w:noProof/>
                <w:webHidden/>
              </w:rPr>
              <w:fldChar w:fldCharType="end"/>
            </w:r>
          </w:hyperlink>
        </w:p>
        <w:p w14:paraId="34344645" w14:textId="1F2A106B" w:rsidR="00345799" w:rsidRDefault="00345799">
          <w:pPr>
            <w:pStyle w:val="TOC2"/>
            <w:tabs>
              <w:tab w:val="left" w:pos="960"/>
              <w:tab w:val="right" w:leader="dot" w:pos="9016"/>
            </w:tabs>
            <w:rPr>
              <w:rFonts w:eastAsiaTheme="minorEastAsia"/>
              <w:noProof/>
              <w:kern w:val="2"/>
              <w:sz w:val="24"/>
              <w:szCs w:val="24"/>
              <w:lang w:eastAsia="en-GB"/>
              <w14:ligatures w14:val="standardContextual"/>
            </w:rPr>
          </w:pPr>
          <w:hyperlink w:anchor="_Toc198661132" w:history="1">
            <w:r w:rsidRPr="00B67FE2">
              <w:rPr>
                <w:rStyle w:val="Hyperlink"/>
                <w:noProof/>
              </w:rPr>
              <w:t>3.2</w:t>
            </w:r>
            <w:r>
              <w:rPr>
                <w:rFonts w:eastAsiaTheme="minorEastAsia"/>
                <w:noProof/>
                <w:kern w:val="2"/>
                <w:sz w:val="24"/>
                <w:szCs w:val="24"/>
                <w:lang w:eastAsia="en-GB"/>
                <w14:ligatures w14:val="standardContextual"/>
              </w:rPr>
              <w:tab/>
            </w:r>
            <w:r w:rsidRPr="00B67FE2">
              <w:rPr>
                <w:rStyle w:val="Hyperlink"/>
                <w:noProof/>
              </w:rPr>
              <w:t>Aims</w:t>
            </w:r>
            <w:r>
              <w:rPr>
                <w:noProof/>
                <w:webHidden/>
              </w:rPr>
              <w:tab/>
            </w:r>
            <w:r>
              <w:rPr>
                <w:noProof/>
                <w:webHidden/>
              </w:rPr>
              <w:fldChar w:fldCharType="begin"/>
            </w:r>
            <w:r>
              <w:rPr>
                <w:noProof/>
                <w:webHidden/>
              </w:rPr>
              <w:instrText xml:space="preserve"> PAGEREF _Toc198661132 \h </w:instrText>
            </w:r>
            <w:r>
              <w:rPr>
                <w:noProof/>
                <w:webHidden/>
              </w:rPr>
            </w:r>
            <w:r>
              <w:rPr>
                <w:noProof/>
                <w:webHidden/>
              </w:rPr>
              <w:fldChar w:fldCharType="separate"/>
            </w:r>
            <w:r>
              <w:rPr>
                <w:noProof/>
                <w:webHidden/>
              </w:rPr>
              <w:t>2</w:t>
            </w:r>
            <w:r>
              <w:rPr>
                <w:noProof/>
                <w:webHidden/>
              </w:rPr>
              <w:fldChar w:fldCharType="end"/>
            </w:r>
          </w:hyperlink>
        </w:p>
        <w:p w14:paraId="5478916B" w14:textId="23F07F4D" w:rsidR="00345799" w:rsidRDefault="00345799">
          <w:pPr>
            <w:pStyle w:val="TOC2"/>
            <w:tabs>
              <w:tab w:val="left" w:pos="960"/>
              <w:tab w:val="right" w:leader="dot" w:pos="9016"/>
            </w:tabs>
            <w:rPr>
              <w:rFonts w:eastAsiaTheme="minorEastAsia"/>
              <w:noProof/>
              <w:kern w:val="2"/>
              <w:sz w:val="24"/>
              <w:szCs w:val="24"/>
              <w:lang w:eastAsia="en-GB"/>
              <w14:ligatures w14:val="standardContextual"/>
            </w:rPr>
          </w:pPr>
          <w:hyperlink w:anchor="_Toc198661133" w:history="1">
            <w:r w:rsidRPr="00B67FE2">
              <w:rPr>
                <w:rStyle w:val="Hyperlink"/>
                <w:noProof/>
              </w:rPr>
              <w:t>3.3</w:t>
            </w:r>
            <w:r>
              <w:rPr>
                <w:rFonts w:eastAsiaTheme="minorEastAsia"/>
                <w:noProof/>
                <w:kern w:val="2"/>
                <w:sz w:val="24"/>
                <w:szCs w:val="24"/>
                <w:lang w:eastAsia="en-GB"/>
                <w14:ligatures w14:val="standardContextual"/>
              </w:rPr>
              <w:tab/>
            </w:r>
            <w:r w:rsidRPr="00B67FE2">
              <w:rPr>
                <w:rStyle w:val="Hyperlink"/>
                <w:noProof/>
              </w:rPr>
              <w:t>Objectives</w:t>
            </w:r>
            <w:r>
              <w:rPr>
                <w:noProof/>
                <w:webHidden/>
              </w:rPr>
              <w:tab/>
            </w:r>
            <w:r>
              <w:rPr>
                <w:noProof/>
                <w:webHidden/>
              </w:rPr>
              <w:fldChar w:fldCharType="begin"/>
            </w:r>
            <w:r>
              <w:rPr>
                <w:noProof/>
                <w:webHidden/>
              </w:rPr>
              <w:instrText xml:space="preserve"> PAGEREF _Toc198661133 \h </w:instrText>
            </w:r>
            <w:r>
              <w:rPr>
                <w:noProof/>
                <w:webHidden/>
              </w:rPr>
            </w:r>
            <w:r>
              <w:rPr>
                <w:noProof/>
                <w:webHidden/>
              </w:rPr>
              <w:fldChar w:fldCharType="separate"/>
            </w:r>
            <w:r>
              <w:rPr>
                <w:noProof/>
                <w:webHidden/>
              </w:rPr>
              <w:t>2</w:t>
            </w:r>
            <w:r>
              <w:rPr>
                <w:noProof/>
                <w:webHidden/>
              </w:rPr>
              <w:fldChar w:fldCharType="end"/>
            </w:r>
          </w:hyperlink>
        </w:p>
        <w:p w14:paraId="306F933C" w14:textId="5AADF2C8"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4" w:history="1">
            <w:r w:rsidRPr="00B67FE2">
              <w:rPr>
                <w:rStyle w:val="Hyperlink"/>
                <w:noProof/>
              </w:rPr>
              <w:t>4</w:t>
            </w:r>
            <w:r>
              <w:rPr>
                <w:rFonts w:eastAsiaTheme="minorEastAsia"/>
                <w:noProof/>
                <w:kern w:val="2"/>
                <w:sz w:val="24"/>
                <w:szCs w:val="24"/>
                <w:lang w:eastAsia="en-GB"/>
                <w14:ligatures w14:val="standardContextual"/>
              </w:rPr>
              <w:tab/>
            </w:r>
            <w:r w:rsidRPr="00B67FE2">
              <w:rPr>
                <w:rStyle w:val="Hyperlink"/>
                <w:noProof/>
              </w:rPr>
              <w:t>Literature Review</w:t>
            </w:r>
            <w:r>
              <w:rPr>
                <w:noProof/>
                <w:webHidden/>
              </w:rPr>
              <w:tab/>
            </w:r>
            <w:r>
              <w:rPr>
                <w:noProof/>
                <w:webHidden/>
              </w:rPr>
              <w:fldChar w:fldCharType="begin"/>
            </w:r>
            <w:r>
              <w:rPr>
                <w:noProof/>
                <w:webHidden/>
              </w:rPr>
              <w:instrText xml:space="preserve"> PAGEREF _Toc198661134 \h </w:instrText>
            </w:r>
            <w:r>
              <w:rPr>
                <w:noProof/>
                <w:webHidden/>
              </w:rPr>
            </w:r>
            <w:r>
              <w:rPr>
                <w:noProof/>
                <w:webHidden/>
              </w:rPr>
              <w:fldChar w:fldCharType="separate"/>
            </w:r>
            <w:r>
              <w:rPr>
                <w:noProof/>
                <w:webHidden/>
              </w:rPr>
              <w:t>2</w:t>
            </w:r>
            <w:r>
              <w:rPr>
                <w:noProof/>
                <w:webHidden/>
              </w:rPr>
              <w:fldChar w:fldCharType="end"/>
            </w:r>
          </w:hyperlink>
        </w:p>
        <w:p w14:paraId="437024B6" w14:textId="13474199"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5" w:history="1">
            <w:r w:rsidRPr="00B67FE2">
              <w:rPr>
                <w:rStyle w:val="Hyperlink"/>
                <w:noProof/>
              </w:rPr>
              <w:t>5</w:t>
            </w:r>
            <w:r>
              <w:rPr>
                <w:rFonts w:eastAsiaTheme="minorEastAsia"/>
                <w:noProof/>
                <w:kern w:val="2"/>
                <w:sz w:val="24"/>
                <w:szCs w:val="24"/>
                <w:lang w:eastAsia="en-GB"/>
                <w14:ligatures w14:val="standardContextual"/>
              </w:rPr>
              <w:tab/>
            </w:r>
            <w:r w:rsidRPr="00B67FE2">
              <w:rPr>
                <w:rStyle w:val="Hyperlink"/>
                <w:noProof/>
              </w:rPr>
              <w:t>Methodology</w:t>
            </w:r>
            <w:r>
              <w:rPr>
                <w:noProof/>
                <w:webHidden/>
              </w:rPr>
              <w:tab/>
            </w:r>
            <w:r>
              <w:rPr>
                <w:noProof/>
                <w:webHidden/>
              </w:rPr>
              <w:fldChar w:fldCharType="begin"/>
            </w:r>
            <w:r>
              <w:rPr>
                <w:noProof/>
                <w:webHidden/>
              </w:rPr>
              <w:instrText xml:space="preserve"> PAGEREF _Toc198661135 \h </w:instrText>
            </w:r>
            <w:r>
              <w:rPr>
                <w:noProof/>
                <w:webHidden/>
              </w:rPr>
            </w:r>
            <w:r>
              <w:rPr>
                <w:noProof/>
                <w:webHidden/>
              </w:rPr>
              <w:fldChar w:fldCharType="separate"/>
            </w:r>
            <w:r>
              <w:rPr>
                <w:noProof/>
                <w:webHidden/>
              </w:rPr>
              <w:t>4</w:t>
            </w:r>
            <w:r>
              <w:rPr>
                <w:noProof/>
                <w:webHidden/>
              </w:rPr>
              <w:fldChar w:fldCharType="end"/>
            </w:r>
          </w:hyperlink>
        </w:p>
        <w:p w14:paraId="403D31A2" w14:textId="6818A6E6"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6" w:history="1">
            <w:r w:rsidRPr="00B67FE2">
              <w:rPr>
                <w:rStyle w:val="Hyperlink"/>
                <w:noProof/>
              </w:rPr>
              <w:t>6</w:t>
            </w:r>
            <w:r>
              <w:rPr>
                <w:rFonts w:eastAsiaTheme="minorEastAsia"/>
                <w:noProof/>
                <w:kern w:val="2"/>
                <w:sz w:val="24"/>
                <w:szCs w:val="24"/>
                <w:lang w:eastAsia="en-GB"/>
                <w14:ligatures w14:val="standardContextual"/>
              </w:rPr>
              <w:tab/>
            </w:r>
            <w:r w:rsidRPr="00B67FE2">
              <w:rPr>
                <w:rStyle w:val="Hyperlink"/>
                <w:noProof/>
              </w:rPr>
              <w:t>Results</w:t>
            </w:r>
            <w:r>
              <w:rPr>
                <w:noProof/>
                <w:webHidden/>
              </w:rPr>
              <w:tab/>
            </w:r>
            <w:r>
              <w:rPr>
                <w:noProof/>
                <w:webHidden/>
              </w:rPr>
              <w:fldChar w:fldCharType="begin"/>
            </w:r>
            <w:r>
              <w:rPr>
                <w:noProof/>
                <w:webHidden/>
              </w:rPr>
              <w:instrText xml:space="preserve"> PAGEREF _Toc198661136 \h </w:instrText>
            </w:r>
            <w:r>
              <w:rPr>
                <w:noProof/>
                <w:webHidden/>
              </w:rPr>
            </w:r>
            <w:r>
              <w:rPr>
                <w:noProof/>
                <w:webHidden/>
              </w:rPr>
              <w:fldChar w:fldCharType="separate"/>
            </w:r>
            <w:r>
              <w:rPr>
                <w:noProof/>
                <w:webHidden/>
              </w:rPr>
              <w:t>5</w:t>
            </w:r>
            <w:r>
              <w:rPr>
                <w:noProof/>
                <w:webHidden/>
              </w:rPr>
              <w:fldChar w:fldCharType="end"/>
            </w:r>
          </w:hyperlink>
        </w:p>
        <w:p w14:paraId="06A5F3B0" w14:textId="38F60E97"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7" w:history="1">
            <w:r w:rsidRPr="00B67FE2">
              <w:rPr>
                <w:rStyle w:val="Hyperlink"/>
                <w:noProof/>
              </w:rPr>
              <w:t>7</w:t>
            </w:r>
            <w:r>
              <w:rPr>
                <w:rFonts w:eastAsiaTheme="minorEastAsia"/>
                <w:noProof/>
                <w:kern w:val="2"/>
                <w:sz w:val="24"/>
                <w:szCs w:val="24"/>
                <w:lang w:eastAsia="en-GB"/>
                <w14:ligatures w14:val="standardContextual"/>
              </w:rPr>
              <w:tab/>
            </w:r>
            <w:r w:rsidRPr="00B67FE2">
              <w:rPr>
                <w:rStyle w:val="Hyperlink"/>
                <w:noProof/>
              </w:rPr>
              <w:t>Data Analysis</w:t>
            </w:r>
            <w:r>
              <w:rPr>
                <w:noProof/>
                <w:webHidden/>
              </w:rPr>
              <w:tab/>
            </w:r>
            <w:r>
              <w:rPr>
                <w:noProof/>
                <w:webHidden/>
              </w:rPr>
              <w:fldChar w:fldCharType="begin"/>
            </w:r>
            <w:r>
              <w:rPr>
                <w:noProof/>
                <w:webHidden/>
              </w:rPr>
              <w:instrText xml:space="preserve"> PAGEREF _Toc198661137 \h </w:instrText>
            </w:r>
            <w:r>
              <w:rPr>
                <w:noProof/>
                <w:webHidden/>
              </w:rPr>
            </w:r>
            <w:r>
              <w:rPr>
                <w:noProof/>
                <w:webHidden/>
              </w:rPr>
              <w:fldChar w:fldCharType="separate"/>
            </w:r>
            <w:r>
              <w:rPr>
                <w:noProof/>
                <w:webHidden/>
              </w:rPr>
              <w:t>5</w:t>
            </w:r>
            <w:r>
              <w:rPr>
                <w:noProof/>
                <w:webHidden/>
              </w:rPr>
              <w:fldChar w:fldCharType="end"/>
            </w:r>
          </w:hyperlink>
        </w:p>
        <w:p w14:paraId="278266A1" w14:textId="5C57D99D"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8" w:history="1">
            <w:r w:rsidRPr="00B67FE2">
              <w:rPr>
                <w:rStyle w:val="Hyperlink"/>
                <w:noProof/>
              </w:rPr>
              <w:t>8</w:t>
            </w:r>
            <w:r>
              <w:rPr>
                <w:rFonts w:eastAsiaTheme="minorEastAsia"/>
                <w:noProof/>
                <w:kern w:val="2"/>
                <w:sz w:val="24"/>
                <w:szCs w:val="24"/>
                <w:lang w:eastAsia="en-GB"/>
                <w14:ligatures w14:val="standardContextual"/>
              </w:rPr>
              <w:tab/>
            </w:r>
            <w:r w:rsidRPr="00B67FE2">
              <w:rPr>
                <w:rStyle w:val="Hyperlink"/>
                <w:noProof/>
              </w:rPr>
              <w:t>Consent / Access / Ethical considerations</w:t>
            </w:r>
            <w:r>
              <w:rPr>
                <w:noProof/>
                <w:webHidden/>
              </w:rPr>
              <w:tab/>
            </w:r>
            <w:r>
              <w:rPr>
                <w:noProof/>
                <w:webHidden/>
              </w:rPr>
              <w:fldChar w:fldCharType="begin"/>
            </w:r>
            <w:r>
              <w:rPr>
                <w:noProof/>
                <w:webHidden/>
              </w:rPr>
              <w:instrText xml:space="preserve"> PAGEREF _Toc198661138 \h </w:instrText>
            </w:r>
            <w:r>
              <w:rPr>
                <w:noProof/>
                <w:webHidden/>
              </w:rPr>
            </w:r>
            <w:r>
              <w:rPr>
                <w:noProof/>
                <w:webHidden/>
              </w:rPr>
              <w:fldChar w:fldCharType="separate"/>
            </w:r>
            <w:r>
              <w:rPr>
                <w:noProof/>
                <w:webHidden/>
              </w:rPr>
              <w:t>6</w:t>
            </w:r>
            <w:r>
              <w:rPr>
                <w:noProof/>
                <w:webHidden/>
              </w:rPr>
              <w:fldChar w:fldCharType="end"/>
            </w:r>
          </w:hyperlink>
        </w:p>
        <w:p w14:paraId="50A7F119" w14:textId="581A47A2" w:rsidR="00345799" w:rsidRDefault="00345799">
          <w:pPr>
            <w:pStyle w:val="TOC1"/>
            <w:tabs>
              <w:tab w:val="left" w:pos="440"/>
              <w:tab w:val="right" w:leader="dot" w:pos="9016"/>
            </w:tabs>
            <w:rPr>
              <w:rFonts w:eastAsiaTheme="minorEastAsia"/>
              <w:noProof/>
              <w:kern w:val="2"/>
              <w:sz w:val="24"/>
              <w:szCs w:val="24"/>
              <w:lang w:eastAsia="en-GB"/>
              <w14:ligatures w14:val="standardContextual"/>
            </w:rPr>
          </w:pPr>
          <w:hyperlink w:anchor="_Toc198661139" w:history="1">
            <w:r w:rsidRPr="00B67FE2">
              <w:rPr>
                <w:rStyle w:val="Hyperlink"/>
                <w:noProof/>
              </w:rPr>
              <w:t>9</w:t>
            </w:r>
            <w:r>
              <w:rPr>
                <w:rFonts w:eastAsiaTheme="minorEastAsia"/>
                <w:noProof/>
                <w:kern w:val="2"/>
                <w:sz w:val="24"/>
                <w:szCs w:val="24"/>
                <w:lang w:eastAsia="en-GB"/>
                <w14:ligatures w14:val="standardContextual"/>
              </w:rPr>
              <w:tab/>
            </w:r>
            <w:r w:rsidRPr="00B67FE2">
              <w:rPr>
                <w:rStyle w:val="Hyperlink"/>
                <w:noProof/>
              </w:rPr>
              <w:t>Timetable</w:t>
            </w:r>
            <w:r>
              <w:rPr>
                <w:noProof/>
                <w:webHidden/>
              </w:rPr>
              <w:tab/>
            </w:r>
            <w:r>
              <w:rPr>
                <w:noProof/>
                <w:webHidden/>
              </w:rPr>
              <w:fldChar w:fldCharType="begin"/>
            </w:r>
            <w:r>
              <w:rPr>
                <w:noProof/>
                <w:webHidden/>
              </w:rPr>
              <w:instrText xml:space="preserve"> PAGEREF _Toc198661139 \h </w:instrText>
            </w:r>
            <w:r>
              <w:rPr>
                <w:noProof/>
                <w:webHidden/>
              </w:rPr>
            </w:r>
            <w:r>
              <w:rPr>
                <w:noProof/>
                <w:webHidden/>
              </w:rPr>
              <w:fldChar w:fldCharType="separate"/>
            </w:r>
            <w:r>
              <w:rPr>
                <w:noProof/>
                <w:webHidden/>
              </w:rPr>
              <w:t>6</w:t>
            </w:r>
            <w:r>
              <w:rPr>
                <w:noProof/>
                <w:webHidden/>
              </w:rPr>
              <w:fldChar w:fldCharType="end"/>
            </w:r>
          </w:hyperlink>
        </w:p>
        <w:p w14:paraId="55D93847" w14:textId="4BF3E031" w:rsidR="00345799" w:rsidRDefault="00345799">
          <w:pPr>
            <w:pStyle w:val="TOC1"/>
            <w:tabs>
              <w:tab w:val="left" w:pos="720"/>
              <w:tab w:val="right" w:leader="dot" w:pos="9016"/>
            </w:tabs>
            <w:rPr>
              <w:rFonts w:eastAsiaTheme="minorEastAsia"/>
              <w:noProof/>
              <w:kern w:val="2"/>
              <w:sz w:val="24"/>
              <w:szCs w:val="24"/>
              <w:lang w:eastAsia="en-GB"/>
              <w14:ligatures w14:val="standardContextual"/>
            </w:rPr>
          </w:pPr>
          <w:hyperlink w:anchor="_Toc198661140" w:history="1">
            <w:r w:rsidRPr="00B67FE2">
              <w:rPr>
                <w:rStyle w:val="Hyperlink"/>
                <w:noProof/>
              </w:rPr>
              <w:t>10</w:t>
            </w:r>
            <w:r>
              <w:rPr>
                <w:rFonts w:eastAsiaTheme="minorEastAsia"/>
                <w:noProof/>
                <w:kern w:val="2"/>
                <w:sz w:val="24"/>
                <w:szCs w:val="24"/>
                <w:lang w:eastAsia="en-GB"/>
                <w14:ligatures w14:val="standardContextual"/>
              </w:rPr>
              <w:tab/>
            </w:r>
            <w:r w:rsidRPr="00B67FE2">
              <w:rPr>
                <w:rStyle w:val="Hyperlink"/>
                <w:noProof/>
              </w:rPr>
              <w:t>References</w:t>
            </w:r>
            <w:r>
              <w:rPr>
                <w:noProof/>
                <w:webHidden/>
              </w:rPr>
              <w:tab/>
            </w:r>
            <w:r>
              <w:rPr>
                <w:noProof/>
                <w:webHidden/>
              </w:rPr>
              <w:fldChar w:fldCharType="begin"/>
            </w:r>
            <w:r>
              <w:rPr>
                <w:noProof/>
                <w:webHidden/>
              </w:rPr>
              <w:instrText xml:space="preserve"> PAGEREF _Toc198661140 \h </w:instrText>
            </w:r>
            <w:r>
              <w:rPr>
                <w:noProof/>
                <w:webHidden/>
              </w:rPr>
            </w:r>
            <w:r>
              <w:rPr>
                <w:noProof/>
                <w:webHidden/>
              </w:rPr>
              <w:fldChar w:fldCharType="separate"/>
            </w:r>
            <w:r>
              <w:rPr>
                <w:noProof/>
                <w:webHidden/>
              </w:rPr>
              <w:t>7</w:t>
            </w:r>
            <w:r>
              <w:rPr>
                <w:noProof/>
                <w:webHidden/>
              </w:rPr>
              <w:fldChar w:fldCharType="end"/>
            </w:r>
          </w:hyperlink>
        </w:p>
        <w:p w14:paraId="450FA7E4" w14:textId="0950E0BA" w:rsidR="00B25D24" w:rsidRDefault="00B25D24">
          <w:r>
            <w:rPr>
              <w:b/>
              <w:bCs/>
              <w:noProof/>
            </w:rPr>
            <w:fldChar w:fldCharType="end"/>
          </w:r>
        </w:p>
      </w:sdtContent>
    </w:sdt>
    <w:p w14:paraId="2925BCC6" w14:textId="334A2104" w:rsidR="00345799"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TOC \h \z \t "Caption" \c</w:instrText>
      </w:r>
      <w:r>
        <w:fldChar w:fldCharType="separate"/>
      </w:r>
      <w:hyperlink w:anchor="_Toc198661173" w:history="1">
        <w:r w:rsidR="00345799" w:rsidRPr="00423822">
          <w:rPr>
            <w:rStyle w:val="Hyperlink"/>
            <w:noProof/>
          </w:rPr>
          <w:t>Table 1: a table showing the procedure followed during the project</w:t>
        </w:r>
        <w:r w:rsidR="00345799">
          <w:rPr>
            <w:noProof/>
            <w:webHidden/>
          </w:rPr>
          <w:tab/>
        </w:r>
        <w:r w:rsidR="00345799">
          <w:rPr>
            <w:noProof/>
            <w:webHidden/>
          </w:rPr>
          <w:fldChar w:fldCharType="begin"/>
        </w:r>
        <w:r w:rsidR="00345799">
          <w:rPr>
            <w:noProof/>
            <w:webHidden/>
          </w:rPr>
          <w:instrText xml:space="preserve"> PAGEREF _Toc198661173 \h </w:instrText>
        </w:r>
        <w:r w:rsidR="00345799">
          <w:rPr>
            <w:noProof/>
            <w:webHidden/>
          </w:rPr>
        </w:r>
        <w:r w:rsidR="00345799">
          <w:rPr>
            <w:noProof/>
            <w:webHidden/>
          </w:rPr>
          <w:fldChar w:fldCharType="separate"/>
        </w:r>
        <w:r w:rsidR="00345799">
          <w:rPr>
            <w:noProof/>
            <w:webHidden/>
          </w:rPr>
          <w:t>4</w:t>
        </w:r>
        <w:r w:rsidR="00345799">
          <w:rPr>
            <w:noProof/>
            <w:webHidden/>
          </w:rPr>
          <w:fldChar w:fldCharType="end"/>
        </w:r>
      </w:hyperlink>
    </w:p>
    <w:p w14:paraId="27C7CC60" w14:textId="73AF5CA0" w:rsidR="00345799" w:rsidRDefault="00345799">
      <w:pPr>
        <w:pStyle w:val="TableofFigures"/>
        <w:tabs>
          <w:tab w:val="right" w:leader="dot" w:pos="9016"/>
        </w:tabs>
        <w:rPr>
          <w:rFonts w:eastAsiaTheme="minorEastAsia"/>
          <w:noProof/>
          <w:kern w:val="2"/>
          <w:sz w:val="24"/>
          <w:szCs w:val="24"/>
          <w:lang w:eastAsia="en-GB"/>
          <w14:ligatures w14:val="standardContextual"/>
        </w:rPr>
      </w:pPr>
      <w:hyperlink w:anchor="_Toc198661174" w:history="1">
        <w:r w:rsidRPr="00423822">
          <w:rPr>
            <w:rStyle w:val="Hyperlink"/>
            <w:noProof/>
          </w:rPr>
          <w:t xml:space="preserve">Figure 1: A map of Kilvey hill with sample plots </w:t>
        </w:r>
        <w:r>
          <w:rPr>
            <w:noProof/>
            <w:webHidden/>
          </w:rPr>
          <w:tab/>
        </w:r>
        <w:r>
          <w:rPr>
            <w:noProof/>
            <w:webHidden/>
          </w:rPr>
          <w:fldChar w:fldCharType="begin"/>
        </w:r>
        <w:r>
          <w:rPr>
            <w:noProof/>
            <w:webHidden/>
          </w:rPr>
          <w:instrText xml:space="preserve"> PAGEREF _Toc198661174 \h </w:instrText>
        </w:r>
        <w:r>
          <w:rPr>
            <w:noProof/>
            <w:webHidden/>
          </w:rPr>
        </w:r>
        <w:r>
          <w:rPr>
            <w:noProof/>
            <w:webHidden/>
          </w:rPr>
          <w:fldChar w:fldCharType="separate"/>
        </w:r>
        <w:r>
          <w:rPr>
            <w:noProof/>
            <w:webHidden/>
          </w:rPr>
          <w:t>5</w:t>
        </w:r>
        <w:r>
          <w:rPr>
            <w:noProof/>
            <w:webHidden/>
          </w:rPr>
          <w:fldChar w:fldCharType="end"/>
        </w:r>
      </w:hyperlink>
    </w:p>
    <w:p w14:paraId="36F84D8D" w14:textId="039DB927" w:rsidR="00345799" w:rsidRDefault="00345799">
      <w:pPr>
        <w:pStyle w:val="TableofFigures"/>
        <w:tabs>
          <w:tab w:val="right" w:leader="dot" w:pos="9016"/>
        </w:tabs>
        <w:rPr>
          <w:rFonts w:eastAsiaTheme="minorEastAsia"/>
          <w:noProof/>
          <w:kern w:val="2"/>
          <w:sz w:val="24"/>
          <w:szCs w:val="24"/>
          <w:lang w:eastAsia="en-GB"/>
          <w14:ligatures w14:val="standardContextual"/>
        </w:rPr>
      </w:pPr>
      <w:hyperlink w:anchor="_Toc198661175" w:history="1">
        <w:r w:rsidRPr="00423822">
          <w:rPr>
            <w:rStyle w:val="Hyperlink"/>
            <w:noProof/>
          </w:rPr>
          <w:t>Table 2: a table showing the different tests and what they are testing for</w:t>
        </w:r>
        <w:r>
          <w:rPr>
            <w:noProof/>
            <w:webHidden/>
          </w:rPr>
          <w:tab/>
        </w:r>
        <w:r>
          <w:rPr>
            <w:noProof/>
            <w:webHidden/>
          </w:rPr>
          <w:fldChar w:fldCharType="begin"/>
        </w:r>
        <w:r>
          <w:rPr>
            <w:noProof/>
            <w:webHidden/>
          </w:rPr>
          <w:instrText xml:space="preserve"> PAGEREF _Toc198661175 \h </w:instrText>
        </w:r>
        <w:r>
          <w:rPr>
            <w:noProof/>
            <w:webHidden/>
          </w:rPr>
        </w:r>
        <w:r>
          <w:rPr>
            <w:noProof/>
            <w:webHidden/>
          </w:rPr>
          <w:fldChar w:fldCharType="separate"/>
        </w:r>
        <w:r>
          <w:rPr>
            <w:noProof/>
            <w:webHidden/>
          </w:rPr>
          <w:t>5</w:t>
        </w:r>
        <w:r>
          <w:rPr>
            <w:noProof/>
            <w:webHidden/>
          </w:rPr>
          <w:fldChar w:fldCharType="end"/>
        </w:r>
      </w:hyperlink>
    </w:p>
    <w:p w14:paraId="6EC3E96B" w14:textId="26112407" w:rsidR="00345799" w:rsidRDefault="00345799">
      <w:pPr>
        <w:pStyle w:val="TableofFigures"/>
        <w:tabs>
          <w:tab w:val="right" w:leader="dot" w:pos="9016"/>
        </w:tabs>
        <w:rPr>
          <w:rFonts w:eastAsiaTheme="minorEastAsia"/>
          <w:noProof/>
          <w:kern w:val="2"/>
          <w:sz w:val="24"/>
          <w:szCs w:val="24"/>
          <w:lang w:eastAsia="en-GB"/>
          <w14:ligatures w14:val="standardContextual"/>
        </w:rPr>
      </w:pPr>
      <w:hyperlink w:anchor="_Toc198661176" w:history="1">
        <w:r w:rsidRPr="00423822">
          <w:rPr>
            <w:rStyle w:val="Hyperlink"/>
            <w:noProof/>
          </w:rPr>
          <w:t>Table 3- a Gannt chart showing the expected progress of the research project</w:t>
        </w:r>
        <w:r>
          <w:rPr>
            <w:noProof/>
            <w:webHidden/>
          </w:rPr>
          <w:tab/>
        </w:r>
        <w:r>
          <w:rPr>
            <w:noProof/>
            <w:webHidden/>
          </w:rPr>
          <w:fldChar w:fldCharType="begin"/>
        </w:r>
        <w:r>
          <w:rPr>
            <w:noProof/>
            <w:webHidden/>
          </w:rPr>
          <w:instrText xml:space="preserve"> PAGEREF _Toc198661176 \h </w:instrText>
        </w:r>
        <w:r>
          <w:rPr>
            <w:noProof/>
            <w:webHidden/>
          </w:rPr>
        </w:r>
        <w:r>
          <w:rPr>
            <w:noProof/>
            <w:webHidden/>
          </w:rPr>
          <w:fldChar w:fldCharType="separate"/>
        </w:r>
        <w:r>
          <w:rPr>
            <w:noProof/>
            <w:webHidden/>
          </w:rPr>
          <w:t>6</w:t>
        </w:r>
        <w:r>
          <w:rPr>
            <w:noProof/>
            <w:webHidden/>
          </w:rPr>
          <w:fldChar w:fldCharType="end"/>
        </w:r>
      </w:hyperlink>
    </w:p>
    <w:p w14:paraId="1C2F6BBC" w14:textId="6CDEADD9"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4843C6FC" w14:textId="77777777" w:rsidR="00831246" w:rsidRDefault="00831246" w:rsidP="00831246">
      <w:pPr>
        <w:pStyle w:val="Heading1"/>
      </w:pPr>
      <w:bookmarkStart w:id="1" w:name="_Toc198661128"/>
      <w:r>
        <w:rPr>
          <w:lang w:eastAsia="en-GB"/>
        </w:rPr>
        <w:lastRenderedPageBreak/>
        <w:t>Proposed research title</w:t>
      </w:r>
      <w:bookmarkEnd w:id="1"/>
    </w:p>
    <w:p w14:paraId="015A2860" w14:textId="79BC4F86" w:rsidR="001E773C" w:rsidRDefault="00E80F70" w:rsidP="00831246">
      <w:pPr>
        <w:rPr>
          <w:lang w:eastAsia="en-GB"/>
        </w:rPr>
      </w:pPr>
      <w:r w:rsidRPr="00374DE3">
        <w:rPr>
          <w:lang w:eastAsia="en-GB"/>
        </w:rPr>
        <w:t xml:space="preserve">Exploring </w:t>
      </w:r>
      <w:r w:rsidR="00514CFA">
        <w:rPr>
          <w:lang w:eastAsia="en-GB"/>
        </w:rPr>
        <w:t>Biochar</w:t>
      </w:r>
      <w:r w:rsidRPr="00374DE3">
        <w:rPr>
          <w:lang w:eastAsia="en-GB"/>
        </w:rPr>
        <w:t xml:space="preserve"> for Removing Heavy Metal Contaminants from Mine Spoil on Kilvey Hill, Wales</w:t>
      </w:r>
    </w:p>
    <w:p w14:paraId="244E84F8" w14:textId="77777777" w:rsidR="0070274C" w:rsidRPr="0009280D" w:rsidRDefault="0070274C" w:rsidP="00831246"/>
    <w:p w14:paraId="58596638" w14:textId="74A8E911" w:rsidR="00301299" w:rsidRDefault="009A1BB3" w:rsidP="00D4781C">
      <w:pPr>
        <w:pStyle w:val="Heading1"/>
      </w:pPr>
      <w:bookmarkStart w:id="2" w:name="_Toc1363270423"/>
      <w:bookmarkStart w:id="3" w:name="_Toc198661129"/>
      <w:r>
        <w:t>Abstract</w:t>
      </w:r>
      <w:bookmarkEnd w:id="2"/>
      <w:bookmarkEnd w:id="3"/>
      <w:r>
        <w:t xml:space="preserve"> </w:t>
      </w:r>
    </w:p>
    <w:p w14:paraId="1D8A9A8E" w14:textId="731C1ABA" w:rsidR="00B17CF1" w:rsidRDefault="45257F43" w:rsidP="00B17CF1">
      <w:r>
        <w:t xml:space="preserve">This research investigates the effectiveness of biochar remediation in removing heavy metal contaminants from copper mine spoil. </w:t>
      </w:r>
      <w:r w:rsidR="66C17454" w:rsidRPr="00A7752F">
        <w:rPr>
          <w:rFonts w:ascii="Calibri" w:hAnsi="Calibri" w:cs="Calibri"/>
        </w:rPr>
        <w:t>The effectiveness of biochar treatment will be assessed by comparing metal concentrations in treated vs. control plots over time</w:t>
      </w:r>
      <w:r w:rsidR="66C17454" w:rsidRPr="66C17454">
        <w:rPr>
          <w:rFonts w:ascii="Calibri" w:hAnsi="Calibri" w:cs="Calibri"/>
        </w:rPr>
        <w:t>.</w:t>
      </w:r>
      <w:r w:rsidR="66C17454">
        <w:t xml:space="preserve"> </w:t>
      </w:r>
      <w:r>
        <w:t>By analysing biochar’s adsorption capacity and its influence on soil properties, the study aims to enhance the understanding of its potential as a sustainable solution for mitigating heavy metal pollution in mining-impacted environments.</w:t>
      </w:r>
      <w:r w:rsidR="66C17454">
        <w:t xml:space="preserve"> </w:t>
      </w:r>
    </w:p>
    <w:p w14:paraId="2331AD6B" w14:textId="77777777" w:rsidR="00004AB0" w:rsidRPr="00B17CF1" w:rsidRDefault="00004AB0" w:rsidP="00B17CF1"/>
    <w:p w14:paraId="1A18F10B" w14:textId="0A2A8A3B" w:rsidR="00B971D8" w:rsidRDefault="00E54AF7" w:rsidP="00B971D8">
      <w:pPr>
        <w:pStyle w:val="Heading1"/>
      </w:pPr>
      <w:bookmarkStart w:id="4" w:name="_Toc822825035"/>
      <w:bookmarkStart w:id="5" w:name="_Toc198661130"/>
      <w:r>
        <w:t>Introduction</w:t>
      </w:r>
      <w:bookmarkEnd w:id="4"/>
      <w:bookmarkEnd w:id="5"/>
    </w:p>
    <w:p w14:paraId="1B530EE9" w14:textId="266F05CF" w:rsidR="00AC3A84" w:rsidRPr="00F50895" w:rsidRDefault="00AC3A84" w:rsidP="00AC3A84">
      <w:pPr>
        <w:rPr>
          <w:rFonts w:ascii="Times New Roman" w:eastAsia="Times New Roman" w:hAnsi="Times New Roman" w:cs="Times New Roman"/>
          <w:sz w:val="24"/>
          <w:szCs w:val="24"/>
          <w:lang w:eastAsia="en-GB"/>
        </w:rPr>
      </w:pPr>
      <w:r w:rsidRPr="00AC3A84">
        <w:rPr>
          <w:rFonts w:ascii="Calibri" w:hAnsi="Calibri" w:cs="Calibri"/>
        </w:rPr>
        <w:t xml:space="preserve">Mining activities have left a lasting legacy of soil contamination, particularly from heavy metals, which pose significant environmental and human health </w:t>
      </w:r>
      <w:r w:rsidRPr="00050AE1">
        <w:rPr>
          <w:rFonts w:cstheme="minorHAnsi"/>
        </w:rPr>
        <w:t>risks</w:t>
      </w:r>
      <w:r w:rsidR="0040166B" w:rsidRPr="00050AE1">
        <w:rPr>
          <w:rFonts w:cstheme="minorHAnsi"/>
        </w:rPr>
        <w:t xml:space="preserve"> (Team, 2024)</w:t>
      </w:r>
      <w:r w:rsidR="2F4B679D" w:rsidRPr="00050AE1">
        <w:rPr>
          <w:rFonts w:cstheme="minorHAnsi"/>
        </w:rPr>
        <w:t>.</w:t>
      </w:r>
      <w:r w:rsidRPr="00050AE1">
        <w:rPr>
          <w:rFonts w:cstheme="minorHAnsi"/>
        </w:rPr>
        <w:t xml:space="preserve"> Copper mine spoil, in particular, contains elevated levels of toxic metals that can leach into surrounding ecosystems, disrupting biodiversity and limiting soil productivity</w:t>
      </w:r>
      <w:r w:rsidR="00BD52A2" w:rsidRPr="008C3BD2">
        <w:rPr>
          <w:rFonts w:eastAsia="Times New Roman" w:cstheme="minorHAnsi"/>
          <w:lang w:eastAsia="en-GB"/>
        </w:rPr>
        <w:t xml:space="preserve"> </w:t>
      </w:r>
      <w:r w:rsidR="00DA0331" w:rsidRPr="008C3BD2">
        <w:rPr>
          <w:rFonts w:eastAsia="Times New Roman" w:cstheme="minorHAnsi"/>
          <w:lang w:eastAsia="en-GB"/>
        </w:rPr>
        <w:t>(</w:t>
      </w:r>
      <w:proofErr w:type="spellStart"/>
      <w:r w:rsidR="00DA0331" w:rsidRPr="008C3BD2">
        <w:rPr>
          <w:rFonts w:eastAsia="Times New Roman" w:cstheme="minorHAnsi"/>
          <w:lang w:eastAsia="en-GB"/>
        </w:rPr>
        <w:t>Izydorczyk</w:t>
      </w:r>
      <w:proofErr w:type="spellEnd"/>
      <w:r w:rsidR="00DA0331" w:rsidRPr="008C3BD2">
        <w:rPr>
          <w:rFonts w:eastAsia="Times New Roman" w:cstheme="minorHAnsi"/>
          <w:lang w:eastAsia="en-GB"/>
        </w:rPr>
        <w:t xml:space="preserve"> et al., 2021)</w:t>
      </w:r>
      <w:r w:rsidR="008C3BD2">
        <w:rPr>
          <w:rFonts w:eastAsia="Times New Roman" w:cstheme="minorHAnsi"/>
          <w:lang w:eastAsia="en-GB"/>
        </w:rPr>
        <w:t>.</w:t>
      </w:r>
      <w:r w:rsidR="00DA0331" w:rsidRPr="008C3BD2">
        <w:rPr>
          <w:rFonts w:eastAsia="Times New Roman" w:cstheme="minorHAnsi"/>
          <w:lang w:eastAsia="en-GB"/>
        </w:rPr>
        <w:t xml:space="preserve"> </w:t>
      </w:r>
      <w:r w:rsidR="00BD52A2" w:rsidRPr="00050AE1">
        <w:rPr>
          <w:rFonts w:cstheme="minorHAnsi"/>
        </w:rPr>
        <w:t>Potential environmental pollution from copper metallurgy and methods of management.</w:t>
      </w:r>
      <w:r w:rsidR="00F50895">
        <w:rPr>
          <w:rFonts w:cstheme="minorHAnsi"/>
        </w:rPr>
        <w:t xml:space="preserve"> </w:t>
      </w:r>
      <w:r w:rsidRPr="00AC3A84">
        <w:rPr>
          <w:rFonts w:ascii="Calibri" w:hAnsi="Calibri" w:cs="Calibri"/>
        </w:rPr>
        <w:t>Effective remediation strategies are essential to restore these degraded landscapes and prevent further environmental damage.</w:t>
      </w:r>
    </w:p>
    <w:p w14:paraId="5C6FBBB0" w14:textId="548E19AD" w:rsidR="00AC3A84" w:rsidRPr="00AC3A84" w:rsidRDefault="45257F43" w:rsidP="00AC3A84">
      <w:pPr>
        <w:rPr>
          <w:rFonts w:ascii="Calibri" w:hAnsi="Calibri" w:cs="Calibri"/>
        </w:rPr>
      </w:pPr>
      <w:r w:rsidRPr="45257F43">
        <w:rPr>
          <w:rFonts w:ascii="Calibri" w:hAnsi="Calibri" w:cs="Calibri"/>
        </w:rPr>
        <w:t>Biochar, a carbon-rich material produced from biomass pyrolysis, has gained attention as a promising solution for soil remediation. Its high surface area, porosity, and ability to adsorb heavy metals make it a potential candidate for reducing metal mobility and improving soil quality</w:t>
      </w:r>
      <w:r w:rsidR="00C4772E">
        <w:rPr>
          <w:rFonts w:ascii="Calibri" w:hAnsi="Calibri" w:cs="Calibri"/>
        </w:rPr>
        <w:t xml:space="preserve"> </w:t>
      </w:r>
      <w:r w:rsidR="00C4772E" w:rsidRPr="00FC74AB">
        <w:rPr>
          <w:rFonts w:ascii="Calibri" w:hAnsi="Calibri" w:cs="Calibri"/>
        </w:rPr>
        <w:t>(Khater et al., 2024)</w:t>
      </w:r>
      <w:r w:rsidRPr="45257F43">
        <w:rPr>
          <w:rFonts w:ascii="Calibri" w:hAnsi="Calibri" w:cs="Calibri"/>
        </w:rPr>
        <w:t>.</w:t>
      </w:r>
      <w:r w:rsidR="00FC74AB" w:rsidRPr="00FC74AB">
        <w:rPr>
          <w:rFonts w:ascii="Times New Roman" w:eastAsia="Times New Roman" w:hAnsi="Times New Roman" w:cs="Times New Roman"/>
          <w:sz w:val="24"/>
          <w:szCs w:val="24"/>
          <w:lang w:eastAsia="en-GB"/>
        </w:rPr>
        <w:t xml:space="preserve"> </w:t>
      </w:r>
      <w:r w:rsidRPr="45257F43">
        <w:rPr>
          <w:rFonts w:ascii="Calibri" w:hAnsi="Calibri" w:cs="Calibri"/>
        </w:rPr>
        <w:t>However, further research is needed to fully understand its effectiveness in</w:t>
      </w:r>
      <w:r w:rsidR="00D17C5B">
        <w:rPr>
          <w:rFonts w:ascii="Calibri" w:hAnsi="Calibri" w:cs="Calibri"/>
        </w:rPr>
        <w:t xml:space="preserve"> copper </w:t>
      </w:r>
      <w:r w:rsidRPr="45257F43">
        <w:rPr>
          <w:rFonts w:ascii="Calibri" w:hAnsi="Calibri" w:cs="Calibri"/>
        </w:rPr>
        <w:t>mine spoil environments.</w:t>
      </w:r>
    </w:p>
    <w:p w14:paraId="5CBF0E92" w14:textId="18766AE0" w:rsidR="00E54AF7" w:rsidRPr="008E6237" w:rsidRDefault="00AC3A84" w:rsidP="00E54AF7">
      <w:pPr>
        <w:rPr>
          <w:rFonts w:ascii="Calibri" w:hAnsi="Calibri" w:cs="Calibri"/>
        </w:rPr>
      </w:pPr>
      <w:r w:rsidRPr="00AC3A84">
        <w:rPr>
          <w:rFonts w:ascii="Calibri" w:hAnsi="Calibri" w:cs="Calibri"/>
        </w:rPr>
        <w:t>This study investigates the use of biochar for remediating heavy metal contamination in copper mine spoil, focusing on its adsorption capacity and impact on soil properties. The research aims to contribute to environmental restoration efforts on Kilvey Hill while offering insights into cost-effective, sustainable remediation methods applicable to contaminated sites across Wales</w:t>
      </w:r>
      <w:r w:rsidR="0055266A">
        <w:rPr>
          <w:rFonts w:ascii="Calibri" w:hAnsi="Calibri" w:cs="Calibri"/>
        </w:rPr>
        <w:t xml:space="preserve">. </w:t>
      </w:r>
    </w:p>
    <w:p w14:paraId="7FC4016C" w14:textId="0888229B" w:rsidR="00E54AF7" w:rsidRDefault="00E54AF7" w:rsidP="00E54AF7">
      <w:pPr>
        <w:pStyle w:val="Heading2"/>
      </w:pPr>
      <w:bookmarkStart w:id="6" w:name="_Toc356748610"/>
      <w:bookmarkStart w:id="7" w:name="_Toc198661131"/>
      <w:r>
        <w:t>Background</w:t>
      </w:r>
      <w:bookmarkEnd w:id="6"/>
      <w:bookmarkEnd w:id="7"/>
      <w:r>
        <w:t xml:space="preserve"> </w:t>
      </w:r>
    </w:p>
    <w:p w14:paraId="7BCC04E2" w14:textId="18B9FE89" w:rsidR="00666F77" w:rsidRPr="00D175BD" w:rsidRDefault="45257F43" w:rsidP="45257F43">
      <w:pPr>
        <w:rPr>
          <w:rFonts w:ascii="Calibri" w:hAnsi="Calibri" w:cs="Calibri"/>
        </w:rPr>
      </w:pPr>
      <w:r w:rsidRPr="45257F43">
        <w:rPr>
          <w:rFonts w:ascii="Calibri" w:hAnsi="Calibri" w:cs="Calibri"/>
        </w:rPr>
        <w:t xml:space="preserve">Kilvey Hill, located in Swansea, South Wales, has a history of industrial activity that has contributed to heavy metal contamination in its soils. During the 19th and early 20th centuries, Swansea was a major centre for copper smelting, earning it the </w:t>
      </w:r>
      <w:r w:rsidRPr="00D50E8D">
        <w:rPr>
          <w:rFonts w:ascii="Calibri" w:hAnsi="Calibri" w:cs="Calibri"/>
        </w:rPr>
        <w:t>nickname "Copperopolis</w:t>
      </w:r>
      <w:r w:rsidR="6BB1A5FE" w:rsidRPr="00D50E8D">
        <w:rPr>
          <w:rFonts w:ascii="Calibri" w:hAnsi="Calibri" w:cs="Calibri"/>
        </w:rPr>
        <w:t xml:space="preserve">" </w:t>
      </w:r>
      <w:r w:rsidR="00D175BD" w:rsidRPr="00D50E8D">
        <w:rPr>
          <w:rFonts w:ascii="Calibri" w:hAnsi="Calibri" w:cs="Calibri"/>
        </w:rPr>
        <w:t>(</w:t>
      </w:r>
      <w:r w:rsidR="00D50E8D">
        <w:rPr>
          <w:rFonts w:ascii="Calibri" w:hAnsi="Calibri" w:cs="Calibri"/>
        </w:rPr>
        <w:t>Env</w:t>
      </w:r>
      <w:r w:rsidR="00D46B0B">
        <w:rPr>
          <w:rFonts w:ascii="Calibri" w:hAnsi="Calibri" w:cs="Calibri"/>
        </w:rPr>
        <w:t>ironment Cent</w:t>
      </w:r>
      <w:r w:rsidR="007542C4">
        <w:rPr>
          <w:rFonts w:ascii="Calibri" w:hAnsi="Calibri" w:cs="Calibri"/>
        </w:rPr>
        <w:t>re</w:t>
      </w:r>
      <w:r w:rsidR="00D175BD" w:rsidRPr="00D50E8D">
        <w:rPr>
          <w:rFonts w:ascii="Calibri" w:hAnsi="Calibri" w:cs="Calibri"/>
        </w:rPr>
        <w:t>, 2023)</w:t>
      </w:r>
      <w:r w:rsidR="66DF6B61" w:rsidRPr="00D50E8D">
        <w:rPr>
          <w:rFonts w:ascii="Calibri" w:hAnsi="Calibri" w:cs="Calibri"/>
        </w:rPr>
        <w:t>.</w:t>
      </w:r>
      <w:r w:rsidRPr="00D50E8D">
        <w:rPr>
          <w:rFonts w:ascii="Calibri" w:hAnsi="Calibri" w:cs="Calibri"/>
        </w:rPr>
        <w:t xml:space="preserve"> The smelting</w:t>
      </w:r>
      <w:r w:rsidRPr="45257F43">
        <w:rPr>
          <w:rFonts w:ascii="Calibri" w:hAnsi="Calibri" w:cs="Calibri"/>
        </w:rPr>
        <w:t xml:space="preserve"> and associated industries, including lead, zinc, and arsenic processing, released large amounts of heavy metal pollutants into the environment</w:t>
      </w:r>
      <w:r w:rsidR="00FF68C0">
        <w:rPr>
          <w:rFonts w:ascii="Calibri" w:hAnsi="Calibri" w:cs="Calibri"/>
        </w:rPr>
        <w:t>.</w:t>
      </w:r>
      <w:r w:rsidRPr="45257F43">
        <w:rPr>
          <w:rFonts w:ascii="Calibri" w:hAnsi="Calibri" w:cs="Calibri"/>
        </w:rPr>
        <w:t xml:space="preserve"> Over time, contaminants settle</w:t>
      </w:r>
      <w:r w:rsidR="007542C4">
        <w:rPr>
          <w:rFonts w:ascii="Calibri" w:hAnsi="Calibri" w:cs="Calibri"/>
        </w:rPr>
        <w:t>d</w:t>
      </w:r>
      <w:r w:rsidRPr="45257F43">
        <w:rPr>
          <w:rFonts w:ascii="Calibri" w:hAnsi="Calibri" w:cs="Calibri"/>
        </w:rPr>
        <w:t xml:space="preserve"> into the soil</w:t>
      </w:r>
      <w:r w:rsidR="007542C4">
        <w:rPr>
          <w:rFonts w:ascii="Calibri" w:hAnsi="Calibri" w:cs="Calibri"/>
        </w:rPr>
        <w:t xml:space="preserve"> on</w:t>
      </w:r>
      <w:r w:rsidRPr="45257F43">
        <w:rPr>
          <w:rFonts w:ascii="Calibri" w:hAnsi="Calibri" w:cs="Calibri"/>
        </w:rPr>
        <w:t xml:space="preserve"> Kilvey Hill, which lies downwind of many historical smelting sites</w:t>
      </w:r>
      <w:r w:rsidR="009759EB">
        <w:rPr>
          <w:rFonts w:ascii="Calibri" w:hAnsi="Calibri" w:cs="Calibri"/>
        </w:rPr>
        <w:t xml:space="preserve"> such as the copper works</w:t>
      </w:r>
      <w:r w:rsidR="60C0DBE1" w:rsidRPr="60C0DBE1">
        <w:rPr>
          <w:rFonts w:ascii="Calibri" w:hAnsi="Calibri" w:cs="Calibri"/>
        </w:rPr>
        <w:t>.</w:t>
      </w:r>
    </w:p>
    <w:p w14:paraId="1CD5FA87" w14:textId="74E55FB2" w:rsidR="00D65239" w:rsidRPr="00820A58" w:rsidRDefault="5DF4B42A" w:rsidP="45257F43">
      <w:pPr>
        <w:rPr>
          <w:rFonts w:ascii="Calibri" w:hAnsi="Calibri" w:cs="Calibri"/>
        </w:rPr>
      </w:pPr>
      <w:r w:rsidRPr="5DF4B42A">
        <w:rPr>
          <w:rFonts w:ascii="Calibri" w:hAnsi="Calibri" w:cs="Calibri"/>
        </w:rPr>
        <w:t xml:space="preserve">Even after the decline of heavy industry in the 20th century, residual contamination from metals such as copper, lead, zinc, and arsenic has persisted in the hill’s ecosystem. These </w:t>
      </w:r>
      <w:r w:rsidRPr="008C3C96">
        <w:rPr>
          <w:rFonts w:ascii="Calibri" w:hAnsi="Calibri" w:cs="Calibri"/>
        </w:rPr>
        <w:t xml:space="preserve">pollutants may </w:t>
      </w:r>
      <w:r w:rsidRPr="5DF4B42A">
        <w:rPr>
          <w:rFonts w:ascii="Calibri" w:hAnsi="Calibri" w:cs="Calibri"/>
        </w:rPr>
        <w:t>have impacted soil quality, vegetation, and potentially local wildlife</w:t>
      </w:r>
      <w:r w:rsidR="20D032B9" w:rsidRPr="20D032B9">
        <w:rPr>
          <w:rFonts w:ascii="Calibri" w:hAnsi="Calibri" w:cs="Calibri"/>
        </w:rPr>
        <w:t xml:space="preserve"> </w:t>
      </w:r>
      <w:r w:rsidR="003E5C56" w:rsidRPr="003E5C56">
        <w:rPr>
          <w:rFonts w:ascii="Calibri" w:hAnsi="Calibri" w:cs="Calibri"/>
        </w:rPr>
        <w:t>(</w:t>
      </w:r>
      <w:proofErr w:type="spellStart"/>
      <w:r w:rsidR="003E5C56" w:rsidRPr="003E5C56">
        <w:rPr>
          <w:rFonts w:ascii="Calibri" w:hAnsi="Calibri" w:cs="Calibri"/>
        </w:rPr>
        <w:t>MathuMitha</w:t>
      </w:r>
      <w:proofErr w:type="spellEnd"/>
      <w:r w:rsidR="003E5C56" w:rsidRPr="003E5C56">
        <w:rPr>
          <w:rFonts w:ascii="Calibri" w:hAnsi="Calibri" w:cs="Calibri"/>
        </w:rPr>
        <w:t xml:space="preserve"> </w:t>
      </w:r>
      <w:r w:rsidR="003E5C56" w:rsidRPr="003E5C56">
        <w:rPr>
          <w:rFonts w:ascii="Calibri" w:hAnsi="Calibri" w:cs="Calibri"/>
          <w:i/>
          <w:iCs/>
        </w:rPr>
        <w:t>et al.</w:t>
      </w:r>
      <w:r w:rsidR="003E5C56" w:rsidRPr="003E5C56">
        <w:rPr>
          <w:rFonts w:ascii="Calibri" w:hAnsi="Calibri" w:cs="Calibri"/>
        </w:rPr>
        <w:t>, 2021)</w:t>
      </w:r>
      <w:r w:rsidR="003E5C56">
        <w:rPr>
          <w:rFonts w:ascii="Calibri" w:hAnsi="Calibri" w:cs="Calibri"/>
        </w:rPr>
        <w:t xml:space="preserve">. </w:t>
      </w:r>
      <w:r w:rsidRPr="5DF4B42A">
        <w:rPr>
          <w:rFonts w:ascii="Calibri" w:hAnsi="Calibri" w:cs="Calibri"/>
        </w:rPr>
        <w:t>Despite this, Kilvey Hill has undergone significant natural regeneration, with woodland and grassland gradually recovering</w:t>
      </w:r>
      <w:r w:rsidR="009F190E">
        <w:rPr>
          <w:rFonts w:ascii="Calibri" w:hAnsi="Calibri" w:cs="Calibri"/>
        </w:rPr>
        <w:t xml:space="preserve"> due to planting</w:t>
      </w:r>
      <w:r w:rsidR="00C63F28">
        <w:rPr>
          <w:rFonts w:ascii="Calibri" w:hAnsi="Calibri" w:cs="Calibri"/>
        </w:rPr>
        <w:t xml:space="preserve"> of Fir trees</w:t>
      </w:r>
      <w:r w:rsidR="001F014B">
        <w:rPr>
          <w:rFonts w:ascii="Calibri" w:hAnsi="Calibri" w:cs="Calibri"/>
        </w:rPr>
        <w:t xml:space="preserve"> which for a while was the only thing that succeeded </w:t>
      </w:r>
      <w:r w:rsidR="001F014B">
        <w:rPr>
          <w:rFonts w:ascii="Calibri" w:hAnsi="Calibri" w:cs="Calibri"/>
        </w:rPr>
        <w:lastRenderedPageBreak/>
        <w:t>on the Hill</w:t>
      </w:r>
      <w:r w:rsidR="20D032B9" w:rsidRPr="20D032B9">
        <w:rPr>
          <w:rFonts w:ascii="Calibri" w:hAnsi="Calibri" w:cs="Calibri"/>
        </w:rPr>
        <w:t xml:space="preserve"> </w:t>
      </w:r>
      <w:r w:rsidR="00FD01D2" w:rsidRPr="00FD01D2">
        <w:rPr>
          <w:rFonts w:ascii="Calibri" w:hAnsi="Calibri" w:cs="Calibri"/>
        </w:rPr>
        <w:t>(Natural</w:t>
      </w:r>
      <w:r w:rsidR="00F70983">
        <w:rPr>
          <w:rFonts w:ascii="Calibri" w:hAnsi="Calibri" w:cs="Calibri"/>
        </w:rPr>
        <w:t xml:space="preserve"> R</w:t>
      </w:r>
      <w:r w:rsidR="00FD01D2" w:rsidRPr="00FD01D2">
        <w:rPr>
          <w:rFonts w:ascii="Calibri" w:hAnsi="Calibri" w:cs="Calibri"/>
        </w:rPr>
        <w:t>esources</w:t>
      </w:r>
      <w:r w:rsidR="00F70983">
        <w:rPr>
          <w:rFonts w:ascii="Calibri" w:hAnsi="Calibri" w:cs="Calibri"/>
        </w:rPr>
        <w:t xml:space="preserve"> W</w:t>
      </w:r>
      <w:r w:rsidR="00FD01D2" w:rsidRPr="00FD01D2">
        <w:rPr>
          <w:rFonts w:ascii="Calibri" w:hAnsi="Calibri" w:cs="Calibri"/>
        </w:rPr>
        <w:t>ales, 2022)</w:t>
      </w:r>
      <w:r w:rsidR="20D032B9" w:rsidRPr="20D032B9">
        <w:rPr>
          <w:rFonts w:ascii="Calibri" w:hAnsi="Calibri" w:cs="Calibri"/>
        </w:rPr>
        <w:t>.</w:t>
      </w:r>
      <w:r w:rsidR="009759EB">
        <w:rPr>
          <w:rFonts w:ascii="Calibri" w:hAnsi="Calibri" w:cs="Calibri"/>
        </w:rPr>
        <w:t xml:space="preserve"> </w:t>
      </w:r>
      <w:r w:rsidRPr="5DF4B42A">
        <w:rPr>
          <w:rFonts w:ascii="Calibri" w:hAnsi="Calibri" w:cs="Calibri"/>
        </w:rPr>
        <w:t>However, the legacy of industrial pollution remains an environmental concern for the area.</w:t>
      </w:r>
    </w:p>
    <w:p w14:paraId="7D773A8E" w14:textId="1931E83D" w:rsidR="00D65239" w:rsidRDefault="00D65239" w:rsidP="00D65239">
      <w:pPr>
        <w:pStyle w:val="Heading2"/>
      </w:pPr>
      <w:bookmarkStart w:id="8" w:name="_Toc2053945640"/>
      <w:bookmarkStart w:id="9" w:name="_Toc198661132"/>
      <w:r>
        <w:t>Aims</w:t>
      </w:r>
      <w:bookmarkEnd w:id="8"/>
      <w:bookmarkEnd w:id="9"/>
      <w:r>
        <w:t xml:space="preserve"> </w:t>
      </w:r>
    </w:p>
    <w:p w14:paraId="699AB4B1" w14:textId="2CB7C617" w:rsidR="00D65239" w:rsidRDefault="5DF4B42A" w:rsidP="45257F43">
      <w:pPr>
        <w:rPr>
          <w:color w:val="FF0000"/>
        </w:rPr>
      </w:pPr>
      <w:r>
        <w:t xml:space="preserve">The aim of this research is to </w:t>
      </w:r>
      <w:r w:rsidR="00413747">
        <w:t xml:space="preserve">explore </w:t>
      </w:r>
      <w:r>
        <w:t xml:space="preserve">the effect of </w:t>
      </w:r>
      <w:r w:rsidR="00413747">
        <w:t xml:space="preserve">biochar in </w:t>
      </w:r>
      <w:r w:rsidR="00680237">
        <w:t xml:space="preserve">the </w:t>
      </w:r>
      <w:r>
        <w:t>remediation</w:t>
      </w:r>
      <w:r w:rsidR="00413747">
        <w:t xml:space="preserve"> of </w:t>
      </w:r>
      <w:r>
        <w:t>heavy metal contaminants from mine spoil</w:t>
      </w:r>
      <w:r w:rsidR="00904FD1">
        <w:t xml:space="preserve"> on Kilvey Hill</w:t>
      </w:r>
      <w:r>
        <w:t xml:space="preserve">. </w:t>
      </w:r>
    </w:p>
    <w:p w14:paraId="51DE5B1B" w14:textId="1A9BB82F" w:rsidR="00D65239" w:rsidRDefault="00D65239" w:rsidP="00D65239">
      <w:pPr>
        <w:pStyle w:val="Heading2"/>
      </w:pPr>
      <w:bookmarkStart w:id="10" w:name="_Toc509746446"/>
      <w:bookmarkStart w:id="11" w:name="_Toc198661133"/>
      <w:r>
        <w:t>Objectives</w:t>
      </w:r>
      <w:bookmarkEnd w:id="10"/>
      <w:bookmarkEnd w:id="11"/>
      <w:r>
        <w:t xml:space="preserve"> </w:t>
      </w:r>
    </w:p>
    <w:p w14:paraId="61A87D23" w14:textId="606E38BD" w:rsidR="002F23B4" w:rsidRDefault="00D77BEC" w:rsidP="522DD1AF">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t xml:space="preserve">Test soils in </w:t>
      </w:r>
      <w:r w:rsidR="002F23B4">
        <w:rPr>
          <w:rFonts w:asciiTheme="minorHAnsi" w:hAnsiTheme="minorHAnsi" w:cstheme="minorBidi"/>
          <w:sz w:val="22"/>
          <w:szCs w:val="22"/>
        </w:rPr>
        <w:t>trees and hea</w:t>
      </w:r>
      <w:r w:rsidR="00EB1B43">
        <w:rPr>
          <w:rFonts w:asciiTheme="minorHAnsi" w:hAnsiTheme="minorHAnsi" w:cstheme="minorBidi"/>
          <w:sz w:val="22"/>
          <w:szCs w:val="22"/>
        </w:rPr>
        <w:t>t</w:t>
      </w:r>
      <w:r w:rsidR="002F23B4">
        <w:rPr>
          <w:rFonts w:asciiTheme="minorHAnsi" w:hAnsiTheme="minorHAnsi" w:cstheme="minorBidi"/>
          <w:sz w:val="22"/>
          <w:szCs w:val="22"/>
        </w:rPr>
        <w:t xml:space="preserve">hland for heavy metals </w:t>
      </w:r>
    </w:p>
    <w:p w14:paraId="10A58510" w14:textId="6C0A552A" w:rsidR="522DD1AF" w:rsidRDefault="64470796" w:rsidP="522DD1AF">
      <w:pPr>
        <w:pStyle w:val="ListParagraph"/>
        <w:numPr>
          <w:ilvl w:val="0"/>
          <w:numId w:val="15"/>
        </w:numPr>
        <w:rPr>
          <w:rFonts w:asciiTheme="minorHAnsi" w:hAnsiTheme="minorHAnsi" w:cstheme="minorBidi"/>
          <w:sz w:val="22"/>
          <w:szCs w:val="22"/>
        </w:rPr>
      </w:pPr>
      <w:r w:rsidRPr="64470796">
        <w:rPr>
          <w:rFonts w:asciiTheme="minorHAnsi" w:hAnsiTheme="minorHAnsi" w:cstheme="minorBidi"/>
          <w:sz w:val="22"/>
          <w:szCs w:val="22"/>
        </w:rPr>
        <w:t>T</w:t>
      </w:r>
      <w:r w:rsidR="00A1557A">
        <w:rPr>
          <w:rFonts w:asciiTheme="minorHAnsi" w:hAnsiTheme="minorHAnsi" w:cstheme="minorBidi"/>
          <w:sz w:val="22"/>
          <w:szCs w:val="22"/>
        </w:rPr>
        <w:t>reat soils with biochar and repeat testing after 6 months</w:t>
      </w:r>
    </w:p>
    <w:p w14:paraId="40A42C81" w14:textId="77777777" w:rsidR="00004AB0" w:rsidRPr="00004AB0" w:rsidRDefault="00004AB0" w:rsidP="00004AB0"/>
    <w:p w14:paraId="0394A5C7" w14:textId="51B5EBE1" w:rsidR="00D65239" w:rsidRDefault="00D65239" w:rsidP="00D65239">
      <w:pPr>
        <w:pStyle w:val="Heading1"/>
      </w:pPr>
      <w:bookmarkStart w:id="12" w:name="_Toc1116070129"/>
      <w:bookmarkStart w:id="13" w:name="_Toc198661134"/>
      <w:r>
        <w:t xml:space="preserve">Literature </w:t>
      </w:r>
      <w:r w:rsidR="00375AB4">
        <w:t>Review</w:t>
      </w:r>
      <w:bookmarkEnd w:id="12"/>
      <w:bookmarkEnd w:id="13"/>
      <w:r w:rsidR="00375AB4">
        <w:t xml:space="preserve"> </w:t>
      </w:r>
    </w:p>
    <w:p w14:paraId="1FD69B84" w14:textId="6F9AA5A8" w:rsidR="0012503A" w:rsidRPr="0012503A" w:rsidRDefault="0012503A" w:rsidP="0012503A">
      <w:pPr>
        <w:rPr>
          <w:color w:val="FF0000"/>
        </w:rPr>
      </w:pPr>
      <w:r w:rsidRPr="0012503A">
        <w:t>Heavy metal contamination from mining activities poses a significant environmental challenge</w:t>
      </w:r>
      <w:r w:rsidR="64D40504" w:rsidRPr="64D40504">
        <w:rPr>
          <w:color w:val="FF0000"/>
        </w:rPr>
        <w:t>;</w:t>
      </w:r>
      <w:r w:rsidRPr="0012503A">
        <w:t xml:space="preserve"> affecting soil health, water quality, and biodiversity</w:t>
      </w:r>
      <w:r w:rsidR="00882EDA">
        <w:t xml:space="preserve"> </w:t>
      </w:r>
      <w:r w:rsidR="00882EDA" w:rsidRPr="00882EDA">
        <w:t>(Angon et al., 2024)</w:t>
      </w:r>
      <w:r w:rsidR="64D40504">
        <w:t>.</w:t>
      </w:r>
      <w:r w:rsidRPr="0012503A">
        <w:t xml:space="preserve"> Copper mine spoil, in particular, contains elevated concentrations of toxic metals that can leach into the surrounding environment, causing long-term ecological damage</w:t>
      </w:r>
      <w:r w:rsidR="0C7C27EB">
        <w:t xml:space="preserve"> </w:t>
      </w:r>
      <w:r w:rsidR="00EC2554" w:rsidRPr="00EC2554">
        <w:t>(</w:t>
      </w:r>
      <w:proofErr w:type="spellStart"/>
      <w:r w:rsidR="00EC2554" w:rsidRPr="00EC2554">
        <w:t>Konanç</w:t>
      </w:r>
      <w:proofErr w:type="spellEnd"/>
      <w:r w:rsidR="00EC2554" w:rsidRPr="00EC2554">
        <w:t xml:space="preserve"> et al., 2024)</w:t>
      </w:r>
      <w:r w:rsidR="0C7C27EB">
        <w:t>.</w:t>
      </w:r>
      <w:r w:rsidRPr="0012503A">
        <w:t xml:space="preserve"> Conventional remediation techniques, such as soil excavation, chemical stabili</w:t>
      </w:r>
      <w:r w:rsidR="009D1122">
        <w:t>s</w:t>
      </w:r>
      <w:r w:rsidRPr="0012503A">
        <w:t>ation, and phytoremediation, have been employed to mitigate these effects</w:t>
      </w:r>
      <w:r w:rsidR="64D40504" w:rsidRPr="00314203">
        <w:t xml:space="preserve"> </w:t>
      </w:r>
      <w:r w:rsidR="00314203" w:rsidRPr="00314203">
        <w:t>(Aparicio et al., 2022)</w:t>
      </w:r>
      <w:r w:rsidR="64D40504">
        <w:t>.</w:t>
      </w:r>
      <w:r w:rsidRPr="0012503A">
        <w:t xml:space="preserve"> However, these methods often come with high costs, require extensive management, and may have limited long-term effectivenes</w:t>
      </w:r>
      <w:r w:rsidR="00375AD8" w:rsidRPr="00F5133A">
        <w:t>s</w:t>
      </w:r>
      <w:r w:rsidR="64D40504" w:rsidRPr="00F5133A">
        <w:t xml:space="preserve"> </w:t>
      </w:r>
      <w:r w:rsidR="00F5133A" w:rsidRPr="00F5133A">
        <w:t>(Liu et al., 2018)</w:t>
      </w:r>
      <w:r w:rsidR="64D40504" w:rsidRPr="00F5133A">
        <w:t>.</w:t>
      </w:r>
    </w:p>
    <w:p w14:paraId="5F5F9A8C" w14:textId="1F50EE8F" w:rsidR="00EC5902" w:rsidRDefault="0012503A" w:rsidP="0012503A">
      <w:r w:rsidRPr="0012503A">
        <w:t>In recent years, biochar has emerged as a promising, sustainable remediation strategy due to its ability to adsorb heavy metals, improve soil properties, and enhance microbial activity</w:t>
      </w:r>
      <w:r w:rsidR="64D40504">
        <w:t xml:space="preserve"> </w:t>
      </w:r>
      <w:r w:rsidR="00157BD9" w:rsidRPr="00157BD9">
        <w:t>(Kapoor, Ahmad and</w:t>
      </w:r>
      <w:r w:rsidR="00726893">
        <w:t xml:space="preserve"> </w:t>
      </w:r>
      <w:proofErr w:type="spellStart"/>
      <w:r w:rsidR="00157BD9" w:rsidRPr="00157BD9">
        <w:t>Rafatullah</w:t>
      </w:r>
      <w:proofErr w:type="spellEnd"/>
      <w:r w:rsidR="00157BD9" w:rsidRPr="00157BD9">
        <w:t>, 2024)</w:t>
      </w:r>
      <w:r w:rsidR="64D40504">
        <w:t>.</w:t>
      </w:r>
      <w:r w:rsidRPr="0012503A">
        <w:t xml:space="preserve"> Biochar’s effectiveness in metal immobili</w:t>
      </w:r>
      <w:r w:rsidR="009D1122">
        <w:t>s</w:t>
      </w:r>
      <w:r w:rsidRPr="0012503A">
        <w:t>ation and soil restoration has been demonstrated in various contaminated sites</w:t>
      </w:r>
      <w:r w:rsidR="004B7444" w:rsidRPr="004B7444">
        <w:rPr>
          <w:rFonts w:ascii="Times New Roman" w:eastAsia="Times New Roman" w:hAnsi="Times New Roman" w:cs="Times New Roman"/>
          <w:sz w:val="24"/>
          <w:szCs w:val="24"/>
          <w:lang w:eastAsia="en-GB"/>
        </w:rPr>
        <w:t xml:space="preserve"> </w:t>
      </w:r>
      <w:r w:rsidR="004B7444" w:rsidRPr="004B7444">
        <w:t>(Wang et al., 2021)</w:t>
      </w:r>
      <w:r w:rsidR="64D40504">
        <w:t>,</w:t>
      </w:r>
      <w:r w:rsidRPr="0012503A">
        <w:t xml:space="preserve"> yet its application in mine spoil remediation remains an area of ongoing research</w:t>
      </w:r>
      <w:r w:rsidR="00375AD8" w:rsidRPr="00375AD8">
        <w:t>.</w:t>
      </w:r>
      <w:r w:rsidRPr="0012503A">
        <w:t xml:space="preserve"> This review explores existing studies on biochar as a remediation tool for heavy metal contamination, with a particular focus on its potential for copper mine spoil restoration.</w:t>
      </w:r>
      <w:r w:rsidR="00EC5902">
        <w:t xml:space="preserve"> </w:t>
      </w:r>
    </w:p>
    <w:p w14:paraId="0CD96E8C" w14:textId="796FE1C2" w:rsidR="0012503A" w:rsidRPr="0012503A" w:rsidRDefault="4495F5AA" w:rsidP="0012503A">
      <w:pPr>
        <w:rPr>
          <w:color w:val="FF0000"/>
        </w:rPr>
      </w:pPr>
      <w:r w:rsidRPr="0042673E">
        <w:t>Research shows that</w:t>
      </w:r>
      <w:r w:rsidR="5C22732D" w:rsidRPr="0042673E">
        <w:t xml:space="preserve"> </w:t>
      </w:r>
      <w:r w:rsidR="38924242">
        <w:t>mining</w:t>
      </w:r>
      <w:r w:rsidR="0012503A" w:rsidRPr="0012503A">
        <w:t xml:space="preserve"> activities significantly alter the physicochemical properties of soil, often leading to extreme pH levels, nutrient depletion, and the accumulation of heavy metals such as copper (Cu), lead (Pb), cadmium (Cd), and zinc (Zn</w:t>
      </w:r>
      <w:r w:rsidR="2A5C42FB" w:rsidRPr="00F34687">
        <w:t xml:space="preserve">) </w:t>
      </w:r>
      <w:r w:rsidR="00F34687" w:rsidRPr="00F34687">
        <w:t>(Angon et al., 2024)</w:t>
      </w:r>
      <w:r w:rsidR="2A5C42FB" w:rsidRPr="00F34687">
        <w:t>.</w:t>
      </w:r>
      <w:r w:rsidR="0012503A" w:rsidRPr="0012503A">
        <w:t xml:space="preserve"> These contaminants persist in the environment due to their non-degradable nature and pose risks to plants, animals, and human health</w:t>
      </w:r>
      <w:r w:rsidR="49CFA491" w:rsidRPr="00A578A3">
        <w:t xml:space="preserve"> </w:t>
      </w:r>
      <w:r w:rsidR="00A578A3" w:rsidRPr="00A578A3">
        <w:t xml:space="preserve">(Aravind </w:t>
      </w:r>
      <w:r w:rsidR="00B6702B">
        <w:t>K</w:t>
      </w:r>
      <w:r w:rsidR="00A578A3" w:rsidRPr="00A578A3">
        <w:t>umar et al., 2022)</w:t>
      </w:r>
      <w:r w:rsidR="49CFA491" w:rsidRPr="00A578A3">
        <w:t>.</w:t>
      </w:r>
      <w:r w:rsidR="0012503A" w:rsidRPr="0012503A">
        <w:t xml:space="preserve"> Heavy metals can enter food chains through bioaccumulation, leading to toxic effects such as organ damage and neurological disorders</w:t>
      </w:r>
      <w:r w:rsidR="01C4726F" w:rsidRPr="00FD08E9">
        <w:t xml:space="preserve"> </w:t>
      </w:r>
      <w:r w:rsidR="00FD08E9" w:rsidRPr="00FD08E9">
        <w:t>(Khan et al., 2015)</w:t>
      </w:r>
      <w:r w:rsidR="01C4726F" w:rsidRPr="00FD08E9">
        <w:t>.</w:t>
      </w:r>
    </w:p>
    <w:p w14:paraId="2733B09A" w14:textId="39407AE4" w:rsidR="0012503A" w:rsidRPr="0012503A" w:rsidRDefault="0012503A" w:rsidP="00EC5902">
      <w:r w:rsidRPr="0012503A">
        <w:t>In mine spoil, metals are often present in highly mobile forms, increasing their leaching potential</w:t>
      </w:r>
      <w:r w:rsidR="00E74435">
        <w:t xml:space="preserve"> </w:t>
      </w:r>
      <w:r w:rsidR="00E74435" w:rsidRPr="00E74435">
        <w:t>(Li et al., 2024)</w:t>
      </w:r>
      <w:r w:rsidR="2303289F">
        <w:t>.</w:t>
      </w:r>
      <w:r w:rsidRPr="0012503A">
        <w:t xml:space="preserve"> The degree of metal mobility depends on factors such as soil pH, organic matter content, and mineral composition</w:t>
      </w:r>
      <w:r w:rsidR="0090678A" w:rsidRPr="00E765CE">
        <w:t>.</w:t>
      </w:r>
      <w:r w:rsidRPr="0012503A">
        <w:t xml:space="preserve"> Thus, effective remediation strategies must not only immobili</w:t>
      </w:r>
      <w:r w:rsidR="00A97B2C">
        <w:t>s</w:t>
      </w:r>
      <w:r w:rsidRPr="0012503A">
        <w:t>e heavy metals but also restore soil health to support vegetation growth and ecosystem recovery</w:t>
      </w:r>
      <w:r w:rsidR="00892C36">
        <w:t xml:space="preserve"> </w:t>
      </w:r>
      <w:r w:rsidR="00892C36" w:rsidRPr="00892C36">
        <w:t>(Kumar et al., 2021)</w:t>
      </w:r>
      <w:r w:rsidRPr="0012503A">
        <w:t>.</w:t>
      </w:r>
    </w:p>
    <w:p w14:paraId="68430C9C" w14:textId="663CAF2A" w:rsidR="0012503A" w:rsidRPr="0012503A" w:rsidRDefault="0012503A" w:rsidP="02402281">
      <w:r w:rsidRPr="0012503A">
        <w:t>Biochar is a carbon-rich material produced by the pyrolysis of organic biomass under limited oxygen conditions. It has been widely studied for its environmental applications, including carbon sequestration, soil fertility enhancement, and pollutant removal</w:t>
      </w:r>
      <w:r w:rsidR="00883578">
        <w:t xml:space="preserve"> </w:t>
      </w:r>
      <w:r w:rsidR="00883578" w:rsidRPr="00883578">
        <w:t>(Amalina et al., 2025)</w:t>
      </w:r>
      <w:r w:rsidR="22933FBC">
        <w:t>.</w:t>
      </w:r>
      <w:r w:rsidRPr="0012503A">
        <w:t xml:space="preserve"> </w:t>
      </w:r>
      <w:r w:rsidR="2FF21ED4">
        <w:t>Biochar’s</w:t>
      </w:r>
      <w:r w:rsidRPr="0012503A">
        <w:t xml:space="preserve"> porosity, surface area, and functional groups</w:t>
      </w:r>
      <w:r w:rsidR="02402281">
        <w:t xml:space="preserve"> are dependent on the pyrolysis temperature and the feedstock used in production, this impacts</w:t>
      </w:r>
      <w:r w:rsidRPr="0012503A">
        <w:t xml:space="preserve"> its effectiveness in adsorbing heavy metals</w:t>
      </w:r>
      <w:r w:rsidR="7D90DF41">
        <w:t xml:space="preserve"> </w:t>
      </w:r>
      <w:r w:rsidR="3ECC5EE0">
        <w:t>highlighting the need for site-specific studies</w:t>
      </w:r>
      <w:r w:rsidR="00B87253">
        <w:t xml:space="preserve"> </w:t>
      </w:r>
      <w:r w:rsidR="00B87253" w:rsidRPr="00B87253">
        <w:t>(Leng et al., 2021)</w:t>
      </w:r>
      <w:r w:rsidR="3ECC5EE0">
        <w:t>.</w:t>
      </w:r>
    </w:p>
    <w:p w14:paraId="20BBD518" w14:textId="089AEDC6" w:rsidR="006A36A0" w:rsidRPr="006A36A0" w:rsidRDefault="5CE67072" w:rsidP="006A36A0">
      <w:r>
        <w:lastRenderedPageBreak/>
        <w:t xml:space="preserve">A </w:t>
      </w:r>
      <w:r w:rsidR="22D77EA0">
        <w:t>benefit of Biochar is</w:t>
      </w:r>
      <w:r w:rsidR="0012503A" w:rsidRPr="0012503A">
        <w:t xml:space="preserve"> its ability to increase soil pH, which can reduce the solubility of heavy metals by promoting their precipitation or adsorption onto biochar surfaces. Additionally, biochar enhances soil cation exchange capacity (CEC), allowing it to retain essential nutrients while immobili</w:t>
      </w:r>
      <w:r w:rsidR="00A97B2C">
        <w:t>s</w:t>
      </w:r>
      <w:r w:rsidR="0012503A" w:rsidRPr="0012503A">
        <w:t>ing toxic metals</w:t>
      </w:r>
      <w:r w:rsidR="00440310" w:rsidRPr="00440310">
        <w:rPr>
          <w:rFonts w:ascii="Times New Roman" w:eastAsia="Times New Roman" w:hAnsi="Times New Roman" w:cs="Times New Roman"/>
          <w:sz w:val="24"/>
          <w:szCs w:val="24"/>
          <w:lang w:eastAsia="en-GB"/>
        </w:rPr>
        <w:t xml:space="preserve"> </w:t>
      </w:r>
      <w:r w:rsidR="00440310" w:rsidRPr="00440310">
        <w:t xml:space="preserve">(Wakefield </w:t>
      </w:r>
      <w:proofErr w:type="spellStart"/>
      <w:r w:rsidR="00440310" w:rsidRPr="00440310">
        <w:t>BioChar</w:t>
      </w:r>
      <w:proofErr w:type="spellEnd"/>
      <w:r w:rsidR="00440310" w:rsidRPr="00440310">
        <w:t>, 2024</w:t>
      </w:r>
      <w:r w:rsidR="0020137E">
        <w:t xml:space="preserve">; </w:t>
      </w:r>
      <w:proofErr w:type="spellStart"/>
      <w:r w:rsidR="0020137E" w:rsidRPr="0020137E">
        <w:t>Antonangelo</w:t>
      </w:r>
      <w:proofErr w:type="spellEnd"/>
      <w:r w:rsidR="0020137E" w:rsidRPr="0020137E">
        <w:t xml:space="preserve"> et al., 2024)</w:t>
      </w:r>
      <w:r w:rsidR="0020137E">
        <w:t xml:space="preserve">. </w:t>
      </w:r>
      <w:r w:rsidR="0012503A" w:rsidRPr="0012503A">
        <w:t>These properties make biochar a viable amendment for remediating mining-impacted soils, where acidity and metal toxicity often limit plant growth and microbial activity</w:t>
      </w:r>
      <w:r w:rsidR="00106BD9">
        <w:t xml:space="preserve"> </w:t>
      </w:r>
      <w:r w:rsidR="00106BD9" w:rsidRPr="00106BD9">
        <w:t>(Padhi et al., 2024)</w:t>
      </w:r>
      <w:r w:rsidR="00106BD9">
        <w:t xml:space="preserve"> </w:t>
      </w:r>
    </w:p>
    <w:p w14:paraId="47BA6308" w14:textId="45816890" w:rsidR="0012503A" w:rsidRPr="004F1DAF" w:rsidRDefault="0012503A" w:rsidP="0012503A">
      <w:r w:rsidRPr="0012503A">
        <w:t>Numerous studies have explored the role of biochar in heavy metal remediation, demonstrating its ability to reduce metal bioavailability in contaminated soils</w:t>
      </w:r>
      <w:r w:rsidR="006E3055">
        <w:t xml:space="preserve"> </w:t>
      </w:r>
      <w:r w:rsidR="006E3055" w:rsidRPr="006E3055">
        <w:t>(He et al., 2019</w:t>
      </w:r>
      <w:r w:rsidR="009D1970">
        <w:t xml:space="preserve"> ;</w:t>
      </w:r>
      <w:r w:rsidR="009D1970" w:rsidRPr="009D1970">
        <w:t>Padhi et al., 2024)</w:t>
      </w:r>
      <w:r w:rsidR="002D28D7">
        <w:t>.</w:t>
      </w:r>
      <w:r w:rsidR="009D1970">
        <w:t xml:space="preserve"> </w:t>
      </w:r>
      <w:r w:rsidR="2FAA5E58">
        <w:t>It</w:t>
      </w:r>
      <w:r w:rsidR="001D4FE0">
        <w:t xml:space="preserve"> was</w:t>
      </w:r>
      <w:r w:rsidRPr="0012503A">
        <w:t xml:space="preserve"> found that biochar derived from rice husks effectively immobili</w:t>
      </w:r>
      <w:r w:rsidR="00426DDC">
        <w:t>s</w:t>
      </w:r>
      <w:r w:rsidRPr="0012503A">
        <w:t>ed cadmium and lead, significantly reducing their leaching potential</w:t>
      </w:r>
      <w:r w:rsidR="00921426">
        <w:t xml:space="preserve"> </w:t>
      </w:r>
      <w:r w:rsidR="00921426" w:rsidRPr="00921426">
        <w:t>(Asadi et al., 2021)</w:t>
      </w:r>
      <w:r w:rsidR="39EB5274">
        <w:t>.</w:t>
      </w:r>
      <w:r w:rsidRPr="0012503A">
        <w:t xml:space="preserve"> Similarly,</w:t>
      </w:r>
      <w:r w:rsidR="00375AD8">
        <w:t xml:space="preserve"> it</w:t>
      </w:r>
      <w:r w:rsidR="001D4FE0">
        <w:t xml:space="preserve"> was</w:t>
      </w:r>
      <w:r w:rsidRPr="0012503A">
        <w:t xml:space="preserve"> reported that biochar application in mine tailings decreased copper and zinc mobility, thereby preventing groundwater </w:t>
      </w:r>
      <w:r w:rsidRPr="004F1DAF">
        <w:t>contamination</w:t>
      </w:r>
      <w:r w:rsidR="1945C61E" w:rsidRPr="004F1DAF">
        <w:t xml:space="preserve"> </w:t>
      </w:r>
      <w:r w:rsidR="004F1DAF" w:rsidRPr="004F1DAF">
        <w:t>(Ghosh and Kumar Maiti, 2024)</w:t>
      </w:r>
      <w:r w:rsidR="00495117" w:rsidRPr="004F1DAF">
        <w:t>.</w:t>
      </w:r>
    </w:p>
    <w:p w14:paraId="05B14268" w14:textId="56CE9305" w:rsidR="0012503A" w:rsidRPr="0012503A" w:rsidRDefault="0012503A" w:rsidP="0012503A">
      <w:r w:rsidRPr="0012503A">
        <w:t>The mechanisms behind biochar’s metal immobili</w:t>
      </w:r>
      <w:r w:rsidR="00965D29">
        <w:t>s</w:t>
      </w:r>
      <w:r w:rsidRPr="0012503A">
        <w:t>ation capabilities include:</w:t>
      </w:r>
      <w:r w:rsidR="00A05681">
        <w:rPr>
          <w:color w:val="FF0000"/>
        </w:rPr>
        <w:t xml:space="preserve"> </w:t>
      </w:r>
      <w:r w:rsidR="68698519">
        <w:t>heavy</w:t>
      </w:r>
      <w:r w:rsidRPr="0012503A">
        <w:t xml:space="preserve"> metals bind to biochar’s negatively charged functional groups, such as carboxyl and hydroxyl groups. Metal ions react with biochar’s alkaline components, forming insoluble metal precipitates.</w:t>
      </w:r>
      <w:r w:rsidR="00041BB6">
        <w:t xml:space="preserve"> </w:t>
      </w:r>
      <w:r w:rsidRPr="0012503A">
        <w:t>Biochar contains organic molecules that interact with metal ions, reducing their solubility</w:t>
      </w:r>
      <w:r w:rsidR="00F34A54" w:rsidRPr="00F34A54">
        <w:t>(Chen et al., 2024)</w:t>
      </w:r>
      <w:r w:rsidRPr="0012503A">
        <w:t>.</w:t>
      </w:r>
      <w:r w:rsidR="0AACD15B">
        <w:t xml:space="preserve"> </w:t>
      </w:r>
    </w:p>
    <w:p w14:paraId="206BB16B" w14:textId="1487B992" w:rsidR="0012503A" w:rsidRPr="0012503A" w:rsidRDefault="1BD57A8E" w:rsidP="0012503A">
      <w:r>
        <w:t>Environmental</w:t>
      </w:r>
      <w:r w:rsidR="0012503A" w:rsidRPr="0012503A">
        <w:t xml:space="preserve"> factors such as soil composition, moisture levels, and biochar aging</w:t>
      </w:r>
      <w:r>
        <w:t xml:space="preserve"> </w:t>
      </w:r>
      <w:r w:rsidR="00A31EF5">
        <w:t>a</w:t>
      </w:r>
      <w:r w:rsidR="4FF5C486">
        <w:t xml:space="preserve">ffect the effectiveness of </w:t>
      </w:r>
      <w:r w:rsidR="51D05CFC">
        <w:t>Biochar</w:t>
      </w:r>
      <w:r w:rsidR="00675A4A">
        <w:t xml:space="preserve"> </w:t>
      </w:r>
      <w:r w:rsidR="00675A4A" w:rsidRPr="00675A4A">
        <w:t>(Yang et al., 2024)</w:t>
      </w:r>
      <w:r w:rsidR="409EA4A5">
        <w:t>.</w:t>
      </w:r>
      <w:r w:rsidR="0012503A" w:rsidRPr="0012503A">
        <w:t xml:space="preserve"> Long-term studies are necessary to assess whether biochar can maintain its metal immobili</w:t>
      </w:r>
      <w:r w:rsidR="00965D29">
        <w:t>s</w:t>
      </w:r>
      <w:r w:rsidR="0012503A" w:rsidRPr="0012503A">
        <w:t>ation capacity under field conditions.</w:t>
      </w:r>
    </w:p>
    <w:p w14:paraId="3942B12D" w14:textId="69DC10E1" w:rsidR="0012503A" w:rsidRPr="0012503A" w:rsidRDefault="0012503A" w:rsidP="0012503A">
      <w:r w:rsidRPr="0012503A">
        <w:t>Mine spoil is characteri</w:t>
      </w:r>
      <w:r w:rsidR="00965D29">
        <w:t>s</w:t>
      </w:r>
      <w:r w:rsidRPr="0012503A">
        <w:t>ed by poor soil structure, low organic matter content, and extreme pH conditions, making it a challenging environment for plant growth and ecosystem recovery</w:t>
      </w:r>
      <w:r w:rsidR="00BC1731">
        <w:t xml:space="preserve"> </w:t>
      </w:r>
      <w:r w:rsidR="00750538" w:rsidRPr="00750538">
        <w:t>(Olivo et al., 2024)</w:t>
      </w:r>
      <w:r w:rsidRPr="0012503A">
        <w:t>. Biochar amendments have shown promise in improving these degraded soils by increasing nutrient retention, enhancing microbial activity, and stabili</w:t>
      </w:r>
      <w:r w:rsidR="002B23B3">
        <w:t>s</w:t>
      </w:r>
      <w:r w:rsidRPr="0012503A">
        <w:t>ing heavy metals</w:t>
      </w:r>
      <w:r w:rsidR="004A6A49" w:rsidRPr="004A6A49">
        <w:rPr>
          <w:rFonts w:ascii="Times New Roman" w:eastAsia="Times New Roman" w:hAnsi="Times New Roman" w:cs="Times New Roman"/>
          <w:sz w:val="24"/>
          <w:szCs w:val="24"/>
          <w:lang w:eastAsia="en-GB"/>
        </w:rPr>
        <w:t xml:space="preserve"> </w:t>
      </w:r>
      <w:r w:rsidR="004A6A49" w:rsidRPr="004A6A49">
        <w:t>(Lu et al., 2024)</w:t>
      </w:r>
      <w:r w:rsidR="434B576C">
        <w:t>.</w:t>
      </w:r>
      <w:r w:rsidR="00041BB6">
        <w:t xml:space="preserve"> It was </w:t>
      </w:r>
      <w:r w:rsidRPr="0012503A">
        <w:t>found that biochar amendments improved soil fertility and reduced heavy metal uptake in plants grown on contaminated soils</w:t>
      </w:r>
      <w:r w:rsidR="4B208B58">
        <w:t xml:space="preserve"> </w:t>
      </w:r>
      <w:r w:rsidR="00F413F3" w:rsidRPr="00F413F3">
        <w:t>(</w:t>
      </w:r>
      <w:proofErr w:type="spellStart"/>
      <w:r w:rsidR="00F413F3" w:rsidRPr="00F413F3">
        <w:t>Rombel</w:t>
      </w:r>
      <w:proofErr w:type="spellEnd"/>
      <w:r w:rsidR="00F413F3" w:rsidRPr="00F413F3">
        <w:t xml:space="preserve">, </w:t>
      </w:r>
      <w:proofErr w:type="spellStart"/>
      <w:r w:rsidR="00F413F3" w:rsidRPr="00F413F3">
        <w:t>Krasucka</w:t>
      </w:r>
      <w:proofErr w:type="spellEnd"/>
      <w:r w:rsidR="00F413F3" w:rsidRPr="00F413F3">
        <w:t xml:space="preserve"> and Oleszczuk, 2021)</w:t>
      </w:r>
      <w:r w:rsidR="4113C574">
        <w:t>.</w:t>
      </w:r>
      <w:r w:rsidRPr="0012503A">
        <w:t xml:space="preserve"> Similarly, </w:t>
      </w:r>
      <w:r w:rsidR="001D4FE0">
        <w:t xml:space="preserve">it </w:t>
      </w:r>
      <w:r w:rsidRPr="0012503A">
        <w:t>reported that biochar increased soil pH and reduced cadmium and lead bioavailability in mine-affected lands</w:t>
      </w:r>
      <w:r w:rsidR="49BB4736">
        <w:t xml:space="preserve"> </w:t>
      </w:r>
      <w:r w:rsidR="00BD6F71" w:rsidRPr="00BD6F71">
        <w:t>(Wei et al., 2022)</w:t>
      </w:r>
      <w:r w:rsidR="31E4CBE0">
        <w:t>.</w:t>
      </w:r>
      <w:r w:rsidRPr="0012503A">
        <w:t xml:space="preserve"> </w:t>
      </w:r>
    </w:p>
    <w:p w14:paraId="4E93ECAE" w14:textId="058EAD88" w:rsidR="0012503A" w:rsidRPr="0012503A" w:rsidRDefault="0012503A" w:rsidP="0012503A">
      <w:r w:rsidRPr="0012503A">
        <w:t>In the context of Kilvey Hill, where historic copper mining has left significant soil contamination, biochar may provide a sustainable remediation approach. Its potential to immobili</w:t>
      </w:r>
      <w:r w:rsidR="002B23B3">
        <w:t>s</w:t>
      </w:r>
      <w:r w:rsidRPr="0012503A">
        <w:t>e copper and improve soil health could support long-term ecological restoration efforts in the area. However, further research is required to optimi</w:t>
      </w:r>
      <w:r w:rsidR="006A1BCC">
        <w:t>s</w:t>
      </w:r>
      <w:r w:rsidRPr="0012503A">
        <w:t>e biochar formulations and application methods for maximum effectiveness in this specific environment.</w:t>
      </w:r>
      <w:r w:rsidR="75296252">
        <w:t xml:space="preserve"> </w:t>
      </w:r>
    </w:p>
    <w:p w14:paraId="09EB56BB" w14:textId="0AC4A131" w:rsidR="0012503A" w:rsidRPr="0012503A" w:rsidRDefault="0012503A" w:rsidP="008C47BD">
      <w:r w:rsidRPr="0012503A">
        <w:t>While existing literature provides strong evidence supporting biochar’s role in heavy metal remediation</w:t>
      </w:r>
      <w:r w:rsidR="0036396E" w:rsidRPr="0036396E">
        <w:rPr>
          <w:rFonts w:ascii="Times New Roman" w:eastAsia="Times New Roman" w:hAnsi="Times New Roman" w:cs="Times New Roman"/>
          <w:sz w:val="24"/>
          <w:szCs w:val="24"/>
          <w:lang w:eastAsia="en-GB"/>
        </w:rPr>
        <w:t xml:space="preserve"> </w:t>
      </w:r>
      <w:r w:rsidR="0036396E" w:rsidRPr="0036396E">
        <w:t>(</w:t>
      </w:r>
      <w:r w:rsidR="00E519DD" w:rsidRPr="00E519DD">
        <w:t>(Berglund et al., 2004</w:t>
      </w:r>
      <w:r w:rsidR="00E519DD">
        <w:t xml:space="preserve">; </w:t>
      </w:r>
      <w:r w:rsidR="0036396E" w:rsidRPr="0036396E">
        <w:t>He et al., 2019</w:t>
      </w:r>
      <w:r w:rsidR="000F7003">
        <w:t>;</w:t>
      </w:r>
      <w:r w:rsidR="000F7003" w:rsidRPr="000F7003">
        <w:rPr>
          <w:rFonts w:ascii="Calibri" w:eastAsia="Times New Roman" w:hAnsi="Calibri" w:cs="Calibri"/>
          <w:lang w:eastAsia="en-GB"/>
        </w:rPr>
        <w:t xml:space="preserve"> </w:t>
      </w:r>
      <w:r w:rsidR="000F7003" w:rsidRPr="000F7003">
        <w:t>Ghosh and Kumar Maiti, 2024)</w:t>
      </w:r>
      <w:r w:rsidR="5BC8324D">
        <w:t>,</w:t>
      </w:r>
      <w:r w:rsidRPr="0012503A">
        <w:t xml:space="preserve"> gaps </w:t>
      </w:r>
      <w:r w:rsidR="5BC8324D" w:rsidRPr="004B0CE3">
        <w:t xml:space="preserve">in the research </w:t>
      </w:r>
      <w:r w:rsidRPr="0012503A">
        <w:t>remain</w:t>
      </w:r>
      <w:r w:rsidR="5BC8324D">
        <w:t>;</w:t>
      </w:r>
      <w:r w:rsidR="008C47BD">
        <w:t xml:space="preserve"> m</w:t>
      </w:r>
      <w:r w:rsidRPr="0012503A">
        <w:t>ost studies have focused on short-term effects, with limited data on how biochar performs over extended periods in field conditi</w:t>
      </w:r>
      <w:r w:rsidR="008C47BD">
        <w:t>ons</w:t>
      </w:r>
      <w:r w:rsidR="00BC3AF9" w:rsidRPr="00BC3AF9">
        <w:rPr>
          <w:rFonts w:ascii="Times New Roman" w:eastAsia="Times New Roman" w:hAnsi="Times New Roman" w:cs="Times New Roman"/>
          <w:sz w:val="24"/>
          <w:szCs w:val="24"/>
          <w:lang w:eastAsia="en-GB"/>
        </w:rPr>
        <w:t xml:space="preserve"> </w:t>
      </w:r>
      <w:r w:rsidR="00BC3AF9" w:rsidRPr="00BC3AF9">
        <w:t>(de la Rosa et al., 2018)</w:t>
      </w:r>
      <w:r w:rsidR="007C5062">
        <w:t>.</w:t>
      </w:r>
      <w:r w:rsidRPr="0012503A">
        <w:t xml:space="preserve"> More research is needed to identify the most effective biochar types for copper mine spoil remediation</w:t>
      </w:r>
      <w:r w:rsidR="00E90BB6">
        <w:t>.</w:t>
      </w:r>
      <w:r w:rsidRPr="0012503A">
        <w:t xml:space="preserve"> </w:t>
      </w:r>
      <w:r w:rsidR="00E90BB6">
        <w:t>L</w:t>
      </w:r>
      <w:r w:rsidRPr="0012503A">
        <w:t>arge-scale field trials are necessary to assess biochar’s real-world applicability and economic feasibility.</w:t>
      </w:r>
    </w:p>
    <w:p w14:paraId="16BD9EBE" w14:textId="0754A2F7" w:rsidR="0012503A" w:rsidRDefault="0012503A" w:rsidP="00375AB4">
      <w:r w:rsidRPr="0012503A">
        <w:t>Biochar has emerged as a promising, sustainable solution for heavy metal remediation in contaminated soils, offering benefits such as metal immobili</w:t>
      </w:r>
      <w:r w:rsidR="00C31C4D">
        <w:t>s</w:t>
      </w:r>
      <w:r w:rsidRPr="0012503A">
        <w:t>ation, soil improvement, and long-term carbon sequestration. While existing studies</w:t>
      </w:r>
      <w:r w:rsidR="5BC8324D">
        <w:t xml:space="preserve"> </w:t>
      </w:r>
      <w:r w:rsidRPr="0012503A">
        <w:t>demonstrate its potential, further research is required to optimi</w:t>
      </w:r>
      <w:r w:rsidR="00E90BB6">
        <w:t>s</w:t>
      </w:r>
      <w:r w:rsidRPr="0012503A">
        <w:t>e its application for mine spoil environments, such as those found on Kilv</w:t>
      </w:r>
      <w:r w:rsidR="00CC25AB">
        <w:t>ey hill.</w:t>
      </w:r>
      <w:r w:rsidR="00CC25AB" w:rsidRPr="00CC25AB">
        <w:t xml:space="preserve"> </w:t>
      </w:r>
      <w:r w:rsidR="00CC25AB">
        <w:t>T</w:t>
      </w:r>
      <w:r w:rsidR="00CC25AB" w:rsidRPr="00CC25AB">
        <w:t>his study aims to provide data to help fill in these knowledge gap</w:t>
      </w:r>
      <w:r w:rsidR="00CC25AB">
        <w:t>s.</w:t>
      </w:r>
    </w:p>
    <w:p w14:paraId="4BD0DA30" w14:textId="77CD6357" w:rsidR="00C17CFB" w:rsidRDefault="00375AB4" w:rsidP="001616FE">
      <w:pPr>
        <w:pStyle w:val="Heading1"/>
      </w:pPr>
      <w:bookmarkStart w:id="14" w:name="_Toc1058513391"/>
      <w:bookmarkStart w:id="15" w:name="_Toc198661135"/>
      <w:r w:rsidRPr="00BD235A">
        <w:lastRenderedPageBreak/>
        <w:t>Methodology</w:t>
      </w:r>
      <w:bookmarkEnd w:id="14"/>
      <w:bookmarkEnd w:id="15"/>
      <w:r w:rsidRPr="00BD235A">
        <w:t xml:space="preserve"> </w:t>
      </w:r>
    </w:p>
    <w:p w14:paraId="27F1DE0A" w14:textId="0660F8A4" w:rsidR="002A4068" w:rsidRPr="002A4068" w:rsidRDefault="001616FE" w:rsidP="002A4068">
      <w:pPr>
        <w:pStyle w:val="Caption"/>
      </w:pPr>
      <w:bookmarkStart w:id="16" w:name="_Toc198661173"/>
      <w:r>
        <w:t>Table 1: a table showing the procedure followed during the project</w:t>
      </w:r>
      <w:bookmarkEnd w:id="16"/>
    </w:p>
    <w:tbl>
      <w:tblPr>
        <w:tblStyle w:val="TableGrid"/>
        <w:tblW w:w="0" w:type="auto"/>
        <w:tblLook w:val="04A0" w:firstRow="1" w:lastRow="0" w:firstColumn="1" w:lastColumn="0" w:noHBand="0" w:noVBand="1"/>
      </w:tblPr>
      <w:tblGrid>
        <w:gridCol w:w="1854"/>
        <w:gridCol w:w="3909"/>
        <w:gridCol w:w="3253"/>
      </w:tblGrid>
      <w:tr w:rsidR="00B3364C" w14:paraId="0D835CDC" w14:textId="735B09E4" w:rsidTr="00B3364C">
        <w:tc>
          <w:tcPr>
            <w:tcW w:w="1854" w:type="dxa"/>
          </w:tcPr>
          <w:p w14:paraId="29BD3842" w14:textId="2AFD8839" w:rsidR="00B3364C" w:rsidRDefault="00B3364C" w:rsidP="00A462C6">
            <w:pPr>
              <w:rPr>
                <w:rFonts w:ascii="Calibri" w:hAnsi="Calibri" w:cs="Calibri"/>
              </w:rPr>
            </w:pPr>
            <w:r>
              <w:rPr>
                <w:rFonts w:ascii="Calibri" w:hAnsi="Calibri" w:cs="Calibri"/>
              </w:rPr>
              <w:t>Research Stage</w:t>
            </w:r>
          </w:p>
        </w:tc>
        <w:tc>
          <w:tcPr>
            <w:tcW w:w="3909" w:type="dxa"/>
          </w:tcPr>
          <w:p w14:paraId="5B23F538" w14:textId="634A9483" w:rsidR="00B3364C" w:rsidRDefault="00B3364C" w:rsidP="00A462C6">
            <w:pPr>
              <w:rPr>
                <w:rFonts w:ascii="Calibri" w:hAnsi="Calibri" w:cs="Calibri"/>
              </w:rPr>
            </w:pPr>
            <w:r>
              <w:rPr>
                <w:rFonts w:ascii="Calibri" w:hAnsi="Calibri" w:cs="Calibri"/>
              </w:rPr>
              <w:t>Procedure</w:t>
            </w:r>
          </w:p>
        </w:tc>
        <w:tc>
          <w:tcPr>
            <w:tcW w:w="3253" w:type="dxa"/>
          </w:tcPr>
          <w:p w14:paraId="06977115" w14:textId="5074F3F8" w:rsidR="00B3364C" w:rsidRDefault="002572C4" w:rsidP="00A462C6">
            <w:pPr>
              <w:rPr>
                <w:rFonts w:ascii="Calibri" w:hAnsi="Calibri" w:cs="Calibri"/>
              </w:rPr>
            </w:pPr>
            <w:r>
              <w:rPr>
                <w:rFonts w:ascii="Calibri" w:hAnsi="Calibri" w:cs="Calibri"/>
              </w:rPr>
              <w:t>Justification</w:t>
            </w:r>
          </w:p>
        </w:tc>
      </w:tr>
      <w:tr w:rsidR="00B3364C" w14:paraId="04E33FD1" w14:textId="19B3787D" w:rsidTr="00B3364C">
        <w:tc>
          <w:tcPr>
            <w:tcW w:w="1854" w:type="dxa"/>
          </w:tcPr>
          <w:p w14:paraId="038E0C89" w14:textId="1C2AEBB9" w:rsidR="00B3364C" w:rsidRDefault="00B3364C" w:rsidP="00A462C6">
            <w:pPr>
              <w:rPr>
                <w:rFonts w:ascii="Calibri" w:hAnsi="Calibri" w:cs="Calibri"/>
              </w:rPr>
            </w:pPr>
            <w:r>
              <w:rPr>
                <w:rFonts w:ascii="Calibri" w:hAnsi="Calibri" w:cs="Calibri"/>
              </w:rPr>
              <w:t>One</w:t>
            </w:r>
          </w:p>
        </w:tc>
        <w:tc>
          <w:tcPr>
            <w:tcW w:w="3909" w:type="dxa"/>
          </w:tcPr>
          <w:p w14:paraId="7B83A87A" w14:textId="2C458E15" w:rsidR="00B3364C" w:rsidRDefault="00B3364C" w:rsidP="00A462C6">
            <w:pPr>
              <w:rPr>
                <w:rFonts w:ascii="Calibri" w:hAnsi="Calibri" w:cs="Calibri"/>
              </w:rPr>
            </w:pPr>
            <w:r>
              <w:rPr>
                <w:rFonts w:ascii="Calibri" w:hAnsi="Calibri" w:cs="Calibri"/>
              </w:rPr>
              <w:t>Site selection and soil measurement.</w:t>
            </w:r>
            <w:r w:rsidR="002572C4">
              <w:rPr>
                <w:rFonts w:ascii="Calibri" w:hAnsi="Calibri" w:cs="Calibri"/>
              </w:rPr>
              <w:t xml:space="preserve"> Four sites selected in total, two forested and two heathland</w:t>
            </w:r>
          </w:p>
        </w:tc>
        <w:tc>
          <w:tcPr>
            <w:tcW w:w="3253" w:type="dxa"/>
          </w:tcPr>
          <w:p w14:paraId="1522149A" w14:textId="7863A686" w:rsidR="00B3364C" w:rsidRDefault="002572C4" w:rsidP="00A462C6">
            <w:pPr>
              <w:rPr>
                <w:rFonts w:ascii="Calibri" w:hAnsi="Calibri" w:cs="Calibri"/>
              </w:rPr>
            </w:pPr>
            <w:r>
              <w:rPr>
                <w:rFonts w:ascii="Calibri" w:hAnsi="Calibri" w:cs="Calibri"/>
              </w:rPr>
              <w:t xml:space="preserve">Each </w:t>
            </w:r>
            <w:r w:rsidR="00C17B0D">
              <w:rPr>
                <w:rFonts w:ascii="Calibri" w:hAnsi="Calibri" w:cs="Calibri"/>
              </w:rPr>
              <w:t>site will be paired by vegetation type – one will be an experimental plot treated with biochar, one will be a control</w:t>
            </w:r>
          </w:p>
        </w:tc>
      </w:tr>
      <w:tr w:rsidR="00B3364C" w14:paraId="4C7EA100" w14:textId="01DF0B25" w:rsidTr="00B3364C">
        <w:tc>
          <w:tcPr>
            <w:tcW w:w="1854" w:type="dxa"/>
          </w:tcPr>
          <w:p w14:paraId="1D13F332" w14:textId="663084A5" w:rsidR="00B3364C" w:rsidRDefault="006D5070" w:rsidP="00A462C6">
            <w:pPr>
              <w:rPr>
                <w:rFonts w:ascii="Calibri" w:hAnsi="Calibri" w:cs="Calibri"/>
              </w:rPr>
            </w:pPr>
            <w:r>
              <w:rPr>
                <w:rFonts w:ascii="Calibri" w:hAnsi="Calibri" w:cs="Calibri"/>
              </w:rPr>
              <w:t xml:space="preserve">Two </w:t>
            </w:r>
          </w:p>
        </w:tc>
        <w:tc>
          <w:tcPr>
            <w:tcW w:w="3909" w:type="dxa"/>
          </w:tcPr>
          <w:p w14:paraId="0767BCF2" w14:textId="77777777" w:rsidR="00B3364C" w:rsidRDefault="006D5070" w:rsidP="00A462C6">
            <w:pPr>
              <w:rPr>
                <w:rFonts w:ascii="Calibri" w:hAnsi="Calibri" w:cs="Calibri"/>
              </w:rPr>
            </w:pPr>
            <w:r>
              <w:rPr>
                <w:rFonts w:ascii="Calibri" w:hAnsi="Calibri" w:cs="Calibri"/>
              </w:rPr>
              <w:t>Soil sample collection</w:t>
            </w:r>
            <w:r w:rsidR="006C1477">
              <w:rPr>
                <w:rFonts w:ascii="Calibri" w:hAnsi="Calibri" w:cs="Calibri"/>
              </w:rPr>
              <w:t>.</w:t>
            </w:r>
          </w:p>
          <w:p w14:paraId="21657678" w14:textId="458A8789" w:rsidR="006C1477" w:rsidRDefault="006C1477" w:rsidP="00A462C6">
            <w:pPr>
              <w:rPr>
                <w:rFonts w:ascii="Calibri" w:hAnsi="Calibri" w:cs="Calibri"/>
              </w:rPr>
            </w:pPr>
            <w:r>
              <w:rPr>
                <w:rFonts w:ascii="Calibri" w:hAnsi="Calibri" w:cs="Calibri"/>
              </w:rPr>
              <w:t xml:space="preserve">Soil samples will be collected from the four sites in </w:t>
            </w:r>
            <w:r w:rsidR="008F1743">
              <w:rPr>
                <w:rFonts w:ascii="Calibri" w:hAnsi="Calibri" w:cs="Calibri"/>
              </w:rPr>
              <w:t>May</w:t>
            </w:r>
            <w:r w:rsidR="00271DB2">
              <w:rPr>
                <w:rFonts w:ascii="Calibri" w:hAnsi="Calibri" w:cs="Calibri"/>
              </w:rPr>
              <w:t xml:space="preserve"> 2025</w:t>
            </w:r>
            <w:r w:rsidR="00A67F2E">
              <w:rPr>
                <w:rFonts w:ascii="Calibri" w:hAnsi="Calibri" w:cs="Calibri"/>
              </w:rPr>
              <w:t xml:space="preserve"> this will be 500g </w:t>
            </w:r>
          </w:p>
        </w:tc>
        <w:tc>
          <w:tcPr>
            <w:tcW w:w="3253" w:type="dxa"/>
          </w:tcPr>
          <w:p w14:paraId="64BB379F" w14:textId="72013BA1" w:rsidR="00B3364C" w:rsidRDefault="00271DB2" w:rsidP="00A462C6">
            <w:pPr>
              <w:rPr>
                <w:rFonts w:ascii="Calibri" w:hAnsi="Calibri" w:cs="Calibri"/>
              </w:rPr>
            </w:pPr>
            <w:r>
              <w:rPr>
                <w:rFonts w:ascii="Calibri" w:hAnsi="Calibri" w:cs="Calibri"/>
              </w:rPr>
              <w:t xml:space="preserve">This will occur for testing </w:t>
            </w:r>
            <w:r w:rsidR="00460D28">
              <w:rPr>
                <w:rFonts w:ascii="Calibri" w:hAnsi="Calibri" w:cs="Calibri"/>
              </w:rPr>
              <w:t xml:space="preserve">of the heavy metal contaminants </w:t>
            </w:r>
          </w:p>
        </w:tc>
      </w:tr>
      <w:tr w:rsidR="00B3364C" w14:paraId="3DFD62E3" w14:textId="114E3075" w:rsidTr="00B3364C">
        <w:tc>
          <w:tcPr>
            <w:tcW w:w="1854" w:type="dxa"/>
          </w:tcPr>
          <w:p w14:paraId="30F35AD0" w14:textId="796233E8" w:rsidR="00B3364C" w:rsidRDefault="00D34F2B" w:rsidP="00A462C6">
            <w:pPr>
              <w:rPr>
                <w:rFonts w:ascii="Calibri" w:hAnsi="Calibri" w:cs="Calibri"/>
              </w:rPr>
            </w:pPr>
            <w:r>
              <w:rPr>
                <w:rFonts w:ascii="Calibri" w:hAnsi="Calibri" w:cs="Calibri"/>
              </w:rPr>
              <w:t>Three</w:t>
            </w:r>
          </w:p>
        </w:tc>
        <w:tc>
          <w:tcPr>
            <w:tcW w:w="3909" w:type="dxa"/>
          </w:tcPr>
          <w:p w14:paraId="19F8E79F" w14:textId="77777777" w:rsidR="00B3364C" w:rsidRDefault="00D34F2B" w:rsidP="00A462C6">
            <w:pPr>
              <w:rPr>
                <w:rFonts w:ascii="Calibri" w:hAnsi="Calibri" w:cs="Calibri"/>
              </w:rPr>
            </w:pPr>
            <w:r>
              <w:rPr>
                <w:rFonts w:ascii="Calibri" w:hAnsi="Calibri" w:cs="Calibri"/>
              </w:rPr>
              <w:t>Heavy metal ana</w:t>
            </w:r>
            <w:r w:rsidR="00C83294">
              <w:rPr>
                <w:rFonts w:ascii="Calibri" w:hAnsi="Calibri" w:cs="Calibri"/>
              </w:rPr>
              <w:t xml:space="preserve">lysis. </w:t>
            </w:r>
          </w:p>
          <w:p w14:paraId="02EFA0ED" w14:textId="7AD77A22" w:rsidR="00C83294" w:rsidRDefault="00C83294" w:rsidP="00A462C6">
            <w:pPr>
              <w:rPr>
                <w:rFonts w:ascii="Calibri" w:hAnsi="Calibri" w:cs="Calibri"/>
              </w:rPr>
            </w:pPr>
            <w:r>
              <w:rPr>
                <w:rFonts w:ascii="Calibri" w:hAnsi="Calibri" w:cs="Calibri"/>
              </w:rPr>
              <w:t>The collected</w:t>
            </w:r>
            <w:r w:rsidR="005E7A5F">
              <w:rPr>
                <w:rFonts w:ascii="Calibri" w:hAnsi="Calibri" w:cs="Calibri"/>
              </w:rPr>
              <w:t xml:space="preserve"> </w:t>
            </w:r>
            <w:r w:rsidR="005E7A5F" w:rsidRPr="00ED100D">
              <w:rPr>
                <w:rFonts w:ascii="Calibri" w:hAnsi="Calibri" w:cs="Calibri"/>
              </w:rPr>
              <w:t>samples will be analy</w:t>
            </w:r>
            <w:r w:rsidR="005E7A5F">
              <w:rPr>
                <w:rFonts w:ascii="Calibri" w:hAnsi="Calibri" w:cs="Calibri"/>
              </w:rPr>
              <w:t>s</w:t>
            </w:r>
            <w:r w:rsidR="005E7A5F" w:rsidRPr="00ED100D">
              <w:rPr>
                <w:rFonts w:ascii="Calibri" w:hAnsi="Calibri" w:cs="Calibri"/>
              </w:rPr>
              <w:t>ed for copper</w:t>
            </w:r>
            <w:r w:rsidR="00CB2401">
              <w:rPr>
                <w:rFonts w:ascii="Calibri" w:hAnsi="Calibri" w:cs="Calibri"/>
              </w:rPr>
              <w:t xml:space="preserve">, </w:t>
            </w:r>
            <w:r w:rsidR="00353FC0">
              <w:rPr>
                <w:rFonts w:ascii="Calibri" w:hAnsi="Calibri" w:cs="Calibri"/>
              </w:rPr>
              <w:t>iron</w:t>
            </w:r>
            <w:r w:rsidR="00CB2401">
              <w:rPr>
                <w:rFonts w:ascii="Calibri" w:hAnsi="Calibri" w:cs="Calibri"/>
              </w:rPr>
              <w:t xml:space="preserve"> and man</w:t>
            </w:r>
            <w:r w:rsidR="00731025">
              <w:rPr>
                <w:rFonts w:ascii="Calibri" w:hAnsi="Calibri" w:cs="Calibri"/>
              </w:rPr>
              <w:t>ganese</w:t>
            </w:r>
            <w:r w:rsidR="00353FC0">
              <w:rPr>
                <w:rFonts w:ascii="Calibri" w:hAnsi="Calibri" w:cs="Calibri"/>
              </w:rPr>
              <w:t xml:space="preserve"> </w:t>
            </w:r>
            <w:r w:rsidR="005E7A5F" w:rsidRPr="00ED100D">
              <w:rPr>
                <w:rFonts w:ascii="Calibri" w:hAnsi="Calibri" w:cs="Calibri"/>
              </w:rPr>
              <w:t xml:space="preserve">content </w:t>
            </w:r>
            <w:r w:rsidR="00C72873">
              <w:rPr>
                <w:rFonts w:ascii="Calibri" w:hAnsi="Calibri" w:cs="Calibri"/>
              </w:rPr>
              <w:t>this will be done using a photo spectrometer.</w:t>
            </w:r>
          </w:p>
        </w:tc>
        <w:tc>
          <w:tcPr>
            <w:tcW w:w="3253" w:type="dxa"/>
          </w:tcPr>
          <w:p w14:paraId="29F7933C" w14:textId="1E139700" w:rsidR="004868B5" w:rsidRPr="004868B5" w:rsidRDefault="00FD4F3F" w:rsidP="004868B5">
            <w:pPr>
              <w:rPr>
                <w:rFonts w:ascii="Calibri" w:hAnsi="Calibri" w:cs="Calibri"/>
              </w:rPr>
            </w:pPr>
            <w:r>
              <w:rPr>
                <w:rFonts w:ascii="Calibri" w:hAnsi="Calibri" w:cs="Calibri"/>
              </w:rPr>
              <w:t xml:space="preserve">This is essential for </w:t>
            </w:r>
            <w:r w:rsidR="00E926ED">
              <w:rPr>
                <w:rFonts w:ascii="Calibri" w:hAnsi="Calibri" w:cs="Calibri"/>
              </w:rPr>
              <w:t xml:space="preserve">the </w:t>
            </w:r>
            <w:r w:rsidR="007219E2">
              <w:rPr>
                <w:rFonts w:ascii="Calibri" w:hAnsi="Calibri" w:cs="Calibri"/>
              </w:rPr>
              <w:t xml:space="preserve">project to continue as a before analysis is </w:t>
            </w:r>
            <w:r w:rsidR="007A5EDE">
              <w:rPr>
                <w:rFonts w:ascii="Calibri" w:hAnsi="Calibri" w:cs="Calibri"/>
              </w:rPr>
              <w:t>needed for a comparison of the before and after to show the success of the project</w:t>
            </w:r>
            <w:r w:rsidR="002F7C1C">
              <w:rPr>
                <w:rFonts w:ascii="Calibri" w:hAnsi="Calibri" w:cs="Calibri"/>
              </w:rPr>
              <w:t>. Copper</w:t>
            </w:r>
            <w:r w:rsidR="00731025">
              <w:rPr>
                <w:rFonts w:ascii="Calibri" w:hAnsi="Calibri" w:cs="Calibri"/>
              </w:rPr>
              <w:t xml:space="preserve">, </w:t>
            </w:r>
            <w:r w:rsidR="002F7C1C">
              <w:rPr>
                <w:rFonts w:ascii="Calibri" w:hAnsi="Calibri" w:cs="Calibri"/>
              </w:rPr>
              <w:t>iron</w:t>
            </w:r>
            <w:r w:rsidR="005467CE">
              <w:rPr>
                <w:rFonts w:ascii="Calibri" w:hAnsi="Calibri" w:cs="Calibri"/>
              </w:rPr>
              <w:t xml:space="preserve"> </w:t>
            </w:r>
            <w:r w:rsidR="00731025">
              <w:rPr>
                <w:rFonts w:ascii="Calibri" w:hAnsi="Calibri" w:cs="Calibri"/>
              </w:rPr>
              <w:t xml:space="preserve">and manganese </w:t>
            </w:r>
            <w:r w:rsidR="005467CE">
              <w:rPr>
                <w:rFonts w:ascii="Calibri" w:hAnsi="Calibri" w:cs="Calibri"/>
              </w:rPr>
              <w:t>is a common contaminant in mine spoil</w:t>
            </w:r>
            <w:r w:rsidR="004C0980">
              <w:rPr>
                <w:rFonts w:ascii="Calibri" w:hAnsi="Calibri" w:cs="Calibri"/>
              </w:rPr>
              <w:t xml:space="preserve"> </w:t>
            </w:r>
            <w:r w:rsidR="004C0980" w:rsidRPr="004C0980">
              <w:rPr>
                <w:rFonts w:ascii="Calibri" w:hAnsi="Calibri" w:cs="Calibri"/>
              </w:rPr>
              <w:t>(Doku and Belford, 2024</w:t>
            </w:r>
            <w:r w:rsidR="00802768">
              <w:rPr>
                <w:rFonts w:ascii="Calibri" w:hAnsi="Calibri" w:cs="Calibri"/>
              </w:rPr>
              <w:t>;</w:t>
            </w:r>
            <w:r w:rsidR="00802768" w:rsidRPr="00802768">
              <w:rPr>
                <w:rFonts w:ascii="Calibri" w:eastAsia="Times New Roman" w:hAnsi="Calibri" w:cs="Calibri"/>
                <w:lang w:eastAsia="en-GB"/>
              </w:rPr>
              <w:t xml:space="preserve"> </w:t>
            </w:r>
            <w:r w:rsidR="00802768" w:rsidRPr="00802768">
              <w:rPr>
                <w:rFonts w:ascii="Calibri" w:hAnsi="Calibri" w:cs="Calibri"/>
              </w:rPr>
              <w:t>Ivanov and Hristov, 2024</w:t>
            </w:r>
            <w:r w:rsidR="00802768">
              <w:rPr>
                <w:rFonts w:ascii="Calibri" w:hAnsi="Calibri" w:cs="Calibri"/>
              </w:rPr>
              <w:t>;</w:t>
            </w:r>
            <w:r w:rsidR="004868B5">
              <w:rPr>
                <w:rFonts w:ascii="Calibri" w:hAnsi="Calibri" w:cs="Calibri"/>
              </w:rPr>
              <w:t xml:space="preserve"> </w:t>
            </w:r>
            <w:r w:rsidR="004868B5" w:rsidRPr="004868B5">
              <w:rPr>
                <w:rFonts w:ascii="Calibri" w:hAnsi="Calibri" w:cs="Calibri"/>
              </w:rPr>
              <w:t>Mohan et al., 2024)</w:t>
            </w:r>
          </w:p>
          <w:p w14:paraId="36B33A7A" w14:textId="4B768D32" w:rsidR="004C0980" w:rsidRPr="004C0980" w:rsidRDefault="004C0980" w:rsidP="004C0980">
            <w:pPr>
              <w:rPr>
                <w:rFonts w:ascii="Calibri" w:hAnsi="Calibri" w:cs="Calibri"/>
              </w:rPr>
            </w:pPr>
          </w:p>
          <w:p w14:paraId="7FA5B9FD" w14:textId="14D73D87" w:rsidR="00B3364C" w:rsidRDefault="00B3364C" w:rsidP="00A462C6">
            <w:pPr>
              <w:rPr>
                <w:rFonts w:ascii="Calibri" w:hAnsi="Calibri" w:cs="Calibri"/>
              </w:rPr>
            </w:pPr>
          </w:p>
        </w:tc>
      </w:tr>
      <w:tr w:rsidR="00F429C7" w14:paraId="00299064" w14:textId="2F68254B" w:rsidTr="00B3364C">
        <w:tc>
          <w:tcPr>
            <w:tcW w:w="1854" w:type="dxa"/>
          </w:tcPr>
          <w:p w14:paraId="3CC7808D" w14:textId="353F3AFF" w:rsidR="00F429C7" w:rsidRDefault="00F429C7" w:rsidP="00A462C6">
            <w:pPr>
              <w:rPr>
                <w:rFonts w:ascii="Calibri" w:hAnsi="Calibri" w:cs="Calibri"/>
              </w:rPr>
            </w:pPr>
            <w:r>
              <w:rPr>
                <w:rFonts w:ascii="Calibri" w:hAnsi="Calibri" w:cs="Calibri"/>
              </w:rPr>
              <w:t xml:space="preserve">Four </w:t>
            </w:r>
          </w:p>
        </w:tc>
        <w:tc>
          <w:tcPr>
            <w:tcW w:w="3909" w:type="dxa"/>
          </w:tcPr>
          <w:p w14:paraId="71F12966" w14:textId="77777777" w:rsidR="00F429C7" w:rsidRDefault="00F429C7" w:rsidP="00632205">
            <w:pPr>
              <w:rPr>
                <w:rFonts w:ascii="Calibri" w:hAnsi="Calibri" w:cs="Calibri"/>
              </w:rPr>
            </w:pPr>
            <w:r w:rsidRPr="00ED100D">
              <w:rPr>
                <w:rFonts w:ascii="Calibri" w:hAnsi="Calibri" w:cs="Calibri"/>
              </w:rPr>
              <w:t>Experimental Design</w:t>
            </w:r>
            <w:r>
              <w:rPr>
                <w:rFonts w:ascii="Calibri" w:hAnsi="Calibri" w:cs="Calibri"/>
              </w:rPr>
              <w:t>.</w:t>
            </w:r>
          </w:p>
          <w:p w14:paraId="4BCE12D5" w14:textId="77777777" w:rsidR="00F429C7" w:rsidRPr="00ED100D" w:rsidRDefault="00F429C7" w:rsidP="00632205">
            <w:pPr>
              <w:rPr>
                <w:rFonts w:ascii="Calibri" w:hAnsi="Calibri" w:cs="Calibri"/>
              </w:rPr>
            </w:pPr>
            <w:r w:rsidRPr="00ED100D">
              <w:rPr>
                <w:rFonts w:ascii="Calibri" w:hAnsi="Calibri" w:cs="Calibri"/>
              </w:rPr>
              <w:t xml:space="preserve">One </w:t>
            </w:r>
            <w:r>
              <w:rPr>
                <w:rFonts w:ascii="Calibri" w:hAnsi="Calibri" w:cs="Calibri"/>
              </w:rPr>
              <w:t>of each different vegetation site</w:t>
            </w:r>
            <w:r w:rsidRPr="00ED100D">
              <w:rPr>
                <w:rFonts w:ascii="Calibri" w:hAnsi="Calibri" w:cs="Calibri"/>
              </w:rPr>
              <w:t xml:space="preserve"> will serve as the experimental group, treated with biochar,</w:t>
            </w:r>
            <w:r>
              <w:rPr>
                <w:rFonts w:ascii="Calibri" w:hAnsi="Calibri" w:cs="Calibri"/>
              </w:rPr>
              <w:t xml:space="preserve"> this</w:t>
            </w:r>
            <w:r w:rsidRPr="00ED100D">
              <w:rPr>
                <w:rFonts w:ascii="Calibri" w:hAnsi="Calibri" w:cs="Calibri"/>
              </w:rPr>
              <w:t xml:space="preserve"> immobili</w:t>
            </w:r>
            <w:r>
              <w:rPr>
                <w:rFonts w:ascii="Calibri" w:hAnsi="Calibri" w:cs="Calibri"/>
              </w:rPr>
              <w:t>s</w:t>
            </w:r>
            <w:r w:rsidRPr="00ED100D">
              <w:rPr>
                <w:rFonts w:ascii="Calibri" w:hAnsi="Calibri" w:cs="Calibri"/>
              </w:rPr>
              <w:t>e</w:t>
            </w:r>
            <w:r>
              <w:rPr>
                <w:rFonts w:ascii="Calibri" w:hAnsi="Calibri" w:cs="Calibri"/>
              </w:rPr>
              <w:t>s</w:t>
            </w:r>
            <w:r w:rsidRPr="00ED100D">
              <w:rPr>
                <w:rFonts w:ascii="Calibri" w:hAnsi="Calibri" w:cs="Calibri"/>
              </w:rPr>
              <w:t xml:space="preserve"> heavy metals and improve</w:t>
            </w:r>
            <w:r>
              <w:rPr>
                <w:rFonts w:ascii="Calibri" w:hAnsi="Calibri" w:cs="Calibri"/>
              </w:rPr>
              <w:t>s</w:t>
            </w:r>
            <w:r w:rsidRPr="00ED100D">
              <w:rPr>
                <w:rFonts w:ascii="Calibri" w:hAnsi="Calibri" w:cs="Calibri"/>
              </w:rPr>
              <w:t xml:space="preserve"> soil health.</w:t>
            </w:r>
            <w:r>
              <w:rPr>
                <w:rFonts w:ascii="Calibri" w:hAnsi="Calibri" w:cs="Calibri"/>
              </w:rPr>
              <w:t xml:space="preserve"> </w:t>
            </w:r>
            <w:r w:rsidRPr="00ED100D">
              <w:rPr>
                <w:rFonts w:ascii="Calibri" w:hAnsi="Calibri" w:cs="Calibri"/>
              </w:rPr>
              <w:t>The other will remain untreated as a control to allow for comparison of remediation effectiveness.</w:t>
            </w:r>
            <w:r>
              <w:rPr>
                <w:rFonts w:ascii="Calibri" w:hAnsi="Calibri" w:cs="Calibri"/>
              </w:rPr>
              <w:t xml:space="preserve"> </w:t>
            </w:r>
            <w:r w:rsidRPr="00ED100D">
              <w:rPr>
                <w:rFonts w:ascii="Calibri" w:hAnsi="Calibri" w:cs="Calibri"/>
              </w:rPr>
              <w:t>. The application method (e.g., surface application vs. soil incorporation) will also be documented.</w:t>
            </w:r>
          </w:p>
          <w:p w14:paraId="4C9B62C9" w14:textId="6E7AA3F7" w:rsidR="00F429C7" w:rsidRDefault="00F429C7" w:rsidP="00A462C6">
            <w:pPr>
              <w:rPr>
                <w:rFonts w:ascii="Calibri" w:hAnsi="Calibri" w:cs="Calibri"/>
              </w:rPr>
            </w:pPr>
          </w:p>
        </w:tc>
        <w:tc>
          <w:tcPr>
            <w:tcW w:w="3253" w:type="dxa"/>
          </w:tcPr>
          <w:p w14:paraId="496B6F82" w14:textId="1DE92336" w:rsidR="00F429C7" w:rsidRDefault="00554E17" w:rsidP="00271E7C">
            <w:pPr>
              <w:rPr>
                <w:rFonts w:ascii="Calibri" w:hAnsi="Calibri" w:cs="Calibri"/>
              </w:rPr>
            </w:pPr>
            <w:r>
              <w:rPr>
                <w:rFonts w:ascii="Calibri" w:hAnsi="Calibri" w:cs="Calibri"/>
              </w:rPr>
              <w:t>8grams of</w:t>
            </w:r>
            <w:r w:rsidR="00F429C7" w:rsidRPr="00ED100D">
              <w:rPr>
                <w:rFonts w:ascii="Calibri" w:hAnsi="Calibri" w:cs="Calibri"/>
              </w:rPr>
              <w:t xml:space="preserve"> biochar w</w:t>
            </w:r>
            <w:r w:rsidR="003B43E4">
              <w:rPr>
                <w:rFonts w:ascii="Calibri" w:hAnsi="Calibri" w:cs="Calibri"/>
              </w:rPr>
              <w:t>ill be in suspension with deionised water. This will be injected into 20x20cm plots</w:t>
            </w:r>
            <w:r w:rsidR="00C8507C">
              <w:rPr>
                <w:rFonts w:ascii="Calibri" w:hAnsi="Calibri" w:cs="Calibri"/>
              </w:rPr>
              <w:t>, 10cm below the surface</w:t>
            </w:r>
            <w:r w:rsidR="00C60CD7">
              <w:rPr>
                <w:rFonts w:ascii="Calibri" w:hAnsi="Calibri" w:cs="Calibri"/>
              </w:rPr>
              <w:t xml:space="preserve"> </w:t>
            </w:r>
            <w:r w:rsidR="00C60CD7" w:rsidRPr="00C60CD7">
              <w:rPr>
                <w:rFonts w:ascii="Calibri" w:hAnsi="Calibri" w:cs="Calibri"/>
              </w:rPr>
              <w:t>(Berglund et al., 2004)</w:t>
            </w:r>
            <w:r w:rsidR="00C60CD7">
              <w:rPr>
                <w:rFonts w:ascii="Calibri" w:hAnsi="Calibri" w:cs="Calibri"/>
              </w:rPr>
              <w:t>.</w:t>
            </w:r>
            <w:r w:rsidR="001B3EE8">
              <w:rPr>
                <w:rFonts w:ascii="Calibri" w:hAnsi="Calibri" w:cs="Calibri"/>
              </w:rPr>
              <w:t xml:space="preserve"> This is considered a </w:t>
            </w:r>
            <w:r w:rsidR="004C3004">
              <w:rPr>
                <w:rFonts w:ascii="Calibri" w:hAnsi="Calibri" w:cs="Calibri"/>
              </w:rPr>
              <w:t>better method for in the field as it is less destructive to the soil.</w:t>
            </w:r>
          </w:p>
        </w:tc>
      </w:tr>
      <w:tr w:rsidR="00F429C7" w14:paraId="77D6EAF9" w14:textId="77777777" w:rsidTr="00B3364C">
        <w:tc>
          <w:tcPr>
            <w:tcW w:w="1854" w:type="dxa"/>
          </w:tcPr>
          <w:p w14:paraId="6C1A5AEA" w14:textId="015D1CB7" w:rsidR="00F429C7" w:rsidRDefault="00F429C7" w:rsidP="00A462C6">
            <w:pPr>
              <w:rPr>
                <w:rFonts w:ascii="Calibri" w:hAnsi="Calibri" w:cs="Calibri"/>
              </w:rPr>
            </w:pPr>
            <w:r>
              <w:rPr>
                <w:rFonts w:ascii="Calibri" w:hAnsi="Calibri" w:cs="Calibri"/>
              </w:rPr>
              <w:t xml:space="preserve">Five </w:t>
            </w:r>
          </w:p>
        </w:tc>
        <w:tc>
          <w:tcPr>
            <w:tcW w:w="3909" w:type="dxa"/>
          </w:tcPr>
          <w:p w14:paraId="2C7E6FB8" w14:textId="77777777" w:rsidR="00F429C7" w:rsidRDefault="00F429C7" w:rsidP="00E25B43">
            <w:pPr>
              <w:rPr>
                <w:rFonts w:ascii="Calibri" w:hAnsi="Calibri" w:cs="Calibri"/>
              </w:rPr>
            </w:pPr>
            <w:r>
              <w:rPr>
                <w:rFonts w:ascii="Calibri" w:hAnsi="Calibri" w:cs="Calibri"/>
              </w:rPr>
              <w:t xml:space="preserve">Monitoring and testing </w:t>
            </w:r>
          </w:p>
          <w:p w14:paraId="0990B712" w14:textId="29D73A88" w:rsidR="00F429C7" w:rsidRPr="00ED100D" w:rsidRDefault="00F429C7" w:rsidP="00AA5D68">
            <w:pPr>
              <w:rPr>
                <w:rFonts w:ascii="Calibri" w:hAnsi="Calibri" w:cs="Calibri"/>
              </w:rPr>
            </w:pPr>
            <w:r w:rsidRPr="00ED100D">
              <w:rPr>
                <w:rFonts w:ascii="Calibri" w:hAnsi="Calibri" w:cs="Calibri"/>
              </w:rPr>
              <w:t xml:space="preserve">Soil testing will be conducted in </w:t>
            </w:r>
            <w:r w:rsidR="00855006">
              <w:rPr>
                <w:rFonts w:ascii="Calibri" w:hAnsi="Calibri" w:cs="Calibri"/>
              </w:rPr>
              <w:t xml:space="preserve">Autumn </w:t>
            </w:r>
            <w:r w:rsidRPr="00ED100D">
              <w:rPr>
                <w:rFonts w:ascii="Calibri" w:hAnsi="Calibri" w:cs="Calibri"/>
              </w:rPr>
              <w:t>2025 to assess short-term (</w:t>
            </w:r>
            <w:r w:rsidR="00855006">
              <w:rPr>
                <w:rFonts w:ascii="Calibri" w:hAnsi="Calibri" w:cs="Calibri"/>
              </w:rPr>
              <w:t>four</w:t>
            </w:r>
            <w:r w:rsidRPr="00ED100D">
              <w:rPr>
                <w:rFonts w:ascii="Calibri" w:hAnsi="Calibri" w:cs="Calibri"/>
              </w:rPr>
              <w:t>-month) changes in heavy metal concentrations.</w:t>
            </w:r>
            <w:r>
              <w:rPr>
                <w:rFonts w:ascii="Calibri" w:hAnsi="Calibri" w:cs="Calibri"/>
              </w:rPr>
              <w:t xml:space="preserve"> </w:t>
            </w:r>
            <w:r w:rsidRPr="00ED100D">
              <w:rPr>
                <w:rFonts w:ascii="Calibri" w:hAnsi="Calibri" w:cs="Calibri"/>
              </w:rPr>
              <w:t xml:space="preserve">A follow-up soil test will be conducted in </w:t>
            </w:r>
            <w:r w:rsidR="007940EF">
              <w:rPr>
                <w:rFonts w:ascii="Calibri" w:hAnsi="Calibri" w:cs="Calibri"/>
              </w:rPr>
              <w:t>April</w:t>
            </w:r>
            <w:r w:rsidRPr="00ED100D">
              <w:rPr>
                <w:rFonts w:ascii="Calibri" w:hAnsi="Calibri" w:cs="Calibri"/>
              </w:rPr>
              <w:t xml:space="preserve"> 2026 to evaluate year-long effects, examining changes in metal mobility, soil pH, and overall remediation success.</w:t>
            </w:r>
          </w:p>
          <w:p w14:paraId="4A1EAE14" w14:textId="77777777" w:rsidR="00F429C7" w:rsidRPr="00ED100D" w:rsidRDefault="00F429C7" w:rsidP="00E25B43">
            <w:pPr>
              <w:rPr>
                <w:rFonts w:ascii="Calibri" w:hAnsi="Calibri" w:cs="Calibri"/>
              </w:rPr>
            </w:pPr>
          </w:p>
        </w:tc>
        <w:tc>
          <w:tcPr>
            <w:tcW w:w="3253" w:type="dxa"/>
          </w:tcPr>
          <w:p w14:paraId="1AEEAEDA" w14:textId="5EA4A7AB" w:rsidR="00F429C7" w:rsidRPr="00B971D8" w:rsidRDefault="00D67568" w:rsidP="00AA5D68">
            <w:r>
              <w:t xml:space="preserve">The </w:t>
            </w:r>
            <w:r w:rsidR="007F288D">
              <w:t>testing twice is valuable as it takes in consideration different weather patter</w:t>
            </w:r>
            <w:r w:rsidR="006A35B5">
              <w:t>ns</w:t>
            </w:r>
            <w:r w:rsidR="007F288D">
              <w:t xml:space="preserve"> and seasonal changes </w:t>
            </w:r>
          </w:p>
          <w:p w14:paraId="160924D6" w14:textId="0FCBDD1F" w:rsidR="00F429C7" w:rsidRDefault="00F429C7" w:rsidP="00A462C6">
            <w:pPr>
              <w:rPr>
                <w:rFonts w:ascii="Calibri" w:hAnsi="Calibri" w:cs="Calibri"/>
              </w:rPr>
            </w:pPr>
          </w:p>
        </w:tc>
      </w:tr>
    </w:tbl>
    <w:p w14:paraId="37674372" w14:textId="77777777" w:rsidR="009101F4" w:rsidRDefault="009101F4" w:rsidP="00C054F3">
      <w:bookmarkStart w:id="17" w:name="_Toc1858048751"/>
    </w:p>
    <w:p w14:paraId="5A2F27F4" w14:textId="4CA20380" w:rsidR="00CD2BA6" w:rsidRDefault="00875ED8" w:rsidP="00C054F3">
      <w:r>
        <w:t xml:space="preserve">Figure 1 shows potential sampling points all landowner permissions will be obtained </w:t>
      </w:r>
      <w:r w:rsidR="00232BA8">
        <w:t>before testing</w:t>
      </w:r>
    </w:p>
    <w:p w14:paraId="5756CCC4" w14:textId="57710EC5" w:rsidR="00922EAB" w:rsidRDefault="00922EAB" w:rsidP="00C054F3">
      <w:r w:rsidRPr="00922EAB">
        <w:rPr>
          <w:noProof/>
        </w:rPr>
        <w:lastRenderedPageBreak/>
        <w:drawing>
          <wp:inline distT="0" distB="0" distL="0" distR="0" wp14:anchorId="27507C4D" wp14:editId="46BADE57">
            <wp:extent cx="4758610" cy="3685735"/>
            <wp:effectExtent l="0" t="0" r="4445" b="0"/>
            <wp:docPr id="1291341958" name="Picture 1" descr="A map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41958" name="Picture 1" descr="A map of a forest&#10;&#10;Description automatically generated"/>
                    <pic:cNvPicPr/>
                  </pic:nvPicPr>
                  <pic:blipFill>
                    <a:blip r:embed="rId14"/>
                    <a:stretch>
                      <a:fillRect/>
                    </a:stretch>
                  </pic:blipFill>
                  <pic:spPr>
                    <a:xfrm>
                      <a:off x="0" y="0"/>
                      <a:ext cx="4776065" cy="3699255"/>
                    </a:xfrm>
                    <a:prstGeom prst="rect">
                      <a:avLst/>
                    </a:prstGeom>
                  </pic:spPr>
                </pic:pic>
              </a:graphicData>
            </a:graphic>
          </wp:inline>
        </w:drawing>
      </w:r>
    </w:p>
    <w:p w14:paraId="715EE71D" w14:textId="22D3D71E" w:rsidR="00922EAB" w:rsidRDefault="002C6FEC" w:rsidP="00096C9B">
      <w:pPr>
        <w:pStyle w:val="Caption"/>
      </w:pPr>
      <w:bookmarkStart w:id="18" w:name="_Toc198661174"/>
      <w:r>
        <w:t>Figure</w:t>
      </w:r>
      <w:r w:rsidR="00922EAB">
        <w:t xml:space="preserve"> 1: A map of Kilvey hill with sample plots </w:t>
      </w:r>
      <w:r w:rsidR="00922EAB">
        <w:rPr>
          <w:noProof/>
        </w:rPr>
        <mc:AlternateContent>
          <mc:Choice Requires="wpi">
            <w:drawing>
              <wp:anchor distT="0" distB="0" distL="114300" distR="114300" simplePos="0" relativeHeight="251658240" behindDoc="0" locked="0" layoutInCell="1" allowOverlap="1" wp14:anchorId="0CED770B" wp14:editId="3B63CF3C">
                <wp:simplePos x="0" y="0"/>
                <wp:positionH relativeFrom="column">
                  <wp:posOffset>2081963</wp:posOffset>
                </wp:positionH>
                <wp:positionV relativeFrom="paragraph">
                  <wp:posOffset>2074680</wp:posOffset>
                </wp:positionV>
                <wp:extent cx="360" cy="360"/>
                <wp:effectExtent l="38100" t="38100" r="38100" b="38100"/>
                <wp:wrapNone/>
                <wp:docPr id="1416776500"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2141D8FA" id="Ink 8" o:spid="_x0000_s1026" type="#_x0000_t75" style="position:absolute;margin-left:163.45pt;margin-top:162.85pt;width:1.05pt;height:1.0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M+lCBLWAQAAnQQAABAAAAAA&#10;AAAAAAAAAAAA0wMAAGRycy9pbmsvaW5rMS54bWxQSwECLQAUAAYACAAAACEAQxYk4d4AAAALAQAA&#10;DwAAAAAAAAAAAAAAAADXBQAAZHJzL2Rvd25yZXYueG1sUEsBAi0AFAAGAAgAAAAhAHkYvJ2/AAAA&#10;IQEAABkAAAAAAAAAAAAAAAAA4gYAAGRycy9fcmVscy9lMm9Eb2MueG1sLnJlbHNQSwUGAAAAAAYA&#10;BgB4AQAA2AcAAAAA&#10;">
                <v:imagedata r:id="rId16" o:title=""/>
              </v:shape>
            </w:pict>
          </mc:Fallback>
        </mc:AlternateContent>
      </w:r>
      <w:bookmarkEnd w:id="18"/>
    </w:p>
    <w:p w14:paraId="0BC443FD" w14:textId="77777777" w:rsidR="00345799" w:rsidRDefault="00345799" w:rsidP="00345799">
      <w:bookmarkStart w:id="19" w:name="_Toc198661136"/>
    </w:p>
    <w:p w14:paraId="4EB12DA7" w14:textId="7A14D1DF" w:rsidR="00375AB4" w:rsidRDefault="00411D46" w:rsidP="00411D46">
      <w:pPr>
        <w:pStyle w:val="Heading1"/>
      </w:pPr>
      <w:r>
        <w:t>Results</w:t>
      </w:r>
      <w:bookmarkEnd w:id="17"/>
      <w:bookmarkEnd w:id="19"/>
      <w:r>
        <w:t xml:space="preserve"> </w:t>
      </w:r>
    </w:p>
    <w:p w14:paraId="33393808" w14:textId="239D4CF8" w:rsidR="00F926FD" w:rsidRDefault="00861542" w:rsidP="00F926FD">
      <w:r>
        <w:t>T</w:t>
      </w:r>
      <w:r w:rsidR="00B27F0A">
        <w:t xml:space="preserve">he </w:t>
      </w:r>
      <w:r w:rsidR="00F926FD">
        <w:t>results</w:t>
      </w:r>
      <w:r>
        <w:t xml:space="preserve"> will be shown in graphs and they will be</w:t>
      </w:r>
      <w:r w:rsidR="00F926FD">
        <w:t xml:space="preserve"> compare</w:t>
      </w:r>
      <w:r>
        <w:t>d</w:t>
      </w:r>
      <w:r w:rsidR="00F926FD">
        <w:t xml:space="preserve"> to literature</w:t>
      </w:r>
      <w:r>
        <w:t xml:space="preserve"> </w:t>
      </w:r>
      <w:r w:rsidR="004F7976">
        <w:t>to see if the hypothesis was met</w:t>
      </w:r>
      <w:r w:rsidR="000F684C">
        <w:t>.</w:t>
      </w:r>
    </w:p>
    <w:p w14:paraId="2666AE06" w14:textId="560FA326" w:rsidR="00960102" w:rsidRDefault="000F684C" w:rsidP="00F926FD">
      <w:r>
        <w:t>The quantity</w:t>
      </w:r>
      <w:r w:rsidR="00A35E3F">
        <w:t xml:space="preserve"> of each contamin</w:t>
      </w:r>
      <w:r w:rsidR="00386FB0">
        <w:t>a</w:t>
      </w:r>
      <w:r w:rsidR="00A35E3F">
        <w:t xml:space="preserve">nt in the soil </w:t>
      </w:r>
      <w:r>
        <w:t>before and after testing.</w:t>
      </w:r>
    </w:p>
    <w:p w14:paraId="695985BD" w14:textId="77777777" w:rsidR="00232BA8" w:rsidRPr="00B27F0A" w:rsidRDefault="00232BA8" w:rsidP="00F926FD"/>
    <w:p w14:paraId="41752207" w14:textId="1864AB99" w:rsidR="00375AB4" w:rsidRDefault="00091E5F" w:rsidP="00375AB4">
      <w:pPr>
        <w:pStyle w:val="Heading1"/>
      </w:pPr>
      <w:bookmarkStart w:id="20" w:name="_Toc142763640"/>
      <w:bookmarkStart w:id="21" w:name="_Toc198661137"/>
      <w:r>
        <w:t>Data Analysis</w:t>
      </w:r>
      <w:bookmarkEnd w:id="20"/>
      <w:bookmarkEnd w:id="21"/>
    </w:p>
    <w:p w14:paraId="03FB706C" w14:textId="0C64D52E" w:rsidR="009A6A2D" w:rsidRPr="00894B0C" w:rsidRDefault="00F17D11" w:rsidP="009A6A2D">
      <w:pPr>
        <w:rPr>
          <w:rFonts w:ascii="Calibri" w:hAnsi="Calibri" w:cs="Calibri"/>
        </w:rPr>
      </w:pPr>
      <w:r w:rsidRPr="00ED100D">
        <w:rPr>
          <w:rFonts w:ascii="Calibri" w:hAnsi="Calibri" w:cs="Calibri"/>
        </w:rPr>
        <w:t>Statistical analysis will be performed to determine the significance of observed changes.</w:t>
      </w:r>
      <w:r w:rsidR="009A6A2D">
        <w:rPr>
          <w:rFonts w:ascii="Calibri" w:hAnsi="Calibri" w:cs="Calibri"/>
        </w:rPr>
        <w:t xml:space="preserve"> This will achieve a </w:t>
      </w:r>
      <w:r w:rsidR="009A6A2D" w:rsidRPr="00ED100D">
        <w:rPr>
          <w:rFonts w:ascii="Calibri" w:hAnsi="Calibri" w:cs="Calibri"/>
        </w:rPr>
        <w:t>clearer understanding of the extent and distribution of heavy metal contamination on Kilvey Hill.</w:t>
      </w:r>
      <w:r w:rsidR="009A6A2D">
        <w:rPr>
          <w:rFonts w:ascii="Calibri" w:hAnsi="Calibri" w:cs="Calibri"/>
        </w:rPr>
        <w:t xml:space="preserve"> </w:t>
      </w:r>
      <w:r w:rsidR="009A6A2D" w:rsidRPr="00ED100D">
        <w:rPr>
          <w:rFonts w:ascii="Calibri" w:hAnsi="Calibri" w:cs="Calibri"/>
        </w:rPr>
        <w:t>Identification of the most effective bioremediation techniques for removing specific contaminants</w:t>
      </w:r>
      <w:r w:rsidR="009A6A2D">
        <w:rPr>
          <w:rFonts w:ascii="Calibri" w:hAnsi="Calibri" w:cs="Calibri"/>
        </w:rPr>
        <w:t xml:space="preserve"> and p</w:t>
      </w:r>
      <w:r w:rsidR="009A6A2D" w:rsidRPr="00ED100D">
        <w:rPr>
          <w:rFonts w:ascii="Calibri" w:hAnsi="Calibri" w:cs="Calibri"/>
        </w:rPr>
        <w:t xml:space="preserve">ractical recommendations for future remediation efforts to improve soil health and support </w:t>
      </w:r>
      <w:r w:rsidR="009A6A2D" w:rsidRPr="00894B0C">
        <w:rPr>
          <w:rFonts w:ascii="Calibri" w:hAnsi="Calibri" w:cs="Calibri"/>
        </w:rPr>
        <w:t>ecosystem recovery.</w:t>
      </w:r>
      <w:r w:rsidR="34831A1E" w:rsidRPr="34831A1E">
        <w:rPr>
          <w:rFonts w:ascii="Calibri" w:hAnsi="Calibri" w:cs="Calibri"/>
          <w:color w:val="FF0000"/>
        </w:rPr>
        <w:t xml:space="preserve"> </w:t>
      </w:r>
    </w:p>
    <w:p w14:paraId="25568571" w14:textId="1C473861" w:rsidR="00F17D11" w:rsidRPr="00F17D11" w:rsidRDefault="004D2C06" w:rsidP="004D2C06">
      <w:pPr>
        <w:pStyle w:val="Caption"/>
      </w:pPr>
      <w:bookmarkStart w:id="22" w:name="_Toc198661175"/>
      <w:r>
        <w:t xml:space="preserve">Table 2: a table showing the different tests </w:t>
      </w:r>
      <w:r w:rsidR="00950E93">
        <w:t>and what they are testing for</w:t>
      </w:r>
      <w:bookmarkEnd w:id="22"/>
      <w:r w:rsidR="00950E93">
        <w:t xml:space="preserve"> </w:t>
      </w:r>
    </w:p>
    <w:tbl>
      <w:tblPr>
        <w:tblStyle w:val="TableGrid"/>
        <w:tblW w:w="0" w:type="auto"/>
        <w:tblLook w:val="04A0" w:firstRow="1" w:lastRow="0" w:firstColumn="1" w:lastColumn="0" w:noHBand="0" w:noVBand="1"/>
      </w:tblPr>
      <w:tblGrid>
        <w:gridCol w:w="3005"/>
        <w:gridCol w:w="3005"/>
        <w:gridCol w:w="3006"/>
      </w:tblGrid>
      <w:tr w:rsidR="00960102" w14:paraId="53861959" w14:textId="77777777" w:rsidTr="00960102">
        <w:tc>
          <w:tcPr>
            <w:tcW w:w="3005" w:type="dxa"/>
          </w:tcPr>
          <w:p w14:paraId="50C16933" w14:textId="0827BB11" w:rsidR="00960102" w:rsidRDefault="00960102" w:rsidP="002C0191">
            <w:r>
              <w:t xml:space="preserve">Test </w:t>
            </w:r>
          </w:p>
        </w:tc>
        <w:tc>
          <w:tcPr>
            <w:tcW w:w="3005" w:type="dxa"/>
          </w:tcPr>
          <w:p w14:paraId="26EDBAE5" w14:textId="62DF85E7" w:rsidR="00960102" w:rsidRDefault="00960102" w:rsidP="002C0191">
            <w:r>
              <w:t xml:space="preserve">What its testing for </w:t>
            </w:r>
          </w:p>
        </w:tc>
        <w:tc>
          <w:tcPr>
            <w:tcW w:w="3006" w:type="dxa"/>
          </w:tcPr>
          <w:p w14:paraId="0927B637" w14:textId="51FF7BAC" w:rsidR="00960102" w:rsidRDefault="00960102" w:rsidP="002C0191">
            <w:r>
              <w:t>Expected results</w:t>
            </w:r>
          </w:p>
        </w:tc>
      </w:tr>
      <w:tr w:rsidR="00960102" w14:paraId="4D0E0CED" w14:textId="77777777" w:rsidTr="00960102">
        <w:tc>
          <w:tcPr>
            <w:tcW w:w="3005" w:type="dxa"/>
          </w:tcPr>
          <w:p w14:paraId="5A873C1A" w14:textId="77656A1D" w:rsidR="00960102" w:rsidRDefault="009C4368" w:rsidP="002C0191">
            <w:r>
              <w:t xml:space="preserve">T tests </w:t>
            </w:r>
          </w:p>
        </w:tc>
        <w:tc>
          <w:tcPr>
            <w:tcW w:w="3005" w:type="dxa"/>
          </w:tcPr>
          <w:p w14:paraId="1119AA4F" w14:textId="6F92EF5C" w:rsidR="00960102" w:rsidRDefault="4E597143" w:rsidP="002C0191">
            <w:r>
              <w:t>To compare</w:t>
            </w:r>
            <w:r w:rsidR="00873884">
              <w:t xml:space="preserve"> the </w:t>
            </w:r>
            <w:r w:rsidR="00346266">
              <w:t>results of two tests</w:t>
            </w:r>
            <w:r w:rsidR="00F17D11">
              <w:t xml:space="preserve">, </w:t>
            </w:r>
            <w:r w:rsidR="4AB1E87D">
              <w:t>t</w:t>
            </w:r>
            <w:r w:rsidR="4AB1E87D" w:rsidRPr="4AB1E87D">
              <w:rPr>
                <w:rFonts w:ascii="Calibri" w:hAnsi="Calibri" w:cs="Calibri"/>
              </w:rPr>
              <w:t>he</w:t>
            </w:r>
            <w:r w:rsidR="00F17D11" w:rsidRPr="00ED100D">
              <w:rPr>
                <w:rFonts w:ascii="Calibri" w:hAnsi="Calibri" w:cs="Calibri"/>
              </w:rPr>
              <w:t xml:space="preserve"> effectiveness of biochar treatment will be assessed by comparing metal concentrations in treated vs. control plots over time</w:t>
            </w:r>
          </w:p>
        </w:tc>
        <w:tc>
          <w:tcPr>
            <w:tcW w:w="3006" w:type="dxa"/>
          </w:tcPr>
          <w:p w14:paraId="20A74BA7" w14:textId="2F03CC00" w:rsidR="00960102" w:rsidRDefault="00814355" w:rsidP="002C0191">
            <w:r>
              <w:t>A</w:t>
            </w:r>
            <w:r w:rsidR="006A17D0" w:rsidRPr="00894B0C">
              <w:t xml:space="preserve">n increased rate of copper reduction in the heathland experimental condition when compared to the heathland control condition. </w:t>
            </w:r>
            <w:r w:rsidR="3FAE5A35">
              <w:t>A</w:t>
            </w:r>
            <w:r w:rsidR="006A17D0" w:rsidRPr="00894B0C">
              <w:t xml:space="preserve"> higher reduction rate in forest experimental than forest </w:t>
            </w:r>
            <w:r w:rsidR="006A17D0" w:rsidRPr="00894B0C">
              <w:lastRenderedPageBreak/>
              <w:t xml:space="preserve">control. </w:t>
            </w:r>
            <w:r w:rsidR="4AB1E87D">
              <w:t>No</w:t>
            </w:r>
            <w:r w:rsidR="006A17D0" w:rsidRPr="00894B0C">
              <w:t xml:space="preserve"> difference </w:t>
            </w:r>
            <w:r w:rsidR="4AB1E87D">
              <w:t xml:space="preserve">is </w:t>
            </w:r>
            <w:r w:rsidR="3FAE5A35">
              <w:t>expected</w:t>
            </w:r>
            <w:r w:rsidR="4AB1E87D">
              <w:t xml:space="preserve"> </w:t>
            </w:r>
            <w:r w:rsidR="006A17D0" w:rsidRPr="00894B0C">
              <w:t>between results when comparing forest</w:t>
            </w:r>
            <w:r w:rsidR="006A17D0">
              <w:t xml:space="preserve"> control</w:t>
            </w:r>
            <w:r w:rsidR="006A17D0" w:rsidRPr="00894B0C">
              <w:t xml:space="preserve"> </w:t>
            </w:r>
            <w:r w:rsidR="00A319CC">
              <w:t xml:space="preserve">and </w:t>
            </w:r>
            <w:r w:rsidR="006A17D0" w:rsidRPr="00894B0C">
              <w:t>heathland</w:t>
            </w:r>
            <w:r w:rsidR="006A17D0">
              <w:t xml:space="preserve"> control</w:t>
            </w:r>
            <w:r w:rsidR="006A17D0" w:rsidRPr="00894B0C">
              <w:t xml:space="preserve">. </w:t>
            </w:r>
          </w:p>
        </w:tc>
      </w:tr>
      <w:tr w:rsidR="00960102" w14:paraId="2CF8B252" w14:textId="77777777" w:rsidTr="00960102">
        <w:tc>
          <w:tcPr>
            <w:tcW w:w="3005" w:type="dxa"/>
          </w:tcPr>
          <w:p w14:paraId="2F12AFF9" w14:textId="493C6D08" w:rsidR="00960102" w:rsidRDefault="00346266" w:rsidP="002C0191">
            <w:r>
              <w:lastRenderedPageBreak/>
              <w:t xml:space="preserve">Graphs </w:t>
            </w:r>
          </w:p>
        </w:tc>
        <w:tc>
          <w:tcPr>
            <w:tcW w:w="3005" w:type="dxa"/>
          </w:tcPr>
          <w:p w14:paraId="7AF5AF0E" w14:textId="163A0715" w:rsidR="00960102" w:rsidRDefault="3D8CCB38" w:rsidP="002C0191">
            <w:r>
              <w:t>Scatter</w:t>
            </w:r>
            <w:r w:rsidR="00A319CC">
              <w:t xml:space="preserve"> graphs and bar charts </w:t>
            </w:r>
            <w:r>
              <w:t xml:space="preserve">will be </w:t>
            </w:r>
            <w:r w:rsidR="03CDA8E3">
              <w:t>used</w:t>
            </w:r>
            <w:r>
              <w:t xml:space="preserve"> </w:t>
            </w:r>
            <w:r w:rsidR="00A319CC">
              <w:t xml:space="preserve">to </w:t>
            </w:r>
            <w:r w:rsidR="029BFD36">
              <w:t>show</w:t>
            </w:r>
            <w:r w:rsidR="00A319CC">
              <w:t xml:space="preserve"> fluctuation of the </w:t>
            </w:r>
            <w:r w:rsidR="6E586D24">
              <w:t xml:space="preserve">nutrient </w:t>
            </w:r>
            <w:r w:rsidR="00A319CC">
              <w:t>levels.</w:t>
            </w:r>
          </w:p>
        </w:tc>
        <w:tc>
          <w:tcPr>
            <w:tcW w:w="3006" w:type="dxa"/>
          </w:tcPr>
          <w:p w14:paraId="3E49B6DB" w14:textId="30CE75F3" w:rsidR="00960102" w:rsidRDefault="00457380" w:rsidP="002C0191">
            <w:r>
              <w:t>Similar graphs in the controls, however fluctuation in the experimental groups</w:t>
            </w:r>
            <w:r w:rsidR="6F0F8816">
              <w:t>.</w:t>
            </w:r>
          </w:p>
        </w:tc>
      </w:tr>
    </w:tbl>
    <w:p w14:paraId="688243A3" w14:textId="50122DFA" w:rsidR="00A92A1F" w:rsidRDefault="00A92A1F" w:rsidP="00091E5F">
      <w:pPr>
        <w:rPr>
          <w:rFonts w:ascii="Calibri" w:hAnsi="Calibri" w:cs="Calibri"/>
          <w:color w:val="FF0000"/>
        </w:rPr>
      </w:pPr>
    </w:p>
    <w:p w14:paraId="29C79604" w14:textId="4D660600" w:rsidR="00091E5F" w:rsidRDefault="00091E5F" w:rsidP="00091E5F">
      <w:pPr>
        <w:pStyle w:val="Heading1"/>
      </w:pPr>
      <w:bookmarkStart w:id="23" w:name="_Toc1217553631"/>
      <w:bookmarkStart w:id="24" w:name="_Toc198661138"/>
      <w:r>
        <w:t>Consent / Acces</w:t>
      </w:r>
      <w:r w:rsidR="00950F77">
        <w:t>s / Ethical considerations</w:t>
      </w:r>
      <w:bookmarkEnd w:id="23"/>
      <w:bookmarkEnd w:id="24"/>
    </w:p>
    <w:p w14:paraId="32940EBB" w14:textId="649BAF74" w:rsidR="00D67778" w:rsidRPr="00D67778" w:rsidRDefault="00D67778" w:rsidP="00D67778">
      <w:r w:rsidRPr="00ED100D">
        <w:rPr>
          <w:rFonts w:ascii="Calibri" w:hAnsi="Calibri" w:cs="Calibri"/>
        </w:rPr>
        <w:t xml:space="preserve">Potential secondary effects, such as changes in soil microbial communities and plant health, will also be documented to ensure that biochar application does not introduce unintended ecological </w:t>
      </w:r>
      <w:r w:rsidRPr="0018199B">
        <w:rPr>
          <w:rFonts w:ascii="Calibri" w:hAnsi="Calibri" w:cs="Calibri"/>
        </w:rPr>
        <w:t>consequences.</w:t>
      </w:r>
      <w:r w:rsidR="0018199B" w:rsidRPr="0018199B">
        <w:rPr>
          <w:rFonts w:ascii="Calibri" w:hAnsi="Calibri" w:cs="Calibri"/>
        </w:rPr>
        <w:t xml:space="preserve"> </w:t>
      </w:r>
      <w:r w:rsidR="0018199B">
        <w:rPr>
          <w:rFonts w:ascii="Calibri" w:hAnsi="Calibri" w:cs="Calibri"/>
        </w:rPr>
        <w:t xml:space="preserve">Kilvey Hill is </w:t>
      </w:r>
      <w:r w:rsidR="00C94834">
        <w:rPr>
          <w:rFonts w:ascii="Calibri" w:hAnsi="Calibri" w:cs="Calibri"/>
        </w:rPr>
        <w:t xml:space="preserve">public access so council permission will be obtained </w:t>
      </w:r>
    </w:p>
    <w:p w14:paraId="6EE6112F" w14:textId="62DA4B2D" w:rsidR="00AD428B" w:rsidRPr="00AD428B" w:rsidRDefault="00950F77" w:rsidP="2D469DE0">
      <w:pPr>
        <w:pStyle w:val="Heading1"/>
      </w:pPr>
      <w:bookmarkStart w:id="25" w:name="_Toc2135428922"/>
      <w:bookmarkStart w:id="26" w:name="_Toc198661139"/>
      <w:r>
        <w:t>Timetable</w:t>
      </w:r>
      <w:bookmarkEnd w:id="25"/>
      <w:bookmarkEnd w:id="26"/>
    </w:p>
    <w:p w14:paraId="74104851" w14:textId="13D28D22" w:rsidR="00AB6F30" w:rsidRDefault="00992C84" w:rsidP="00F30593">
      <w:pPr>
        <w:pStyle w:val="Caption"/>
      </w:pPr>
      <w:bookmarkStart w:id="27" w:name="_Toc198661176"/>
      <w:r>
        <w:t xml:space="preserve">Table </w:t>
      </w:r>
      <w:r w:rsidR="00950E93">
        <w:t>3</w:t>
      </w:r>
      <w:r>
        <w:t xml:space="preserve">- a Gannt chart showing the expected progress of the </w:t>
      </w:r>
      <w:r w:rsidR="008D5880">
        <w:t>research project</w:t>
      </w:r>
      <w:bookmarkEnd w:id="27"/>
    </w:p>
    <w:tbl>
      <w:tblPr>
        <w:tblStyle w:val="TableGrid"/>
        <w:tblW w:w="10060" w:type="dxa"/>
        <w:tblLook w:val="04A0" w:firstRow="1" w:lastRow="0" w:firstColumn="1" w:lastColumn="0" w:noHBand="0" w:noVBand="1"/>
      </w:tblPr>
      <w:tblGrid>
        <w:gridCol w:w="2957"/>
        <w:gridCol w:w="1161"/>
        <w:gridCol w:w="1275"/>
        <w:gridCol w:w="4667"/>
      </w:tblGrid>
      <w:tr w:rsidR="00992543" w14:paraId="6849A368" w14:textId="77777777" w:rsidTr="00F220AD">
        <w:tc>
          <w:tcPr>
            <w:tcW w:w="2957" w:type="dxa"/>
          </w:tcPr>
          <w:p w14:paraId="0E990217" w14:textId="63FB371D" w:rsidR="00992543" w:rsidRPr="00A63B90" w:rsidRDefault="00992543" w:rsidP="007521C7">
            <w:pPr>
              <w:rPr>
                <w:b/>
                <w:bCs/>
              </w:rPr>
            </w:pPr>
            <w:r w:rsidRPr="00A63B90">
              <w:rPr>
                <w:b/>
                <w:bCs/>
              </w:rPr>
              <w:t>Task</w:t>
            </w:r>
          </w:p>
        </w:tc>
        <w:tc>
          <w:tcPr>
            <w:tcW w:w="1161" w:type="dxa"/>
          </w:tcPr>
          <w:p w14:paraId="1EF1F7F6" w14:textId="0A3433AD" w:rsidR="00992543" w:rsidRPr="00A63B90" w:rsidRDefault="00992543" w:rsidP="007521C7">
            <w:pPr>
              <w:rPr>
                <w:b/>
                <w:bCs/>
              </w:rPr>
            </w:pPr>
            <w:r w:rsidRPr="00A63B90">
              <w:rPr>
                <w:b/>
                <w:bCs/>
              </w:rPr>
              <w:t>Start Date</w:t>
            </w:r>
          </w:p>
        </w:tc>
        <w:tc>
          <w:tcPr>
            <w:tcW w:w="1275" w:type="dxa"/>
          </w:tcPr>
          <w:p w14:paraId="1179BCE9" w14:textId="178AF0AA" w:rsidR="00992543" w:rsidRPr="00A63B90" w:rsidRDefault="00992543" w:rsidP="007521C7">
            <w:pPr>
              <w:rPr>
                <w:b/>
                <w:bCs/>
              </w:rPr>
            </w:pPr>
            <w:r w:rsidRPr="00A63B90">
              <w:rPr>
                <w:b/>
                <w:bCs/>
              </w:rPr>
              <w:t>Duration</w:t>
            </w:r>
          </w:p>
        </w:tc>
        <w:tc>
          <w:tcPr>
            <w:tcW w:w="4667" w:type="dxa"/>
          </w:tcPr>
          <w:p w14:paraId="0650E40E" w14:textId="2A0B95E8" w:rsidR="00992543" w:rsidRPr="00A63B90" w:rsidRDefault="00992543" w:rsidP="007521C7">
            <w:pPr>
              <w:rPr>
                <w:b/>
                <w:bCs/>
              </w:rPr>
            </w:pPr>
            <w:r w:rsidRPr="00A63B90">
              <w:rPr>
                <w:b/>
                <w:bCs/>
              </w:rPr>
              <w:t>Notes</w:t>
            </w:r>
          </w:p>
        </w:tc>
      </w:tr>
      <w:tr w:rsidR="00992543" w14:paraId="20AF4C20" w14:textId="77777777" w:rsidTr="00F220AD">
        <w:tc>
          <w:tcPr>
            <w:tcW w:w="2957" w:type="dxa"/>
          </w:tcPr>
          <w:p w14:paraId="6C0EC111" w14:textId="3D638CA9" w:rsidR="00992543" w:rsidRDefault="00992543" w:rsidP="007521C7">
            <w:r>
              <w:t xml:space="preserve">Site selection and permission </w:t>
            </w:r>
          </w:p>
        </w:tc>
        <w:tc>
          <w:tcPr>
            <w:tcW w:w="1161" w:type="dxa"/>
          </w:tcPr>
          <w:p w14:paraId="0D11A5C9" w14:textId="787515AE" w:rsidR="00992543" w:rsidRDefault="00992543" w:rsidP="007521C7">
            <w:r>
              <w:t>April 2025</w:t>
            </w:r>
          </w:p>
        </w:tc>
        <w:tc>
          <w:tcPr>
            <w:tcW w:w="1275" w:type="dxa"/>
          </w:tcPr>
          <w:p w14:paraId="39ED2C27" w14:textId="516F52AE" w:rsidR="00992543" w:rsidRDefault="00110073" w:rsidP="007521C7">
            <w:r>
              <w:t>1 week</w:t>
            </w:r>
          </w:p>
        </w:tc>
        <w:tc>
          <w:tcPr>
            <w:tcW w:w="4667" w:type="dxa"/>
          </w:tcPr>
          <w:p w14:paraId="5AC3B2CD" w14:textId="3F78BFF6" w:rsidR="00992543" w:rsidRDefault="00110073" w:rsidP="007521C7">
            <w:r>
              <w:t xml:space="preserve">Permission requested </w:t>
            </w:r>
            <w:r w:rsidR="00776E10">
              <w:t>from Sean Hathaway</w:t>
            </w:r>
          </w:p>
        </w:tc>
      </w:tr>
      <w:tr w:rsidR="00992543" w14:paraId="2BAA94D3" w14:textId="77777777" w:rsidTr="00F220AD">
        <w:tc>
          <w:tcPr>
            <w:tcW w:w="2957" w:type="dxa"/>
          </w:tcPr>
          <w:p w14:paraId="00081F73" w14:textId="7547D9A1" w:rsidR="00992543" w:rsidRDefault="00776E10" w:rsidP="007521C7">
            <w:r>
              <w:t>Soil sample collection</w:t>
            </w:r>
          </w:p>
        </w:tc>
        <w:tc>
          <w:tcPr>
            <w:tcW w:w="1161" w:type="dxa"/>
          </w:tcPr>
          <w:p w14:paraId="52AB3E9E" w14:textId="5AD5DE25" w:rsidR="00992543" w:rsidRDefault="00A34AA0" w:rsidP="007521C7">
            <w:r>
              <w:t>May 2025</w:t>
            </w:r>
          </w:p>
        </w:tc>
        <w:tc>
          <w:tcPr>
            <w:tcW w:w="1275" w:type="dxa"/>
          </w:tcPr>
          <w:p w14:paraId="793A4C81" w14:textId="6DC60E72" w:rsidR="00992543" w:rsidRDefault="00A34AA0" w:rsidP="007521C7">
            <w:r>
              <w:t>1 week</w:t>
            </w:r>
          </w:p>
        </w:tc>
        <w:tc>
          <w:tcPr>
            <w:tcW w:w="4667" w:type="dxa"/>
          </w:tcPr>
          <w:p w14:paraId="4C95D8CA" w14:textId="65482A2B" w:rsidR="00992543" w:rsidRDefault="00A34AA0" w:rsidP="007521C7">
            <w:r>
              <w:t>Samples to be collected from four sites</w:t>
            </w:r>
          </w:p>
        </w:tc>
      </w:tr>
      <w:tr w:rsidR="009A5B4C" w14:paraId="4C6BAB67" w14:textId="77777777" w:rsidTr="00F220AD">
        <w:tc>
          <w:tcPr>
            <w:tcW w:w="2957" w:type="dxa"/>
          </w:tcPr>
          <w:p w14:paraId="3DBA5DC9" w14:textId="7793DB6F" w:rsidR="009A5B4C" w:rsidRDefault="009A5B4C" w:rsidP="007521C7">
            <w:r>
              <w:t>Heavy metal analysis</w:t>
            </w:r>
          </w:p>
        </w:tc>
        <w:tc>
          <w:tcPr>
            <w:tcW w:w="1161" w:type="dxa"/>
          </w:tcPr>
          <w:p w14:paraId="31ACCA2D" w14:textId="7E562981" w:rsidR="009A5B4C" w:rsidRDefault="009A5B4C" w:rsidP="007521C7">
            <w:r>
              <w:t>May 2025</w:t>
            </w:r>
          </w:p>
        </w:tc>
        <w:tc>
          <w:tcPr>
            <w:tcW w:w="1275" w:type="dxa"/>
          </w:tcPr>
          <w:p w14:paraId="4CD4F83D" w14:textId="4A83478D" w:rsidR="009A5B4C" w:rsidRDefault="009A5B4C" w:rsidP="007521C7">
            <w:r>
              <w:t xml:space="preserve">1 week </w:t>
            </w:r>
          </w:p>
        </w:tc>
        <w:tc>
          <w:tcPr>
            <w:tcW w:w="4667" w:type="dxa"/>
          </w:tcPr>
          <w:p w14:paraId="21441879" w14:textId="295CD8A5" w:rsidR="009A5B4C" w:rsidRDefault="009A5B4C" w:rsidP="007521C7">
            <w:r>
              <w:t xml:space="preserve">Samples need to be dried over night and sieved before testing </w:t>
            </w:r>
          </w:p>
        </w:tc>
      </w:tr>
      <w:tr w:rsidR="009A5B4C" w14:paraId="245F1805" w14:textId="77777777" w:rsidTr="00F220AD">
        <w:tc>
          <w:tcPr>
            <w:tcW w:w="2957" w:type="dxa"/>
          </w:tcPr>
          <w:p w14:paraId="4A1C3B84" w14:textId="380C7452" w:rsidR="009A5B4C" w:rsidRDefault="009A5B4C" w:rsidP="007521C7">
            <w:r>
              <w:t xml:space="preserve">Biochar treatment </w:t>
            </w:r>
          </w:p>
        </w:tc>
        <w:tc>
          <w:tcPr>
            <w:tcW w:w="1161" w:type="dxa"/>
          </w:tcPr>
          <w:p w14:paraId="38242121" w14:textId="6E931545" w:rsidR="009A5B4C" w:rsidRDefault="009A5B4C" w:rsidP="007521C7">
            <w:r>
              <w:t>May 2025</w:t>
            </w:r>
          </w:p>
        </w:tc>
        <w:tc>
          <w:tcPr>
            <w:tcW w:w="1275" w:type="dxa"/>
          </w:tcPr>
          <w:p w14:paraId="70F6C76C" w14:textId="79398643" w:rsidR="009A5B4C" w:rsidRDefault="009A5B4C" w:rsidP="007521C7">
            <w:r>
              <w:t>1 week</w:t>
            </w:r>
          </w:p>
        </w:tc>
        <w:tc>
          <w:tcPr>
            <w:tcW w:w="4667" w:type="dxa"/>
          </w:tcPr>
          <w:p w14:paraId="464D73C5" w14:textId="7A9C4647" w:rsidR="009A5B4C" w:rsidRDefault="009A5B4C" w:rsidP="007521C7">
            <w:r>
              <w:t>This can be done at the same time as soil collection</w:t>
            </w:r>
          </w:p>
        </w:tc>
      </w:tr>
      <w:tr w:rsidR="009A5B4C" w14:paraId="10167AF4" w14:textId="77777777" w:rsidTr="00F220AD">
        <w:tc>
          <w:tcPr>
            <w:tcW w:w="2957" w:type="dxa"/>
          </w:tcPr>
          <w:p w14:paraId="6F294E48" w14:textId="7FCCEEC6" w:rsidR="009A5B4C" w:rsidRDefault="00080E5F" w:rsidP="007521C7">
            <w:r>
              <w:t xml:space="preserve">Literature review </w:t>
            </w:r>
          </w:p>
        </w:tc>
        <w:tc>
          <w:tcPr>
            <w:tcW w:w="1161" w:type="dxa"/>
          </w:tcPr>
          <w:p w14:paraId="1EAD1186" w14:textId="345C6F56" w:rsidR="009A5B4C" w:rsidRDefault="00080E5F" w:rsidP="007521C7">
            <w:r>
              <w:t>Summer 2025</w:t>
            </w:r>
          </w:p>
        </w:tc>
        <w:tc>
          <w:tcPr>
            <w:tcW w:w="1275" w:type="dxa"/>
          </w:tcPr>
          <w:p w14:paraId="62D7DAA0" w14:textId="74182450" w:rsidR="009A5B4C" w:rsidRDefault="00080E5F" w:rsidP="007521C7">
            <w:r>
              <w:t xml:space="preserve">4 months </w:t>
            </w:r>
          </w:p>
        </w:tc>
        <w:tc>
          <w:tcPr>
            <w:tcW w:w="4667" w:type="dxa"/>
          </w:tcPr>
          <w:p w14:paraId="0DEB1F25" w14:textId="41C9A666" w:rsidR="009A5B4C" w:rsidRDefault="000D7D2A" w:rsidP="007521C7">
            <w:r>
              <w:t xml:space="preserve">Complete literature review before academic year starts </w:t>
            </w:r>
          </w:p>
        </w:tc>
      </w:tr>
      <w:tr w:rsidR="009A5B4C" w14:paraId="29FE044C" w14:textId="77777777" w:rsidTr="00F220AD">
        <w:tc>
          <w:tcPr>
            <w:tcW w:w="2957" w:type="dxa"/>
          </w:tcPr>
          <w:p w14:paraId="441E496E" w14:textId="01463451" w:rsidR="009A5B4C" w:rsidRDefault="009A5B4C" w:rsidP="007521C7">
            <w:r>
              <w:t>5 month Monitoring</w:t>
            </w:r>
          </w:p>
        </w:tc>
        <w:tc>
          <w:tcPr>
            <w:tcW w:w="1161" w:type="dxa"/>
          </w:tcPr>
          <w:p w14:paraId="58F3CD03" w14:textId="7D51AB9D" w:rsidR="009A5B4C" w:rsidRDefault="009A5B4C" w:rsidP="007521C7">
            <w:r>
              <w:t>October 2025</w:t>
            </w:r>
          </w:p>
        </w:tc>
        <w:tc>
          <w:tcPr>
            <w:tcW w:w="1275" w:type="dxa"/>
          </w:tcPr>
          <w:p w14:paraId="1C0CD3F1" w14:textId="41319BF9" w:rsidR="009A5B4C" w:rsidRDefault="009A5B4C" w:rsidP="007521C7">
            <w:r>
              <w:t>1 week</w:t>
            </w:r>
          </w:p>
        </w:tc>
        <w:tc>
          <w:tcPr>
            <w:tcW w:w="4667" w:type="dxa"/>
          </w:tcPr>
          <w:p w14:paraId="332B94F3" w14:textId="27398117" w:rsidR="009A5B4C" w:rsidRDefault="009A5B4C" w:rsidP="007521C7">
            <w:r>
              <w:t>Samples need to be dried over night and sieved before testing</w:t>
            </w:r>
          </w:p>
        </w:tc>
      </w:tr>
      <w:tr w:rsidR="001C1889" w14:paraId="2D7FBD91" w14:textId="77777777" w:rsidTr="00F220AD">
        <w:tc>
          <w:tcPr>
            <w:tcW w:w="2957" w:type="dxa"/>
          </w:tcPr>
          <w:p w14:paraId="50311C59" w14:textId="2764E232" w:rsidR="001C1889" w:rsidRDefault="001C1889" w:rsidP="007521C7">
            <w:r>
              <w:t>Write up methodology</w:t>
            </w:r>
          </w:p>
        </w:tc>
        <w:tc>
          <w:tcPr>
            <w:tcW w:w="1161" w:type="dxa"/>
          </w:tcPr>
          <w:p w14:paraId="071969E3" w14:textId="71D65A50" w:rsidR="001C1889" w:rsidRDefault="007426AF" w:rsidP="007521C7">
            <w:r>
              <w:t>October 2025</w:t>
            </w:r>
          </w:p>
        </w:tc>
        <w:tc>
          <w:tcPr>
            <w:tcW w:w="1275" w:type="dxa"/>
          </w:tcPr>
          <w:p w14:paraId="74FFDDFD" w14:textId="12D6A781" w:rsidR="001C1889" w:rsidRDefault="007426AF" w:rsidP="007521C7">
            <w:r>
              <w:t xml:space="preserve">1 week </w:t>
            </w:r>
          </w:p>
        </w:tc>
        <w:tc>
          <w:tcPr>
            <w:tcW w:w="4667" w:type="dxa"/>
          </w:tcPr>
          <w:p w14:paraId="16F4196A" w14:textId="77777777" w:rsidR="001C1889" w:rsidRDefault="001C1889" w:rsidP="007521C7"/>
        </w:tc>
      </w:tr>
      <w:tr w:rsidR="007426AF" w14:paraId="2B2BE209" w14:textId="77777777" w:rsidTr="00F220AD">
        <w:tc>
          <w:tcPr>
            <w:tcW w:w="2957" w:type="dxa"/>
          </w:tcPr>
          <w:p w14:paraId="60EB2767" w14:textId="346C850E" w:rsidR="007426AF" w:rsidRDefault="00D10681" w:rsidP="007521C7">
            <w:r>
              <w:t>Analyse 5 month data</w:t>
            </w:r>
          </w:p>
        </w:tc>
        <w:tc>
          <w:tcPr>
            <w:tcW w:w="1161" w:type="dxa"/>
          </w:tcPr>
          <w:p w14:paraId="38538664" w14:textId="402770F6" w:rsidR="007426AF" w:rsidRDefault="00D10681" w:rsidP="007521C7">
            <w:r>
              <w:t>November 2025</w:t>
            </w:r>
          </w:p>
        </w:tc>
        <w:tc>
          <w:tcPr>
            <w:tcW w:w="1275" w:type="dxa"/>
          </w:tcPr>
          <w:p w14:paraId="77577A59" w14:textId="64A149BE" w:rsidR="007426AF" w:rsidRDefault="00D10681" w:rsidP="007521C7">
            <w:r>
              <w:t>1 month</w:t>
            </w:r>
          </w:p>
        </w:tc>
        <w:tc>
          <w:tcPr>
            <w:tcW w:w="4667" w:type="dxa"/>
          </w:tcPr>
          <w:p w14:paraId="71FDA83B" w14:textId="102FD664" w:rsidR="007426AF" w:rsidRDefault="00B62893" w:rsidP="007521C7">
            <w:proofErr w:type="spellStart"/>
            <w:r>
              <w:t>Anayse</w:t>
            </w:r>
            <w:proofErr w:type="spellEnd"/>
            <w:r>
              <w:t xml:space="preserve"> initial data and discuss </w:t>
            </w:r>
          </w:p>
        </w:tc>
      </w:tr>
      <w:tr w:rsidR="009A5B4C" w14:paraId="0AD43903" w14:textId="77777777" w:rsidTr="00F220AD">
        <w:tc>
          <w:tcPr>
            <w:tcW w:w="2957" w:type="dxa"/>
          </w:tcPr>
          <w:p w14:paraId="4A209C1F" w14:textId="58D0EA2C" w:rsidR="009A5B4C" w:rsidRDefault="009A5B4C" w:rsidP="007521C7">
            <w:r>
              <w:t>10 month monitoring</w:t>
            </w:r>
          </w:p>
        </w:tc>
        <w:tc>
          <w:tcPr>
            <w:tcW w:w="1161" w:type="dxa"/>
          </w:tcPr>
          <w:p w14:paraId="60123331" w14:textId="66E5681E" w:rsidR="009A5B4C" w:rsidRDefault="009A5B4C" w:rsidP="007521C7">
            <w:r>
              <w:t>March 2026</w:t>
            </w:r>
          </w:p>
        </w:tc>
        <w:tc>
          <w:tcPr>
            <w:tcW w:w="1275" w:type="dxa"/>
          </w:tcPr>
          <w:p w14:paraId="3542C827" w14:textId="47E7B0BB" w:rsidR="009A5B4C" w:rsidRDefault="009A5B4C" w:rsidP="007521C7">
            <w:r>
              <w:t>1 week</w:t>
            </w:r>
          </w:p>
        </w:tc>
        <w:tc>
          <w:tcPr>
            <w:tcW w:w="4667" w:type="dxa"/>
          </w:tcPr>
          <w:p w14:paraId="5E05427A" w14:textId="5CB18832" w:rsidR="009A5B4C" w:rsidRDefault="009A5B4C" w:rsidP="007521C7">
            <w:r>
              <w:t>Samples need to be dried over night and sieved before testing</w:t>
            </w:r>
          </w:p>
        </w:tc>
      </w:tr>
      <w:tr w:rsidR="00B62893" w14:paraId="0F0639CA" w14:textId="77777777" w:rsidTr="00F220AD">
        <w:tc>
          <w:tcPr>
            <w:tcW w:w="2957" w:type="dxa"/>
          </w:tcPr>
          <w:p w14:paraId="6DF77129" w14:textId="722F781D" w:rsidR="00B62893" w:rsidRDefault="00B62893" w:rsidP="007521C7">
            <w:r>
              <w:t xml:space="preserve">Analyse 10 month data </w:t>
            </w:r>
          </w:p>
        </w:tc>
        <w:tc>
          <w:tcPr>
            <w:tcW w:w="1161" w:type="dxa"/>
          </w:tcPr>
          <w:p w14:paraId="48BD2CDA" w14:textId="4805B3E2" w:rsidR="00B62893" w:rsidRDefault="00DA78F4" w:rsidP="007521C7">
            <w:r>
              <w:t>March  2026</w:t>
            </w:r>
          </w:p>
        </w:tc>
        <w:tc>
          <w:tcPr>
            <w:tcW w:w="1275" w:type="dxa"/>
          </w:tcPr>
          <w:p w14:paraId="1C6E83E2" w14:textId="6DDF3A7A" w:rsidR="00B62893" w:rsidRDefault="00DA78F4" w:rsidP="007521C7">
            <w:r>
              <w:t xml:space="preserve">1 month </w:t>
            </w:r>
          </w:p>
        </w:tc>
        <w:tc>
          <w:tcPr>
            <w:tcW w:w="4667" w:type="dxa"/>
          </w:tcPr>
          <w:p w14:paraId="56C64307" w14:textId="26DF0536" w:rsidR="00B62893" w:rsidRDefault="00DA78F4" w:rsidP="007521C7">
            <w:r>
              <w:t xml:space="preserve">Build on 5 month data </w:t>
            </w:r>
            <w:r w:rsidR="00646955">
              <w:t xml:space="preserve">and write up discussion </w:t>
            </w:r>
          </w:p>
        </w:tc>
      </w:tr>
      <w:tr w:rsidR="009A5B4C" w14:paraId="04B4AC9E" w14:textId="77777777" w:rsidTr="00F220AD">
        <w:tc>
          <w:tcPr>
            <w:tcW w:w="2957" w:type="dxa"/>
          </w:tcPr>
          <w:p w14:paraId="6DBE162B" w14:textId="114D4663" w:rsidR="009A5B4C" w:rsidRDefault="00646955" w:rsidP="007521C7">
            <w:r>
              <w:t xml:space="preserve">Finalise dissertation </w:t>
            </w:r>
          </w:p>
        </w:tc>
        <w:tc>
          <w:tcPr>
            <w:tcW w:w="1161" w:type="dxa"/>
          </w:tcPr>
          <w:p w14:paraId="30656FD3" w14:textId="1D948883" w:rsidR="009A5B4C" w:rsidRDefault="00646955" w:rsidP="007521C7">
            <w:r>
              <w:t>April 2026</w:t>
            </w:r>
          </w:p>
        </w:tc>
        <w:tc>
          <w:tcPr>
            <w:tcW w:w="1275" w:type="dxa"/>
          </w:tcPr>
          <w:p w14:paraId="3E7FC366" w14:textId="52BF8943" w:rsidR="009A5B4C" w:rsidRDefault="00646955" w:rsidP="007521C7">
            <w:r>
              <w:t xml:space="preserve">1 month </w:t>
            </w:r>
          </w:p>
        </w:tc>
        <w:tc>
          <w:tcPr>
            <w:tcW w:w="4667" w:type="dxa"/>
          </w:tcPr>
          <w:p w14:paraId="4678006A" w14:textId="3B704D1E" w:rsidR="009A5B4C" w:rsidRDefault="00F220AD" w:rsidP="007521C7">
            <w:r>
              <w:t xml:space="preserve">Submit </w:t>
            </w:r>
          </w:p>
        </w:tc>
      </w:tr>
    </w:tbl>
    <w:p w14:paraId="095D6E3F" w14:textId="77777777" w:rsidR="007521C7" w:rsidRPr="007521C7" w:rsidRDefault="007521C7" w:rsidP="007521C7"/>
    <w:p w14:paraId="5ABFB02E" w14:textId="77777777" w:rsidR="00F220AD" w:rsidRDefault="00F220AD" w:rsidP="2D469DE0">
      <w:pPr>
        <w:rPr>
          <w:color w:val="FF0000"/>
        </w:rPr>
      </w:pPr>
    </w:p>
    <w:p w14:paraId="77714C2E" w14:textId="77777777" w:rsidR="00F220AD" w:rsidRDefault="00F220AD" w:rsidP="2D469DE0">
      <w:pPr>
        <w:rPr>
          <w:color w:val="FF0000"/>
        </w:rPr>
      </w:pPr>
    </w:p>
    <w:p w14:paraId="07215972" w14:textId="77777777" w:rsidR="00F220AD" w:rsidRDefault="00F220AD" w:rsidP="2D469DE0">
      <w:pPr>
        <w:rPr>
          <w:color w:val="FF0000"/>
        </w:rPr>
      </w:pPr>
    </w:p>
    <w:p w14:paraId="021588AA" w14:textId="77777777" w:rsidR="00F220AD" w:rsidRDefault="00F220AD" w:rsidP="2D469DE0">
      <w:pPr>
        <w:rPr>
          <w:color w:val="FF0000"/>
        </w:rPr>
      </w:pPr>
    </w:p>
    <w:p w14:paraId="4800D9D7" w14:textId="25712E9A" w:rsidR="00095FA3" w:rsidRDefault="00F167C0" w:rsidP="2D469DE0">
      <w:pPr>
        <w:rPr>
          <w:color w:val="FF0000"/>
        </w:rPr>
      </w:pPr>
      <w:r>
        <w:rPr>
          <w:color w:val="FF0000"/>
        </w:rPr>
        <w:br w:type="textWrapping" w:clear="all"/>
      </w:r>
    </w:p>
    <w:p w14:paraId="32F8C3E5" w14:textId="0D956504" w:rsidR="00B25D24" w:rsidRDefault="00950F77" w:rsidP="00F54B9B">
      <w:pPr>
        <w:pStyle w:val="Heading1"/>
      </w:pPr>
      <w:bookmarkStart w:id="28" w:name="_Toc2015299485"/>
      <w:bookmarkStart w:id="29" w:name="_Toc198661140"/>
      <w:r>
        <w:lastRenderedPageBreak/>
        <w:t>References</w:t>
      </w:r>
      <w:bookmarkEnd w:id="28"/>
      <w:bookmarkEnd w:id="29"/>
      <w:r>
        <w:t xml:space="preserve"> </w:t>
      </w:r>
    </w:p>
    <w:p w14:paraId="431BF395"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Amalina, F., Krishnan, S., </w:t>
      </w:r>
      <w:proofErr w:type="spellStart"/>
      <w:r w:rsidRPr="00A519AA">
        <w:rPr>
          <w:rFonts w:asciiTheme="minorHAnsi" w:hAnsiTheme="minorHAnsi" w:cstheme="minorHAnsi"/>
          <w:sz w:val="22"/>
          <w:szCs w:val="22"/>
        </w:rPr>
        <w:t>Zularisam</w:t>
      </w:r>
      <w:proofErr w:type="spellEnd"/>
      <w:r w:rsidRPr="00A519AA">
        <w:rPr>
          <w:rFonts w:asciiTheme="minorHAnsi" w:hAnsiTheme="minorHAnsi" w:cstheme="minorHAnsi"/>
          <w:sz w:val="22"/>
          <w:szCs w:val="22"/>
        </w:rPr>
        <w:t xml:space="preserve">, A.W. and Nasrullah, M. (2025). An extensive analysis and environmental sustainability applications of multifunctional biochar developments: Current trends and technological advances. </w:t>
      </w:r>
      <w:r w:rsidRPr="00A519AA">
        <w:rPr>
          <w:rFonts w:asciiTheme="minorHAnsi" w:hAnsiTheme="minorHAnsi" w:cstheme="minorHAnsi"/>
          <w:i/>
          <w:iCs/>
          <w:sz w:val="22"/>
          <w:szCs w:val="22"/>
        </w:rPr>
        <w:t>Green Technologies and Sustainability</w:t>
      </w:r>
      <w:r w:rsidRPr="00A519AA">
        <w:rPr>
          <w:rFonts w:asciiTheme="minorHAnsi" w:hAnsiTheme="minorHAnsi" w:cstheme="minorHAnsi"/>
          <w:sz w:val="22"/>
          <w:szCs w:val="22"/>
        </w:rPr>
        <w:t xml:space="preserve">, [online] 3(3), p.100174.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://doi.org/10.1016/j.grets.2025.100174.</w:t>
      </w:r>
    </w:p>
    <w:p w14:paraId="225C75DF" w14:textId="77777777" w:rsidR="00C67DAE" w:rsidRDefault="00C67DAE" w:rsidP="000B4157">
      <w:pPr>
        <w:pStyle w:val="NormalWeb"/>
        <w:spacing w:before="240" w:beforeAutospacing="0" w:after="160" w:afterAutospacing="0" w:line="360" w:lineRule="auto"/>
        <w:rPr>
          <w:rFonts w:asciiTheme="minorHAnsi" w:hAnsiTheme="minorHAnsi" w:cstheme="minorHAnsi"/>
          <w:sz w:val="22"/>
          <w:szCs w:val="22"/>
          <w:lang w:val="it-IT"/>
        </w:rPr>
      </w:pPr>
      <w:r w:rsidRPr="00A519AA">
        <w:rPr>
          <w:rFonts w:asciiTheme="minorHAnsi" w:hAnsiTheme="minorHAnsi" w:cstheme="minorHAnsi"/>
          <w:sz w:val="22"/>
          <w:szCs w:val="22"/>
        </w:rPr>
        <w:t xml:space="preserve">Angon, P.B., Islam, </w:t>
      </w:r>
      <w:proofErr w:type="spellStart"/>
      <w:r w:rsidRPr="00A519AA">
        <w:rPr>
          <w:rFonts w:asciiTheme="minorHAnsi" w:hAnsiTheme="minorHAnsi" w:cstheme="minorHAnsi"/>
          <w:sz w:val="22"/>
          <w:szCs w:val="22"/>
        </w:rPr>
        <w:t>Md.S</w:t>
      </w:r>
      <w:proofErr w:type="spellEnd"/>
      <w:r w:rsidRPr="00A519AA">
        <w:rPr>
          <w:rFonts w:asciiTheme="minorHAnsi" w:hAnsiTheme="minorHAnsi" w:cstheme="minorHAnsi"/>
          <w:sz w:val="22"/>
          <w:szCs w:val="22"/>
        </w:rPr>
        <w:t xml:space="preserve">., Kc, S., Das, A., Anjum, N., Poudel, A. and Suchi, S.A. (2024). Sources, effects and present perspectives of heavy metals contamination: Soil, plants and human food chain. </w:t>
      </w:r>
      <w:proofErr w:type="spellStart"/>
      <w:r w:rsidRPr="00A519AA">
        <w:rPr>
          <w:rFonts w:asciiTheme="minorHAnsi" w:hAnsiTheme="minorHAnsi" w:cstheme="minorHAnsi"/>
          <w:i/>
          <w:iCs/>
          <w:sz w:val="22"/>
          <w:szCs w:val="22"/>
          <w:lang w:val="it-IT"/>
        </w:rPr>
        <w:t>Heliyon</w:t>
      </w:r>
      <w:proofErr w:type="spellEnd"/>
      <w:r w:rsidRPr="00A519AA">
        <w:rPr>
          <w:rFonts w:asciiTheme="minorHAnsi" w:hAnsiTheme="minorHAnsi" w:cstheme="minorHAnsi"/>
          <w:sz w:val="22"/>
          <w:szCs w:val="22"/>
          <w:lang w:val="it-IT"/>
        </w:rPr>
        <w:t xml:space="preserve">, 10(7), pp.e28357–e28357. </w:t>
      </w:r>
      <w:proofErr w:type="spellStart"/>
      <w:r w:rsidRPr="00A519AA">
        <w:rPr>
          <w:rFonts w:asciiTheme="minorHAnsi" w:hAnsiTheme="minorHAnsi" w:cstheme="minorHAnsi"/>
          <w:sz w:val="22"/>
          <w:szCs w:val="22"/>
          <w:lang w:val="it-IT"/>
        </w:rPr>
        <w:t>doi:https</w:t>
      </w:r>
      <w:proofErr w:type="spellEnd"/>
      <w:r w:rsidRPr="00A519AA">
        <w:rPr>
          <w:rFonts w:asciiTheme="minorHAnsi" w:hAnsiTheme="minorHAnsi" w:cstheme="minorHAnsi"/>
          <w:sz w:val="22"/>
          <w:szCs w:val="22"/>
          <w:lang w:val="it-IT"/>
        </w:rPr>
        <w:t>://doi.org/10.1016/j.heliyon.2024.e28357.</w:t>
      </w:r>
    </w:p>
    <w:p w14:paraId="4B1EF064" w14:textId="77777777" w:rsidR="00ED1247" w:rsidRPr="00ED3F9E" w:rsidRDefault="00ED1247" w:rsidP="00ED1247">
      <w:pPr>
        <w:spacing w:before="240" w:line="360" w:lineRule="auto"/>
      </w:pPr>
      <w:r w:rsidRPr="00ED3F9E">
        <w:t>Antonangelo,</w:t>
      </w:r>
      <w:r>
        <w:t xml:space="preserve"> J. A.,</w:t>
      </w:r>
      <w:r w:rsidRPr="00ED3F9E">
        <w:t xml:space="preserve"> </w:t>
      </w:r>
      <w:proofErr w:type="spellStart"/>
      <w:r w:rsidRPr="00ED3F9E">
        <w:t>Culman</w:t>
      </w:r>
      <w:proofErr w:type="spellEnd"/>
      <w:r w:rsidRPr="00ED3F9E">
        <w:t xml:space="preserve">, S. and Zhang, H. (2024) ‘Comparative analysis and prediction of cation exchange capacity via summation: influence of biochar type and nutrient ratios’, </w:t>
      </w:r>
      <w:r w:rsidRPr="00ED3F9E">
        <w:rPr>
          <w:i/>
          <w:iCs/>
        </w:rPr>
        <w:t>Frontiers in soil science</w:t>
      </w:r>
      <w:r w:rsidRPr="00ED3F9E">
        <w:t>, 4. Available at: https://doi.org/10.3389/fsoil.2024.1371777.</w:t>
      </w:r>
    </w:p>
    <w:p w14:paraId="50229E37"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ED1247">
        <w:rPr>
          <w:rFonts w:asciiTheme="minorHAnsi" w:hAnsiTheme="minorHAnsi" w:cstheme="minorHAnsi"/>
          <w:sz w:val="22"/>
          <w:szCs w:val="22"/>
        </w:rPr>
        <w:t xml:space="preserve">Aparicio, J.D., Raimondo, E.E., Saez, J.M., Costa-Gutierrez, S.B., Álvarez, A., </w:t>
      </w:r>
      <w:proofErr w:type="spellStart"/>
      <w:r w:rsidRPr="00ED1247">
        <w:rPr>
          <w:rFonts w:asciiTheme="minorHAnsi" w:hAnsiTheme="minorHAnsi" w:cstheme="minorHAnsi"/>
          <w:sz w:val="22"/>
          <w:szCs w:val="22"/>
        </w:rPr>
        <w:t>Benimeli</w:t>
      </w:r>
      <w:proofErr w:type="spellEnd"/>
      <w:r w:rsidRPr="00ED1247">
        <w:rPr>
          <w:rFonts w:asciiTheme="minorHAnsi" w:hAnsiTheme="minorHAnsi" w:cstheme="minorHAnsi"/>
          <w:sz w:val="22"/>
          <w:szCs w:val="22"/>
        </w:rPr>
        <w:t xml:space="preserve">, C.S. and </w:t>
      </w:r>
      <w:proofErr w:type="spellStart"/>
      <w:r w:rsidRPr="00ED1247">
        <w:rPr>
          <w:rFonts w:asciiTheme="minorHAnsi" w:hAnsiTheme="minorHAnsi" w:cstheme="minorHAnsi"/>
          <w:sz w:val="22"/>
          <w:szCs w:val="22"/>
        </w:rPr>
        <w:t>Polti</w:t>
      </w:r>
      <w:proofErr w:type="spellEnd"/>
      <w:r w:rsidRPr="00ED1247">
        <w:rPr>
          <w:rFonts w:asciiTheme="minorHAnsi" w:hAnsiTheme="minorHAnsi" w:cstheme="minorHAnsi"/>
          <w:sz w:val="22"/>
          <w:szCs w:val="22"/>
        </w:rPr>
        <w:t xml:space="preserve">, M.A. (2022). </w:t>
      </w:r>
      <w:r w:rsidRPr="00A519AA">
        <w:rPr>
          <w:rFonts w:asciiTheme="minorHAnsi" w:hAnsiTheme="minorHAnsi" w:cstheme="minorHAnsi"/>
          <w:sz w:val="22"/>
          <w:szCs w:val="22"/>
        </w:rPr>
        <w:t xml:space="preserve">The current approach to soil remediation: A review of physicochemical and biological technologies, and the potential of their strategic combination. </w:t>
      </w:r>
      <w:r w:rsidRPr="00A519AA">
        <w:rPr>
          <w:rFonts w:asciiTheme="minorHAnsi" w:hAnsiTheme="minorHAnsi" w:cstheme="minorHAnsi"/>
          <w:i/>
          <w:iCs/>
          <w:sz w:val="22"/>
          <w:szCs w:val="22"/>
        </w:rPr>
        <w:t>Journal of Environmental Chemical Engineering</w:t>
      </w:r>
      <w:r w:rsidRPr="00A519AA">
        <w:rPr>
          <w:rFonts w:asciiTheme="minorHAnsi" w:hAnsiTheme="minorHAnsi" w:cstheme="minorHAnsi"/>
          <w:sz w:val="22"/>
          <w:szCs w:val="22"/>
        </w:rPr>
        <w:t xml:space="preserve">, [online] 10(2), p.107141.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://doi.org/10.1016/j.jece.2022.107141.</w:t>
      </w:r>
    </w:p>
    <w:p w14:paraId="5B1C7247" w14:textId="36594051"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Aravind </w:t>
      </w:r>
      <w:r w:rsidR="000B4157">
        <w:rPr>
          <w:rFonts w:asciiTheme="minorHAnsi" w:hAnsiTheme="minorHAnsi" w:cstheme="minorHAnsi"/>
          <w:sz w:val="22"/>
          <w:szCs w:val="22"/>
        </w:rPr>
        <w:t>K</w:t>
      </w:r>
      <w:r w:rsidRPr="00A519AA">
        <w:rPr>
          <w:rFonts w:asciiTheme="minorHAnsi" w:hAnsiTheme="minorHAnsi" w:cstheme="minorHAnsi"/>
          <w:sz w:val="22"/>
          <w:szCs w:val="22"/>
        </w:rPr>
        <w:t xml:space="preserve">umar, J., Krithiga, T., Sathish, S., Renita, A.A., Prabu, D., Lokesh, S., Geetha, R., </w:t>
      </w:r>
      <w:proofErr w:type="spellStart"/>
      <w:r w:rsidRPr="00A519AA">
        <w:rPr>
          <w:rFonts w:asciiTheme="minorHAnsi" w:hAnsiTheme="minorHAnsi" w:cstheme="minorHAnsi"/>
          <w:sz w:val="22"/>
          <w:szCs w:val="22"/>
        </w:rPr>
        <w:t>Namasivayam</w:t>
      </w:r>
      <w:proofErr w:type="spellEnd"/>
      <w:r w:rsidRPr="00A519AA">
        <w:rPr>
          <w:rFonts w:asciiTheme="minorHAnsi" w:hAnsiTheme="minorHAnsi" w:cstheme="minorHAnsi"/>
          <w:sz w:val="22"/>
          <w:szCs w:val="22"/>
        </w:rPr>
        <w:t xml:space="preserve">, S.K.R. and Sillanpaa, M. (2022). Persistent organic pollutants in water resources: Fate, occurrence, characterization and risk analysis. </w:t>
      </w:r>
      <w:r w:rsidRPr="00A519AA">
        <w:rPr>
          <w:rFonts w:asciiTheme="minorHAnsi" w:hAnsiTheme="minorHAnsi" w:cstheme="minorHAnsi"/>
          <w:i/>
          <w:iCs/>
          <w:sz w:val="22"/>
          <w:szCs w:val="22"/>
        </w:rPr>
        <w:t>Science of The Total Environment</w:t>
      </w:r>
      <w:r w:rsidRPr="00A519AA">
        <w:rPr>
          <w:rFonts w:asciiTheme="minorHAnsi" w:hAnsiTheme="minorHAnsi" w:cstheme="minorHAnsi"/>
          <w:sz w:val="22"/>
          <w:szCs w:val="22"/>
        </w:rPr>
        <w:t xml:space="preserve">, 831, p.154808.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://doi.org/10.1016/j.scitotenv.2022.154808.</w:t>
      </w:r>
    </w:p>
    <w:p w14:paraId="6D5906E0"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Asadi, H., Ghorbani, M., Rezaei-Rashti, M., </w:t>
      </w:r>
      <w:proofErr w:type="spellStart"/>
      <w:r w:rsidRPr="00A519AA">
        <w:rPr>
          <w:rFonts w:asciiTheme="minorHAnsi" w:hAnsiTheme="minorHAnsi" w:cstheme="minorHAnsi"/>
          <w:sz w:val="22"/>
          <w:szCs w:val="22"/>
        </w:rPr>
        <w:t>Abrishamkesh</w:t>
      </w:r>
      <w:proofErr w:type="spellEnd"/>
      <w:r w:rsidRPr="00A519AA">
        <w:rPr>
          <w:rFonts w:asciiTheme="minorHAnsi" w:hAnsiTheme="minorHAnsi" w:cstheme="minorHAnsi"/>
          <w:sz w:val="22"/>
          <w:szCs w:val="22"/>
        </w:rPr>
        <w:t xml:space="preserve">, S., </w:t>
      </w:r>
      <w:proofErr w:type="spellStart"/>
      <w:r w:rsidRPr="00A519AA">
        <w:rPr>
          <w:rFonts w:asciiTheme="minorHAnsi" w:hAnsiTheme="minorHAnsi" w:cstheme="minorHAnsi"/>
          <w:sz w:val="22"/>
          <w:szCs w:val="22"/>
        </w:rPr>
        <w:t>Amirahmadi</w:t>
      </w:r>
      <w:proofErr w:type="spellEnd"/>
      <w:r w:rsidRPr="00A519AA">
        <w:rPr>
          <w:rFonts w:asciiTheme="minorHAnsi" w:hAnsiTheme="minorHAnsi" w:cstheme="minorHAnsi"/>
          <w:sz w:val="22"/>
          <w:szCs w:val="22"/>
        </w:rPr>
        <w:t xml:space="preserve">, E., </w:t>
      </w:r>
      <w:proofErr w:type="spellStart"/>
      <w:r w:rsidRPr="00A519AA">
        <w:rPr>
          <w:rFonts w:asciiTheme="minorHAnsi" w:hAnsiTheme="minorHAnsi" w:cstheme="minorHAnsi"/>
          <w:sz w:val="22"/>
          <w:szCs w:val="22"/>
        </w:rPr>
        <w:t>Chengrong</w:t>
      </w:r>
      <w:proofErr w:type="spellEnd"/>
      <w:r w:rsidRPr="00A519AA">
        <w:rPr>
          <w:rFonts w:asciiTheme="minorHAnsi" w:hAnsiTheme="minorHAnsi" w:cstheme="minorHAnsi"/>
          <w:sz w:val="22"/>
          <w:szCs w:val="22"/>
        </w:rPr>
        <w:t xml:space="preserve">, C. and Gorji, M. (2021). Application of Rice Husk Biochar for Achieving Sustainable Agriculture and Environment. </w:t>
      </w:r>
      <w:r w:rsidRPr="00A519AA">
        <w:rPr>
          <w:rFonts w:asciiTheme="minorHAnsi" w:hAnsiTheme="minorHAnsi" w:cstheme="minorHAnsi"/>
          <w:i/>
          <w:iCs/>
          <w:sz w:val="22"/>
          <w:szCs w:val="22"/>
        </w:rPr>
        <w:t>Rice Science</w:t>
      </w:r>
      <w:r w:rsidRPr="00A519AA">
        <w:rPr>
          <w:rFonts w:asciiTheme="minorHAnsi" w:hAnsiTheme="minorHAnsi" w:cstheme="minorHAnsi"/>
          <w:sz w:val="22"/>
          <w:szCs w:val="22"/>
        </w:rPr>
        <w:t xml:space="preserve">, 28(4), pp.325–343.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://doi.org/10.1016/j.rsci.2021.05.004.</w:t>
      </w:r>
    </w:p>
    <w:p w14:paraId="0B69AD99" w14:textId="77777777" w:rsidR="00C67DAE" w:rsidRPr="00ED3F9E" w:rsidRDefault="00C67DAE" w:rsidP="000B4157">
      <w:pPr>
        <w:spacing w:before="240" w:line="360" w:lineRule="auto"/>
        <w:rPr>
          <w:lang w:val="fr-FR"/>
        </w:rPr>
      </w:pPr>
      <w:r w:rsidRPr="00ED3F9E">
        <w:t xml:space="preserve">Berglund, L.M., DeLuca, T.H. and Zackrisson, O. (2004) ‘Activated carbon amendments to soil alters nitrification rates in Scots pine forests’, </w:t>
      </w:r>
      <w:r w:rsidRPr="00ED3F9E">
        <w:rPr>
          <w:i/>
          <w:iCs/>
        </w:rPr>
        <w:t>Soil Biology and Biochemistry</w:t>
      </w:r>
      <w:r w:rsidRPr="00ED3F9E">
        <w:t xml:space="preserve">, 36(12), pp. 2067–2073. </w:t>
      </w:r>
      <w:proofErr w:type="spellStart"/>
      <w:r w:rsidRPr="00ED3F9E">
        <w:rPr>
          <w:lang w:val="fr-FR"/>
        </w:rPr>
        <w:t>Available</w:t>
      </w:r>
      <w:proofErr w:type="spellEnd"/>
      <w:r w:rsidRPr="00ED3F9E">
        <w:rPr>
          <w:lang w:val="fr-FR"/>
        </w:rPr>
        <w:t xml:space="preserve"> at: https://doi.org/10.1016/j.soilbio.2004.06.005.</w:t>
      </w:r>
    </w:p>
    <w:p w14:paraId="7035818C" w14:textId="77777777" w:rsidR="00C67DAE" w:rsidRPr="00ED3F9E" w:rsidRDefault="00C67DAE" w:rsidP="000B4157">
      <w:pPr>
        <w:spacing w:before="240" w:line="360" w:lineRule="auto"/>
      </w:pPr>
      <w:r w:rsidRPr="00ED3F9E">
        <w:rPr>
          <w:lang w:val="fr-FR"/>
        </w:rPr>
        <w:t xml:space="preserve">Chen, J. </w:t>
      </w:r>
      <w:r w:rsidRPr="00ED3F9E">
        <w:rPr>
          <w:i/>
          <w:iCs/>
          <w:lang w:val="fr-FR"/>
        </w:rPr>
        <w:t>et al.</w:t>
      </w:r>
      <w:r w:rsidRPr="00ED3F9E">
        <w:rPr>
          <w:lang w:val="fr-FR"/>
        </w:rPr>
        <w:t xml:space="preserve"> </w:t>
      </w:r>
      <w:r w:rsidRPr="00ED3F9E">
        <w:t xml:space="preserve">(2024) ‘A complete review on the oxygen-containing functional groups of biochar: Formation mechanisms, detection methods, engineering, and applications’, </w:t>
      </w:r>
      <w:r w:rsidRPr="00ED3F9E">
        <w:rPr>
          <w:i/>
          <w:iCs/>
        </w:rPr>
        <w:t>Science of The Total Environment</w:t>
      </w:r>
      <w:r w:rsidRPr="00ED3F9E">
        <w:t>, 946(946), p. 174081. Available at: https://doi.org/10.1016/j.scitotenv.2024.174081.</w:t>
      </w:r>
    </w:p>
    <w:p w14:paraId="4FB7D630"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lastRenderedPageBreak/>
        <w:t xml:space="preserve">de la Rosa, J.M., Rosado, M., Paneque, M., Miller, A.Z. and Knicker, H. (2018). Effects of aging under field conditions on biochar structure and composition: Implications for biochar stability in soils. </w:t>
      </w:r>
      <w:r w:rsidRPr="00A519AA">
        <w:rPr>
          <w:rFonts w:asciiTheme="minorHAnsi" w:hAnsiTheme="minorHAnsi" w:cstheme="minorHAnsi"/>
          <w:i/>
          <w:iCs/>
          <w:sz w:val="22"/>
          <w:szCs w:val="22"/>
        </w:rPr>
        <w:t>Science of The Total Environment</w:t>
      </w:r>
      <w:r w:rsidRPr="00A519AA">
        <w:rPr>
          <w:rFonts w:asciiTheme="minorHAnsi" w:hAnsiTheme="minorHAnsi" w:cstheme="minorHAnsi"/>
          <w:sz w:val="22"/>
          <w:szCs w:val="22"/>
        </w:rPr>
        <w:t xml:space="preserve">, 613-614, pp.969–976.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://doi.org/10.1016/j.scitotenv.2017.09.124.</w:t>
      </w:r>
    </w:p>
    <w:p w14:paraId="5AA0D2DE"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Desai, M A, (2013), Phytoremediation: a tool for restoring land degraded due to opencast coal mining, PhD, Oxford Brookes University </w:t>
      </w:r>
    </w:p>
    <w:p w14:paraId="66C669E9" w14:textId="77777777" w:rsidR="00C67DAE" w:rsidRPr="00ED3F9E" w:rsidRDefault="00C67DAE" w:rsidP="000B4157">
      <w:pPr>
        <w:spacing w:before="240" w:line="360" w:lineRule="auto"/>
      </w:pPr>
      <w:r w:rsidRPr="00ED3F9E">
        <w:t xml:space="preserve">Doku, E.T. and Belford, E.J.D. (2024) ‘Heavy Metal Contamination in Rhizosphere of Plants at a Decommissioned Gold Mine Tailings Dam’, </w:t>
      </w:r>
      <w:r w:rsidRPr="00ED3F9E">
        <w:rPr>
          <w:i/>
          <w:iCs/>
        </w:rPr>
        <w:t>Water, Air, &amp; Soil Pollution</w:t>
      </w:r>
      <w:r w:rsidRPr="00ED3F9E">
        <w:t>, 235(10). Available at: https://doi.org/10.1007/s11270-024-07445-2.</w:t>
      </w:r>
    </w:p>
    <w:p w14:paraId="64D9F29F" w14:textId="77777777" w:rsidR="00C67DAE" w:rsidRDefault="00C67DAE" w:rsidP="000B4157">
      <w:pPr>
        <w:pStyle w:val="NormalWeb"/>
        <w:spacing w:before="240" w:beforeAutospacing="0" w:after="160" w:afterAutospacing="0" w:line="360" w:lineRule="auto"/>
        <w:rPr>
          <w:rFonts w:asciiTheme="minorHAnsi" w:hAnsiTheme="minorHAnsi" w:cstheme="minorHAnsi"/>
          <w:sz w:val="22"/>
          <w:szCs w:val="22"/>
        </w:rPr>
      </w:pPr>
      <w:proofErr w:type="spellStart"/>
      <w:r w:rsidRPr="00A519AA">
        <w:rPr>
          <w:rFonts w:asciiTheme="minorHAnsi" w:hAnsiTheme="minorHAnsi" w:cstheme="minorHAnsi"/>
          <w:sz w:val="22"/>
          <w:szCs w:val="22"/>
        </w:rPr>
        <w:t>Dwibedi</w:t>
      </w:r>
      <w:proofErr w:type="spellEnd"/>
      <w:r w:rsidRPr="00A519AA">
        <w:rPr>
          <w:rFonts w:asciiTheme="minorHAnsi" w:hAnsiTheme="minorHAnsi" w:cstheme="minorHAnsi"/>
          <w:sz w:val="22"/>
          <w:szCs w:val="22"/>
        </w:rPr>
        <w:t xml:space="preserve">, S.K., Pandey, V.C., Divyasree, D. and Bajpai, O. (2022). Biochar‐based land development. </w:t>
      </w:r>
      <w:r w:rsidRPr="00A519AA">
        <w:rPr>
          <w:rFonts w:asciiTheme="minorHAnsi" w:hAnsiTheme="minorHAnsi" w:cstheme="minorHAnsi"/>
          <w:i/>
          <w:iCs/>
          <w:sz w:val="22"/>
          <w:szCs w:val="22"/>
        </w:rPr>
        <w:t>Land Degradation &amp; Development</w:t>
      </w:r>
      <w:r w:rsidRPr="00A519AA">
        <w:rPr>
          <w:rFonts w:asciiTheme="minorHAnsi" w:hAnsiTheme="minorHAnsi" w:cstheme="minorHAnsi"/>
          <w:sz w:val="22"/>
          <w:szCs w:val="22"/>
        </w:rPr>
        <w:t xml:space="preserve">, 33(8), pp.1139–1158.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://doi.org/10.1002/ldr.4185.</w:t>
      </w:r>
    </w:p>
    <w:p w14:paraId="4159C820" w14:textId="77777777" w:rsidR="009D428A" w:rsidRPr="00A519AA" w:rsidRDefault="009D428A" w:rsidP="009D428A">
      <w:pPr>
        <w:pStyle w:val="NormalWeb"/>
        <w:spacing w:before="240" w:beforeAutospacing="0" w:after="160" w:afterAutospacing="0" w:line="360" w:lineRule="auto"/>
        <w:rPr>
          <w:rFonts w:asciiTheme="minorHAnsi" w:hAnsiTheme="minorHAnsi" w:cstheme="minorHAnsi"/>
          <w:sz w:val="22"/>
          <w:szCs w:val="22"/>
        </w:rPr>
      </w:pPr>
      <w:proofErr w:type="spellStart"/>
      <w:r>
        <w:rPr>
          <w:rFonts w:asciiTheme="minorHAnsi" w:hAnsiTheme="minorHAnsi" w:cstheme="minorHAnsi"/>
          <w:sz w:val="22"/>
          <w:szCs w:val="22"/>
          <w:lang w:val="fr-FR"/>
        </w:rPr>
        <w:t>Environment</w:t>
      </w:r>
      <w:proofErr w:type="spellEnd"/>
      <w:r>
        <w:rPr>
          <w:rFonts w:asciiTheme="minorHAnsi" w:hAnsiTheme="minorHAnsi" w:cstheme="minorHAnsi"/>
          <w:sz w:val="22"/>
          <w:szCs w:val="22"/>
          <w:lang w:val="fr-FR"/>
        </w:rPr>
        <w:t xml:space="preserve"> Centre</w:t>
      </w:r>
      <w:r w:rsidRPr="00A519AA">
        <w:rPr>
          <w:rFonts w:asciiTheme="minorHAnsi" w:hAnsiTheme="minorHAnsi" w:cstheme="minorHAnsi"/>
          <w:sz w:val="22"/>
          <w:szCs w:val="22"/>
          <w:lang w:val="fr-FR"/>
        </w:rPr>
        <w:t xml:space="preserve"> (2023). </w:t>
      </w:r>
      <w:proofErr w:type="spellStart"/>
      <w:r w:rsidRPr="00A519AA">
        <w:rPr>
          <w:rFonts w:asciiTheme="minorHAnsi" w:hAnsiTheme="minorHAnsi" w:cstheme="minorHAnsi"/>
          <w:i/>
          <w:iCs/>
          <w:sz w:val="22"/>
          <w:szCs w:val="22"/>
          <w:lang w:val="fr-FR"/>
        </w:rPr>
        <w:t>Environment</w:t>
      </w:r>
      <w:proofErr w:type="spellEnd"/>
      <w:r w:rsidRPr="00A519AA">
        <w:rPr>
          <w:rFonts w:asciiTheme="minorHAnsi" w:hAnsiTheme="minorHAnsi" w:cstheme="minorHAnsi"/>
          <w:i/>
          <w:iCs/>
          <w:sz w:val="22"/>
          <w:szCs w:val="22"/>
          <w:lang w:val="fr-FR"/>
        </w:rPr>
        <w:t xml:space="preserve"> Centre Swansea</w:t>
      </w:r>
      <w:r w:rsidRPr="00A519AA">
        <w:rPr>
          <w:rFonts w:asciiTheme="minorHAnsi" w:hAnsiTheme="minorHAnsi" w:cstheme="minorHAnsi"/>
          <w:sz w:val="22"/>
          <w:szCs w:val="22"/>
          <w:lang w:val="fr-FR"/>
        </w:rPr>
        <w:t xml:space="preserve">. </w:t>
      </w:r>
      <w:r w:rsidRPr="009D428A">
        <w:rPr>
          <w:rFonts w:asciiTheme="minorHAnsi" w:hAnsiTheme="minorHAnsi" w:cstheme="minorHAnsi"/>
          <w:sz w:val="22"/>
          <w:szCs w:val="22"/>
        </w:rPr>
        <w:t xml:space="preserve">[online] Environment Centre Swansea. </w:t>
      </w:r>
      <w:r w:rsidRPr="00A519AA">
        <w:rPr>
          <w:rFonts w:asciiTheme="minorHAnsi" w:hAnsiTheme="minorHAnsi" w:cstheme="minorHAnsi"/>
          <w:sz w:val="22"/>
          <w:szCs w:val="22"/>
        </w:rPr>
        <w:t>Available at: https://www.environmentcentre.org.uk/volunteer-blog/the-history-behind-kilvey-hillnbsp [Accessed 11 Feb. 2025].</w:t>
      </w:r>
    </w:p>
    <w:p w14:paraId="183DBBF2"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Ghosh, D. and Maiti, S.K. (2021). Biochar assisted eco‐restoration of coal mine degraded land for UN Sustainable development goals. </w:t>
      </w:r>
      <w:r w:rsidRPr="00A519AA">
        <w:rPr>
          <w:rFonts w:asciiTheme="minorHAnsi" w:hAnsiTheme="minorHAnsi" w:cstheme="minorHAnsi"/>
          <w:i/>
          <w:iCs/>
          <w:sz w:val="22"/>
          <w:szCs w:val="22"/>
        </w:rPr>
        <w:t>Land Degradation &amp; Development</w:t>
      </w:r>
      <w:r w:rsidRPr="00A519AA">
        <w:rPr>
          <w:rFonts w:asciiTheme="minorHAnsi" w:hAnsiTheme="minorHAnsi" w:cstheme="minorHAnsi"/>
          <w:sz w:val="22"/>
          <w:szCs w:val="22"/>
        </w:rPr>
        <w:t xml:space="preserve">.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://doi.org/10.1002/ldr.4055.</w:t>
      </w:r>
    </w:p>
    <w:p w14:paraId="135FE1E6" w14:textId="46AAB18B" w:rsidR="00C67DAE" w:rsidRPr="00ED3F9E" w:rsidRDefault="00C67DAE" w:rsidP="000B4157">
      <w:pPr>
        <w:spacing w:before="240" w:line="360" w:lineRule="auto"/>
      </w:pPr>
      <w:r w:rsidRPr="00ED3F9E">
        <w:t>Ghosh, D. and Kumar Maiti</w:t>
      </w:r>
      <w:r w:rsidR="008F27B9">
        <w:t>, S.</w:t>
      </w:r>
      <w:r w:rsidRPr="00ED3F9E">
        <w:t xml:space="preserve"> (2024) ‘Biochar’, in </w:t>
      </w:r>
      <w:r w:rsidRPr="00ED3F9E">
        <w:rPr>
          <w:i/>
          <w:iCs/>
        </w:rPr>
        <w:t>CRC Press eBooks</w:t>
      </w:r>
      <w:r w:rsidRPr="00ED3F9E">
        <w:t>. Informa, pp. 104–115. Available at: https://doi.org/10.1201/9781003344803-12.</w:t>
      </w:r>
    </w:p>
    <w:p w14:paraId="6069E3C2"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Gogoi, L., </w:t>
      </w:r>
      <w:proofErr w:type="spellStart"/>
      <w:r w:rsidRPr="00A519AA">
        <w:rPr>
          <w:rFonts w:asciiTheme="minorHAnsi" w:hAnsiTheme="minorHAnsi" w:cstheme="minorHAnsi"/>
          <w:sz w:val="22"/>
          <w:szCs w:val="22"/>
        </w:rPr>
        <w:t>Narzari</w:t>
      </w:r>
      <w:proofErr w:type="spellEnd"/>
      <w:r w:rsidRPr="00A519AA">
        <w:rPr>
          <w:rFonts w:asciiTheme="minorHAnsi" w:hAnsiTheme="minorHAnsi" w:cstheme="minorHAnsi"/>
          <w:sz w:val="22"/>
          <w:szCs w:val="22"/>
        </w:rPr>
        <w:t xml:space="preserve">, R., Chutia, R.S., </w:t>
      </w:r>
      <w:proofErr w:type="spellStart"/>
      <w:r w:rsidRPr="00A519AA">
        <w:rPr>
          <w:rFonts w:asciiTheme="minorHAnsi" w:hAnsiTheme="minorHAnsi" w:cstheme="minorHAnsi"/>
          <w:sz w:val="22"/>
          <w:szCs w:val="22"/>
        </w:rPr>
        <w:t>Borkotoki</w:t>
      </w:r>
      <w:proofErr w:type="spellEnd"/>
      <w:r w:rsidRPr="00A519AA">
        <w:rPr>
          <w:rFonts w:asciiTheme="minorHAnsi" w:hAnsiTheme="minorHAnsi" w:cstheme="minorHAnsi"/>
          <w:sz w:val="22"/>
          <w:szCs w:val="22"/>
        </w:rPr>
        <w:t xml:space="preserve">, B., Gogoi, N. and Kataki, R. (2021). Remediation of heavy metal contaminated soil: Role of biochar. [online] </w:t>
      </w:r>
      <w:r w:rsidRPr="008F27B9">
        <w:rPr>
          <w:rFonts w:asciiTheme="minorHAnsi" w:hAnsiTheme="minorHAnsi" w:cstheme="minorHAnsi"/>
          <w:i/>
          <w:iCs/>
          <w:sz w:val="22"/>
          <w:szCs w:val="22"/>
        </w:rPr>
        <w:t>Elsevier</w:t>
      </w:r>
      <w:r w:rsidRPr="00A519AA">
        <w:rPr>
          <w:rFonts w:asciiTheme="minorHAnsi" w:hAnsiTheme="minorHAnsi" w:cstheme="minorHAnsi"/>
          <w:sz w:val="22"/>
          <w:szCs w:val="22"/>
        </w:rPr>
        <w:t xml:space="preserve">, pp.39–63.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://doi.org/10.1016/bs.apmp.2021.08.002.</w:t>
      </w:r>
    </w:p>
    <w:p w14:paraId="595373F3"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He, L., Zhong, H., Liu, G., Dai, Z., Brookes, P.C. and Xu, J. (2019). Remediation of heavy metal contaminated soils by biochar: Mechanisms, potential risks and applications in China. </w:t>
      </w:r>
      <w:r w:rsidRPr="00A519AA">
        <w:rPr>
          <w:rFonts w:asciiTheme="minorHAnsi" w:hAnsiTheme="minorHAnsi" w:cstheme="minorHAnsi"/>
          <w:i/>
          <w:iCs/>
          <w:sz w:val="22"/>
          <w:szCs w:val="22"/>
        </w:rPr>
        <w:t>Environmental Pollution</w:t>
      </w:r>
      <w:r w:rsidRPr="00A519AA">
        <w:rPr>
          <w:rFonts w:asciiTheme="minorHAnsi" w:hAnsiTheme="minorHAnsi" w:cstheme="minorHAnsi"/>
          <w:sz w:val="22"/>
          <w:szCs w:val="22"/>
        </w:rPr>
        <w:t xml:space="preserve">, 252, pp.846–855.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://doi.org/10.1016/j.envpol.2019.05.151.</w:t>
      </w:r>
    </w:p>
    <w:p w14:paraId="71940F62" w14:textId="77777777" w:rsidR="00C67DAE" w:rsidRPr="00ED3F9E" w:rsidRDefault="00C67DAE" w:rsidP="000B4157">
      <w:pPr>
        <w:spacing w:before="240" w:line="360" w:lineRule="auto"/>
      </w:pPr>
      <w:r w:rsidRPr="00ED3F9E">
        <w:t xml:space="preserve">Ivanov, P. and Hristov, B. (2024) </w:t>
      </w:r>
      <w:r w:rsidRPr="00ED3F9E">
        <w:rPr>
          <w:i/>
          <w:iCs/>
        </w:rPr>
        <w:t>Bulgarian Soil Science Society</w:t>
      </w:r>
      <w:r w:rsidRPr="00ED3F9E">
        <w:t xml:space="preserve">, </w:t>
      </w:r>
      <w:r w:rsidRPr="00ED3F9E">
        <w:rPr>
          <w:i/>
          <w:iCs/>
        </w:rPr>
        <w:t>Bsss.bg</w:t>
      </w:r>
      <w:r w:rsidRPr="00ED3F9E">
        <w:t>. Available at: https://bsss.bg/issues/issue1_2025/BJSS_2025_1_7.pdf (Accessed: 20 May 2025).</w:t>
      </w:r>
    </w:p>
    <w:p w14:paraId="581F2833"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proofErr w:type="spellStart"/>
      <w:r w:rsidRPr="00A519AA">
        <w:rPr>
          <w:rFonts w:asciiTheme="minorHAnsi" w:hAnsiTheme="minorHAnsi" w:cstheme="minorHAnsi"/>
          <w:sz w:val="22"/>
          <w:szCs w:val="22"/>
        </w:rPr>
        <w:lastRenderedPageBreak/>
        <w:t>Izydorczyk</w:t>
      </w:r>
      <w:proofErr w:type="spellEnd"/>
      <w:r w:rsidRPr="00A519AA">
        <w:rPr>
          <w:rFonts w:asciiTheme="minorHAnsi" w:hAnsiTheme="minorHAnsi" w:cstheme="minorHAnsi"/>
          <w:sz w:val="22"/>
          <w:szCs w:val="22"/>
        </w:rPr>
        <w:t>, G., Mikula, K., Skrzypczak, D., Moustakas, K., Witek-</w:t>
      </w:r>
      <w:proofErr w:type="spellStart"/>
      <w:r w:rsidRPr="00A519AA">
        <w:rPr>
          <w:rFonts w:asciiTheme="minorHAnsi" w:hAnsiTheme="minorHAnsi" w:cstheme="minorHAnsi"/>
          <w:sz w:val="22"/>
          <w:szCs w:val="22"/>
        </w:rPr>
        <w:t>Krowiak</w:t>
      </w:r>
      <w:proofErr w:type="spellEnd"/>
      <w:r w:rsidRPr="00A519AA">
        <w:rPr>
          <w:rFonts w:asciiTheme="minorHAnsi" w:hAnsiTheme="minorHAnsi" w:cstheme="minorHAnsi"/>
          <w:sz w:val="22"/>
          <w:szCs w:val="22"/>
        </w:rPr>
        <w:t xml:space="preserve">, A. and Chojnacka, K. (2021). Potential environmental pollution from copper metallurgy and methods of management. </w:t>
      </w:r>
      <w:r w:rsidRPr="00A519AA">
        <w:rPr>
          <w:rFonts w:asciiTheme="minorHAnsi" w:hAnsiTheme="minorHAnsi" w:cstheme="minorHAnsi"/>
          <w:i/>
          <w:iCs/>
          <w:sz w:val="22"/>
          <w:szCs w:val="22"/>
        </w:rPr>
        <w:t>Environmental Research</w:t>
      </w:r>
      <w:r w:rsidRPr="00A519AA">
        <w:rPr>
          <w:rFonts w:asciiTheme="minorHAnsi" w:hAnsiTheme="minorHAnsi" w:cstheme="minorHAnsi"/>
          <w:sz w:val="22"/>
          <w:szCs w:val="22"/>
        </w:rPr>
        <w:t xml:space="preserve">, 197(111050), p.111050.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://doi.org/10.1016/j.envres.2021.111050.</w:t>
      </w:r>
    </w:p>
    <w:p w14:paraId="047B9E9E"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Kapoor, R.T., Ahmad, P. and Mohd </w:t>
      </w:r>
      <w:proofErr w:type="spellStart"/>
      <w:r w:rsidRPr="00A519AA">
        <w:rPr>
          <w:rFonts w:asciiTheme="minorHAnsi" w:hAnsiTheme="minorHAnsi" w:cstheme="minorHAnsi"/>
          <w:sz w:val="22"/>
          <w:szCs w:val="22"/>
        </w:rPr>
        <w:t>Rafatullah</w:t>
      </w:r>
      <w:proofErr w:type="spellEnd"/>
      <w:r w:rsidRPr="00A519AA">
        <w:rPr>
          <w:rFonts w:asciiTheme="minorHAnsi" w:hAnsiTheme="minorHAnsi" w:cstheme="minorHAnsi"/>
          <w:sz w:val="22"/>
          <w:szCs w:val="22"/>
        </w:rPr>
        <w:t xml:space="preserve"> (2024). Insights into Biochar Applications: A Sustainable Strategy toward Carbon Neutrality and Circular Economy. </w:t>
      </w:r>
      <w:r w:rsidRPr="00A519AA">
        <w:rPr>
          <w:rFonts w:asciiTheme="minorHAnsi" w:hAnsiTheme="minorHAnsi" w:cstheme="minorHAnsi"/>
          <w:i/>
          <w:iCs/>
          <w:sz w:val="22"/>
          <w:szCs w:val="22"/>
        </w:rPr>
        <w:t>ACS symposium series</w:t>
      </w:r>
      <w:r w:rsidRPr="00A519AA">
        <w:rPr>
          <w:rFonts w:asciiTheme="minorHAnsi" w:hAnsiTheme="minorHAnsi" w:cstheme="minorHAnsi"/>
          <w:sz w:val="22"/>
          <w:szCs w:val="22"/>
        </w:rPr>
        <w:t xml:space="preserve">, pp.1–30.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://doi.org/10.1021/bk-2024-1479.ch001.</w:t>
      </w:r>
    </w:p>
    <w:p w14:paraId="1580D21E"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Khan, A., Khan, S., Khan, M.A., Qamar, Z. and Waqas, M. (2015). The uptake and bioaccumulation of heavy metals by food plants, their effects on plants nutrients, and associated health risk: a review. </w:t>
      </w:r>
      <w:r w:rsidRPr="00A519AA">
        <w:rPr>
          <w:rFonts w:asciiTheme="minorHAnsi" w:hAnsiTheme="minorHAnsi" w:cstheme="minorHAnsi"/>
          <w:i/>
          <w:iCs/>
          <w:sz w:val="22"/>
          <w:szCs w:val="22"/>
        </w:rPr>
        <w:t>Environmental Science and Pollution Research</w:t>
      </w:r>
      <w:r w:rsidRPr="00A519AA">
        <w:rPr>
          <w:rFonts w:asciiTheme="minorHAnsi" w:hAnsiTheme="minorHAnsi" w:cstheme="minorHAnsi"/>
          <w:sz w:val="22"/>
          <w:szCs w:val="22"/>
        </w:rPr>
        <w:t xml:space="preserve">, [online] 22(18), pp.13772–13799.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://doi.org/10.1007/s11356-015-4881-0.</w:t>
      </w:r>
    </w:p>
    <w:p w14:paraId="0A097DA7" w14:textId="77777777" w:rsidR="00C67DAE"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Khater, E.-S., Adel </w:t>
      </w:r>
      <w:proofErr w:type="spellStart"/>
      <w:r w:rsidRPr="00A519AA">
        <w:rPr>
          <w:rFonts w:asciiTheme="minorHAnsi" w:hAnsiTheme="minorHAnsi" w:cstheme="minorHAnsi"/>
          <w:sz w:val="22"/>
          <w:szCs w:val="22"/>
        </w:rPr>
        <w:t>Bahnasawy</w:t>
      </w:r>
      <w:proofErr w:type="spellEnd"/>
      <w:r w:rsidRPr="00A519AA">
        <w:rPr>
          <w:rFonts w:asciiTheme="minorHAnsi" w:hAnsiTheme="minorHAnsi" w:cstheme="minorHAnsi"/>
          <w:sz w:val="22"/>
          <w:szCs w:val="22"/>
        </w:rPr>
        <w:t xml:space="preserve">, Hamouda, R., Amr </w:t>
      </w:r>
      <w:proofErr w:type="spellStart"/>
      <w:r w:rsidRPr="00A519AA">
        <w:rPr>
          <w:rFonts w:asciiTheme="minorHAnsi" w:hAnsiTheme="minorHAnsi" w:cstheme="minorHAnsi"/>
          <w:sz w:val="22"/>
          <w:szCs w:val="22"/>
        </w:rPr>
        <w:t>Sabahy</w:t>
      </w:r>
      <w:proofErr w:type="spellEnd"/>
      <w:r w:rsidRPr="00A519AA">
        <w:rPr>
          <w:rFonts w:asciiTheme="minorHAnsi" w:hAnsiTheme="minorHAnsi" w:cstheme="minorHAnsi"/>
          <w:sz w:val="22"/>
          <w:szCs w:val="22"/>
        </w:rPr>
        <w:t xml:space="preserve">, Abbas, W. and Morsy, O.M. (2024). Biochar production under different pyrolysis temperatures with different types of agricultural wastes. </w:t>
      </w:r>
      <w:r w:rsidRPr="00A519AA">
        <w:rPr>
          <w:rFonts w:asciiTheme="minorHAnsi" w:hAnsiTheme="minorHAnsi" w:cstheme="minorHAnsi"/>
          <w:i/>
          <w:iCs/>
          <w:sz w:val="22"/>
          <w:szCs w:val="22"/>
        </w:rPr>
        <w:t>Scientific Reports</w:t>
      </w:r>
      <w:r w:rsidRPr="00A519AA">
        <w:rPr>
          <w:rFonts w:asciiTheme="minorHAnsi" w:hAnsiTheme="minorHAnsi" w:cstheme="minorHAnsi"/>
          <w:sz w:val="22"/>
          <w:szCs w:val="22"/>
        </w:rPr>
        <w:t xml:space="preserve">, 14(1).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://doi.org/10.1038/s41598-024-52336-5.</w:t>
      </w:r>
    </w:p>
    <w:p w14:paraId="52A8FBBE" w14:textId="77777777" w:rsidR="00A72051" w:rsidRPr="00A519AA" w:rsidRDefault="00A72051" w:rsidP="00A72051">
      <w:pPr>
        <w:pStyle w:val="NormalWeb"/>
        <w:spacing w:before="240" w:beforeAutospacing="0" w:after="160" w:afterAutospacing="0" w:line="360" w:lineRule="auto"/>
        <w:rPr>
          <w:rFonts w:asciiTheme="minorHAnsi" w:hAnsiTheme="minorHAnsi" w:cstheme="minorHAnsi"/>
          <w:sz w:val="22"/>
          <w:szCs w:val="22"/>
        </w:rPr>
      </w:pPr>
      <w:proofErr w:type="spellStart"/>
      <w:r w:rsidRPr="00A72051">
        <w:rPr>
          <w:rFonts w:asciiTheme="minorHAnsi" w:hAnsiTheme="minorHAnsi" w:cstheme="minorHAnsi"/>
          <w:sz w:val="22"/>
          <w:szCs w:val="22"/>
        </w:rPr>
        <w:t>Konanç</w:t>
      </w:r>
      <w:proofErr w:type="spellEnd"/>
      <w:r w:rsidRPr="00A72051">
        <w:rPr>
          <w:rFonts w:asciiTheme="minorHAnsi" w:hAnsiTheme="minorHAnsi" w:cstheme="minorHAnsi"/>
          <w:sz w:val="22"/>
          <w:szCs w:val="22"/>
        </w:rPr>
        <w:t xml:space="preserve">, M. U., </w:t>
      </w:r>
      <w:proofErr w:type="spellStart"/>
      <w:r w:rsidRPr="00A72051">
        <w:rPr>
          <w:rFonts w:asciiTheme="minorHAnsi" w:hAnsiTheme="minorHAnsi" w:cstheme="minorHAnsi"/>
          <w:sz w:val="22"/>
          <w:szCs w:val="22"/>
        </w:rPr>
        <w:t>Değermenci</w:t>
      </w:r>
      <w:proofErr w:type="spellEnd"/>
      <w:r w:rsidRPr="00A72051">
        <w:rPr>
          <w:rFonts w:asciiTheme="minorHAnsi" w:hAnsiTheme="minorHAnsi" w:cstheme="minorHAnsi"/>
          <w:sz w:val="22"/>
          <w:szCs w:val="22"/>
        </w:rPr>
        <w:t xml:space="preserve">, G. D., </w:t>
      </w:r>
      <w:proofErr w:type="spellStart"/>
      <w:r w:rsidRPr="00A72051">
        <w:rPr>
          <w:rFonts w:asciiTheme="minorHAnsi" w:hAnsiTheme="minorHAnsi" w:cstheme="minorHAnsi"/>
          <w:sz w:val="22"/>
          <w:szCs w:val="22"/>
        </w:rPr>
        <w:t>Kariper</w:t>
      </w:r>
      <w:proofErr w:type="spellEnd"/>
      <w:r w:rsidRPr="00A72051">
        <w:rPr>
          <w:rFonts w:asciiTheme="minorHAnsi" w:hAnsiTheme="minorHAnsi" w:cstheme="minorHAnsi"/>
          <w:sz w:val="22"/>
          <w:szCs w:val="22"/>
        </w:rPr>
        <w:t xml:space="preserve">, I. A. and Yavuz, E. (2024). </w:t>
      </w:r>
      <w:r w:rsidRPr="00A519AA">
        <w:rPr>
          <w:rFonts w:asciiTheme="minorHAnsi" w:hAnsiTheme="minorHAnsi" w:cstheme="minorHAnsi"/>
          <w:sz w:val="22"/>
          <w:szCs w:val="22"/>
        </w:rPr>
        <w:t xml:space="preserve">After-effects of a closed copper mine: detailed analysis of environmental impacts in soil and plant samples. </w:t>
      </w:r>
      <w:r w:rsidRPr="00A519AA">
        <w:rPr>
          <w:rFonts w:asciiTheme="minorHAnsi" w:hAnsiTheme="minorHAnsi" w:cstheme="minorHAnsi"/>
          <w:i/>
          <w:iCs/>
          <w:sz w:val="22"/>
          <w:szCs w:val="22"/>
        </w:rPr>
        <w:t>Environmental Earth Sciences</w:t>
      </w:r>
      <w:r w:rsidRPr="00A519AA">
        <w:rPr>
          <w:rFonts w:asciiTheme="minorHAnsi" w:hAnsiTheme="minorHAnsi" w:cstheme="minorHAnsi"/>
          <w:sz w:val="22"/>
          <w:szCs w:val="22"/>
        </w:rPr>
        <w:t xml:space="preserve">, 83(13).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://doi.org/10.1007/s12665-024-11725-9.</w:t>
      </w:r>
    </w:p>
    <w:p w14:paraId="29261E5A"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Kumar, M., Seth, A., Singh, A.K., Rajput, M.S. and Sikandar, M. (2021). Remediation strategies for heavy metals contaminated ecosystem: A review. </w:t>
      </w:r>
      <w:r w:rsidRPr="00A519AA">
        <w:rPr>
          <w:rFonts w:asciiTheme="minorHAnsi" w:hAnsiTheme="minorHAnsi" w:cstheme="minorHAnsi"/>
          <w:i/>
          <w:iCs/>
          <w:sz w:val="22"/>
          <w:szCs w:val="22"/>
        </w:rPr>
        <w:t>Environmental and Sustainability Indicators</w:t>
      </w:r>
      <w:r w:rsidRPr="00A519AA">
        <w:rPr>
          <w:rFonts w:asciiTheme="minorHAnsi" w:hAnsiTheme="minorHAnsi" w:cstheme="minorHAnsi"/>
          <w:sz w:val="22"/>
          <w:szCs w:val="22"/>
        </w:rPr>
        <w:t xml:space="preserve">, 12, p.100155.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://doi.org/10.1016/j.indic.2021.100155.</w:t>
      </w:r>
    </w:p>
    <w:p w14:paraId="36671C64"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Leng, L., Xiong, Q., Yang, L., Li, H., Zhou, Y., Zhang, W., Jiang, S., Li, H. and Huang, H. (2021). An overview on engineering the surface area and porosity of biochar. </w:t>
      </w:r>
      <w:r w:rsidRPr="00A519AA">
        <w:rPr>
          <w:rFonts w:asciiTheme="minorHAnsi" w:hAnsiTheme="minorHAnsi" w:cstheme="minorHAnsi"/>
          <w:i/>
          <w:iCs/>
          <w:sz w:val="22"/>
          <w:szCs w:val="22"/>
        </w:rPr>
        <w:t>Science of The Total Environment</w:t>
      </w:r>
      <w:r w:rsidRPr="00A519AA">
        <w:rPr>
          <w:rFonts w:asciiTheme="minorHAnsi" w:hAnsiTheme="minorHAnsi" w:cstheme="minorHAnsi"/>
          <w:sz w:val="22"/>
          <w:szCs w:val="22"/>
        </w:rPr>
        <w:t xml:space="preserve">, 763, p.144204.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://doi.org/10.1016/j.scitotenv.2020.144204.</w:t>
      </w:r>
    </w:p>
    <w:p w14:paraId="2CB8FCEC"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Li, W., Deng, Y., Wang, H., Hu, Y. and Cheng, H. (2024). Potential risk, leaching </w:t>
      </w:r>
      <w:proofErr w:type="spellStart"/>
      <w:r w:rsidRPr="00A519AA">
        <w:rPr>
          <w:rFonts w:asciiTheme="minorHAnsi" w:hAnsiTheme="minorHAnsi" w:cstheme="minorHAnsi"/>
          <w:sz w:val="22"/>
          <w:szCs w:val="22"/>
        </w:rPr>
        <w:t>behavior</w:t>
      </w:r>
      <w:proofErr w:type="spellEnd"/>
      <w:r w:rsidRPr="00A519AA">
        <w:rPr>
          <w:rFonts w:asciiTheme="minorHAnsi" w:hAnsiTheme="minorHAnsi" w:cstheme="minorHAnsi"/>
          <w:sz w:val="22"/>
          <w:szCs w:val="22"/>
        </w:rPr>
        <w:t xml:space="preserve"> and mechanism of heavy metals from mine tailings under acid rain. </w:t>
      </w:r>
      <w:r w:rsidRPr="00A519AA">
        <w:rPr>
          <w:rFonts w:asciiTheme="minorHAnsi" w:hAnsiTheme="minorHAnsi" w:cstheme="minorHAnsi"/>
          <w:i/>
          <w:iCs/>
          <w:sz w:val="22"/>
          <w:szCs w:val="22"/>
        </w:rPr>
        <w:t>Chemosphere</w:t>
      </w:r>
      <w:r w:rsidRPr="00A519AA">
        <w:rPr>
          <w:rFonts w:asciiTheme="minorHAnsi" w:hAnsiTheme="minorHAnsi" w:cstheme="minorHAnsi"/>
          <w:sz w:val="22"/>
          <w:szCs w:val="22"/>
        </w:rPr>
        <w:t xml:space="preserve">, 350, pp.140995–140995.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://doi.org/10.1016/j.chemosphere.2023.140995.</w:t>
      </w:r>
    </w:p>
    <w:p w14:paraId="4FCBC658"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Liu, L., Li, W., Song, W. and Guo, M. (2018). Remediation techniques for heavy metal-contaminated soils: Principles and applicability. </w:t>
      </w:r>
      <w:r w:rsidRPr="00A519AA">
        <w:rPr>
          <w:rFonts w:asciiTheme="minorHAnsi" w:hAnsiTheme="minorHAnsi" w:cstheme="minorHAnsi"/>
          <w:i/>
          <w:iCs/>
          <w:sz w:val="22"/>
          <w:szCs w:val="22"/>
        </w:rPr>
        <w:t>Science of The Total Environment</w:t>
      </w:r>
      <w:r w:rsidRPr="00A519AA">
        <w:rPr>
          <w:rFonts w:asciiTheme="minorHAnsi" w:hAnsiTheme="minorHAnsi" w:cstheme="minorHAnsi"/>
          <w:sz w:val="22"/>
          <w:szCs w:val="22"/>
        </w:rPr>
        <w:t xml:space="preserve">, [online] 633, pp.206–219.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://doi.org/10.1016/j.scitotenv.2018.03.161.</w:t>
      </w:r>
    </w:p>
    <w:p w14:paraId="57850B4A"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lang w:val="de-DE"/>
        </w:rPr>
        <w:lastRenderedPageBreak/>
        <w:t xml:space="preserve">Lu, Z., Wang, H., Wang, Z., Liu, J., Li, Y., Xia, L. and Song, S. (2024). </w:t>
      </w:r>
      <w:r w:rsidRPr="00A519AA">
        <w:rPr>
          <w:rFonts w:asciiTheme="minorHAnsi" w:hAnsiTheme="minorHAnsi" w:cstheme="minorHAnsi"/>
          <w:sz w:val="22"/>
          <w:szCs w:val="22"/>
        </w:rPr>
        <w:t xml:space="preserve">Critical steps in the restoration of coal mine soils: Microbial-accelerated soil reconstruction. </w:t>
      </w:r>
      <w:r w:rsidRPr="00A519AA">
        <w:rPr>
          <w:rFonts w:asciiTheme="minorHAnsi" w:hAnsiTheme="minorHAnsi" w:cstheme="minorHAnsi"/>
          <w:i/>
          <w:iCs/>
          <w:sz w:val="22"/>
          <w:szCs w:val="22"/>
        </w:rPr>
        <w:t>Journal of Environmental Management</w:t>
      </w:r>
      <w:r w:rsidRPr="00A519AA">
        <w:rPr>
          <w:rFonts w:asciiTheme="minorHAnsi" w:hAnsiTheme="minorHAnsi" w:cstheme="minorHAnsi"/>
          <w:sz w:val="22"/>
          <w:szCs w:val="22"/>
        </w:rPr>
        <w:t xml:space="preserve">, [online] 368, pp.122200–122200.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://doi.org/10.1016/j.jenvman.2024.122200.</w:t>
      </w:r>
    </w:p>
    <w:p w14:paraId="260EF040" w14:textId="77777777" w:rsidR="00C67DAE" w:rsidRPr="00ED3F9E" w:rsidRDefault="00C67DAE" w:rsidP="000B4157">
      <w:pPr>
        <w:spacing w:before="240" w:line="360" w:lineRule="auto"/>
        <w:rPr>
          <w:lang w:val="fr-FR"/>
        </w:rPr>
      </w:pPr>
      <w:proofErr w:type="spellStart"/>
      <w:r w:rsidRPr="00ED3F9E">
        <w:rPr>
          <w:lang w:val="fr-FR"/>
        </w:rPr>
        <w:t>MathuMitha</w:t>
      </w:r>
      <w:proofErr w:type="spellEnd"/>
      <w:r w:rsidRPr="00ED3F9E">
        <w:rPr>
          <w:lang w:val="fr-FR"/>
        </w:rPr>
        <w:t xml:space="preserve">, C. </w:t>
      </w:r>
      <w:r w:rsidRPr="00ED3F9E">
        <w:rPr>
          <w:i/>
          <w:iCs/>
          <w:lang w:val="fr-FR"/>
        </w:rPr>
        <w:t>et al.</w:t>
      </w:r>
      <w:r w:rsidRPr="00ED3F9E">
        <w:rPr>
          <w:lang w:val="fr-FR"/>
        </w:rPr>
        <w:t xml:space="preserve"> </w:t>
      </w:r>
      <w:r w:rsidRPr="00ED3F9E">
        <w:t xml:space="preserve">(2021) ‘A Review on the Effect of Heavy Metal Contamination and its Impact on the Environment’, </w:t>
      </w:r>
      <w:r w:rsidRPr="00ED3F9E">
        <w:rPr>
          <w:i/>
          <w:iCs/>
        </w:rPr>
        <w:t>International Journal of Zoological Investigations</w:t>
      </w:r>
      <w:r w:rsidRPr="00ED3F9E">
        <w:t xml:space="preserve">, 7(2), pp. 762–771. </w:t>
      </w:r>
      <w:proofErr w:type="spellStart"/>
      <w:r w:rsidRPr="00ED3F9E">
        <w:rPr>
          <w:lang w:val="fr-FR"/>
        </w:rPr>
        <w:t>Available</w:t>
      </w:r>
      <w:proofErr w:type="spellEnd"/>
      <w:r w:rsidRPr="00ED3F9E">
        <w:rPr>
          <w:lang w:val="fr-FR"/>
        </w:rPr>
        <w:t xml:space="preserve"> at: https://doi.org/10.33745/ijzi.2021.v07i02.061.</w:t>
      </w:r>
    </w:p>
    <w:p w14:paraId="26237CFA" w14:textId="77777777" w:rsidR="00C67DAE" w:rsidRPr="00ED3F9E" w:rsidRDefault="00C67DAE" w:rsidP="000B4157">
      <w:pPr>
        <w:spacing w:before="240" w:line="360" w:lineRule="auto"/>
        <w:rPr>
          <w:lang w:val="fr-FR"/>
        </w:rPr>
      </w:pPr>
      <w:r w:rsidRPr="00ED3F9E">
        <w:rPr>
          <w:lang w:val="fr-FR"/>
        </w:rPr>
        <w:t xml:space="preserve">Mohan, I. </w:t>
      </w:r>
      <w:r w:rsidRPr="00ED3F9E">
        <w:rPr>
          <w:i/>
          <w:iCs/>
          <w:lang w:val="fr-FR"/>
        </w:rPr>
        <w:t>et al.</w:t>
      </w:r>
      <w:r w:rsidRPr="00ED3F9E">
        <w:rPr>
          <w:lang w:val="fr-FR"/>
        </w:rPr>
        <w:t xml:space="preserve"> </w:t>
      </w:r>
      <w:r w:rsidRPr="00ED3F9E">
        <w:t xml:space="preserve">(2024) ‘Pollution indices and correlation of heavy metals contamination in the groundwater around brick kilns in Jammu and Kashmir, India’, </w:t>
      </w:r>
      <w:proofErr w:type="spellStart"/>
      <w:r w:rsidRPr="00ED3F9E">
        <w:rPr>
          <w:i/>
          <w:iCs/>
        </w:rPr>
        <w:t>Heliyon</w:t>
      </w:r>
      <w:proofErr w:type="spellEnd"/>
      <w:r w:rsidRPr="00ED3F9E">
        <w:t xml:space="preserve">, 10(6), p. e27869. </w:t>
      </w:r>
      <w:proofErr w:type="spellStart"/>
      <w:r w:rsidRPr="00ED3F9E">
        <w:rPr>
          <w:lang w:val="fr-FR"/>
        </w:rPr>
        <w:t>Available</w:t>
      </w:r>
      <w:proofErr w:type="spellEnd"/>
      <w:r w:rsidRPr="00ED3F9E">
        <w:rPr>
          <w:lang w:val="fr-FR"/>
        </w:rPr>
        <w:t xml:space="preserve"> at: https://doi.org/10.1016/j.heliyon.2024.e27869.</w:t>
      </w:r>
    </w:p>
    <w:p w14:paraId="1851A3A3" w14:textId="4D817B92" w:rsidR="00C67DAE" w:rsidRPr="00A519AA" w:rsidRDefault="00A72051" w:rsidP="000B4157">
      <w:pPr>
        <w:pStyle w:val="NormalWeb"/>
        <w:spacing w:before="240" w:beforeAutospacing="0" w:after="160" w:afterAutospacing="0" w:line="360" w:lineRule="auto"/>
        <w:rPr>
          <w:rFonts w:asciiTheme="minorHAnsi" w:hAnsiTheme="minorHAnsi" w:cstheme="minorHAnsi"/>
          <w:sz w:val="22"/>
          <w:szCs w:val="22"/>
        </w:rPr>
      </w:pPr>
      <w:r>
        <w:rPr>
          <w:rFonts w:asciiTheme="minorHAnsi" w:hAnsiTheme="minorHAnsi" w:cstheme="minorHAnsi"/>
          <w:sz w:val="22"/>
          <w:szCs w:val="22"/>
        </w:rPr>
        <w:t>Natural Resources Wales</w:t>
      </w:r>
      <w:r w:rsidR="00C67DAE" w:rsidRPr="00A519AA">
        <w:rPr>
          <w:rFonts w:asciiTheme="minorHAnsi" w:hAnsiTheme="minorHAnsi" w:cstheme="minorHAnsi"/>
          <w:sz w:val="22"/>
          <w:szCs w:val="22"/>
        </w:rPr>
        <w:t xml:space="preserve"> (2022). </w:t>
      </w:r>
      <w:r w:rsidR="00C67DAE" w:rsidRPr="00A519AA">
        <w:rPr>
          <w:rFonts w:asciiTheme="minorHAnsi" w:hAnsiTheme="minorHAnsi" w:cstheme="minorHAnsi"/>
          <w:i/>
          <w:iCs/>
          <w:sz w:val="22"/>
          <w:szCs w:val="22"/>
        </w:rPr>
        <w:t>Natural Resources Wales / Lower Swansea Valley Forest Resource Plan - Approved 21 March 2022</w:t>
      </w:r>
      <w:r w:rsidR="00C67DAE" w:rsidRPr="00A519AA">
        <w:rPr>
          <w:rFonts w:asciiTheme="minorHAnsi" w:hAnsiTheme="minorHAnsi" w:cstheme="minorHAnsi"/>
          <w:sz w:val="22"/>
          <w:szCs w:val="22"/>
        </w:rPr>
        <w:t>. [online] Available at: https://naturalresourceswales.gov.uk/about-us/what-we-do/strategies-plans-and-policies/forest-resource-plans/lower-swansea-valley-forest-resource-plan/?lang=en.</w:t>
      </w:r>
    </w:p>
    <w:p w14:paraId="0EFF5752" w14:textId="77777777" w:rsidR="00C67DAE" w:rsidRPr="00ED3F9E" w:rsidRDefault="00C67DAE" w:rsidP="000B4157">
      <w:pPr>
        <w:spacing w:before="240" w:line="360" w:lineRule="auto"/>
        <w:rPr>
          <w:lang w:val="fr-FR"/>
        </w:rPr>
      </w:pPr>
      <w:r w:rsidRPr="00ED3F9E">
        <w:rPr>
          <w:lang w:val="it-IT"/>
        </w:rPr>
        <w:t xml:space="preserve">Olivo, E.F. </w:t>
      </w:r>
      <w:r w:rsidRPr="00ED3F9E">
        <w:rPr>
          <w:i/>
          <w:iCs/>
          <w:lang w:val="it-IT"/>
        </w:rPr>
        <w:t>et al.</w:t>
      </w:r>
      <w:r w:rsidRPr="00ED3F9E">
        <w:rPr>
          <w:lang w:val="it-IT"/>
        </w:rPr>
        <w:t xml:space="preserve"> </w:t>
      </w:r>
      <w:r w:rsidRPr="00ED3F9E">
        <w:t>(2024) ‘</w:t>
      </w:r>
      <w:proofErr w:type="spellStart"/>
      <w:r w:rsidRPr="00ED3F9E">
        <w:t>Technosol</w:t>
      </w:r>
      <w:proofErr w:type="spellEnd"/>
      <w:r w:rsidRPr="00ED3F9E">
        <w:t xml:space="preserve"> Development Based on Residual Fraction of Coal Tailings Processing, Agro-Industrial Waste, and Paper Industry Waste’, </w:t>
      </w:r>
      <w:r w:rsidRPr="00ED3F9E">
        <w:rPr>
          <w:i/>
          <w:iCs/>
        </w:rPr>
        <w:t>Sustainability</w:t>
      </w:r>
      <w:r w:rsidRPr="00ED3F9E">
        <w:t xml:space="preserve">, 16(17), pp. 7471–7471. </w:t>
      </w:r>
      <w:proofErr w:type="spellStart"/>
      <w:r w:rsidRPr="00ED3F9E">
        <w:rPr>
          <w:lang w:val="fr-FR"/>
        </w:rPr>
        <w:t>Available</w:t>
      </w:r>
      <w:proofErr w:type="spellEnd"/>
      <w:r w:rsidRPr="00ED3F9E">
        <w:rPr>
          <w:lang w:val="fr-FR"/>
        </w:rPr>
        <w:t xml:space="preserve"> at: https://doi.org/10.3390/su16177471.</w:t>
      </w:r>
    </w:p>
    <w:p w14:paraId="74C5939E" w14:textId="77777777" w:rsidR="00C67DAE" w:rsidRPr="00ED3F9E" w:rsidRDefault="00C67DAE" w:rsidP="000B4157">
      <w:pPr>
        <w:spacing w:before="240" w:line="360" w:lineRule="auto"/>
      </w:pPr>
      <w:proofErr w:type="spellStart"/>
      <w:r w:rsidRPr="00ED3F9E">
        <w:rPr>
          <w:lang w:val="fr-FR"/>
        </w:rPr>
        <w:t>Padhi</w:t>
      </w:r>
      <w:proofErr w:type="spellEnd"/>
      <w:r w:rsidRPr="00ED3F9E">
        <w:rPr>
          <w:lang w:val="fr-FR"/>
        </w:rPr>
        <w:t xml:space="preserve">, P. </w:t>
      </w:r>
      <w:r w:rsidRPr="00ED3F9E">
        <w:rPr>
          <w:i/>
          <w:iCs/>
          <w:lang w:val="fr-FR"/>
        </w:rPr>
        <w:t>et al.</w:t>
      </w:r>
      <w:r w:rsidRPr="00ED3F9E">
        <w:rPr>
          <w:lang w:val="fr-FR"/>
        </w:rPr>
        <w:t xml:space="preserve"> </w:t>
      </w:r>
      <w:r w:rsidRPr="00ED3F9E">
        <w:t xml:space="preserve">(2024) ‘Remediation of mine overburden and contaminated water with activated biochar derived from low-value biowaste’, </w:t>
      </w:r>
      <w:r w:rsidRPr="00ED3F9E">
        <w:rPr>
          <w:i/>
          <w:iCs/>
        </w:rPr>
        <w:t>Journal of the Taiwan Institute of Chemical Engineers</w:t>
      </w:r>
      <w:r w:rsidRPr="00ED3F9E">
        <w:t>, 159, p. 105472. Available at: https://doi.org/10.1016/j.jtice.2024.105472.</w:t>
      </w:r>
    </w:p>
    <w:p w14:paraId="5ABD0264"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proofErr w:type="spellStart"/>
      <w:r w:rsidRPr="00A519AA">
        <w:rPr>
          <w:rFonts w:asciiTheme="minorHAnsi" w:hAnsiTheme="minorHAnsi" w:cstheme="minorHAnsi"/>
          <w:sz w:val="22"/>
          <w:szCs w:val="22"/>
        </w:rPr>
        <w:t>Rombel</w:t>
      </w:r>
      <w:proofErr w:type="spellEnd"/>
      <w:r w:rsidRPr="00A519AA">
        <w:rPr>
          <w:rFonts w:asciiTheme="minorHAnsi" w:hAnsiTheme="minorHAnsi" w:cstheme="minorHAnsi"/>
          <w:sz w:val="22"/>
          <w:szCs w:val="22"/>
        </w:rPr>
        <w:t xml:space="preserve">, A., </w:t>
      </w:r>
      <w:proofErr w:type="spellStart"/>
      <w:r w:rsidRPr="00A519AA">
        <w:rPr>
          <w:rFonts w:asciiTheme="minorHAnsi" w:hAnsiTheme="minorHAnsi" w:cstheme="minorHAnsi"/>
          <w:sz w:val="22"/>
          <w:szCs w:val="22"/>
        </w:rPr>
        <w:t>Krasucka</w:t>
      </w:r>
      <w:proofErr w:type="spellEnd"/>
      <w:r w:rsidRPr="00A519AA">
        <w:rPr>
          <w:rFonts w:asciiTheme="minorHAnsi" w:hAnsiTheme="minorHAnsi" w:cstheme="minorHAnsi"/>
          <w:sz w:val="22"/>
          <w:szCs w:val="22"/>
        </w:rPr>
        <w:t xml:space="preserve">, P. and Oleszczuk, P. (2021). Sustainable biochar-based soil fertilizers and amendments as a new trend in biochar research. </w:t>
      </w:r>
      <w:r w:rsidRPr="00A519AA">
        <w:rPr>
          <w:rFonts w:asciiTheme="minorHAnsi" w:hAnsiTheme="minorHAnsi" w:cstheme="minorHAnsi"/>
          <w:i/>
          <w:iCs/>
          <w:sz w:val="22"/>
          <w:szCs w:val="22"/>
        </w:rPr>
        <w:t>Science of The Total Environment</w:t>
      </w:r>
      <w:r w:rsidRPr="00A519AA">
        <w:rPr>
          <w:rFonts w:asciiTheme="minorHAnsi" w:hAnsiTheme="minorHAnsi" w:cstheme="minorHAnsi"/>
          <w:sz w:val="22"/>
          <w:szCs w:val="22"/>
        </w:rPr>
        <w:t xml:space="preserve">, p.151588.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://doi.org/10.1016/j.scitotenv.2021.151588.</w:t>
      </w:r>
    </w:p>
    <w:p w14:paraId="2011A90C"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Team, E. (2024). </w:t>
      </w:r>
      <w:r w:rsidRPr="00A519AA">
        <w:rPr>
          <w:rFonts w:asciiTheme="minorHAnsi" w:hAnsiTheme="minorHAnsi" w:cstheme="minorHAnsi"/>
          <w:i/>
          <w:iCs/>
          <w:sz w:val="22"/>
          <w:szCs w:val="22"/>
        </w:rPr>
        <w:t>What Are the Effects of Mining on the Environment? - The Environmental Literacy Council</w:t>
      </w:r>
      <w:r w:rsidRPr="00A519AA">
        <w:rPr>
          <w:rFonts w:asciiTheme="minorHAnsi" w:hAnsiTheme="minorHAnsi" w:cstheme="minorHAnsi"/>
          <w:sz w:val="22"/>
          <w:szCs w:val="22"/>
        </w:rPr>
        <w:t>. [online] The Environmental Literacy Council. Available at: https://enviroliteracy.org/what-are-the-effects-of-mining-on-the-environment/.</w:t>
      </w:r>
    </w:p>
    <w:p w14:paraId="6574D155"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Wakefield </w:t>
      </w:r>
      <w:proofErr w:type="spellStart"/>
      <w:r w:rsidRPr="00A519AA">
        <w:rPr>
          <w:rFonts w:asciiTheme="minorHAnsi" w:hAnsiTheme="minorHAnsi" w:cstheme="minorHAnsi"/>
          <w:sz w:val="22"/>
          <w:szCs w:val="22"/>
        </w:rPr>
        <w:t>BioChar</w:t>
      </w:r>
      <w:proofErr w:type="spellEnd"/>
      <w:r w:rsidRPr="00A519AA">
        <w:rPr>
          <w:rFonts w:asciiTheme="minorHAnsi" w:hAnsiTheme="minorHAnsi" w:cstheme="minorHAnsi"/>
          <w:sz w:val="22"/>
          <w:szCs w:val="22"/>
        </w:rPr>
        <w:t xml:space="preserve">. (2024). </w:t>
      </w:r>
      <w:r w:rsidRPr="00A519AA">
        <w:rPr>
          <w:rFonts w:asciiTheme="minorHAnsi" w:hAnsiTheme="minorHAnsi" w:cstheme="minorHAnsi"/>
          <w:i/>
          <w:iCs/>
          <w:sz w:val="22"/>
          <w:szCs w:val="22"/>
        </w:rPr>
        <w:t>Does Biochar Raise Soil pH?</w:t>
      </w:r>
      <w:r w:rsidRPr="00A519AA">
        <w:rPr>
          <w:rFonts w:asciiTheme="minorHAnsi" w:hAnsiTheme="minorHAnsi" w:cstheme="minorHAnsi"/>
          <w:sz w:val="22"/>
          <w:szCs w:val="22"/>
        </w:rPr>
        <w:t xml:space="preserve"> [online] Available at: https://wakefieldbiochar.com/learning-center/does-biochar-raise-soil-ph/.</w:t>
      </w:r>
    </w:p>
    <w:p w14:paraId="4D8FA7C2"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rPr>
        <w:t xml:space="preserve">Wang, J., Shi, L., Zhai, L., Zhang, H., Wang, S., Zou, J., Shen, Z., Lian, C. and Chen, Y. (2021). Analysis of the long-term effectiveness of biochar immobilization remediation on heavy metal contaminated </w:t>
      </w:r>
      <w:r w:rsidRPr="00A519AA">
        <w:rPr>
          <w:rFonts w:asciiTheme="minorHAnsi" w:hAnsiTheme="minorHAnsi" w:cstheme="minorHAnsi"/>
          <w:sz w:val="22"/>
          <w:szCs w:val="22"/>
        </w:rPr>
        <w:lastRenderedPageBreak/>
        <w:t xml:space="preserve">soil and the potential environmental factors weakening the remediation effect: A review. </w:t>
      </w:r>
      <w:r w:rsidRPr="00A519AA">
        <w:rPr>
          <w:rFonts w:asciiTheme="minorHAnsi" w:hAnsiTheme="minorHAnsi" w:cstheme="minorHAnsi"/>
          <w:i/>
          <w:iCs/>
          <w:sz w:val="22"/>
          <w:szCs w:val="22"/>
        </w:rPr>
        <w:t>Ecotoxicology and Environmental Safety</w:t>
      </w:r>
      <w:r w:rsidRPr="00A519AA">
        <w:rPr>
          <w:rFonts w:asciiTheme="minorHAnsi" w:hAnsiTheme="minorHAnsi" w:cstheme="minorHAnsi"/>
          <w:sz w:val="22"/>
          <w:szCs w:val="22"/>
        </w:rPr>
        <w:t xml:space="preserve">, 207, p.111261.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://doi.org/10.1016/j.ecoenv.2020.111261.</w:t>
      </w:r>
    </w:p>
    <w:p w14:paraId="1B239D50"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lang w:val="de-DE"/>
        </w:rPr>
        <w:t xml:space="preserve">Wei, B., Peng, Y., </w:t>
      </w:r>
      <w:proofErr w:type="spellStart"/>
      <w:r w:rsidRPr="00A519AA">
        <w:rPr>
          <w:rFonts w:asciiTheme="minorHAnsi" w:hAnsiTheme="minorHAnsi" w:cstheme="minorHAnsi"/>
          <w:sz w:val="22"/>
          <w:szCs w:val="22"/>
          <w:lang w:val="de-DE"/>
        </w:rPr>
        <w:t>Jeyakumar</w:t>
      </w:r>
      <w:proofErr w:type="spellEnd"/>
      <w:r w:rsidRPr="00A519AA">
        <w:rPr>
          <w:rFonts w:asciiTheme="minorHAnsi" w:hAnsiTheme="minorHAnsi" w:cstheme="minorHAnsi"/>
          <w:sz w:val="22"/>
          <w:szCs w:val="22"/>
          <w:lang w:val="de-DE"/>
        </w:rPr>
        <w:t xml:space="preserve">, P., Lin, L., Zhang, D., Yang, M., Zhu, J., </w:t>
      </w:r>
      <w:proofErr w:type="spellStart"/>
      <w:r w:rsidRPr="00A519AA">
        <w:rPr>
          <w:rFonts w:asciiTheme="minorHAnsi" w:hAnsiTheme="minorHAnsi" w:cstheme="minorHAnsi"/>
          <w:sz w:val="22"/>
          <w:szCs w:val="22"/>
          <w:lang w:val="de-DE"/>
        </w:rPr>
        <w:t>Ki</w:t>
      </w:r>
      <w:proofErr w:type="spellEnd"/>
      <w:r w:rsidRPr="00A519AA">
        <w:rPr>
          <w:rFonts w:asciiTheme="minorHAnsi" w:hAnsiTheme="minorHAnsi" w:cstheme="minorHAnsi"/>
          <w:sz w:val="22"/>
          <w:szCs w:val="22"/>
          <w:lang w:val="de-DE"/>
        </w:rPr>
        <w:t xml:space="preserve"> Lin, C.S., Wang, H., Wang, Z. and Li, C. (2022). </w:t>
      </w:r>
      <w:r w:rsidRPr="00A519AA">
        <w:rPr>
          <w:rFonts w:asciiTheme="minorHAnsi" w:hAnsiTheme="minorHAnsi" w:cstheme="minorHAnsi"/>
          <w:sz w:val="22"/>
          <w:szCs w:val="22"/>
        </w:rPr>
        <w:t xml:space="preserve">Soil pH restricts the ability of biochar to passivate cadmium: A meta-analysis. </w:t>
      </w:r>
      <w:r w:rsidRPr="00A519AA">
        <w:rPr>
          <w:rFonts w:asciiTheme="minorHAnsi" w:hAnsiTheme="minorHAnsi" w:cstheme="minorHAnsi"/>
          <w:i/>
          <w:iCs/>
          <w:sz w:val="22"/>
          <w:szCs w:val="22"/>
        </w:rPr>
        <w:t>Environmental Research</w:t>
      </w:r>
      <w:r w:rsidRPr="00A519AA">
        <w:rPr>
          <w:rFonts w:asciiTheme="minorHAnsi" w:hAnsiTheme="minorHAnsi" w:cstheme="minorHAnsi"/>
          <w:sz w:val="22"/>
          <w:szCs w:val="22"/>
        </w:rPr>
        <w:t xml:space="preserve">, [online] 219, p.115110.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://doi.org/10.1016/j.envres.2022.115110.</w:t>
      </w:r>
    </w:p>
    <w:p w14:paraId="4056C5C0" w14:textId="77777777" w:rsidR="00C67DAE" w:rsidRPr="00A519AA" w:rsidRDefault="00C67DAE" w:rsidP="000B4157">
      <w:pPr>
        <w:pStyle w:val="NormalWeb"/>
        <w:spacing w:before="240" w:beforeAutospacing="0" w:after="160" w:afterAutospacing="0" w:line="360" w:lineRule="auto"/>
        <w:rPr>
          <w:rFonts w:asciiTheme="minorHAnsi" w:hAnsiTheme="minorHAnsi" w:cstheme="minorHAnsi"/>
          <w:sz w:val="22"/>
          <w:szCs w:val="22"/>
        </w:rPr>
      </w:pPr>
      <w:r w:rsidRPr="00A519AA">
        <w:rPr>
          <w:rFonts w:asciiTheme="minorHAnsi" w:hAnsiTheme="minorHAnsi" w:cstheme="minorHAnsi"/>
          <w:sz w:val="22"/>
          <w:szCs w:val="22"/>
          <w:lang w:val="it-IT"/>
        </w:rPr>
        <w:t xml:space="preserve">Yang, X., Hou, R., Fu, Q., Li, T., Li, M., Cui, S., Li, Q. and </w:t>
      </w:r>
      <w:proofErr w:type="spellStart"/>
      <w:r w:rsidRPr="00A519AA">
        <w:rPr>
          <w:rFonts w:asciiTheme="minorHAnsi" w:hAnsiTheme="minorHAnsi" w:cstheme="minorHAnsi"/>
          <w:sz w:val="22"/>
          <w:szCs w:val="22"/>
          <w:lang w:val="it-IT"/>
        </w:rPr>
        <w:t>Liu</w:t>
      </w:r>
      <w:proofErr w:type="spellEnd"/>
      <w:r w:rsidRPr="00A519AA">
        <w:rPr>
          <w:rFonts w:asciiTheme="minorHAnsi" w:hAnsiTheme="minorHAnsi" w:cstheme="minorHAnsi"/>
          <w:sz w:val="22"/>
          <w:szCs w:val="22"/>
          <w:lang w:val="it-IT"/>
        </w:rPr>
        <w:t xml:space="preserve">, M. (2024). </w:t>
      </w:r>
      <w:r w:rsidRPr="00A519AA">
        <w:rPr>
          <w:rFonts w:asciiTheme="minorHAnsi" w:hAnsiTheme="minorHAnsi" w:cstheme="minorHAnsi"/>
          <w:sz w:val="22"/>
          <w:szCs w:val="22"/>
        </w:rPr>
        <w:t xml:space="preserve">A critical review of biochar as an environmental functional material in soil ecosystems for migration and transformation mechanisms and ecological risk assessment. </w:t>
      </w:r>
      <w:r w:rsidRPr="00A519AA">
        <w:rPr>
          <w:rFonts w:asciiTheme="minorHAnsi" w:hAnsiTheme="minorHAnsi" w:cstheme="minorHAnsi"/>
          <w:i/>
          <w:iCs/>
          <w:sz w:val="22"/>
          <w:szCs w:val="22"/>
        </w:rPr>
        <w:t>Journal of Environmental Management</w:t>
      </w:r>
      <w:r w:rsidRPr="00A519AA">
        <w:rPr>
          <w:rFonts w:asciiTheme="minorHAnsi" w:hAnsiTheme="minorHAnsi" w:cstheme="minorHAnsi"/>
          <w:sz w:val="22"/>
          <w:szCs w:val="22"/>
        </w:rPr>
        <w:t xml:space="preserve">, 360, pp.121196–121196. </w:t>
      </w:r>
      <w:proofErr w:type="spellStart"/>
      <w:r w:rsidRPr="00A519AA">
        <w:rPr>
          <w:rFonts w:asciiTheme="minorHAnsi" w:hAnsiTheme="minorHAnsi" w:cstheme="minorHAnsi"/>
          <w:sz w:val="22"/>
          <w:szCs w:val="22"/>
        </w:rPr>
        <w:t>doi:https</w:t>
      </w:r>
      <w:proofErr w:type="spellEnd"/>
      <w:r w:rsidRPr="00A519AA">
        <w:rPr>
          <w:rFonts w:asciiTheme="minorHAnsi" w:hAnsiTheme="minorHAnsi" w:cstheme="minorHAnsi"/>
          <w:sz w:val="22"/>
          <w:szCs w:val="22"/>
        </w:rPr>
        <w:t>://doi.org/10.1016/j.jenvman.2024.121196.</w:t>
      </w:r>
    </w:p>
    <w:p w14:paraId="4E53B26C" w14:textId="77777777" w:rsidR="00101DFB" w:rsidRPr="00A519AA" w:rsidRDefault="00101DFB" w:rsidP="000B4157">
      <w:pPr>
        <w:spacing w:before="240" w:line="360" w:lineRule="auto"/>
      </w:pPr>
    </w:p>
    <w:sectPr w:rsidR="00101DFB" w:rsidRPr="00A519AA"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009CA" w14:textId="77777777" w:rsidR="00E81A63" w:rsidRDefault="00E81A63" w:rsidP="00962E5F">
      <w:pPr>
        <w:spacing w:after="0" w:line="240" w:lineRule="auto"/>
      </w:pPr>
      <w:r>
        <w:separator/>
      </w:r>
    </w:p>
  </w:endnote>
  <w:endnote w:type="continuationSeparator" w:id="0">
    <w:p w14:paraId="64CD8D25" w14:textId="77777777" w:rsidR="00E81A63" w:rsidRDefault="00E81A63" w:rsidP="00962E5F">
      <w:pPr>
        <w:spacing w:after="0" w:line="240" w:lineRule="auto"/>
      </w:pPr>
      <w:r>
        <w:continuationSeparator/>
      </w:r>
    </w:p>
  </w:endnote>
  <w:endnote w:type="continuationNotice" w:id="1">
    <w:p w14:paraId="46FE8DC8" w14:textId="77777777" w:rsidR="00E81A63" w:rsidRDefault="00E81A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BF9E7" w14:textId="77777777" w:rsidR="00E81A63" w:rsidRDefault="00E81A63" w:rsidP="00962E5F">
      <w:pPr>
        <w:spacing w:after="0" w:line="240" w:lineRule="auto"/>
      </w:pPr>
      <w:r>
        <w:separator/>
      </w:r>
    </w:p>
  </w:footnote>
  <w:footnote w:type="continuationSeparator" w:id="0">
    <w:p w14:paraId="73EC90D5" w14:textId="77777777" w:rsidR="00E81A63" w:rsidRDefault="00E81A63" w:rsidP="00962E5F">
      <w:pPr>
        <w:spacing w:after="0" w:line="240" w:lineRule="auto"/>
      </w:pPr>
      <w:r>
        <w:continuationSeparator/>
      </w:r>
    </w:p>
  </w:footnote>
  <w:footnote w:type="continuationNotice" w:id="1">
    <w:p w14:paraId="3FF939BC" w14:textId="77777777" w:rsidR="00E81A63" w:rsidRDefault="00E81A6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2D26FE77" w:rsidR="000D61BC" w:rsidRDefault="00BF5DCF">
    <w:pPr>
      <w:pStyle w:val="Header"/>
    </w:pPr>
    <w:r>
      <w:t>Ysabelle Tuddenham</w:t>
    </w:r>
    <w:r w:rsidR="000D61BC">
      <w:ptab w:relativeTo="margin" w:alignment="center" w:leader="none"/>
    </w:r>
    <w:r w:rsidR="00F63465">
      <w:t xml:space="preserve">               </w:t>
    </w:r>
    <w:r w:rsidR="00967806" w:rsidRPr="00967806">
      <w:t>Changemakers. Creativity and Value Creation</w:t>
    </w:r>
    <w:r w:rsidR="000D61BC">
      <w:ptab w:relativeTo="margin" w:alignment="right" w:leader="none"/>
    </w:r>
    <w:r>
      <w:t>2205445</w:t>
    </w:r>
  </w:p>
</w:hdr>
</file>

<file path=word/intelligence2.xml><?xml version="1.0" encoding="utf-8"?>
<int2:intelligence xmlns:int2="http://schemas.microsoft.com/office/intelligence/2020/intelligence" xmlns:oel="http://schemas.microsoft.com/office/2019/extlst">
  <int2:observations>
    <int2:textHash int2:hashCode="7vvdhH0QYb62B9" int2:id="UC8fLOcF">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17CB53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48663935" o:spid="_x0000_i1025" type="#_x0000_t75" style="width:11pt;height:11pt;visibility:visible;mso-wrap-style:square">
            <v:imagedata r:id="rId1" o:title=""/>
          </v:shape>
        </w:pict>
      </mc:Choice>
      <mc:Fallback>
        <w:drawing>
          <wp:inline distT="0" distB="0" distL="0" distR="0" wp14:anchorId="21D2539E" wp14:editId="21D2539F">
            <wp:extent cx="139700" cy="139700"/>
            <wp:effectExtent l="0" t="0" r="0" b="0"/>
            <wp:docPr id="1948663935" name="Picture 1948663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39700" cy="139700"/>
                    </a:xfrm>
                    <a:prstGeom prst="rect">
                      <a:avLst/>
                    </a:prstGeom>
                    <a:noFill/>
                    <a:ln>
                      <a:noFill/>
                    </a:ln>
                  </pic:spPr>
                </pic:pic>
              </a:graphicData>
            </a:graphic>
          </wp:inline>
        </w:drawing>
      </mc:Fallback>
    </mc:AlternateContent>
  </w:numPicBullet>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E3007A"/>
    <w:multiLevelType w:val="multilevel"/>
    <w:tmpl w:val="12083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4A4AAD"/>
    <w:multiLevelType w:val="multilevel"/>
    <w:tmpl w:val="0306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3B0D2501"/>
    <w:multiLevelType w:val="hybridMultilevel"/>
    <w:tmpl w:val="C218CE38"/>
    <w:lvl w:ilvl="0" w:tplc="08090007">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BF7845"/>
    <w:multiLevelType w:val="multilevel"/>
    <w:tmpl w:val="A5B6D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292D18"/>
    <w:multiLevelType w:val="multilevel"/>
    <w:tmpl w:val="5464EFC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A20091F"/>
    <w:multiLevelType w:val="multilevel"/>
    <w:tmpl w:val="2474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6B387A"/>
    <w:multiLevelType w:val="hybridMultilevel"/>
    <w:tmpl w:val="69508808"/>
    <w:lvl w:ilvl="0" w:tplc="7E9A613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A2618A"/>
    <w:multiLevelType w:val="hybridMultilevel"/>
    <w:tmpl w:val="5A7CCD9C"/>
    <w:lvl w:ilvl="0" w:tplc="567E97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550569">
    <w:abstractNumId w:val="0"/>
  </w:num>
  <w:num w:numId="2" w16cid:durableId="103231301">
    <w:abstractNumId w:val="9"/>
  </w:num>
  <w:num w:numId="3" w16cid:durableId="44138100">
    <w:abstractNumId w:val="6"/>
  </w:num>
  <w:num w:numId="4" w16cid:durableId="138852588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2723400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918029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70390113">
    <w:abstractNumId w:val="3"/>
  </w:num>
  <w:num w:numId="8" w16cid:durableId="353850124">
    <w:abstractNumId w:val="13"/>
  </w:num>
  <w:num w:numId="9" w16cid:durableId="1548106049">
    <w:abstractNumId w:val="12"/>
  </w:num>
  <w:num w:numId="10" w16cid:durableId="2028098472">
    <w:abstractNumId w:val="7"/>
  </w:num>
  <w:num w:numId="11" w16cid:durableId="349572550">
    <w:abstractNumId w:val="2"/>
  </w:num>
  <w:num w:numId="12" w16cid:durableId="640158963">
    <w:abstractNumId w:val="1"/>
  </w:num>
  <w:num w:numId="13" w16cid:durableId="2021858142">
    <w:abstractNumId w:val="11"/>
  </w:num>
  <w:num w:numId="14" w16cid:durableId="2123763681">
    <w:abstractNumId w:val="4"/>
  </w:num>
  <w:num w:numId="15" w16cid:durableId="4404192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051"/>
    <w:rsid w:val="000007CA"/>
    <w:rsid w:val="00004AB0"/>
    <w:rsid w:val="00006CEA"/>
    <w:rsid w:val="00007453"/>
    <w:rsid w:val="0001020E"/>
    <w:rsid w:val="0001209E"/>
    <w:rsid w:val="00013027"/>
    <w:rsid w:val="00013380"/>
    <w:rsid w:val="0001492D"/>
    <w:rsid w:val="00015F1C"/>
    <w:rsid w:val="00016844"/>
    <w:rsid w:val="00021EB0"/>
    <w:rsid w:val="00023557"/>
    <w:rsid w:val="00025E5C"/>
    <w:rsid w:val="000274A5"/>
    <w:rsid w:val="00031132"/>
    <w:rsid w:val="00031939"/>
    <w:rsid w:val="00031FDD"/>
    <w:rsid w:val="00032893"/>
    <w:rsid w:val="00033AB4"/>
    <w:rsid w:val="00034FAE"/>
    <w:rsid w:val="00036267"/>
    <w:rsid w:val="0003689A"/>
    <w:rsid w:val="000403FB"/>
    <w:rsid w:val="00041BB6"/>
    <w:rsid w:val="00041C87"/>
    <w:rsid w:val="00042041"/>
    <w:rsid w:val="00042791"/>
    <w:rsid w:val="00042E3D"/>
    <w:rsid w:val="0004432C"/>
    <w:rsid w:val="00044867"/>
    <w:rsid w:val="0004542F"/>
    <w:rsid w:val="0004669A"/>
    <w:rsid w:val="00046BF7"/>
    <w:rsid w:val="00050AE1"/>
    <w:rsid w:val="000521E2"/>
    <w:rsid w:val="000525A1"/>
    <w:rsid w:val="00055170"/>
    <w:rsid w:val="000560A6"/>
    <w:rsid w:val="00060652"/>
    <w:rsid w:val="000606F3"/>
    <w:rsid w:val="00060EC0"/>
    <w:rsid w:val="00061CB7"/>
    <w:rsid w:val="00061FD7"/>
    <w:rsid w:val="000623A1"/>
    <w:rsid w:val="00062610"/>
    <w:rsid w:val="00062F90"/>
    <w:rsid w:val="00064530"/>
    <w:rsid w:val="00064BFF"/>
    <w:rsid w:val="000666F0"/>
    <w:rsid w:val="00066E1B"/>
    <w:rsid w:val="00070EB1"/>
    <w:rsid w:val="000748B6"/>
    <w:rsid w:val="000760B6"/>
    <w:rsid w:val="00077850"/>
    <w:rsid w:val="00080E5F"/>
    <w:rsid w:val="00082738"/>
    <w:rsid w:val="00083F77"/>
    <w:rsid w:val="00091320"/>
    <w:rsid w:val="00091E5F"/>
    <w:rsid w:val="0009280D"/>
    <w:rsid w:val="00094EDA"/>
    <w:rsid w:val="00095449"/>
    <w:rsid w:val="00095FA3"/>
    <w:rsid w:val="00096C9B"/>
    <w:rsid w:val="000A01B2"/>
    <w:rsid w:val="000A1864"/>
    <w:rsid w:val="000A469D"/>
    <w:rsid w:val="000A587C"/>
    <w:rsid w:val="000A6061"/>
    <w:rsid w:val="000A65A0"/>
    <w:rsid w:val="000A7BBF"/>
    <w:rsid w:val="000B072E"/>
    <w:rsid w:val="000B19E6"/>
    <w:rsid w:val="000B4157"/>
    <w:rsid w:val="000B487C"/>
    <w:rsid w:val="000B568B"/>
    <w:rsid w:val="000B62E6"/>
    <w:rsid w:val="000C00E7"/>
    <w:rsid w:val="000C2020"/>
    <w:rsid w:val="000C25FF"/>
    <w:rsid w:val="000C5BB6"/>
    <w:rsid w:val="000C606A"/>
    <w:rsid w:val="000C6C3A"/>
    <w:rsid w:val="000D089C"/>
    <w:rsid w:val="000D3123"/>
    <w:rsid w:val="000D3A27"/>
    <w:rsid w:val="000D4642"/>
    <w:rsid w:val="000D4B11"/>
    <w:rsid w:val="000D5078"/>
    <w:rsid w:val="000D61BC"/>
    <w:rsid w:val="000D654B"/>
    <w:rsid w:val="000D764C"/>
    <w:rsid w:val="000D76D9"/>
    <w:rsid w:val="000D7A32"/>
    <w:rsid w:val="000D7CCF"/>
    <w:rsid w:val="000D7D2A"/>
    <w:rsid w:val="000E1406"/>
    <w:rsid w:val="000E30A2"/>
    <w:rsid w:val="000E341C"/>
    <w:rsid w:val="000E3830"/>
    <w:rsid w:val="000E3AFC"/>
    <w:rsid w:val="000E52E1"/>
    <w:rsid w:val="000E532C"/>
    <w:rsid w:val="000E59D0"/>
    <w:rsid w:val="000F0615"/>
    <w:rsid w:val="000F0D22"/>
    <w:rsid w:val="000F285A"/>
    <w:rsid w:val="000F4C93"/>
    <w:rsid w:val="000F4F3D"/>
    <w:rsid w:val="000F684C"/>
    <w:rsid w:val="000F7003"/>
    <w:rsid w:val="00101DFB"/>
    <w:rsid w:val="00102514"/>
    <w:rsid w:val="001043FF"/>
    <w:rsid w:val="00104DA5"/>
    <w:rsid w:val="00105FCA"/>
    <w:rsid w:val="00106BD9"/>
    <w:rsid w:val="00110073"/>
    <w:rsid w:val="00110115"/>
    <w:rsid w:val="0011210C"/>
    <w:rsid w:val="00112E0A"/>
    <w:rsid w:val="00112F0C"/>
    <w:rsid w:val="00120F33"/>
    <w:rsid w:val="001220F6"/>
    <w:rsid w:val="00122752"/>
    <w:rsid w:val="00123AE0"/>
    <w:rsid w:val="0012446A"/>
    <w:rsid w:val="001245F9"/>
    <w:rsid w:val="00124F81"/>
    <w:rsid w:val="0012503A"/>
    <w:rsid w:val="001263C1"/>
    <w:rsid w:val="0012686D"/>
    <w:rsid w:val="001336D0"/>
    <w:rsid w:val="00134248"/>
    <w:rsid w:val="0013550C"/>
    <w:rsid w:val="00136A10"/>
    <w:rsid w:val="00137225"/>
    <w:rsid w:val="00137FB0"/>
    <w:rsid w:val="00137FC5"/>
    <w:rsid w:val="00140D7E"/>
    <w:rsid w:val="001415CD"/>
    <w:rsid w:val="00141F6A"/>
    <w:rsid w:val="00142BBD"/>
    <w:rsid w:val="001432A8"/>
    <w:rsid w:val="00145455"/>
    <w:rsid w:val="00145A72"/>
    <w:rsid w:val="00146E65"/>
    <w:rsid w:val="00147503"/>
    <w:rsid w:val="00147A0E"/>
    <w:rsid w:val="00151689"/>
    <w:rsid w:val="001516B1"/>
    <w:rsid w:val="00152E6F"/>
    <w:rsid w:val="00153B66"/>
    <w:rsid w:val="00154927"/>
    <w:rsid w:val="001568D2"/>
    <w:rsid w:val="0015767C"/>
    <w:rsid w:val="00157BD9"/>
    <w:rsid w:val="001600F5"/>
    <w:rsid w:val="001610B7"/>
    <w:rsid w:val="001616FE"/>
    <w:rsid w:val="001627E8"/>
    <w:rsid w:val="00162B6D"/>
    <w:rsid w:val="0016364E"/>
    <w:rsid w:val="0016377A"/>
    <w:rsid w:val="00163B27"/>
    <w:rsid w:val="0016403F"/>
    <w:rsid w:val="00164932"/>
    <w:rsid w:val="00165123"/>
    <w:rsid w:val="001652FA"/>
    <w:rsid w:val="00165C7D"/>
    <w:rsid w:val="00166A9E"/>
    <w:rsid w:val="00166C41"/>
    <w:rsid w:val="00170649"/>
    <w:rsid w:val="00173B28"/>
    <w:rsid w:val="001800A8"/>
    <w:rsid w:val="0018155B"/>
    <w:rsid w:val="0018199B"/>
    <w:rsid w:val="00182D0F"/>
    <w:rsid w:val="0018610F"/>
    <w:rsid w:val="00187816"/>
    <w:rsid w:val="00187A32"/>
    <w:rsid w:val="0019137A"/>
    <w:rsid w:val="0019332E"/>
    <w:rsid w:val="00194F51"/>
    <w:rsid w:val="00195447"/>
    <w:rsid w:val="001977BD"/>
    <w:rsid w:val="001A000D"/>
    <w:rsid w:val="001A13D1"/>
    <w:rsid w:val="001A2559"/>
    <w:rsid w:val="001A2928"/>
    <w:rsid w:val="001A490D"/>
    <w:rsid w:val="001A4EB7"/>
    <w:rsid w:val="001A5621"/>
    <w:rsid w:val="001A6BFA"/>
    <w:rsid w:val="001B0425"/>
    <w:rsid w:val="001B3EE8"/>
    <w:rsid w:val="001B55BE"/>
    <w:rsid w:val="001C1889"/>
    <w:rsid w:val="001C2B9F"/>
    <w:rsid w:val="001C47BF"/>
    <w:rsid w:val="001C5242"/>
    <w:rsid w:val="001C791D"/>
    <w:rsid w:val="001D15A0"/>
    <w:rsid w:val="001D230B"/>
    <w:rsid w:val="001D2CC1"/>
    <w:rsid w:val="001D3FC7"/>
    <w:rsid w:val="001D4584"/>
    <w:rsid w:val="001D4FE0"/>
    <w:rsid w:val="001D5BC1"/>
    <w:rsid w:val="001D6E94"/>
    <w:rsid w:val="001E3149"/>
    <w:rsid w:val="001E3363"/>
    <w:rsid w:val="001E3F34"/>
    <w:rsid w:val="001E462A"/>
    <w:rsid w:val="001E4CA5"/>
    <w:rsid w:val="001E5DF4"/>
    <w:rsid w:val="001E6D92"/>
    <w:rsid w:val="001E706B"/>
    <w:rsid w:val="001E773C"/>
    <w:rsid w:val="001F014B"/>
    <w:rsid w:val="001F04D3"/>
    <w:rsid w:val="001F0797"/>
    <w:rsid w:val="001F22D1"/>
    <w:rsid w:val="001F28FD"/>
    <w:rsid w:val="001F2BFF"/>
    <w:rsid w:val="0020137E"/>
    <w:rsid w:val="00201A61"/>
    <w:rsid w:val="00202DD5"/>
    <w:rsid w:val="00202EA8"/>
    <w:rsid w:val="00203670"/>
    <w:rsid w:val="002038CD"/>
    <w:rsid w:val="002045F3"/>
    <w:rsid w:val="00205097"/>
    <w:rsid w:val="00207C78"/>
    <w:rsid w:val="00211F4F"/>
    <w:rsid w:val="00212A69"/>
    <w:rsid w:val="00214D56"/>
    <w:rsid w:val="00214F05"/>
    <w:rsid w:val="00216044"/>
    <w:rsid w:val="00220AFB"/>
    <w:rsid w:val="00222D70"/>
    <w:rsid w:val="00227B77"/>
    <w:rsid w:val="00230013"/>
    <w:rsid w:val="00232BA8"/>
    <w:rsid w:val="00237DA3"/>
    <w:rsid w:val="002428DE"/>
    <w:rsid w:val="00242AAA"/>
    <w:rsid w:val="00242FA4"/>
    <w:rsid w:val="0025103C"/>
    <w:rsid w:val="00251E65"/>
    <w:rsid w:val="00254D9E"/>
    <w:rsid w:val="002551C7"/>
    <w:rsid w:val="002572C4"/>
    <w:rsid w:val="0025774A"/>
    <w:rsid w:val="00257CC0"/>
    <w:rsid w:val="002603AC"/>
    <w:rsid w:val="002607B9"/>
    <w:rsid w:val="002642CA"/>
    <w:rsid w:val="00264A8D"/>
    <w:rsid w:val="00265B88"/>
    <w:rsid w:val="002670C9"/>
    <w:rsid w:val="0026745A"/>
    <w:rsid w:val="00271DB2"/>
    <w:rsid w:val="00271E7C"/>
    <w:rsid w:val="002742E7"/>
    <w:rsid w:val="0027534A"/>
    <w:rsid w:val="0027538C"/>
    <w:rsid w:val="00276231"/>
    <w:rsid w:val="0027635B"/>
    <w:rsid w:val="00277EEC"/>
    <w:rsid w:val="0028018C"/>
    <w:rsid w:val="00280E7D"/>
    <w:rsid w:val="00280EEA"/>
    <w:rsid w:val="002839D3"/>
    <w:rsid w:val="00283DC2"/>
    <w:rsid w:val="002846CD"/>
    <w:rsid w:val="00287076"/>
    <w:rsid w:val="0029100F"/>
    <w:rsid w:val="00291B96"/>
    <w:rsid w:val="002939F7"/>
    <w:rsid w:val="002941A4"/>
    <w:rsid w:val="002950CC"/>
    <w:rsid w:val="00296748"/>
    <w:rsid w:val="002A0BA1"/>
    <w:rsid w:val="002A0DC1"/>
    <w:rsid w:val="002A400B"/>
    <w:rsid w:val="002A4068"/>
    <w:rsid w:val="002A6A9E"/>
    <w:rsid w:val="002B1372"/>
    <w:rsid w:val="002B23B3"/>
    <w:rsid w:val="002B317F"/>
    <w:rsid w:val="002B345F"/>
    <w:rsid w:val="002B34E9"/>
    <w:rsid w:val="002B59DC"/>
    <w:rsid w:val="002C0191"/>
    <w:rsid w:val="002C2808"/>
    <w:rsid w:val="002C2FE0"/>
    <w:rsid w:val="002C3174"/>
    <w:rsid w:val="002C5194"/>
    <w:rsid w:val="002C6B96"/>
    <w:rsid w:val="002C6FEC"/>
    <w:rsid w:val="002C7947"/>
    <w:rsid w:val="002D0564"/>
    <w:rsid w:val="002D098A"/>
    <w:rsid w:val="002D0DEC"/>
    <w:rsid w:val="002D11DF"/>
    <w:rsid w:val="002D28D7"/>
    <w:rsid w:val="002D3876"/>
    <w:rsid w:val="002D5128"/>
    <w:rsid w:val="002D544A"/>
    <w:rsid w:val="002D73A7"/>
    <w:rsid w:val="002D7491"/>
    <w:rsid w:val="002E00D5"/>
    <w:rsid w:val="002E0EB7"/>
    <w:rsid w:val="002E2CE1"/>
    <w:rsid w:val="002E4789"/>
    <w:rsid w:val="002E515E"/>
    <w:rsid w:val="002F0604"/>
    <w:rsid w:val="002F07A3"/>
    <w:rsid w:val="002F1B6D"/>
    <w:rsid w:val="002F23B4"/>
    <w:rsid w:val="002F3099"/>
    <w:rsid w:val="002F5626"/>
    <w:rsid w:val="002F7C1C"/>
    <w:rsid w:val="002F7F04"/>
    <w:rsid w:val="003009AA"/>
    <w:rsid w:val="00301299"/>
    <w:rsid w:val="00301869"/>
    <w:rsid w:val="00302AAA"/>
    <w:rsid w:val="00304234"/>
    <w:rsid w:val="00305CBA"/>
    <w:rsid w:val="0030605B"/>
    <w:rsid w:val="00306E2E"/>
    <w:rsid w:val="003070AA"/>
    <w:rsid w:val="00314203"/>
    <w:rsid w:val="0032122E"/>
    <w:rsid w:val="00324241"/>
    <w:rsid w:val="00324BE1"/>
    <w:rsid w:val="00324D41"/>
    <w:rsid w:val="00324EDD"/>
    <w:rsid w:val="00324F10"/>
    <w:rsid w:val="00325867"/>
    <w:rsid w:val="00325BDE"/>
    <w:rsid w:val="00330835"/>
    <w:rsid w:val="003314BD"/>
    <w:rsid w:val="00331E82"/>
    <w:rsid w:val="00333480"/>
    <w:rsid w:val="00333787"/>
    <w:rsid w:val="003341DE"/>
    <w:rsid w:val="003353C4"/>
    <w:rsid w:val="00336AFA"/>
    <w:rsid w:val="00337E35"/>
    <w:rsid w:val="003408ED"/>
    <w:rsid w:val="00343A9E"/>
    <w:rsid w:val="00344D9E"/>
    <w:rsid w:val="003450A8"/>
    <w:rsid w:val="0034512D"/>
    <w:rsid w:val="00345799"/>
    <w:rsid w:val="00345B1B"/>
    <w:rsid w:val="00346266"/>
    <w:rsid w:val="003463A1"/>
    <w:rsid w:val="00347437"/>
    <w:rsid w:val="0034782F"/>
    <w:rsid w:val="0035160A"/>
    <w:rsid w:val="00351FC3"/>
    <w:rsid w:val="00353FC0"/>
    <w:rsid w:val="00355E7D"/>
    <w:rsid w:val="00356E73"/>
    <w:rsid w:val="0035760E"/>
    <w:rsid w:val="00357FF1"/>
    <w:rsid w:val="00361EC9"/>
    <w:rsid w:val="003622D3"/>
    <w:rsid w:val="00363801"/>
    <w:rsid w:val="0036396E"/>
    <w:rsid w:val="00363E7B"/>
    <w:rsid w:val="0036412B"/>
    <w:rsid w:val="00366E61"/>
    <w:rsid w:val="0036771E"/>
    <w:rsid w:val="00370AEE"/>
    <w:rsid w:val="0037417D"/>
    <w:rsid w:val="003746AE"/>
    <w:rsid w:val="00374DE3"/>
    <w:rsid w:val="00375AB4"/>
    <w:rsid w:val="00375AD8"/>
    <w:rsid w:val="00376944"/>
    <w:rsid w:val="003773C5"/>
    <w:rsid w:val="003815AC"/>
    <w:rsid w:val="00381CFA"/>
    <w:rsid w:val="00381D84"/>
    <w:rsid w:val="00382EFB"/>
    <w:rsid w:val="00383F3D"/>
    <w:rsid w:val="00384C19"/>
    <w:rsid w:val="00385AD4"/>
    <w:rsid w:val="00386FB0"/>
    <w:rsid w:val="00387970"/>
    <w:rsid w:val="00387A1F"/>
    <w:rsid w:val="00387A21"/>
    <w:rsid w:val="00387CF0"/>
    <w:rsid w:val="00392A73"/>
    <w:rsid w:val="00393B32"/>
    <w:rsid w:val="00395053"/>
    <w:rsid w:val="0039647F"/>
    <w:rsid w:val="003A02C3"/>
    <w:rsid w:val="003A042B"/>
    <w:rsid w:val="003A0ABB"/>
    <w:rsid w:val="003A0FB3"/>
    <w:rsid w:val="003A12BF"/>
    <w:rsid w:val="003A39C6"/>
    <w:rsid w:val="003A45E2"/>
    <w:rsid w:val="003A46A1"/>
    <w:rsid w:val="003A7C3F"/>
    <w:rsid w:val="003B27EC"/>
    <w:rsid w:val="003B43E4"/>
    <w:rsid w:val="003B45DE"/>
    <w:rsid w:val="003B5AD3"/>
    <w:rsid w:val="003B5BEB"/>
    <w:rsid w:val="003B5DB7"/>
    <w:rsid w:val="003B669E"/>
    <w:rsid w:val="003B6731"/>
    <w:rsid w:val="003C27FA"/>
    <w:rsid w:val="003C3C08"/>
    <w:rsid w:val="003C4502"/>
    <w:rsid w:val="003C490F"/>
    <w:rsid w:val="003C512E"/>
    <w:rsid w:val="003C5AE9"/>
    <w:rsid w:val="003C7389"/>
    <w:rsid w:val="003C77D3"/>
    <w:rsid w:val="003D03B7"/>
    <w:rsid w:val="003D05E8"/>
    <w:rsid w:val="003D2B3C"/>
    <w:rsid w:val="003D2F4F"/>
    <w:rsid w:val="003D447B"/>
    <w:rsid w:val="003D4BE7"/>
    <w:rsid w:val="003D57BB"/>
    <w:rsid w:val="003E0BA0"/>
    <w:rsid w:val="003E2AD6"/>
    <w:rsid w:val="003E4F0F"/>
    <w:rsid w:val="003E5C56"/>
    <w:rsid w:val="003E6C5C"/>
    <w:rsid w:val="003F05CC"/>
    <w:rsid w:val="003F49C9"/>
    <w:rsid w:val="003F51A3"/>
    <w:rsid w:val="003F53D3"/>
    <w:rsid w:val="003F554E"/>
    <w:rsid w:val="003F5D37"/>
    <w:rsid w:val="003F6392"/>
    <w:rsid w:val="003F69E2"/>
    <w:rsid w:val="003F791F"/>
    <w:rsid w:val="00400296"/>
    <w:rsid w:val="004008D2"/>
    <w:rsid w:val="00400ABD"/>
    <w:rsid w:val="00400DC7"/>
    <w:rsid w:val="0040128A"/>
    <w:rsid w:val="0040166B"/>
    <w:rsid w:val="00401E04"/>
    <w:rsid w:val="00402061"/>
    <w:rsid w:val="00402DFF"/>
    <w:rsid w:val="004035B5"/>
    <w:rsid w:val="004037D0"/>
    <w:rsid w:val="00411777"/>
    <w:rsid w:val="00411D46"/>
    <w:rsid w:val="00411EF7"/>
    <w:rsid w:val="00413747"/>
    <w:rsid w:val="00420038"/>
    <w:rsid w:val="0042282B"/>
    <w:rsid w:val="004230D0"/>
    <w:rsid w:val="0042673E"/>
    <w:rsid w:val="00426DDC"/>
    <w:rsid w:val="00430003"/>
    <w:rsid w:val="00431018"/>
    <w:rsid w:val="00431619"/>
    <w:rsid w:val="004322D4"/>
    <w:rsid w:val="00433E4C"/>
    <w:rsid w:val="0043499A"/>
    <w:rsid w:val="004363A2"/>
    <w:rsid w:val="00437B2E"/>
    <w:rsid w:val="00437D71"/>
    <w:rsid w:val="00440310"/>
    <w:rsid w:val="004403A9"/>
    <w:rsid w:val="00442267"/>
    <w:rsid w:val="004422C3"/>
    <w:rsid w:val="004440F6"/>
    <w:rsid w:val="00444F24"/>
    <w:rsid w:val="004454A3"/>
    <w:rsid w:val="004458F0"/>
    <w:rsid w:val="00446094"/>
    <w:rsid w:val="00447FE5"/>
    <w:rsid w:val="00453C29"/>
    <w:rsid w:val="00456055"/>
    <w:rsid w:val="0045705E"/>
    <w:rsid w:val="00457380"/>
    <w:rsid w:val="00460D28"/>
    <w:rsid w:val="00461A66"/>
    <w:rsid w:val="00463028"/>
    <w:rsid w:val="004633E4"/>
    <w:rsid w:val="0046542C"/>
    <w:rsid w:val="00465644"/>
    <w:rsid w:val="00466203"/>
    <w:rsid w:val="00466F3B"/>
    <w:rsid w:val="00467EB2"/>
    <w:rsid w:val="00470939"/>
    <w:rsid w:val="00472B90"/>
    <w:rsid w:val="004766FB"/>
    <w:rsid w:val="00477C6A"/>
    <w:rsid w:val="00480B13"/>
    <w:rsid w:val="00482646"/>
    <w:rsid w:val="00482E43"/>
    <w:rsid w:val="0048462A"/>
    <w:rsid w:val="00484D11"/>
    <w:rsid w:val="0048524B"/>
    <w:rsid w:val="0048526C"/>
    <w:rsid w:val="004868B5"/>
    <w:rsid w:val="0049007C"/>
    <w:rsid w:val="004928C4"/>
    <w:rsid w:val="00493FBD"/>
    <w:rsid w:val="004941DD"/>
    <w:rsid w:val="004945F1"/>
    <w:rsid w:val="00494B34"/>
    <w:rsid w:val="00495117"/>
    <w:rsid w:val="0049555A"/>
    <w:rsid w:val="004A148A"/>
    <w:rsid w:val="004A1C25"/>
    <w:rsid w:val="004A36CC"/>
    <w:rsid w:val="004A4F7D"/>
    <w:rsid w:val="004A5608"/>
    <w:rsid w:val="004A6A49"/>
    <w:rsid w:val="004A761B"/>
    <w:rsid w:val="004B0CE3"/>
    <w:rsid w:val="004B29B0"/>
    <w:rsid w:val="004B3076"/>
    <w:rsid w:val="004B4365"/>
    <w:rsid w:val="004B6C82"/>
    <w:rsid w:val="004B7444"/>
    <w:rsid w:val="004C0980"/>
    <w:rsid w:val="004C0A30"/>
    <w:rsid w:val="004C2E3B"/>
    <w:rsid w:val="004C3004"/>
    <w:rsid w:val="004C523B"/>
    <w:rsid w:val="004D0205"/>
    <w:rsid w:val="004D0992"/>
    <w:rsid w:val="004D0E5C"/>
    <w:rsid w:val="004D1DBA"/>
    <w:rsid w:val="004D2C06"/>
    <w:rsid w:val="004D3750"/>
    <w:rsid w:val="004D3941"/>
    <w:rsid w:val="004D4FA2"/>
    <w:rsid w:val="004D7046"/>
    <w:rsid w:val="004E00A1"/>
    <w:rsid w:val="004E011D"/>
    <w:rsid w:val="004E0372"/>
    <w:rsid w:val="004E1FC3"/>
    <w:rsid w:val="004E2C6E"/>
    <w:rsid w:val="004E2E7C"/>
    <w:rsid w:val="004E52CC"/>
    <w:rsid w:val="004E5BBE"/>
    <w:rsid w:val="004E5D81"/>
    <w:rsid w:val="004F0347"/>
    <w:rsid w:val="004F0409"/>
    <w:rsid w:val="004F05A5"/>
    <w:rsid w:val="004F1052"/>
    <w:rsid w:val="004F1DAF"/>
    <w:rsid w:val="004F5696"/>
    <w:rsid w:val="004F6722"/>
    <w:rsid w:val="004F70BE"/>
    <w:rsid w:val="004F78AE"/>
    <w:rsid w:val="004F7976"/>
    <w:rsid w:val="005006FB"/>
    <w:rsid w:val="00503BEC"/>
    <w:rsid w:val="0050456F"/>
    <w:rsid w:val="00504EB7"/>
    <w:rsid w:val="00504F51"/>
    <w:rsid w:val="005055C8"/>
    <w:rsid w:val="005070E4"/>
    <w:rsid w:val="005074F9"/>
    <w:rsid w:val="00507D82"/>
    <w:rsid w:val="00511519"/>
    <w:rsid w:val="005121C4"/>
    <w:rsid w:val="00512E14"/>
    <w:rsid w:val="005141BF"/>
    <w:rsid w:val="005147BB"/>
    <w:rsid w:val="00514CFA"/>
    <w:rsid w:val="0052039C"/>
    <w:rsid w:val="00521A6F"/>
    <w:rsid w:val="00521FCF"/>
    <w:rsid w:val="00522309"/>
    <w:rsid w:val="00522D68"/>
    <w:rsid w:val="005238D9"/>
    <w:rsid w:val="00524085"/>
    <w:rsid w:val="00524B04"/>
    <w:rsid w:val="00524F90"/>
    <w:rsid w:val="00525040"/>
    <w:rsid w:val="00525779"/>
    <w:rsid w:val="005257A9"/>
    <w:rsid w:val="00526DF2"/>
    <w:rsid w:val="00526FA7"/>
    <w:rsid w:val="00530B0A"/>
    <w:rsid w:val="005339FD"/>
    <w:rsid w:val="00535132"/>
    <w:rsid w:val="005356C3"/>
    <w:rsid w:val="00536A41"/>
    <w:rsid w:val="00536D20"/>
    <w:rsid w:val="00541071"/>
    <w:rsid w:val="00541DA7"/>
    <w:rsid w:val="0054271B"/>
    <w:rsid w:val="005467CE"/>
    <w:rsid w:val="0054752D"/>
    <w:rsid w:val="0054760C"/>
    <w:rsid w:val="0055266A"/>
    <w:rsid w:val="00552B43"/>
    <w:rsid w:val="0055482C"/>
    <w:rsid w:val="00554C4E"/>
    <w:rsid w:val="00554E17"/>
    <w:rsid w:val="0055598E"/>
    <w:rsid w:val="00556654"/>
    <w:rsid w:val="00556FE7"/>
    <w:rsid w:val="005634C0"/>
    <w:rsid w:val="00566A32"/>
    <w:rsid w:val="00570FFB"/>
    <w:rsid w:val="00571473"/>
    <w:rsid w:val="00572697"/>
    <w:rsid w:val="005727F4"/>
    <w:rsid w:val="0057367F"/>
    <w:rsid w:val="0057551C"/>
    <w:rsid w:val="005759DC"/>
    <w:rsid w:val="00575DEF"/>
    <w:rsid w:val="00576607"/>
    <w:rsid w:val="005773CF"/>
    <w:rsid w:val="00577C87"/>
    <w:rsid w:val="0058051B"/>
    <w:rsid w:val="0058060B"/>
    <w:rsid w:val="00582C2D"/>
    <w:rsid w:val="00585BEC"/>
    <w:rsid w:val="005871C3"/>
    <w:rsid w:val="00587482"/>
    <w:rsid w:val="00590CB1"/>
    <w:rsid w:val="00592559"/>
    <w:rsid w:val="005928F1"/>
    <w:rsid w:val="005931E1"/>
    <w:rsid w:val="00594D05"/>
    <w:rsid w:val="00595171"/>
    <w:rsid w:val="0059639E"/>
    <w:rsid w:val="005968F5"/>
    <w:rsid w:val="0059751D"/>
    <w:rsid w:val="005A1B38"/>
    <w:rsid w:val="005A314E"/>
    <w:rsid w:val="005A392E"/>
    <w:rsid w:val="005A3E0D"/>
    <w:rsid w:val="005A3E60"/>
    <w:rsid w:val="005A45E4"/>
    <w:rsid w:val="005A7301"/>
    <w:rsid w:val="005A75EE"/>
    <w:rsid w:val="005B1EAA"/>
    <w:rsid w:val="005B358A"/>
    <w:rsid w:val="005B4827"/>
    <w:rsid w:val="005B61DE"/>
    <w:rsid w:val="005B61E7"/>
    <w:rsid w:val="005C2A60"/>
    <w:rsid w:val="005C3017"/>
    <w:rsid w:val="005C337A"/>
    <w:rsid w:val="005C4CA6"/>
    <w:rsid w:val="005C5251"/>
    <w:rsid w:val="005C799B"/>
    <w:rsid w:val="005C7C57"/>
    <w:rsid w:val="005D1A98"/>
    <w:rsid w:val="005D3DEC"/>
    <w:rsid w:val="005D475F"/>
    <w:rsid w:val="005D4F7B"/>
    <w:rsid w:val="005D62C6"/>
    <w:rsid w:val="005D7877"/>
    <w:rsid w:val="005E03C1"/>
    <w:rsid w:val="005E25CC"/>
    <w:rsid w:val="005E2A63"/>
    <w:rsid w:val="005E2A73"/>
    <w:rsid w:val="005E340A"/>
    <w:rsid w:val="005E4F7B"/>
    <w:rsid w:val="005E5B98"/>
    <w:rsid w:val="005E7A5F"/>
    <w:rsid w:val="005F23B6"/>
    <w:rsid w:val="005F25C6"/>
    <w:rsid w:val="005F5045"/>
    <w:rsid w:val="0060115A"/>
    <w:rsid w:val="00601426"/>
    <w:rsid w:val="00601C56"/>
    <w:rsid w:val="006033F8"/>
    <w:rsid w:val="00604592"/>
    <w:rsid w:val="00606498"/>
    <w:rsid w:val="00606E18"/>
    <w:rsid w:val="0061327A"/>
    <w:rsid w:val="006132F9"/>
    <w:rsid w:val="00615D5B"/>
    <w:rsid w:val="00616666"/>
    <w:rsid w:val="00621F2B"/>
    <w:rsid w:val="00622D4A"/>
    <w:rsid w:val="00622F91"/>
    <w:rsid w:val="006269D4"/>
    <w:rsid w:val="006277AC"/>
    <w:rsid w:val="006303FF"/>
    <w:rsid w:val="00631B98"/>
    <w:rsid w:val="00632205"/>
    <w:rsid w:val="00632B6D"/>
    <w:rsid w:val="00633A68"/>
    <w:rsid w:val="006343FD"/>
    <w:rsid w:val="00637F28"/>
    <w:rsid w:val="00641579"/>
    <w:rsid w:val="006423FF"/>
    <w:rsid w:val="00643255"/>
    <w:rsid w:val="006434A1"/>
    <w:rsid w:val="00645340"/>
    <w:rsid w:val="00646303"/>
    <w:rsid w:val="006464F3"/>
    <w:rsid w:val="00646955"/>
    <w:rsid w:val="00646DC8"/>
    <w:rsid w:val="00647747"/>
    <w:rsid w:val="00647B3D"/>
    <w:rsid w:val="00651873"/>
    <w:rsid w:val="0065199F"/>
    <w:rsid w:val="00651D7E"/>
    <w:rsid w:val="00652B81"/>
    <w:rsid w:val="00654E3F"/>
    <w:rsid w:val="006551CD"/>
    <w:rsid w:val="006561F7"/>
    <w:rsid w:val="006636DD"/>
    <w:rsid w:val="00664036"/>
    <w:rsid w:val="00664834"/>
    <w:rsid w:val="00664D14"/>
    <w:rsid w:val="0066554A"/>
    <w:rsid w:val="00665E7D"/>
    <w:rsid w:val="0066698F"/>
    <w:rsid w:val="00666F77"/>
    <w:rsid w:val="00670E05"/>
    <w:rsid w:val="00672539"/>
    <w:rsid w:val="00672727"/>
    <w:rsid w:val="00673850"/>
    <w:rsid w:val="00674B9B"/>
    <w:rsid w:val="00675A4A"/>
    <w:rsid w:val="0067635E"/>
    <w:rsid w:val="00680237"/>
    <w:rsid w:val="006808B9"/>
    <w:rsid w:val="006808CC"/>
    <w:rsid w:val="0068544C"/>
    <w:rsid w:val="0069150D"/>
    <w:rsid w:val="0069243C"/>
    <w:rsid w:val="00692E17"/>
    <w:rsid w:val="00697BDE"/>
    <w:rsid w:val="006A0CC0"/>
    <w:rsid w:val="006A17D0"/>
    <w:rsid w:val="006A1BCC"/>
    <w:rsid w:val="006A2792"/>
    <w:rsid w:val="006A35B5"/>
    <w:rsid w:val="006A36A0"/>
    <w:rsid w:val="006A4AC6"/>
    <w:rsid w:val="006B10DB"/>
    <w:rsid w:val="006B190C"/>
    <w:rsid w:val="006B3D42"/>
    <w:rsid w:val="006B3EA9"/>
    <w:rsid w:val="006C1477"/>
    <w:rsid w:val="006C204B"/>
    <w:rsid w:val="006C470F"/>
    <w:rsid w:val="006C4FEB"/>
    <w:rsid w:val="006C5DD8"/>
    <w:rsid w:val="006C6E5E"/>
    <w:rsid w:val="006D1C41"/>
    <w:rsid w:val="006D42B7"/>
    <w:rsid w:val="006D5070"/>
    <w:rsid w:val="006D56AD"/>
    <w:rsid w:val="006D64CD"/>
    <w:rsid w:val="006E08D5"/>
    <w:rsid w:val="006E3055"/>
    <w:rsid w:val="006E400B"/>
    <w:rsid w:val="006E63E3"/>
    <w:rsid w:val="006E70B3"/>
    <w:rsid w:val="006E7C13"/>
    <w:rsid w:val="006E7D89"/>
    <w:rsid w:val="006F0662"/>
    <w:rsid w:val="006F0FD3"/>
    <w:rsid w:val="006F1962"/>
    <w:rsid w:val="006F1EC2"/>
    <w:rsid w:val="006F208A"/>
    <w:rsid w:val="006F2AD5"/>
    <w:rsid w:val="006F4B3C"/>
    <w:rsid w:val="006F6366"/>
    <w:rsid w:val="007009AA"/>
    <w:rsid w:val="00700BAA"/>
    <w:rsid w:val="0070105F"/>
    <w:rsid w:val="00701682"/>
    <w:rsid w:val="0070274C"/>
    <w:rsid w:val="00702B40"/>
    <w:rsid w:val="00704787"/>
    <w:rsid w:val="0070572E"/>
    <w:rsid w:val="00707125"/>
    <w:rsid w:val="00707D77"/>
    <w:rsid w:val="007109A4"/>
    <w:rsid w:val="007125C9"/>
    <w:rsid w:val="007139F4"/>
    <w:rsid w:val="00713AB7"/>
    <w:rsid w:val="00717E98"/>
    <w:rsid w:val="00720D1B"/>
    <w:rsid w:val="007219E2"/>
    <w:rsid w:val="00723947"/>
    <w:rsid w:val="0072492D"/>
    <w:rsid w:val="00724D21"/>
    <w:rsid w:val="0072681C"/>
    <w:rsid w:val="00726893"/>
    <w:rsid w:val="00726D20"/>
    <w:rsid w:val="00726F7C"/>
    <w:rsid w:val="00730250"/>
    <w:rsid w:val="00731025"/>
    <w:rsid w:val="00733021"/>
    <w:rsid w:val="00735C8E"/>
    <w:rsid w:val="00737381"/>
    <w:rsid w:val="0074225B"/>
    <w:rsid w:val="007426AF"/>
    <w:rsid w:val="00742A63"/>
    <w:rsid w:val="00743B7B"/>
    <w:rsid w:val="007464E5"/>
    <w:rsid w:val="00746710"/>
    <w:rsid w:val="007477F2"/>
    <w:rsid w:val="0075047F"/>
    <w:rsid w:val="00750538"/>
    <w:rsid w:val="007521C7"/>
    <w:rsid w:val="00752E06"/>
    <w:rsid w:val="007530C0"/>
    <w:rsid w:val="007536E5"/>
    <w:rsid w:val="00753E80"/>
    <w:rsid w:val="007542C4"/>
    <w:rsid w:val="0075438A"/>
    <w:rsid w:val="0075568E"/>
    <w:rsid w:val="00760C75"/>
    <w:rsid w:val="007613C7"/>
    <w:rsid w:val="0076189B"/>
    <w:rsid w:val="00762822"/>
    <w:rsid w:val="00766398"/>
    <w:rsid w:val="007665E4"/>
    <w:rsid w:val="00766808"/>
    <w:rsid w:val="007675CC"/>
    <w:rsid w:val="00772287"/>
    <w:rsid w:val="00775385"/>
    <w:rsid w:val="00775AD4"/>
    <w:rsid w:val="00776E10"/>
    <w:rsid w:val="0077703B"/>
    <w:rsid w:val="00777325"/>
    <w:rsid w:val="00777CEC"/>
    <w:rsid w:val="00783370"/>
    <w:rsid w:val="00784C20"/>
    <w:rsid w:val="007854BC"/>
    <w:rsid w:val="00785A09"/>
    <w:rsid w:val="007861CC"/>
    <w:rsid w:val="0079227B"/>
    <w:rsid w:val="00792AFD"/>
    <w:rsid w:val="007930A9"/>
    <w:rsid w:val="007936D1"/>
    <w:rsid w:val="00793CFD"/>
    <w:rsid w:val="007940EF"/>
    <w:rsid w:val="00794F93"/>
    <w:rsid w:val="00796550"/>
    <w:rsid w:val="007A00DB"/>
    <w:rsid w:val="007A1FD6"/>
    <w:rsid w:val="007A4154"/>
    <w:rsid w:val="007A436D"/>
    <w:rsid w:val="007A441F"/>
    <w:rsid w:val="007A5EDE"/>
    <w:rsid w:val="007A74F5"/>
    <w:rsid w:val="007B11B6"/>
    <w:rsid w:val="007B206A"/>
    <w:rsid w:val="007B268C"/>
    <w:rsid w:val="007B30B4"/>
    <w:rsid w:val="007B368E"/>
    <w:rsid w:val="007B4AF1"/>
    <w:rsid w:val="007B5F83"/>
    <w:rsid w:val="007B66ED"/>
    <w:rsid w:val="007B7A64"/>
    <w:rsid w:val="007B7FB0"/>
    <w:rsid w:val="007C1823"/>
    <w:rsid w:val="007C1A3B"/>
    <w:rsid w:val="007C24C7"/>
    <w:rsid w:val="007C38B1"/>
    <w:rsid w:val="007C47F4"/>
    <w:rsid w:val="007C5062"/>
    <w:rsid w:val="007C59BF"/>
    <w:rsid w:val="007C6D26"/>
    <w:rsid w:val="007C7259"/>
    <w:rsid w:val="007D10B9"/>
    <w:rsid w:val="007D1CC5"/>
    <w:rsid w:val="007D2D9E"/>
    <w:rsid w:val="007D4183"/>
    <w:rsid w:val="007D4710"/>
    <w:rsid w:val="007D4906"/>
    <w:rsid w:val="007D4F2E"/>
    <w:rsid w:val="007D65C3"/>
    <w:rsid w:val="007D73B8"/>
    <w:rsid w:val="007D7AFD"/>
    <w:rsid w:val="007D7DA0"/>
    <w:rsid w:val="007E0D12"/>
    <w:rsid w:val="007E39A9"/>
    <w:rsid w:val="007E39C1"/>
    <w:rsid w:val="007E5364"/>
    <w:rsid w:val="007E55DB"/>
    <w:rsid w:val="007E5740"/>
    <w:rsid w:val="007E60E9"/>
    <w:rsid w:val="007E712D"/>
    <w:rsid w:val="007E7FCF"/>
    <w:rsid w:val="007F0339"/>
    <w:rsid w:val="007F2032"/>
    <w:rsid w:val="007F288D"/>
    <w:rsid w:val="007F3621"/>
    <w:rsid w:val="00800AEA"/>
    <w:rsid w:val="00800CB8"/>
    <w:rsid w:val="00801AED"/>
    <w:rsid w:val="00802768"/>
    <w:rsid w:val="0080356E"/>
    <w:rsid w:val="00803D47"/>
    <w:rsid w:val="0080472D"/>
    <w:rsid w:val="00805035"/>
    <w:rsid w:val="008051E7"/>
    <w:rsid w:val="008079CD"/>
    <w:rsid w:val="008109AE"/>
    <w:rsid w:val="00811491"/>
    <w:rsid w:val="00812041"/>
    <w:rsid w:val="008123C9"/>
    <w:rsid w:val="008127C7"/>
    <w:rsid w:val="00812F5B"/>
    <w:rsid w:val="008138B2"/>
    <w:rsid w:val="00814355"/>
    <w:rsid w:val="00817134"/>
    <w:rsid w:val="00820A58"/>
    <w:rsid w:val="00823526"/>
    <w:rsid w:val="00825AA7"/>
    <w:rsid w:val="00830458"/>
    <w:rsid w:val="00830C93"/>
    <w:rsid w:val="00831246"/>
    <w:rsid w:val="0083179E"/>
    <w:rsid w:val="00833A62"/>
    <w:rsid w:val="008363EB"/>
    <w:rsid w:val="00836FD7"/>
    <w:rsid w:val="00841436"/>
    <w:rsid w:val="0084187B"/>
    <w:rsid w:val="0084241D"/>
    <w:rsid w:val="0084462C"/>
    <w:rsid w:val="0084557A"/>
    <w:rsid w:val="00847320"/>
    <w:rsid w:val="00851117"/>
    <w:rsid w:val="00852D20"/>
    <w:rsid w:val="00855006"/>
    <w:rsid w:val="00857B04"/>
    <w:rsid w:val="00861542"/>
    <w:rsid w:val="008627F2"/>
    <w:rsid w:val="00863B8F"/>
    <w:rsid w:val="008646B3"/>
    <w:rsid w:val="00864F3C"/>
    <w:rsid w:val="008669B6"/>
    <w:rsid w:val="00870407"/>
    <w:rsid w:val="008707B2"/>
    <w:rsid w:val="00872CE0"/>
    <w:rsid w:val="00873884"/>
    <w:rsid w:val="00873B66"/>
    <w:rsid w:val="00874154"/>
    <w:rsid w:val="00874ECA"/>
    <w:rsid w:val="00875548"/>
    <w:rsid w:val="00875ED8"/>
    <w:rsid w:val="008765C5"/>
    <w:rsid w:val="00880145"/>
    <w:rsid w:val="00880EC5"/>
    <w:rsid w:val="00881AB9"/>
    <w:rsid w:val="00882BF6"/>
    <w:rsid w:val="00882CE8"/>
    <w:rsid w:val="00882EDA"/>
    <w:rsid w:val="00883578"/>
    <w:rsid w:val="008855F2"/>
    <w:rsid w:val="0088765C"/>
    <w:rsid w:val="0089195B"/>
    <w:rsid w:val="00891DA0"/>
    <w:rsid w:val="0089269C"/>
    <w:rsid w:val="00892C36"/>
    <w:rsid w:val="00893654"/>
    <w:rsid w:val="00894B0C"/>
    <w:rsid w:val="00895618"/>
    <w:rsid w:val="008956B8"/>
    <w:rsid w:val="00895D56"/>
    <w:rsid w:val="00896124"/>
    <w:rsid w:val="008A03F8"/>
    <w:rsid w:val="008A555D"/>
    <w:rsid w:val="008B31E6"/>
    <w:rsid w:val="008B3DBE"/>
    <w:rsid w:val="008B6D4D"/>
    <w:rsid w:val="008C1449"/>
    <w:rsid w:val="008C1BF2"/>
    <w:rsid w:val="008C32E7"/>
    <w:rsid w:val="008C358E"/>
    <w:rsid w:val="008C3BD2"/>
    <w:rsid w:val="008C3C96"/>
    <w:rsid w:val="008C43AF"/>
    <w:rsid w:val="008C47BD"/>
    <w:rsid w:val="008C4F3A"/>
    <w:rsid w:val="008C57C2"/>
    <w:rsid w:val="008C606B"/>
    <w:rsid w:val="008C72B6"/>
    <w:rsid w:val="008C7C70"/>
    <w:rsid w:val="008D123D"/>
    <w:rsid w:val="008D198F"/>
    <w:rsid w:val="008D5880"/>
    <w:rsid w:val="008D6F7B"/>
    <w:rsid w:val="008E11D9"/>
    <w:rsid w:val="008E153D"/>
    <w:rsid w:val="008E46D8"/>
    <w:rsid w:val="008E59E5"/>
    <w:rsid w:val="008E6237"/>
    <w:rsid w:val="008E7613"/>
    <w:rsid w:val="008F1743"/>
    <w:rsid w:val="008F24B0"/>
    <w:rsid w:val="008F2700"/>
    <w:rsid w:val="008F27B9"/>
    <w:rsid w:val="008F49C2"/>
    <w:rsid w:val="008F4A47"/>
    <w:rsid w:val="008F4CB4"/>
    <w:rsid w:val="008F4D8C"/>
    <w:rsid w:val="0090033C"/>
    <w:rsid w:val="00903EBA"/>
    <w:rsid w:val="00904FD1"/>
    <w:rsid w:val="00905037"/>
    <w:rsid w:val="0090634E"/>
    <w:rsid w:val="0090678A"/>
    <w:rsid w:val="009101F4"/>
    <w:rsid w:val="0091025A"/>
    <w:rsid w:val="00910A9E"/>
    <w:rsid w:val="00910BAE"/>
    <w:rsid w:val="00911F34"/>
    <w:rsid w:val="0091415F"/>
    <w:rsid w:val="00915252"/>
    <w:rsid w:val="0091538E"/>
    <w:rsid w:val="009157EE"/>
    <w:rsid w:val="0091581C"/>
    <w:rsid w:val="009179EF"/>
    <w:rsid w:val="00920009"/>
    <w:rsid w:val="00920B4D"/>
    <w:rsid w:val="00921426"/>
    <w:rsid w:val="00921FF8"/>
    <w:rsid w:val="009224E7"/>
    <w:rsid w:val="00922EAB"/>
    <w:rsid w:val="009250D9"/>
    <w:rsid w:val="0093104B"/>
    <w:rsid w:val="0093251C"/>
    <w:rsid w:val="00934A3D"/>
    <w:rsid w:val="009371C6"/>
    <w:rsid w:val="00937B1F"/>
    <w:rsid w:val="00941098"/>
    <w:rsid w:val="00941BF8"/>
    <w:rsid w:val="00942AAD"/>
    <w:rsid w:val="00943EA1"/>
    <w:rsid w:val="0094693D"/>
    <w:rsid w:val="00947111"/>
    <w:rsid w:val="00947651"/>
    <w:rsid w:val="00950E93"/>
    <w:rsid w:val="00950F77"/>
    <w:rsid w:val="0095457B"/>
    <w:rsid w:val="0095666E"/>
    <w:rsid w:val="0095699E"/>
    <w:rsid w:val="00956E3E"/>
    <w:rsid w:val="00957D82"/>
    <w:rsid w:val="00960102"/>
    <w:rsid w:val="00960384"/>
    <w:rsid w:val="0096045A"/>
    <w:rsid w:val="00961969"/>
    <w:rsid w:val="00962E5F"/>
    <w:rsid w:val="00963CC3"/>
    <w:rsid w:val="00965D29"/>
    <w:rsid w:val="00967806"/>
    <w:rsid w:val="00971674"/>
    <w:rsid w:val="00971D86"/>
    <w:rsid w:val="009747B6"/>
    <w:rsid w:val="00975997"/>
    <w:rsid w:val="009759EB"/>
    <w:rsid w:val="00975CB4"/>
    <w:rsid w:val="009815BF"/>
    <w:rsid w:val="00981655"/>
    <w:rsid w:val="00981E1B"/>
    <w:rsid w:val="0098264C"/>
    <w:rsid w:val="00982754"/>
    <w:rsid w:val="00984543"/>
    <w:rsid w:val="00984F13"/>
    <w:rsid w:val="00987662"/>
    <w:rsid w:val="00991650"/>
    <w:rsid w:val="00991942"/>
    <w:rsid w:val="00992543"/>
    <w:rsid w:val="00992905"/>
    <w:rsid w:val="00992C84"/>
    <w:rsid w:val="00992EB8"/>
    <w:rsid w:val="009963B3"/>
    <w:rsid w:val="00996788"/>
    <w:rsid w:val="009A1BB3"/>
    <w:rsid w:val="009A5B4C"/>
    <w:rsid w:val="009A6A2D"/>
    <w:rsid w:val="009B0EC0"/>
    <w:rsid w:val="009B0FCF"/>
    <w:rsid w:val="009B1331"/>
    <w:rsid w:val="009B48D6"/>
    <w:rsid w:val="009B6752"/>
    <w:rsid w:val="009B730D"/>
    <w:rsid w:val="009C26BD"/>
    <w:rsid w:val="009C4368"/>
    <w:rsid w:val="009C5DB7"/>
    <w:rsid w:val="009C7120"/>
    <w:rsid w:val="009D1122"/>
    <w:rsid w:val="009D1403"/>
    <w:rsid w:val="009D1970"/>
    <w:rsid w:val="009D2131"/>
    <w:rsid w:val="009D428A"/>
    <w:rsid w:val="009D4EFD"/>
    <w:rsid w:val="009D675B"/>
    <w:rsid w:val="009E058D"/>
    <w:rsid w:val="009E1B29"/>
    <w:rsid w:val="009E3293"/>
    <w:rsid w:val="009E48A2"/>
    <w:rsid w:val="009E5FC2"/>
    <w:rsid w:val="009E604A"/>
    <w:rsid w:val="009F1889"/>
    <w:rsid w:val="009F190E"/>
    <w:rsid w:val="009F2091"/>
    <w:rsid w:val="009F3A59"/>
    <w:rsid w:val="009F4A28"/>
    <w:rsid w:val="009F6C10"/>
    <w:rsid w:val="00A00853"/>
    <w:rsid w:val="00A00FB3"/>
    <w:rsid w:val="00A01777"/>
    <w:rsid w:val="00A01781"/>
    <w:rsid w:val="00A01F63"/>
    <w:rsid w:val="00A047CB"/>
    <w:rsid w:val="00A05681"/>
    <w:rsid w:val="00A056E1"/>
    <w:rsid w:val="00A05ECB"/>
    <w:rsid w:val="00A117D9"/>
    <w:rsid w:val="00A12753"/>
    <w:rsid w:val="00A12D57"/>
    <w:rsid w:val="00A13E57"/>
    <w:rsid w:val="00A1510C"/>
    <w:rsid w:val="00A1557A"/>
    <w:rsid w:val="00A15B82"/>
    <w:rsid w:val="00A21540"/>
    <w:rsid w:val="00A224C3"/>
    <w:rsid w:val="00A22705"/>
    <w:rsid w:val="00A2461F"/>
    <w:rsid w:val="00A24C47"/>
    <w:rsid w:val="00A24FCF"/>
    <w:rsid w:val="00A259FF"/>
    <w:rsid w:val="00A2781E"/>
    <w:rsid w:val="00A309C4"/>
    <w:rsid w:val="00A31047"/>
    <w:rsid w:val="00A31066"/>
    <w:rsid w:val="00A319CC"/>
    <w:rsid w:val="00A31EF5"/>
    <w:rsid w:val="00A324A3"/>
    <w:rsid w:val="00A32A34"/>
    <w:rsid w:val="00A32EA3"/>
    <w:rsid w:val="00A34816"/>
    <w:rsid w:val="00A34AA0"/>
    <w:rsid w:val="00A35E3F"/>
    <w:rsid w:val="00A3731D"/>
    <w:rsid w:val="00A41898"/>
    <w:rsid w:val="00A43ED3"/>
    <w:rsid w:val="00A44DDE"/>
    <w:rsid w:val="00A45266"/>
    <w:rsid w:val="00A456F5"/>
    <w:rsid w:val="00A462C6"/>
    <w:rsid w:val="00A501F8"/>
    <w:rsid w:val="00A5063E"/>
    <w:rsid w:val="00A519AA"/>
    <w:rsid w:val="00A52084"/>
    <w:rsid w:val="00A53427"/>
    <w:rsid w:val="00A54276"/>
    <w:rsid w:val="00A5456F"/>
    <w:rsid w:val="00A54BFF"/>
    <w:rsid w:val="00A55A19"/>
    <w:rsid w:val="00A562D6"/>
    <w:rsid w:val="00A578A3"/>
    <w:rsid w:val="00A57C7B"/>
    <w:rsid w:val="00A57EB6"/>
    <w:rsid w:val="00A616C5"/>
    <w:rsid w:val="00A624E7"/>
    <w:rsid w:val="00A63B90"/>
    <w:rsid w:val="00A64C4C"/>
    <w:rsid w:val="00A67339"/>
    <w:rsid w:val="00A67F2E"/>
    <w:rsid w:val="00A72051"/>
    <w:rsid w:val="00A759BA"/>
    <w:rsid w:val="00A760D8"/>
    <w:rsid w:val="00A7752F"/>
    <w:rsid w:val="00A77660"/>
    <w:rsid w:val="00A80678"/>
    <w:rsid w:val="00A815DD"/>
    <w:rsid w:val="00A8267C"/>
    <w:rsid w:val="00A84732"/>
    <w:rsid w:val="00A863B8"/>
    <w:rsid w:val="00A87198"/>
    <w:rsid w:val="00A8740C"/>
    <w:rsid w:val="00A90B07"/>
    <w:rsid w:val="00A926C0"/>
    <w:rsid w:val="00A92A1F"/>
    <w:rsid w:val="00A92EAE"/>
    <w:rsid w:val="00A931A1"/>
    <w:rsid w:val="00A94B1C"/>
    <w:rsid w:val="00A95847"/>
    <w:rsid w:val="00A959D5"/>
    <w:rsid w:val="00A96ADA"/>
    <w:rsid w:val="00A97035"/>
    <w:rsid w:val="00A974A0"/>
    <w:rsid w:val="00A97B2C"/>
    <w:rsid w:val="00AA1B43"/>
    <w:rsid w:val="00AA3367"/>
    <w:rsid w:val="00AA5D68"/>
    <w:rsid w:val="00AA6445"/>
    <w:rsid w:val="00AB0872"/>
    <w:rsid w:val="00AB2E1C"/>
    <w:rsid w:val="00AB6BF0"/>
    <w:rsid w:val="00AB6F30"/>
    <w:rsid w:val="00AB7262"/>
    <w:rsid w:val="00AB7B9E"/>
    <w:rsid w:val="00AC1E08"/>
    <w:rsid w:val="00AC3A84"/>
    <w:rsid w:val="00AC5876"/>
    <w:rsid w:val="00AC5DCE"/>
    <w:rsid w:val="00AD0B01"/>
    <w:rsid w:val="00AD13AD"/>
    <w:rsid w:val="00AD428B"/>
    <w:rsid w:val="00AD45B9"/>
    <w:rsid w:val="00AD4AE6"/>
    <w:rsid w:val="00AD4E64"/>
    <w:rsid w:val="00AD5513"/>
    <w:rsid w:val="00AD6C6C"/>
    <w:rsid w:val="00AD7585"/>
    <w:rsid w:val="00AE0F5E"/>
    <w:rsid w:val="00AE18EB"/>
    <w:rsid w:val="00AE2679"/>
    <w:rsid w:val="00AE724C"/>
    <w:rsid w:val="00AF03CD"/>
    <w:rsid w:val="00AF1B9A"/>
    <w:rsid w:val="00AF5DC5"/>
    <w:rsid w:val="00AF6084"/>
    <w:rsid w:val="00AF7436"/>
    <w:rsid w:val="00B00B7C"/>
    <w:rsid w:val="00B01627"/>
    <w:rsid w:val="00B01A84"/>
    <w:rsid w:val="00B04EBC"/>
    <w:rsid w:val="00B051E0"/>
    <w:rsid w:val="00B05FEB"/>
    <w:rsid w:val="00B06A62"/>
    <w:rsid w:val="00B1303A"/>
    <w:rsid w:val="00B13921"/>
    <w:rsid w:val="00B141F8"/>
    <w:rsid w:val="00B145F2"/>
    <w:rsid w:val="00B1481F"/>
    <w:rsid w:val="00B14C99"/>
    <w:rsid w:val="00B15A5E"/>
    <w:rsid w:val="00B17CF1"/>
    <w:rsid w:val="00B219A2"/>
    <w:rsid w:val="00B22750"/>
    <w:rsid w:val="00B234AD"/>
    <w:rsid w:val="00B2556C"/>
    <w:rsid w:val="00B25D24"/>
    <w:rsid w:val="00B27F0A"/>
    <w:rsid w:val="00B3249E"/>
    <w:rsid w:val="00B327CD"/>
    <w:rsid w:val="00B32D83"/>
    <w:rsid w:val="00B3364C"/>
    <w:rsid w:val="00B33B9B"/>
    <w:rsid w:val="00B343CE"/>
    <w:rsid w:val="00B3505C"/>
    <w:rsid w:val="00B375B6"/>
    <w:rsid w:val="00B40541"/>
    <w:rsid w:val="00B4070C"/>
    <w:rsid w:val="00B409CB"/>
    <w:rsid w:val="00B41423"/>
    <w:rsid w:val="00B4215C"/>
    <w:rsid w:val="00B439E7"/>
    <w:rsid w:val="00B44170"/>
    <w:rsid w:val="00B50056"/>
    <w:rsid w:val="00B505C8"/>
    <w:rsid w:val="00B5321E"/>
    <w:rsid w:val="00B53862"/>
    <w:rsid w:val="00B54219"/>
    <w:rsid w:val="00B5523A"/>
    <w:rsid w:val="00B560F9"/>
    <w:rsid w:val="00B571A2"/>
    <w:rsid w:val="00B57A8F"/>
    <w:rsid w:val="00B607E5"/>
    <w:rsid w:val="00B62893"/>
    <w:rsid w:val="00B63BC1"/>
    <w:rsid w:val="00B648AC"/>
    <w:rsid w:val="00B64EE8"/>
    <w:rsid w:val="00B65D5B"/>
    <w:rsid w:val="00B6662C"/>
    <w:rsid w:val="00B6702B"/>
    <w:rsid w:val="00B74ED9"/>
    <w:rsid w:val="00B77109"/>
    <w:rsid w:val="00B80302"/>
    <w:rsid w:val="00B80E4B"/>
    <w:rsid w:val="00B819DB"/>
    <w:rsid w:val="00B830EE"/>
    <w:rsid w:val="00B868D3"/>
    <w:rsid w:val="00B87253"/>
    <w:rsid w:val="00B87DD9"/>
    <w:rsid w:val="00B92E14"/>
    <w:rsid w:val="00B94736"/>
    <w:rsid w:val="00B95BD4"/>
    <w:rsid w:val="00B96340"/>
    <w:rsid w:val="00B9658A"/>
    <w:rsid w:val="00B96B93"/>
    <w:rsid w:val="00B971D8"/>
    <w:rsid w:val="00BA0DF2"/>
    <w:rsid w:val="00BA3030"/>
    <w:rsid w:val="00BA4DAA"/>
    <w:rsid w:val="00BA749D"/>
    <w:rsid w:val="00BB1637"/>
    <w:rsid w:val="00BB30F2"/>
    <w:rsid w:val="00BB593E"/>
    <w:rsid w:val="00BB6C38"/>
    <w:rsid w:val="00BB7344"/>
    <w:rsid w:val="00BB7C9B"/>
    <w:rsid w:val="00BB7D5E"/>
    <w:rsid w:val="00BC07AF"/>
    <w:rsid w:val="00BC1731"/>
    <w:rsid w:val="00BC299C"/>
    <w:rsid w:val="00BC2EC9"/>
    <w:rsid w:val="00BC3AF9"/>
    <w:rsid w:val="00BC72AF"/>
    <w:rsid w:val="00BC7A96"/>
    <w:rsid w:val="00BD0D00"/>
    <w:rsid w:val="00BD1A65"/>
    <w:rsid w:val="00BD235A"/>
    <w:rsid w:val="00BD2E00"/>
    <w:rsid w:val="00BD31D7"/>
    <w:rsid w:val="00BD52A2"/>
    <w:rsid w:val="00BD557B"/>
    <w:rsid w:val="00BD6F71"/>
    <w:rsid w:val="00BE0E96"/>
    <w:rsid w:val="00BE147F"/>
    <w:rsid w:val="00BE1C7B"/>
    <w:rsid w:val="00BE2917"/>
    <w:rsid w:val="00BE47A1"/>
    <w:rsid w:val="00BF0146"/>
    <w:rsid w:val="00BF13CE"/>
    <w:rsid w:val="00BF184C"/>
    <w:rsid w:val="00BF2048"/>
    <w:rsid w:val="00BF3963"/>
    <w:rsid w:val="00BF3A1E"/>
    <w:rsid w:val="00BF3C18"/>
    <w:rsid w:val="00BF5DCF"/>
    <w:rsid w:val="00C0004A"/>
    <w:rsid w:val="00C013D2"/>
    <w:rsid w:val="00C054F3"/>
    <w:rsid w:val="00C06701"/>
    <w:rsid w:val="00C07607"/>
    <w:rsid w:val="00C1178C"/>
    <w:rsid w:val="00C12345"/>
    <w:rsid w:val="00C13A88"/>
    <w:rsid w:val="00C15291"/>
    <w:rsid w:val="00C160C8"/>
    <w:rsid w:val="00C17B0D"/>
    <w:rsid w:val="00C17CFB"/>
    <w:rsid w:val="00C2012F"/>
    <w:rsid w:val="00C20331"/>
    <w:rsid w:val="00C215CB"/>
    <w:rsid w:val="00C22FE2"/>
    <w:rsid w:val="00C238FF"/>
    <w:rsid w:val="00C23F97"/>
    <w:rsid w:val="00C24A04"/>
    <w:rsid w:val="00C24B6C"/>
    <w:rsid w:val="00C31C4D"/>
    <w:rsid w:val="00C349B7"/>
    <w:rsid w:val="00C34B55"/>
    <w:rsid w:val="00C369F2"/>
    <w:rsid w:val="00C402D1"/>
    <w:rsid w:val="00C411A1"/>
    <w:rsid w:val="00C41690"/>
    <w:rsid w:val="00C425B6"/>
    <w:rsid w:val="00C428CA"/>
    <w:rsid w:val="00C432AF"/>
    <w:rsid w:val="00C434EB"/>
    <w:rsid w:val="00C43E0F"/>
    <w:rsid w:val="00C4590E"/>
    <w:rsid w:val="00C46CBE"/>
    <w:rsid w:val="00C4772E"/>
    <w:rsid w:val="00C47C24"/>
    <w:rsid w:val="00C50E0A"/>
    <w:rsid w:val="00C52294"/>
    <w:rsid w:val="00C53EE8"/>
    <w:rsid w:val="00C546B1"/>
    <w:rsid w:val="00C56794"/>
    <w:rsid w:val="00C56C66"/>
    <w:rsid w:val="00C57D4D"/>
    <w:rsid w:val="00C60CD7"/>
    <w:rsid w:val="00C63597"/>
    <w:rsid w:val="00C63F28"/>
    <w:rsid w:val="00C64A97"/>
    <w:rsid w:val="00C653DF"/>
    <w:rsid w:val="00C675BB"/>
    <w:rsid w:val="00C67DAE"/>
    <w:rsid w:val="00C67F4E"/>
    <w:rsid w:val="00C713BB"/>
    <w:rsid w:val="00C7214C"/>
    <w:rsid w:val="00C72873"/>
    <w:rsid w:val="00C72BC4"/>
    <w:rsid w:val="00C757B3"/>
    <w:rsid w:val="00C763C6"/>
    <w:rsid w:val="00C80A7E"/>
    <w:rsid w:val="00C82705"/>
    <w:rsid w:val="00C83294"/>
    <w:rsid w:val="00C83885"/>
    <w:rsid w:val="00C83A4B"/>
    <w:rsid w:val="00C83E64"/>
    <w:rsid w:val="00C84DA1"/>
    <w:rsid w:val="00C8507C"/>
    <w:rsid w:val="00C86957"/>
    <w:rsid w:val="00C915CA"/>
    <w:rsid w:val="00C943E7"/>
    <w:rsid w:val="00C94834"/>
    <w:rsid w:val="00C95997"/>
    <w:rsid w:val="00C97049"/>
    <w:rsid w:val="00C97769"/>
    <w:rsid w:val="00CA0D7A"/>
    <w:rsid w:val="00CA2E59"/>
    <w:rsid w:val="00CA31B0"/>
    <w:rsid w:val="00CA3689"/>
    <w:rsid w:val="00CA5F1C"/>
    <w:rsid w:val="00CA6882"/>
    <w:rsid w:val="00CB03C1"/>
    <w:rsid w:val="00CB2401"/>
    <w:rsid w:val="00CB3060"/>
    <w:rsid w:val="00CB348D"/>
    <w:rsid w:val="00CB4E49"/>
    <w:rsid w:val="00CB50F5"/>
    <w:rsid w:val="00CB5DE7"/>
    <w:rsid w:val="00CC12AF"/>
    <w:rsid w:val="00CC25AB"/>
    <w:rsid w:val="00CC3ED1"/>
    <w:rsid w:val="00CC4A1F"/>
    <w:rsid w:val="00CC6DE4"/>
    <w:rsid w:val="00CD1016"/>
    <w:rsid w:val="00CD1C26"/>
    <w:rsid w:val="00CD21CD"/>
    <w:rsid w:val="00CD27E4"/>
    <w:rsid w:val="00CD285C"/>
    <w:rsid w:val="00CD2BA6"/>
    <w:rsid w:val="00CD633F"/>
    <w:rsid w:val="00CD63BF"/>
    <w:rsid w:val="00CD6423"/>
    <w:rsid w:val="00CD6DA8"/>
    <w:rsid w:val="00CE17E5"/>
    <w:rsid w:val="00CE2B2B"/>
    <w:rsid w:val="00CE3BF2"/>
    <w:rsid w:val="00CE47C7"/>
    <w:rsid w:val="00CE51D4"/>
    <w:rsid w:val="00CE54E7"/>
    <w:rsid w:val="00CE633C"/>
    <w:rsid w:val="00CF00C1"/>
    <w:rsid w:val="00CF2F14"/>
    <w:rsid w:val="00CF2FB4"/>
    <w:rsid w:val="00CF5F83"/>
    <w:rsid w:val="00CF61B9"/>
    <w:rsid w:val="00CF6731"/>
    <w:rsid w:val="00D02879"/>
    <w:rsid w:val="00D0295D"/>
    <w:rsid w:val="00D029D0"/>
    <w:rsid w:val="00D05405"/>
    <w:rsid w:val="00D06815"/>
    <w:rsid w:val="00D06937"/>
    <w:rsid w:val="00D07EB7"/>
    <w:rsid w:val="00D10681"/>
    <w:rsid w:val="00D168F2"/>
    <w:rsid w:val="00D175BD"/>
    <w:rsid w:val="00D17C5B"/>
    <w:rsid w:val="00D2070D"/>
    <w:rsid w:val="00D2429D"/>
    <w:rsid w:val="00D274B7"/>
    <w:rsid w:val="00D324BC"/>
    <w:rsid w:val="00D34846"/>
    <w:rsid w:val="00D34F2B"/>
    <w:rsid w:val="00D370CB"/>
    <w:rsid w:val="00D379B0"/>
    <w:rsid w:val="00D41210"/>
    <w:rsid w:val="00D416B9"/>
    <w:rsid w:val="00D42FF5"/>
    <w:rsid w:val="00D44051"/>
    <w:rsid w:val="00D44159"/>
    <w:rsid w:val="00D44AAB"/>
    <w:rsid w:val="00D46B0B"/>
    <w:rsid w:val="00D4781C"/>
    <w:rsid w:val="00D5070F"/>
    <w:rsid w:val="00D508AE"/>
    <w:rsid w:val="00D50E8D"/>
    <w:rsid w:val="00D51964"/>
    <w:rsid w:val="00D51C9C"/>
    <w:rsid w:val="00D532BF"/>
    <w:rsid w:val="00D5341C"/>
    <w:rsid w:val="00D545E9"/>
    <w:rsid w:val="00D54EF9"/>
    <w:rsid w:val="00D55767"/>
    <w:rsid w:val="00D616DA"/>
    <w:rsid w:val="00D6307A"/>
    <w:rsid w:val="00D6427C"/>
    <w:rsid w:val="00D64719"/>
    <w:rsid w:val="00D65239"/>
    <w:rsid w:val="00D6577E"/>
    <w:rsid w:val="00D67568"/>
    <w:rsid w:val="00D67778"/>
    <w:rsid w:val="00D70636"/>
    <w:rsid w:val="00D71016"/>
    <w:rsid w:val="00D71FCD"/>
    <w:rsid w:val="00D7308A"/>
    <w:rsid w:val="00D73E3F"/>
    <w:rsid w:val="00D75AB1"/>
    <w:rsid w:val="00D76519"/>
    <w:rsid w:val="00D77BEC"/>
    <w:rsid w:val="00D80E9E"/>
    <w:rsid w:val="00D811FB"/>
    <w:rsid w:val="00D815AE"/>
    <w:rsid w:val="00D82783"/>
    <w:rsid w:val="00D8562D"/>
    <w:rsid w:val="00D911CF"/>
    <w:rsid w:val="00D92B45"/>
    <w:rsid w:val="00D92D4C"/>
    <w:rsid w:val="00D95D78"/>
    <w:rsid w:val="00DA0331"/>
    <w:rsid w:val="00DA0334"/>
    <w:rsid w:val="00DA048B"/>
    <w:rsid w:val="00DA0DB0"/>
    <w:rsid w:val="00DA160C"/>
    <w:rsid w:val="00DA1917"/>
    <w:rsid w:val="00DA31B6"/>
    <w:rsid w:val="00DA3F96"/>
    <w:rsid w:val="00DA7432"/>
    <w:rsid w:val="00DA78F4"/>
    <w:rsid w:val="00DB05D3"/>
    <w:rsid w:val="00DB1781"/>
    <w:rsid w:val="00DB3CCE"/>
    <w:rsid w:val="00DB49D0"/>
    <w:rsid w:val="00DC2883"/>
    <w:rsid w:val="00DC4A72"/>
    <w:rsid w:val="00DC4A7D"/>
    <w:rsid w:val="00DC5002"/>
    <w:rsid w:val="00DD21AB"/>
    <w:rsid w:val="00DD2990"/>
    <w:rsid w:val="00DD2B4D"/>
    <w:rsid w:val="00DD765D"/>
    <w:rsid w:val="00DE0658"/>
    <w:rsid w:val="00DE1505"/>
    <w:rsid w:val="00DE16E9"/>
    <w:rsid w:val="00DE2900"/>
    <w:rsid w:val="00DE43E3"/>
    <w:rsid w:val="00DE5513"/>
    <w:rsid w:val="00DE5740"/>
    <w:rsid w:val="00DE5FE2"/>
    <w:rsid w:val="00DE62A4"/>
    <w:rsid w:val="00DE65E9"/>
    <w:rsid w:val="00DF0C32"/>
    <w:rsid w:val="00DF170E"/>
    <w:rsid w:val="00DF36D8"/>
    <w:rsid w:val="00DF4772"/>
    <w:rsid w:val="00DF4EB4"/>
    <w:rsid w:val="00DF52B4"/>
    <w:rsid w:val="00DF5906"/>
    <w:rsid w:val="00DF5C74"/>
    <w:rsid w:val="00DF771E"/>
    <w:rsid w:val="00E00524"/>
    <w:rsid w:val="00E04523"/>
    <w:rsid w:val="00E063D8"/>
    <w:rsid w:val="00E0746F"/>
    <w:rsid w:val="00E103E7"/>
    <w:rsid w:val="00E1189D"/>
    <w:rsid w:val="00E11D7C"/>
    <w:rsid w:val="00E12F18"/>
    <w:rsid w:val="00E1654C"/>
    <w:rsid w:val="00E16FCB"/>
    <w:rsid w:val="00E17A73"/>
    <w:rsid w:val="00E20219"/>
    <w:rsid w:val="00E211E4"/>
    <w:rsid w:val="00E226CF"/>
    <w:rsid w:val="00E22E2E"/>
    <w:rsid w:val="00E23882"/>
    <w:rsid w:val="00E24CE8"/>
    <w:rsid w:val="00E25B43"/>
    <w:rsid w:val="00E25C3F"/>
    <w:rsid w:val="00E264F0"/>
    <w:rsid w:val="00E277A0"/>
    <w:rsid w:val="00E320B2"/>
    <w:rsid w:val="00E35C41"/>
    <w:rsid w:val="00E3642F"/>
    <w:rsid w:val="00E37CF8"/>
    <w:rsid w:val="00E4077A"/>
    <w:rsid w:val="00E40FE6"/>
    <w:rsid w:val="00E43107"/>
    <w:rsid w:val="00E44D60"/>
    <w:rsid w:val="00E45415"/>
    <w:rsid w:val="00E46A1D"/>
    <w:rsid w:val="00E47E43"/>
    <w:rsid w:val="00E519DD"/>
    <w:rsid w:val="00E54AF7"/>
    <w:rsid w:val="00E54F26"/>
    <w:rsid w:val="00E554AE"/>
    <w:rsid w:val="00E55829"/>
    <w:rsid w:val="00E56FAC"/>
    <w:rsid w:val="00E5749A"/>
    <w:rsid w:val="00E577D2"/>
    <w:rsid w:val="00E6055F"/>
    <w:rsid w:val="00E61892"/>
    <w:rsid w:val="00E646DA"/>
    <w:rsid w:val="00E71D8F"/>
    <w:rsid w:val="00E73003"/>
    <w:rsid w:val="00E73D12"/>
    <w:rsid w:val="00E74435"/>
    <w:rsid w:val="00E74493"/>
    <w:rsid w:val="00E765CE"/>
    <w:rsid w:val="00E77250"/>
    <w:rsid w:val="00E8021F"/>
    <w:rsid w:val="00E80F70"/>
    <w:rsid w:val="00E817BA"/>
    <w:rsid w:val="00E81A63"/>
    <w:rsid w:val="00E821E4"/>
    <w:rsid w:val="00E82CE0"/>
    <w:rsid w:val="00E8307D"/>
    <w:rsid w:val="00E83245"/>
    <w:rsid w:val="00E849BD"/>
    <w:rsid w:val="00E84D5F"/>
    <w:rsid w:val="00E85E1E"/>
    <w:rsid w:val="00E871E1"/>
    <w:rsid w:val="00E9095C"/>
    <w:rsid w:val="00E90BB6"/>
    <w:rsid w:val="00E926ED"/>
    <w:rsid w:val="00E930C1"/>
    <w:rsid w:val="00E93E5A"/>
    <w:rsid w:val="00E95E2F"/>
    <w:rsid w:val="00E9755F"/>
    <w:rsid w:val="00EA2209"/>
    <w:rsid w:val="00EA30B9"/>
    <w:rsid w:val="00EA5110"/>
    <w:rsid w:val="00EA64D7"/>
    <w:rsid w:val="00EA73D4"/>
    <w:rsid w:val="00EB166F"/>
    <w:rsid w:val="00EB1B43"/>
    <w:rsid w:val="00EB4EBA"/>
    <w:rsid w:val="00EB6C35"/>
    <w:rsid w:val="00EC2554"/>
    <w:rsid w:val="00EC25E2"/>
    <w:rsid w:val="00EC3511"/>
    <w:rsid w:val="00EC3940"/>
    <w:rsid w:val="00EC5902"/>
    <w:rsid w:val="00EC616B"/>
    <w:rsid w:val="00EC6F30"/>
    <w:rsid w:val="00EC7DC2"/>
    <w:rsid w:val="00ED1247"/>
    <w:rsid w:val="00ED1589"/>
    <w:rsid w:val="00ED36ED"/>
    <w:rsid w:val="00ED3F9E"/>
    <w:rsid w:val="00ED40E0"/>
    <w:rsid w:val="00ED42DA"/>
    <w:rsid w:val="00ED4880"/>
    <w:rsid w:val="00ED4CCB"/>
    <w:rsid w:val="00ED650E"/>
    <w:rsid w:val="00ED6E77"/>
    <w:rsid w:val="00ED7DEC"/>
    <w:rsid w:val="00EE09C0"/>
    <w:rsid w:val="00EE1FCE"/>
    <w:rsid w:val="00EE300A"/>
    <w:rsid w:val="00EE338D"/>
    <w:rsid w:val="00EE660E"/>
    <w:rsid w:val="00EE7829"/>
    <w:rsid w:val="00EE7B32"/>
    <w:rsid w:val="00EE7D92"/>
    <w:rsid w:val="00EF3DDD"/>
    <w:rsid w:val="00F00108"/>
    <w:rsid w:val="00F0646B"/>
    <w:rsid w:val="00F06B40"/>
    <w:rsid w:val="00F0705C"/>
    <w:rsid w:val="00F07457"/>
    <w:rsid w:val="00F11CC6"/>
    <w:rsid w:val="00F1296A"/>
    <w:rsid w:val="00F1307E"/>
    <w:rsid w:val="00F13FBA"/>
    <w:rsid w:val="00F14453"/>
    <w:rsid w:val="00F14E2B"/>
    <w:rsid w:val="00F14EA3"/>
    <w:rsid w:val="00F167C0"/>
    <w:rsid w:val="00F16A5E"/>
    <w:rsid w:val="00F17D11"/>
    <w:rsid w:val="00F209B4"/>
    <w:rsid w:val="00F2124A"/>
    <w:rsid w:val="00F2141C"/>
    <w:rsid w:val="00F220AD"/>
    <w:rsid w:val="00F23EF9"/>
    <w:rsid w:val="00F24270"/>
    <w:rsid w:val="00F24882"/>
    <w:rsid w:val="00F249C8"/>
    <w:rsid w:val="00F24FBC"/>
    <w:rsid w:val="00F259A6"/>
    <w:rsid w:val="00F25C96"/>
    <w:rsid w:val="00F263C4"/>
    <w:rsid w:val="00F26ABC"/>
    <w:rsid w:val="00F3037F"/>
    <w:rsid w:val="00F30593"/>
    <w:rsid w:val="00F30E30"/>
    <w:rsid w:val="00F30EC7"/>
    <w:rsid w:val="00F32B80"/>
    <w:rsid w:val="00F32D0B"/>
    <w:rsid w:val="00F338A7"/>
    <w:rsid w:val="00F34687"/>
    <w:rsid w:val="00F34A54"/>
    <w:rsid w:val="00F34B19"/>
    <w:rsid w:val="00F3508A"/>
    <w:rsid w:val="00F37021"/>
    <w:rsid w:val="00F40D78"/>
    <w:rsid w:val="00F413F3"/>
    <w:rsid w:val="00F429C7"/>
    <w:rsid w:val="00F43C7E"/>
    <w:rsid w:val="00F4444E"/>
    <w:rsid w:val="00F44F0C"/>
    <w:rsid w:val="00F46FE3"/>
    <w:rsid w:val="00F50895"/>
    <w:rsid w:val="00F50F81"/>
    <w:rsid w:val="00F5133A"/>
    <w:rsid w:val="00F518FB"/>
    <w:rsid w:val="00F5237E"/>
    <w:rsid w:val="00F5243E"/>
    <w:rsid w:val="00F5304E"/>
    <w:rsid w:val="00F5391E"/>
    <w:rsid w:val="00F54181"/>
    <w:rsid w:val="00F5472A"/>
    <w:rsid w:val="00F54B9B"/>
    <w:rsid w:val="00F60773"/>
    <w:rsid w:val="00F61052"/>
    <w:rsid w:val="00F6149F"/>
    <w:rsid w:val="00F622BB"/>
    <w:rsid w:val="00F63465"/>
    <w:rsid w:val="00F63948"/>
    <w:rsid w:val="00F6475E"/>
    <w:rsid w:val="00F64AC8"/>
    <w:rsid w:val="00F65B57"/>
    <w:rsid w:val="00F66EFB"/>
    <w:rsid w:val="00F67393"/>
    <w:rsid w:val="00F67593"/>
    <w:rsid w:val="00F70983"/>
    <w:rsid w:val="00F71B1B"/>
    <w:rsid w:val="00F73654"/>
    <w:rsid w:val="00F76FC3"/>
    <w:rsid w:val="00F7758D"/>
    <w:rsid w:val="00F77E96"/>
    <w:rsid w:val="00F8098A"/>
    <w:rsid w:val="00F80EB6"/>
    <w:rsid w:val="00F811B5"/>
    <w:rsid w:val="00F83ACE"/>
    <w:rsid w:val="00F86D01"/>
    <w:rsid w:val="00F876A8"/>
    <w:rsid w:val="00F926FD"/>
    <w:rsid w:val="00FA0B0B"/>
    <w:rsid w:val="00FA11A3"/>
    <w:rsid w:val="00FA3093"/>
    <w:rsid w:val="00FA5895"/>
    <w:rsid w:val="00FA6137"/>
    <w:rsid w:val="00FA7543"/>
    <w:rsid w:val="00FA7E5D"/>
    <w:rsid w:val="00FB1BCD"/>
    <w:rsid w:val="00FB32FA"/>
    <w:rsid w:val="00FB4127"/>
    <w:rsid w:val="00FB550C"/>
    <w:rsid w:val="00FB5642"/>
    <w:rsid w:val="00FB72D3"/>
    <w:rsid w:val="00FC0E0E"/>
    <w:rsid w:val="00FC1FD3"/>
    <w:rsid w:val="00FC2B28"/>
    <w:rsid w:val="00FC33D8"/>
    <w:rsid w:val="00FC6593"/>
    <w:rsid w:val="00FC74AB"/>
    <w:rsid w:val="00FC799C"/>
    <w:rsid w:val="00FC7B62"/>
    <w:rsid w:val="00FD01D2"/>
    <w:rsid w:val="00FD08E9"/>
    <w:rsid w:val="00FD2220"/>
    <w:rsid w:val="00FD24E2"/>
    <w:rsid w:val="00FD4D91"/>
    <w:rsid w:val="00FD4F3F"/>
    <w:rsid w:val="00FD554E"/>
    <w:rsid w:val="00FD6EBE"/>
    <w:rsid w:val="00FE0411"/>
    <w:rsid w:val="00FE1FF1"/>
    <w:rsid w:val="00FE3562"/>
    <w:rsid w:val="00FE5DF0"/>
    <w:rsid w:val="00FE699B"/>
    <w:rsid w:val="00FF2735"/>
    <w:rsid w:val="00FF4E11"/>
    <w:rsid w:val="00FF5F31"/>
    <w:rsid w:val="00FF68C0"/>
    <w:rsid w:val="019C6369"/>
    <w:rsid w:val="01C4726F"/>
    <w:rsid w:val="0205362E"/>
    <w:rsid w:val="02122403"/>
    <w:rsid w:val="02402281"/>
    <w:rsid w:val="0255D3DE"/>
    <w:rsid w:val="026818BE"/>
    <w:rsid w:val="029BFD36"/>
    <w:rsid w:val="02DA9744"/>
    <w:rsid w:val="039A7875"/>
    <w:rsid w:val="03CDA8E3"/>
    <w:rsid w:val="040A6AC0"/>
    <w:rsid w:val="04578DA7"/>
    <w:rsid w:val="052D58C2"/>
    <w:rsid w:val="0547706A"/>
    <w:rsid w:val="05939ED2"/>
    <w:rsid w:val="0604A637"/>
    <w:rsid w:val="06307BA8"/>
    <w:rsid w:val="08AE9AAE"/>
    <w:rsid w:val="095593FD"/>
    <w:rsid w:val="09EDAC8F"/>
    <w:rsid w:val="0A73FB5E"/>
    <w:rsid w:val="0AACD15B"/>
    <w:rsid w:val="0AD82DAA"/>
    <w:rsid w:val="0BD5ACBE"/>
    <w:rsid w:val="0C7C27EB"/>
    <w:rsid w:val="0D0F2694"/>
    <w:rsid w:val="0D58DAE7"/>
    <w:rsid w:val="0E28DF90"/>
    <w:rsid w:val="0E61B387"/>
    <w:rsid w:val="0E97BC63"/>
    <w:rsid w:val="10484B01"/>
    <w:rsid w:val="1077C680"/>
    <w:rsid w:val="1116A0BF"/>
    <w:rsid w:val="112C5F0D"/>
    <w:rsid w:val="1183E1FF"/>
    <w:rsid w:val="11DEA4F9"/>
    <w:rsid w:val="11EE33D9"/>
    <w:rsid w:val="12A65C10"/>
    <w:rsid w:val="12F3F464"/>
    <w:rsid w:val="13082AF0"/>
    <w:rsid w:val="13E7370F"/>
    <w:rsid w:val="14F81E44"/>
    <w:rsid w:val="1603E3E5"/>
    <w:rsid w:val="1661CD20"/>
    <w:rsid w:val="17D3AE1A"/>
    <w:rsid w:val="180A3CBA"/>
    <w:rsid w:val="18113E3D"/>
    <w:rsid w:val="187DF72D"/>
    <w:rsid w:val="188DF149"/>
    <w:rsid w:val="18B7CC39"/>
    <w:rsid w:val="18BB0009"/>
    <w:rsid w:val="191C88B6"/>
    <w:rsid w:val="1945C61E"/>
    <w:rsid w:val="1953C867"/>
    <w:rsid w:val="1A1E7258"/>
    <w:rsid w:val="1A68F803"/>
    <w:rsid w:val="1ADCE408"/>
    <w:rsid w:val="1B302DF7"/>
    <w:rsid w:val="1BD57A8E"/>
    <w:rsid w:val="1C662AF6"/>
    <w:rsid w:val="1C9423A1"/>
    <w:rsid w:val="1D93CDCA"/>
    <w:rsid w:val="1DD83119"/>
    <w:rsid w:val="1EDD0A1B"/>
    <w:rsid w:val="1F5C53C7"/>
    <w:rsid w:val="1F953E2E"/>
    <w:rsid w:val="1FD66E07"/>
    <w:rsid w:val="200EAA43"/>
    <w:rsid w:val="20808B18"/>
    <w:rsid w:val="20D032B9"/>
    <w:rsid w:val="21073E8E"/>
    <w:rsid w:val="211C734A"/>
    <w:rsid w:val="223DAF8B"/>
    <w:rsid w:val="2258256C"/>
    <w:rsid w:val="22933FBC"/>
    <w:rsid w:val="22B3B068"/>
    <w:rsid w:val="22D77EA0"/>
    <w:rsid w:val="2303289F"/>
    <w:rsid w:val="242AEDDE"/>
    <w:rsid w:val="24BF0953"/>
    <w:rsid w:val="24E34E27"/>
    <w:rsid w:val="24F21A09"/>
    <w:rsid w:val="25C1C605"/>
    <w:rsid w:val="2640E2A8"/>
    <w:rsid w:val="26DE0FB4"/>
    <w:rsid w:val="2734272C"/>
    <w:rsid w:val="278D6194"/>
    <w:rsid w:val="28DFE981"/>
    <w:rsid w:val="29436505"/>
    <w:rsid w:val="2A09CC0B"/>
    <w:rsid w:val="2A5C42FB"/>
    <w:rsid w:val="2AA317BB"/>
    <w:rsid w:val="2B0E5FEC"/>
    <w:rsid w:val="2BE2611D"/>
    <w:rsid w:val="2C7BEE59"/>
    <w:rsid w:val="2D469DE0"/>
    <w:rsid w:val="2D52FAC0"/>
    <w:rsid w:val="2DA19FBC"/>
    <w:rsid w:val="2DBEB0D9"/>
    <w:rsid w:val="2DFEA36B"/>
    <w:rsid w:val="2EBDA675"/>
    <w:rsid w:val="2F4B679D"/>
    <w:rsid w:val="2F9850A3"/>
    <w:rsid w:val="2FAA5E58"/>
    <w:rsid w:val="2FB71076"/>
    <w:rsid w:val="2FF21ED4"/>
    <w:rsid w:val="310CA4E8"/>
    <w:rsid w:val="31E4CBE0"/>
    <w:rsid w:val="32062360"/>
    <w:rsid w:val="323E8D86"/>
    <w:rsid w:val="32C14784"/>
    <w:rsid w:val="33A34581"/>
    <w:rsid w:val="3404354B"/>
    <w:rsid w:val="340B0BBE"/>
    <w:rsid w:val="34831A1E"/>
    <w:rsid w:val="34D0E98B"/>
    <w:rsid w:val="34E5ECD8"/>
    <w:rsid w:val="35221936"/>
    <w:rsid w:val="352D1F1A"/>
    <w:rsid w:val="36E1EB00"/>
    <w:rsid w:val="36FEBD73"/>
    <w:rsid w:val="37007CEF"/>
    <w:rsid w:val="381E712F"/>
    <w:rsid w:val="383CD480"/>
    <w:rsid w:val="386B4FB4"/>
    <w:rsid w:val="387848A8"/>
    <w:rsid w:val="38924242"/>
    <w:rsid w:val="3978D504"/>
    <w:rsid w:val="397A11CF"/>
    <w:rsid w:val="3993CD09"/>
    <w:rsid w:val="39EB5274"/>
    <w:rsid w:val="3A0941FA"/>
    <w:rsid w:val="3A71D2E5"/>
    <w:rsid w:val="3AB86B0B"/>
    <w:rsid w:val="3B6C2913"/>
    <w:rsid w:val="3B881963"/>
    <w:rsid w:val="3BDD536A"/>
    <w:rsid w:val="3C8D7E50"/>
    <w:rsid w:val="3D46094D"/>
    <w:rsid w:val="3D854827"/>
    <w:rsid w:val="3D8CCB38"/>
    <w:rsid w:val="3E171781"/>
    <w:rsid w:val="3ECC5EE0"/>
    <w:rsid w:val="3ED24087"/>
    <w:rsid w:val="3FAE5A35"/>
    <w:rsid w:val="40334AAD"/>
    <w:rsid w:val="4088B74E"/>
    <w:rsid w:val="409EA4A5"/>
    <w:rsid w:val="4113C574"/>
    <w:rsid w:val="419E1DAD"/>
    <w:rsid w:val="419F8C5E"/>
    <w:rsid w:val="41E0C030"/>
    <w:rsid w:val="426125DE"/>
    <w:rsid w:val="42DB4B25"/>
    <w:rsid w:val="432AC493"/>
    <w:rsid w:val="434B576C"/>
    <w:rsid w:val="436685CA"/>
    <w:rsid w:val="43BEF25C"/>
    <w:rsid w:val="445D6D04"/>
    <w:rsid w:val="44906A52"/>
    <w:rsid w:val="4495F5AA"/>
    <w:rsid w:val="451B32BB"/>
    <w:rsid w:val="45257F43"/>
    <w:rsid w:val="452E022C"/>
    <w:rsid w:val="46156B3A"/>
    <w:rsid w:val="463DD3EF"/>
    <w:rsid w:val="46661B49"/>
    <w:rsid w:val="46FA7385"/>
    <w:rsid w:val="476B1B78"/>
    <w:rsid w:val="48A69341"/>
    <w:rsid w:val="48BF4212"/>
    <w:rsid w:val="48CB5279"/>
    <w:rsid w:val="4936DAF1"/>
    <w:rsid w:val="494DE969"/>
    <w:rsid w:val="4995FC89"/>
    <w:rsid w:val="49BB4736"/>
    <w:rsid w:val="49CFA491"/>
    <w:rsid w:val="49DEB83C"/>
    <w:rsid w:val="4A884BB2"/>
    <w:rsid w:val="4AB1E87D"/>
    <w:rsid w:val="4AE90E30"/>
    <w:rsid w:val="4B208B58"/>
    <w:rsid w:val="4BCA75D3"/>
    <w:rsid w:val="4BF9191E"/>
    <w:rsid w:val="4C7142E4"/>
    <w:rsid w:val="4C777BBF"/>
    <w:rsid w:val="4D0D8A79"/>
    <w:rsid w:val="4DE08A65"/>
    <w:rsid w:val="4E19022F"/>
    <w:rsid w:val="4E527235"/>
    <w:rsid w:val="4E597143"/>
    <w:rsid w:val="4E765AA0"/>
    <w:rsid w:val="4EF23CB5"/>
    <w:rsid w:val="4F4F7328"/>
    <w:rsid w:val="4FF5C486"/>
    <w:rsid w:val="501D402E"/>
    <w:rsid w:val="5021B7E7"/>
    <w:rsid w:val="51C99656"/>
    <w:rsid w:val="51D05CFC"/>
    <w:rsid w:val="521FA812"/>
    <w:rsid w:val="522DD1AF"/>
    <w:rsid w:val="52BCD617"/>
    <w:rsid w:val="52E95271"/>
    <w:rsid w:val="53DFEF99"/>
    <w:rsid w:val="5408AFA7"/>
    <w:rsid w:val="5576F942"/>
    <w:rsid w:val="55B78E2F"/>
    <w:rsid w:val="56120448"/>
    <w:rsid w:val="57144698"/>
    <w:rsid w:val="5980D8C3"/>
    <w:rsid w:val="5BC8324D"/>
    <w:rsid w:val="5BE1392A"/>
    <w:rsid w:val="5C22732D"/>
    <w:rsid w:val="5CE67072"/>
    <w:rsid w:val="5DDEB5B9"/>
    <w:rsid w:val="5DF4B42A"/>
    <w:rsid w:val="5E70E058"/>
    <w:rsid w:val="5E7CCF53"/>
    <w:rsid w:val="5F1452D5"/>
    <w:rsid w:val="5FAEFFA9"/>
    <w:rsid w:val="5FBD421D"/>
    <w:rsid w:val="5FC37E23"/>
    <w:rsid w:val="60C0DBE1"/>
    <w:rsid w:val="60E716D7"/>
    <w:rsid w:val="61C51735"/>
    <w:rsid w:val="62DFA3FA"/>
    <w:rsid w:val="62E152D7"/>
    <w:rsid w:val="63902D09"/>
    <w:rsid w:val="6407F4C1"/>
    <w:rsid w:val="643E8183"/>
    <w:rsid w:val="64470796"/>
    <w:rsid w:val="64D40504"/>
    <w:rsid w:val="6559AC3F"/>
    <w:rsid w:val="65E5DDF9"/>
    <w:rsid w:val="660B7CA7"/>
    <w:rsid w:val="669CC9F8"/>
    <w:rsid w:val="669F0802"/>
    <w:rsid w:val="66C17454"/>
    <w:rsid w:val="66DF6B61"/>
    <w:rsid w:val="670184E5"/>
    <w:rsid w:val="67348470"/>
    <w:rsid w:val="68698519"/>
    <w:rsid w:val="6B3636AE"/>
    <w:rsid w:val="6B47DF8C"/>
    <w:rsid w:val="6BB1A5FE"/>
    <w:rsid w:val="6BD91058"/>
    <w:rsid w:val="6C55E29C"/>
    <w:rsid w:val="6D395A7A"/>
    <w:rsid w:val="6D42FAAC"/>
    <w:rsid w:val="6E586D24"/>
    <w:rsid w:val="6E97BECD"/>
    <w:rsid w:val="6F0F8816"/>
    <w:rsid w:val="6F66028F"/>
    <w:rsid w:val="7070BF0F"/>
    <w:rsid w:val="709A4426"/>
    <w:rsid w:val="70FAC3F0"/>
    <w:rsid w:val="71389B9C"/>
    <w:rsid w:val="7147D131"/>
    <w:rsid w:val="71A2A084"/>
    <w:rsid w:val="71D55866"/>
    <w:rsid w:val="728F41CF"/>
    <w:rsid w:val="73D479C1"/>
    <w:rsid w:val="75170E38"/>
    <w:rsid w:val="75296252"/>
    <w:rsid w:val="75C2D214"/>
    <w:rsid w:val="75E9D65F"/>
    <w:rsid w:val="7670A5FB"/>
    <w:rsid w:val="7724BBEF"/>
    <w:rsid w:val="7774E65B"/>
    <w:rsid w:val="7A324E28"/>
    <w:rsid w:val="7A41C277"/>
    <w:rsid w:val="7AB024CC"/>
    <w:rsid w:val="7AD976A0"/>
    <w:rsid w:val="7BBC3F39"/>
    <w:rsid w:val="7BCE9D11"/>
    <w:rsid w:val="7BDB1882"/>
    <w:rsid w:val="7BE9E5B0"/>
    <w:rsid w:val="7C1A4C15"/>
    <w:rsid w:val="7C59AC06"/>
    <w:rsid w:val="7C6DA32C"/>
    <w:rsid w:val="7C99440B"/>
    <w:rsid w:val="7C9D5975"/>
    <w:rsid w:val="7D90DF41"/>
    <w:rsid w:val="7DBAB8C3"/>
    <w:rsid w:val="7DE24285"/>
    <w:rsid w:val="7E73FCCE"/>
    <w:rsid w:val="7EAAFFA1"/>
    <w:rsid w:val="7F1766DA"/>
    <w:rsid w:val="7F53F955"/>
    <w:rsid w:val="7F6999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A97FD0CD-F15B-4144-8F8B-113FE1994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307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1182">
      <w:bodyDiv w:val="1"/>
      <w:marLeft w:val="0"/>
      <w:marRight w:val="0"/>
      <w:marTop w:val="0"/>
      <w:marBottom w:val="0"/>
      <w:divBdr>
        <w:top w:val="none" w:sz="0" w:space="0" w:color="auto"/>
        <w:left w:val="none" w:sz="0" w:space="0" w:color="auto"/>
        <w:bottom w:val="none" w:sz="0" w:space="0" w:color="auto"/>
        <w:right w:val="none" w:sz="0" w:space="0" w:color="auto"/>
      </w:divBdr>
    </w:div>
    <w:div w:id="96340613">
      <w:bodyDiv w:val="1"/>
      <w:marLeft w:val="0"/>
      <w:marRight w:val="0"/>
      <w:marTop w:val="0"/>
      <w:marBottom w:val="0"/>
      <w:divBdr>
        <w:top w:val="none" w:sz="0" w:space="0" w:color="auto"/>
        <w:left w:val="none" w:sz="0" w:space="0" w:color="auto"/>
        <w:bottom w:val="none" w:sz="0" w:space="0" w:color="auto"/>
        <w:right w:val="none" w:sz="0" w:space="0" w:color="auto"/>
      </w:divBdr>
      <w:divsChild>
        <w:div w:id="1961643290">
          <w:marLeft w:val="0"/>
          <w:marRight w:val="0"/>
          <w:marTop w:val="0"/>
          <w:marBottom w:val="0"/>
          <w:divBdr>
            <w:top w:val="none" w:sz="0" w:space="0" w:color="auto"/>
            <w:left w:val="none" w:sz="0" w:space="0" w:color="auto"/>
            <w:bottom w:val="none" w:sz="0" w:space="0" w:color="auto"/>
            <w:right w:val="none" w:sz="0" w:space="0" w:color="auto"/>
          </w:divBdr>
        </w:div>
      </w:divsChild>
    </w:div>
    <w:div w:id="107700954">
      <w:bodyDiv w:val="1"/>
      <w:marLeft w:val="0"/>
      <w:marRight w:val="0"/>
      <w:marTop w:val="0"/>
      <w:marBottom w:val="0"/>
      <w:divBdr>
        <w:top w:val="none" w:sz="0" w:space="0" w:color="auto"/>
        <w:left w:val="none" w:sz="0" w:space="0" w:color="auto"/>
        <w:bottom w:val="none" w:sz="0" w:space="0" w:color="auto"/>
        <w:right w:val="none" w:sz="0" w:space="0" w:color="auto"/>
      </w:divBdr>
    </w:div>
    <w:div w:id="145360566">
      <w:bodyDiv w:val="1"/>
      <w:marLeft w:val="0"/>
      <w:marRight w:val="0"/>
      <w:marTop w:val="0"/>
      <w:marBottom w:val="0"/>
      <w:divBdr>
        <w:top w:val="none" w:sz="0" w:space="0" w:color="auto"/>
        <w:left w:val="none" w:sz="0" w:space="0" w:color="auto"/>
        <w:bottom w:val="none" w:sz="0" w:space="0" w:color="auto"/>
        <w:right w:val="none" w:sz="0" w:space="0" w:color="auto"/>
      </w:divBdr>
      <w:divsChild>
        <w:div w:id="863590987">
          <w:marLeft w:val="0"/>
          <w:marRight w:val="0"/>
          <w:marTop w:val="0"/>
          <w:marBottom w:val="0"/>
          <w:divBdr>
            <w:top w:val="none" w:sz="0" w:space="0" w:color="auto"/>
            <w:left w:val="none" w:sz="0" w:space="0" w:color="auto"/>
            <w:bottom w:val="none" w:sz="0" w:space="0" w:color="auto"/>
            <w:right w:val="none" w:sz="0" w:space="0" w:color="auto"/>
          </w:divBdr>
        </w:div>
      </w:divsChild>
    </w:div>
    <w:div w:id="147672495">
      <w:bodyDiv w:val="1"/>
      <w:marLeft w:val="0"/>
      <w:marRight w:val="0"/>
      <w:marTop w:val="0"/>
      <w:marBottom w:val="0"/>
      <w:divBdr>
        <w:top w:val="none" w:sz="0" w:space="0" w:color="auto"/>
        <w:left w:val="none" w:sz="0" w:space="0" w:color="auto"/>
        <w:bottom w:val="none" w:sz="0" w:space="0" w:color="auto"/>
        <w:right w:val="none" w:sz="0" w:space="0" w:color="auto"/>
      </w:divBdr>
    </w:div>
    <w:div w:id="159852284">
      <w:bodyDiv w:val="1"/>
      <w:marLeft w:val="0"/>
      <w:marRight w:val="0"/>
      <w:marTop w:val="0"/>
      <w:marBottom w:val="0"/>
      <w:divBdr>
        <w:top w:val="none" w:sz="0" w:space="0" w:color="auto"/>
        <w:left w:val="none" w:sz="0" w:space="0" w:color="auto"/>
        <w:bottom w:val="none" w:sz="0" w:space="0" w:color="auto"/>
        <w:right w:val="none" w:sz="0" w:space="0" w:color="auto"/>
      </w:divBdr>
    </w:div>
    <w:div w:id="200096457">
      <w:bodyDiv w:val="1"/>
      <w:marLeft w:val="0"/>
      <w:marRight w:val="0"/>
      <w:marTop w:val="0"/>
      <w:marBottom w:val="0"/>
      <w:divBdr>
        <w:top w:val="none" w:sz="0" w:space="0" w:color="auto"/>
        <w:left w:val="none" w:sz="0" w:space="0" w:color="auto"/>
        <w:bottom w:val="none" w:sz="0" w:space="0" w:color="auto"/>
        <w:right w:val="none" w:sz="0" w:space="0" w:color="auto"/>
      </w:divBdr>
    </w:div>
    <w:div w:id="229704554">
      <w:bodyDiv w:val="1"/>
      <w:marLeft w:val="0"/>
      <w:marRight w:val="0"/>
      <w:marTop w:val="0"/>
      <w:marBottom w:val="0"/>
      <w:divBdr>
        <w:top w:val="none" w:sz="0" w:space="0" w:color="auto"/>
        <w:left w:val="none" w:sz="0" w:space="0" w:color="auto"/>
        <w:bottom w:val="none" w:sz="0" w:space="0" w:color="auto"/>
        <w:right w:val="none" w:sz="0" w:space="0" w:color="auto"/>
      </w:divBdr>
    </w:div>
    <w:div w:id="234900131">
      <w:bodyDiv w:val="1"/>
      <w:marLeft w:val="0"/>
      <w:marRight w:val="0"/>
      <w:marTop w:val="0"/>
      <w:marBottom w:val="0"/>
      <w:divBdr>
        <w:top w:val="none" w:sz="0" w:space="0" w:color="auto"/>
        <w:left w:val="none" w:sz="0" w:space="0" w:color="auto"/>
        <w:bottom w:val="none" w:sz="0" w:space="0" w:color="auto"/>
        <w:right w:val="none" w:sz="0" w:space="0" w:color="auto"/>
      </w:divBdr>
    </w:div>
    <w:div w:id="259990329">
      <w:bodyDiv w:val="1"/>
      <w:marLeft w:val="0"/>
      <w:marRight w:val="0"/>
      <w:marTop w:val="0"/>
      <w:marBottom w:val="0"/>
      <w:divBdr>
        <w:top w:val="none" w:sz="0" w:space="0" w:color="auto"/>
        <w:left w:val="none" w:sz="0" w:space="0" w:color="auto"/>
        <w:bottom w:val="none" w:sz="0" w:space="0" w:color="auto"/>
        <w:right w:val="none" w:sz="0" w:space="0" w:color="auto"/>
      </w:divBdr>
    </w:div>
    <w:div w:id="266474053">
      <w:bodyDiv w:val="1"/>
      <w:marLeft w:val="0"/>
      <w:marRight w:val="0"/>
      <w:marTop w:val="0"/>
      <w:marBottom w:val="0"/>
      <w:divBdr>
        <w:top w:val="none" w:sz="0" w:space="0" w:color="auto"/>
        <w:left w:val="none" w:sz="0" w:space="0" w:color="auto"/>
        <w:bottom w:val="none" w:sz="0" w:space="0" w:color="auto"/>
        <w:right w:val="none" w:sz="0" w:space="0" w:color="auto"/>
      </w:divBdr>
    </w:div>
    <w:div w:id="269630812">
      <w:bodyDiv w:val="1"/>
      <w:marLeft w:val="0"/>
      <w:marRight w:val="0"/>
      <w:marTop w:val="0"/>
      <w:marBottom w:val="0"/>
      <w:divBdr>
        <w:top w:val="none" w:sz="0" w:space="0" w:color="auto"/>
        <w:left w:val="none" w:sz="0" w:space="0" w:color="auto"/>
        <w:bottom w:val="none" w:sz="0" w:space="0" w:color="auto"/>
        <w:right w:val="none" w:sz="0" w:space="0" w:color="auto"/>
      </w:divBdr>
    </w:div>
    <w:div w:id="282350449">
      <w:bodyDiv w:val="1"/>
      <w:marLeft w:val="0"/>
      <w:marRight w:val="0"/>
      <w:marTop w:val="0"/>
      <w:marBottom w:val="0"/>
      <w:divBdr>
        <w:top w:val="none" w:sz="0" w:space="0" w:color="auto"/>
        <w:left w:val="none" w:sz="0" w:space="0" w:color="auto"/>
        <w:bottom w:val="none" w:sz="0" w:space="0" w:color="auto"/>
        <w:right w:val="none" w:sz="0" w:space="0" w:color="auto"/>
      </w:divBdr>
    </w:div>
    <w:div w:id="288244253">
      <w:bodyDiv w:val="1"/>
      <w:marLeft w:val="0"/>
      <w:marRight w:val="0"/>
      <w:marTop w:val="0"/>
      <w:marBottom w:val="0"/>
      <w:divBdr>
        <w:top w:val="none" w:sz="0" w:space="0" w:color="auto"/>
        <w:left w:val="none" w:sz="0" w:space="0" w:color="auto"/>
        <w:bottom w:val="none" w:sz="0" w:space="0" w:color="auto"/>
        <w:right w:val="none" w:sz="0" w:space="0" w:color="auto"/>
      </w:divBdr>
    </w:div>
    <w:div w:id="292951505">
      <w:bodyDiv w:val="1"/>
      <w:marLeft w:val="0"/>
      <w:marRight w:val="0"/>
      <w:marTop w:val="0"/>
      <w:marBottom w:val="0"/>
      <w:divBdr>
        <w:top w:val="none" w:sz="0" w:space="0" w:color="auto"/>
        <w:left w:val="none" w:sz="0" w:space="0" w:color="auto"/>
        <w:bottom w:val="none" w:sz="0" w:space="0" w:color="auto"/>
        <w:right w:val="none" w:sz="0" w:space="0" w:color="auto"/>
      </w:divBdr>
    </w:div>
    <w:div w:id="293364665">
      <w:bodyDiv w:val="1"/>
      <w:marLeft w:val="0"/>
      <w:marRight w:val="0"/>
      <w:marTop w:val="0"/>
      <w:marBottom w:val="0"/>
      <w:divBdr>
        <w:top w:val="none" w:sz="0" w:space="0" w:color="auto"/>
        <w:left w:val="none" w:sz="0" w:space="0" w:color="auto"/>
        <w:bottom w:val="none" w:sz="0" w:space="0" w:color="auto"/>
        <w:right w:val="none" w:sz="0" w:space="0" w:color="auto"/>
      </w:divBdr>
    </w:div>
    <w:div w:id="348605642">
      <w:bodyDiv w:val="1"/>
      <w:marLeft w:val="0"/>
      <w:marRight w:val="0"/>
      <w:marTop w:val="0"/>
      <w:marBottom w:val="0"/>
      <w:divBdr>
        <w:top w:val="none" w:sz="0" w:space="0" w:color="auto"/>
        <w:left w:val="none" w:sz="0" w:space="0" w:color="auto"/>
        <w:bottom w:val="none" w:sz="0" w:space="0" w:color="auto"/>
        <w:right w:val="none" w:sz="0" w:space="0" w:color="auto"/>
      </w:divBdr>
    </w:div>
    <w:div w:id="455880232">
      <w:bodyDiv w:val="1"/>
      <w:marLeft w:val="0"/>
      <w:marRight w:val="0"/>
      <w:marTop w:val="0"/>
      <w:marBottom w:val="0"/>
      <w:divBdr>
        <w:top w:val="none" w:sz="0" w:space="0" w:color="auto"/>
        <w:left w:val="none" w:sz="0" w:space="0" w:color="auto"/>
        <w:bottom w:val="none" w:sz="0" w:space="0" w:color="auto"/>
        <w:right w:val="none" w:sz="0" w:space="0" w:color="auto"/>
      </w:divBdr>
    </w:div>
    <w:div w:id="473523959">
      <w:bodyDiv w:val="1"/>
      <w:marLeft w:val="0"/>
      <w:marRight w:val="0"/>
      <w:marTop w:val="0"/>
      <w:marBottom w:val="0"/>
      <w:divBdr>
        <w:top w:val="none" w:sz="0" w:space="0" w:color="auto"/>
        <w:left w:val="none" w:sz="0" w:space="0" w:color="auto"/>
        <w:bottom w:val="none" w:sz="0" w:space="0" w:color="auto"/>
        <w:right w:val="none" w:sz="0" w:space="0" w:color="auto"/>
      </w:divBdr>
    </w:div>
    <w:div w:id="490368605">
      <w:bodyDiv w:val="1"/>
      <w:marLeft w:val="0"/>
      <w:marRight w:val="0"/>
      <w:marTop w:val="0"/>
      <w:marBottom w:val="0"/>
      <w:divBdr>
        <w:top w:val="none" w:sz="0" w:space="0" w:color="auto"/>
        <w:left w:val="none" w:sz="0" w:space="0" w:color="auto"/>
        <w:bottom w:val="none" w:sz="0" w:space="0" w:color="auto"/>
        <w:right w:val="none" w:sz="0" w:space="0" w:color="auto"/>
      </w:divBdr>
      <w:divsChild>
        <w:div w:id="2091003648">
          <w:marLeft w:val="0"/>
          <w:marRight w:val="0"/>
          <w:marTop w:val="0"/>
          <w:marBottom w:val="0"/>
          <w:divBdr>
            <w:top w:val="none" w:sz="0" w:space="0" w:color="auto"/>
            <w:left w:val="none" w:sz="0" w:space="0" w:color="auto"/>
            <w:bottom w:val="none" w:sz="0" w:space="0" w:color="auto"/>
            <w:right w:val="none" w:sz="0" w:space="0" w:color="auto"/>
          </w:divBdr>
        </w:div>
      </w:divsChild>
    </w:div>
    <w:div w:id="511914680">
      <w:bodyDiv w:val="1"/>
      <w:marLeft w:val="0"/>
      <w:marRight w:val="0"/>
      <w:marTop w:val="0"/>
      <w:marBottom w:val="0"/>
      <w:divBdr>
        <w:top w:val="none" w:sz="0" w:space="0" w:color="auto"/>
        <w:left w:val="none" w:sz="0" w:space="0" w:color="auto"/>
        <w:bottom w:val="none" w:sz="0" w:space="0" w:color="auto"/>
        <w:right w:val="none" w:sz="0" w:space="0" w:color="auto"/>
      </w:divBdr>
    </w:div>
    <w:div w:id="591548117">
      <w:bodyDiv w:val="1"/>
      <w:marLeft w:val="0"/>
      <w:marRight w:val="0"/>
      <w:marTop w:val="0"/>
      <w:marBottom w:val="0"/>
      <w:divBdr>
        <w:top w:val="none" w:sz="0" w:space="0" w:color="auto"/>
        <w:left w:val="none" w:sz="0" w:space="0" w:color="auto"/>
        <w:bottom w:val="none" w:sz="0" w:space="0" w:color="auto"/>
        <w:right w:val="none" w:sz="0" w:space="0" w:color="auto"/>
      </w:divBdr>
    </w:div>
    <w:div w:id="605506554">
      <w:bodyDiv w:val="1"/>
      <w:marLeft w:val="0"/>
      <w:marRight w:val="0"/>
      <w:marTop w:val="0"/>
      <w:marBottom w:val="0"/>
      <w:divBdr>
        <w:top w:val="none" w:sz="0" w:space="0" w:color="auto"/>
        <w:left w:val="none" w:sz="0" w:space="0" w:color="auto"/>
        <w:bottom w:val="none" w:sz="0" w:space="0" w:color="auto"/>
        <w:right w:val="none" w:sz="0" w:space="0" w:color="auto"/>
      </w:divBdr>
    </w:div>
    <w:div w:id="608003236">
      <w:bodyDiv w:val="1"/>
      <w:marLeft w:val="0"/>
      <w:marRight w:val="0"/>
      <w:marTop w:val="0"/>
      <w:marBottom w:val="0"/>
      <w:divBdr>
        <w:top w:val="none" w:sz="0" w:space="0" w:color="auto"/>
        <w:left w:val="none" w:sz="0" w:space="0" w:color="auto"/>
        <w:bottom w:val="none" w:sz="0" w:space="0" w:color="auto"/>
        <w:right w:val="none" w:sz="0" w:space="0" w:color="auto"/>
      </w:divBdr>
    </w:div>
    <w:div w:id="627318610">
      <w:bodyDiv w:val="1"/>
      <w:marLeft w:val="0"/>
      <w:marRight w:val="0"/>
      <w:marTop w:val="0"/>
      <w:marBottom w:val="0"/>
      <w:divBdr>
        <w:top w:val="none" w:sz="0" w:space="0" w:color="auto"/>
        <w:left w:val="none" w:sz="0" w:space="0" w:color="auto"/>
        <w:bottom w:val="none" w:sz="0" w:space="0" w:color="auto"/>
        <w:right w:val="none" w:sz="0" w:space="0" w:color="auto"/>
      </w:divBdr>
    </w:div>
    <w:div w:id="654650771">
      <w:bodyDiv w:val="1"/>
      <w:marLeft w:val="0"/>
      <w:marRight w:val="0"/>
      <w:marTop w:val="0"/>
      <w:marBottom w:val="0"/>
      <w:divBdr>
        <w:top w:val="none" w:sz="0" w:space="0" w:color="auto"/>
        <w:left w:val="none" w:sz="0" w:space="0" w:color="auto"/>
        <w:bottom w:val="none" w:sz="0" w:space="0" w:color="auto"/>
        <w:right w:val="none" w:sz="0" w:space="0" w:color="auto"/>
      </w:divBdr>
    </w:div>
    <w:div w:id="665285912">
      <w:bodyDiv w:val="1"/>
      <w:marLeft w:val="0"/>
      <w:marRight w:val="0"/>
      <w:marTop w:val="0"/>
      <w:marBottom w:val="0"/>
      <w:divBdr>
        <w:top w:val="none" w:sz="0" w:space="0" w:color="auto"/>
        <w:left w:val="none" w:sz="0" w:space="0" w:color="auto"/>
        <w:bottom w:val="none" w:sz="0" w:space="0" w:color="auto"/>
        <w:right w:val="none" w:sz="0" w:space="0" w:color="auto"/>
      </w:divBdr>
    </w:div>
    <w:div w:id="678124029">
      <w:bodyDiv w:val="1"/>
      <w:marLeft w:val="0"/>
      <w:marRight w:val="0"/>
      <w:marTop w:val="0"/>
      <w:marBottom w:val="0"/>
      <w:divBdr>
        <w:top w:val="none" w:sz="0" w:space="0" w:color="auto"/>
        <w:left w:val="none" w:sz="0" w:space="0" w:color="auto"/>
        <w:bottom w:val="none" w:sz="0" w:space="0" w:color="auto"/>
        <w:right w:val="none" w:sz="0" w:space="0" w:color="auto"/>
      </w:divBdr>
    </w:div>
    <w:div w:id="693767278">
      <w:bodyDiv w:val="1"/>
      <w:marLeft w:val="0"/>
      <w:marRight w:val="0"/>
      <w:marTop w:val="0"/>
      <w:marBottom w:val="0"/>
      <w:divBdr>
        <w:top w:val="none" w:sz="0" w:space="0" w:color="auto"/>
        <w:left w:val="none" w:sz="0" w:space="0" w:color="auto"/>
        <w:bottom w:val="none" w:sz="0" w:space="0" w:color="auto"/>
        <w:right w:val="none" w:sz="0" w:space="0" w:color="auto"/>
      </w:divBdr>
    </w:div>
    <w:div w:id="700131561">
      <w:bodyDiv w:val="1"/>
      <w:marLeft w:val="0"/>
      <w:marRight w:val="0"/>
      <w:marTop w:val="0"/>
      <w:marBottom w:val="0"/>
      <w:divBdr>
        <w:top w:val="none" w:sz="0" w:space="0" w:color="auto"/>
        <w:left w:val="none" w:sz="0" w:space="0" w:color="auto"/>
        <w:bottom w:val="none" w:sz="0" w:space="0" w:color="auto"/>
        <w:right w:val="none" w:sz="0" w:space="0" w:color="auto"/>
      </w:divBdr>
      <w:divsChild>
        <w:div w:id="63571456">
          <w:marLeft w:val="0"/>
          <w:marRight w:val="0"/>
          <w:marTop w:val="0"/>
          <w:marBottom w:val="0"/>
          <w:divBdr>
            <w:top w:val="none" w:sz="0" w:space="0" w:color="auto"/>
            <w:left w:val="none" w:sz="0" w:space="0" w:color="auto"/>
            <w:bottom w:val="none" w:sz="0" w:space="0" w:color="auto"/>
            <w:right w:val="none" w:sz="0" w:space="0" w:color="auto"/>
          </w:divBdr>
        </w:div>
      </w:divsChild>
    </w:div>
    <w:div w:id="721945249">
      <w:bodyDiv w:val="1"/>
      <w:marLeft w:val="0"/>
      <w:marRight w:val="0"/>
      <w:marTop w:val="0"/>
      <w:marBottom w:val="0"/>
      <w:divBdr>
        <w:top w:val="none" w:sz="0" w:space="0" w:color="auto"/>
        <w:left w:val="none" w:sz="0" w:space="0" w:color="auto"/>
        <w:bottom w:val="none" w:sz="0" w:space="0" w:color="auto"/>
        <w:right w:val="none" w:sz="0" w:space="0" w:color="auto"/>
      </w:divBdr>
    </w:div>
    <w:div w:id="729420908">
      <w:bodyDiv w:val="1"/>
      <w:marLeft w:val="0"/>
      <w:marRight w:val="0"/>
      <w:marTop w:val="0"/>
      <w:marBottom w:val="0"/>
      <w:divBdr>
        <w:top w:val="none" w:sz="0" w:space="0" w:color="auto"/>
        <w:left w:val="none" w:sz="0" w:space="0" w:color="auto"/>
        <w:bottom w:val="none" w:sz="0" w:space="0" w:color="auto"/>
        <w:right w:val="none" w:sz="0" w:space="0" w:color="auto"/>
      </w:divBdr>
    </w:div>
    <w:div w:id="738209790">
      <w:bodyDiv w:val="1"/>
      <w:marLeft w:val="0"/>
      <w:marRight w:val="0"/>
      <w:marTop w:val="0"/>
      <w:marBottom w:val="0"/>
      <w:divBdr>
        <w:top w:val="none" w:sz="0" w:space="0" w:color="auto"/>
        <w:left w:val="none" w:sz="0" w:space="0" w:color="auto"/>
        <w:bottom w:val="none" w:sz="0" w:space="0" w:color="auto"/>
        <w:right w:val="none" w:sz="0" w:space="0" w:color="auto"/>
      </w:divBdr>
    </w:div>
    <w:div w:id="747120211">
      <w:bodyDiv w:val="1"/>
      <w:marLeft w:val="0"/>
      <w:marRight w:val="0"/>
      <w:marTop w:val="0"/>
      <w:marBottom w:val="0"/>
      <w:divBdr>
        <w:top w:val="none" w:sz="0" w:space="0" w:color="auto"/>
        <w:left w:val="none" w:sz="0" w:space="0" w:color="auto"/>
        <w:bottom w:val="none" w:sz="0" w:space="0" w:color="auto"/>
        <w:right w:val="none" w:sz="0" w:space="0" w:color="auto"/>
      </w:divBdr>
    </w:div>
    <w:div w:id="750005242">
      <w:bodyDiv w:val="1"/>
      <w:marLeft w:val="0"/>
      <w:marRight w:val="0"/>
      <w:marTop w:val="0"/>
      <w:marBottom w:val="0"/>
      <w:divBdr>
        <w:top w:val="none" w:sz="0" w:space="0" w:color="auto"/>
        <w:left w:val="none" w:sz="0" w:space="0" w:color="auto"/>
        <w:bottom w:val="none" w:sz="0" w:space="0" w:color="auto"/>
        <w:right w:val="none" w:sz="0" w:space="0" w:color="auto"/>
      </w:divBdr>
    </w:div>
    <w:div w:id="754130262">
      <w:bodyDiv w:val="1"/>
      <w:marLeft w:val="0"/>
      <w:marRight w:val="0"/>
      <w:marTop w:val="0"/>
      <w:marBottom w:val="0"/>
      <w:divBdr>
        <w:top w:val="none" w:sz="0" w:space="0" w:color="auto"/>
        <w:left w:val="none" w:sz="0" w:space="0" w:color="auto"/>
        <w:bottom w:val="none" w:sz="0" w:space="0" w:color="auto"/>
        <w:right w:val="none" w:sz="0" w:space="0" w:color="auto"/>
      </w:divBdr>
    </w:div>
    <w:div w:id="780689759">
      <w:bodyDiv w:val="1"/>
      <w:marLeft w:val="0"/>
      <w:marRight w:val="0"/>
      <w:marTop w:val="0"/>
      <w:marBottom w:val="0"/>
      <w:divBdr>
        <w:top w:val="none" w:sz="0" w:space="0" w:color="auto"/>
        <w:left w:val="none" w:sz="0" w:space="0" w:color="auto"/>
        <w:bottom w:val="none" w:sz="0" w:space="0" w:color="auto"/>
        <w:right w:val="none" w:sz="0" w:space="0" w:color="auto"/>
      </w:divBdr>
    </w:div>
    <w:div w:id="800533240">
      <w:bodyDiv w:val="1"/>
      <w:marLeft w:val="0"/>
      <w:marRight w:val="0"/>
      <w:marTop w:val="0"/>
      <w:marBottom w:val="0"/>
      <w:divBdr>
        <w:top w:val="none" w:sz="0" w:space="0" w:color="auto"/>
        <w:left w:val="none" w:sz="0" w:space="0" w:color="auto"/>
        <w:bottom w:val="none" w:sz="0" w:space="0" w:color="auto"/>
        <w:right w:val="none" w:sz="0" w:space="0" w:color="auto"/>
      </w:divBdr>
    </w:div>
    <w:div w:id="801341119">
      <w:bodyDiv w:val="1"/>
      <w:marLeft w:val="0"/>
      <w:marRight w:val="0"/>
      <w:marTop w:val="0"/>
      <w:marBottom w:val="0"/>
      <w:divBdr>
        <w:top w:val="none" w:sz="0" w:space="0" w:color="auto"/>
        <w:left w:val="none" w:sz="0" w:space="0" w:color="auto"/>
        <w:bottom w:val="none" w:sz="0" w:space="0" w:color="auto"/>
        <w:right w:val="none" w:sz="0" w:space="0" w:color="auto"/>
      </w:divBdr>
    </w:div>
    <w:div w:id="878668107">
      <w:bodyDiv w:val="1"/>
      <w:marLeft w:val="0"/>
      <w:marRight w:val="0"/>
      <w:marTop w:val="0"/>
      <w:marBottom w:val="0"/>
      <w:divBdr>
        <w:top w:val="none" w:sz="0" w:space="0" w:color="auto"/>
        <w:left w:val="none" w:sz="0" w:space="0" w:color="auto"/>
        <w:bottom w:val="none" w:sz="0" w:space="0" w:color="auto"/>
        <w:right w:val="none" w:sz="0" w:space="0" w:color="auto"/>
      </w:divBdr>
    </w:div>
    <w:div w:id="894583623">
      <w:bodyDiv w:val="1"/>
      <w:marLeft w:val="0"/>
      <w:marRight w:val="0"/>
      <w:marTop w:val="0"/>
      <w:marBottom w:val="0"/>
      <w:divBdr>
        <w:top w:val="none" w:sz="0" w:space="0" w:color="auto"/>
        <w:left w:val="none" w:sz="0" w:space="0" w:color="auto"/>
        <w:bottom w:val="none" w:sz="0" w:space="0" w:color="auto"/>
        <w:right w:val="none" w:sz="0" w:space="0" w:color="auto"/>
      </w:divBdr>
    </w:div>
    <w:div w:id="901016465">
      <w:bodyDiv w:val="1"/>
      <w:marLeft w:val="0"/>
      <w:marRight w:val="0"/>
      <w:marTop w:val="0"/>
      <w:marBottom w:val="0"/>
      <w:divBdr>
        <w:top w:val="none" w:sz="0" w:space="0" w:color="auto"/>
        <w:left w:val="none" w:sz="0" w:space="0" w:color="auto"/>
        <w:bottom w:val="none" w:sz="0" w:space="0" w:color="auto"/>
        <w:right w:val="none" w:sz="0" w:space="0" w:color="auto"/>
      </w:divBdr>
    </w:div>
    <w:div w:id="904485715">
      <w:bodyDiv w:val="1"/>
      <w:marLeft w:val="0"/>
      <w:marRight w:val="0"/>
      <w:marTop w:val="0"/>
      <w:marBottom w:val="0"/>
      <w:divBdr>
        <w:top w:val="none" w:sz="0" w:space="0" w:color="auto"/>
        <w:left w:val="none" w:sz="0" w:space="0" w:color="auto"/>
        <w:bottom w:val="none" w:sz="0" w:space="0" w:color="auto"/>
        <w:right w:val="none" w:sz="0" w:space="0" w:color="auto"/>
      </w:divBdr>
    </w:div>
    <w:div w:id="946038798">
      <w:bodyDiv w:val="1"/>
      <w:marLeft w:val="0"/>
      <w:marRight w:val="0"/>
      <w:marTop w:val="0"/>
      <w:marBottom w:val="0"/>
      <w:divBdr>
        <w:top w:val="none" w:sz="0" w:space="0" w:color="auto"/>
        <w:left w:val="none" w:sz="0" w:space="0" w:color="auto"/>
        <w:bottom w:val="none" w:sz="0" w:space="0" w:color="auto"/>
        <w:right w:val="none" w:sz="0" w:space="0" w:color="auto"/>
      </w:divBdr>
    </w:div>
    <w:div w:id="949051890">
      <w:bodyDiv w:val="1"/>
      <w:marLeft w:val="0"/>
      <w:marRight w:val="0"/>
      <w:marTop w:val="0"/>
      <w:marBottom w:val="0"/>
      <w:divBdr>
        <w:top w:val="none" w:sz="0" w:space="0" w:color="auto"/>
        <w:left w:val="none" w:sz="0" w:space="0" w:color="auto"/>
        <w:bottom w:val="none" w:sz="0" w:space="0" w:color="auto"/>
        <w:right w:val="none" w:sz="0" w:space="0" w:color="auto"/>
      </w:divBdr>
    </w:div>
    <w:div w:id="959258696">
      <w:bodyDiv w:val="1"/>
      <w:marLeft w:val="0"/>
      <w:marRight w:val="0"/>
      <w:marTop w:val="0"/>
      <w:marBottom w:val="0"/>
      <w:divBdr>
        <w:top w:val="none" w:sz="0" w:space="0" w:color="auto"/>
        <w:left w:val="none" w:sz="0" w:space="0" w:color="auto"/>
        <w:bottom w:val="none" w:sz="0" w:space="0" w:color="auto"/>
        <w:right w:val="none" w:sz="0" w:space="0" w:color="auto"/>
      </w:divBdr>
    </w:div>
    <w:div w:id="963847845">
      <w:bodyDiv w:val="1"/>
      <w:marLeft w:val="0"/>
      <w:marRight w:val="0"/>
      <w:marTop w:val="0"/>
      <w:marBottom w:val="0"/>
      <w:divBdr>
        <w:top w:val="none" w:sz="0" w:space="0" w:color="auto"/>
        <w:left w:val="none" w:sz="0" w:space="0" w:color="auto"/>
        <w:bottom w:val="none" w:sz="0" w:space="0" w:color="auto"/>
        <w:right w:val="none" w:sz="0" w:space="0" w:color="auto"/>
      </w:divBdr>
    </w:div>
    <w:div w:id="979269068">
      <w:bodyDiv w:val="1"/>
      <w:marLeft w:val="0"/>
      <w:marRight w:val="0"/>
      <w:marTop w:val="0"/>
      <w:marBottom w:val="0"/>
      <w:divBdr>
        <w:top w:val="none" w:sz="0" w:space="0" w:color="auto"/>
        <w:left w:val="none" w:sz="0" w:space="0" w:color="auto"/>
        <w:bottom w:val="none" w:sz="0" w:space="0" w:color="auto"/>
        <w:right w:val="none" w:sz="0" w:space="0" w:color="auto"/>
      </w:divBdr>
    </w:div>
    <w:div w:id="994607080">
      <w:bodyDiv w:val="1"/>
      <w:marLeft w:val="0"/>
      <w:marRight w:val="0"/>
      <w:marTop w:val="0"/>
      <w:marBottom w:val="0"/>
      <w:divBdr>
        <w:top w:val="none" w:sz="0" w:space="0" w:color="auto"/>
        <w:left w:val="none" w:sz="0" w:space="0" w:color="auto"/>
        <w:bottom w:val="none" w:sz="0" w:space="0" w:color="auto"/>
        <w:right w:val="none" w:sz="0" w:space="0" w:color="auto"/>
      </w:divBdr>
    </w:div>
    <w:div w:id="1065571011">
      <w:bodyDiv w:val="1"/>
      <w:marLeft w:val="0"/>
      <w:marRight w:val="0"/>
      <w:marTop w:val="0"/>
      <w:marBottom w:val="0"/>
      <w:divBdr>
        <w:top w:val="none" w:sz="0" w:space="0" w:color="auto"/>
        <w:left w:val="none" w:sz="0" w:space="0" w:color="auto"/>
        <w:bottom w:val="none" w:sz="0" w:space="0" w:color="auto"/>
        <w:right w:val="none" w:sz="0" w:space="0" w:color="auto"/>
      </w:divBdr>
    </w:div>
    <w:div w:id="1085495799">
      <w:bodyDiv w:val="1"/>
      <w:marLeft w:val="0"/>
      <w:marRight w:val="0"/>
      <w:marTop w:val="0"/>
      <w:marBottom w:val="0"/>
      <w:divBdr>
        <w:top w:val="none" w:sz="0" w:space="0" w:color="auto"/>
        <w:left w:val="none" w:sz="0" w:space="0" w:color="auto"/>
        <w:bottom w:val="none" w:sz="0" w:space="0" w:color="auto"/>
        <w:right w:val="none" w:sz="0" w:space="0" w:color="auto"/>
      </w:divBdr>
    </w:div>
    <w:div w:id="1085881288">
      <w:bodyDiv w:val="1"/>
      <w:marLeft w:val="0"/>
      <w:marRight w:val="0"/>
      <w:marTop w:val="0"/>
      <w:marBottom w:val="0"/>
      <w:divBdr>
        <w:top w:val="none" w:sz="0" w:space="0" w:color="auto"/>
        <w:left w:val="none" w:sz="0" w:space="0" w:color="auto"/>
        <w:bottom w:val="none" w:sz="0" w:space="0" w:color="auto"/>
        <w:right w:val="none" w:sz="0" w:space="0" w:color="auto"/>
      </w:divBdr>
    </w:div>
    <w:div w:id="1093359830">
      <w:bodyDiv w:val="1"/>
      <w:marLeft w:val="0"/>
      <w:marRight w:val="0"/>
      <w:marTop w:val="0"/>
      <w:marBottom w:val="0"/>
      <w:divBdr>
        <w:top w:val="none" w:sz="0" w:space="0" w:color="auto"/>
        <w:left w:val="none" w:sz="0" w:space="0" w:color="auto"/>
        <w:bottom w:val="none" w:sz="0" w:space="0" w:color="auto"/>
        <w:right w:val="none" w:sz="0" w:space="0" w:color="auto"/>
      </w:divBdr>
    </w:div>
    <w:div w:id="1094210341">
      <w:bodyDiv w:val="1"/>
      <w:marLeft w:val="0"/>
      <w:marRight w:val="0"/>
      <w:marTop w:val="0"/>
      <w:marBottom w:val="0"/>
      <w:divBdr>
        <w:top w:val="none" w:sz="0" w:space="0" w:color="auto"/>
        <w:left w:val="none" w:sz="0" w:space="0" w:color="auto"/>
        <w:bottom w:val="none" w:sz="0" w:space="0" w:color="auto"/>
        <w:right w:val="none" w:sz="0" w:space="0" w:color="auto"/>
      </w:divBdr>
    </w:div>
    <w:div w:id="1112897767">
      <w:bodyDiv w:val="1"/>
      <w:marLeft w:val="0"/>
      <w:marRight w:val="0"/>
      <w:marTop w:val="0"/>
      <w:marBottom w:val="0"/>
      <w:divBdr>
        <w:top w:val="none" w:sz="0" w:space="0" w:color="auto"/>
        <w:left w:val="none" w:sz="0" w:space="0" w:color="auto"/>
        <w:bottom w:val="none" w:sz="0" w:space="0" w:color="auto"/>
        <w:right w:val="none" w:sz="0" w:space="0" w:color="auto"/>
      </w:divBdr>
    </w:div>
    <w:div w:id="1125663028">
      <w:bodyDiv w:val="1"/>
      <w:marLeft w:val="0"/>
      <w:marRight w:val="0"/>
      <w:marTop w:val="0"/>
      <w:marBottom w:val="0"/>
      <w:divBdr>
        <w:top w:val="none" w:sz="0" w:space="0" w:color="auto"/>
        <w:left w:val="none" w:sz="0" w:space="0" w:color="auto"/>
        <w:bottom w:val="none" w:sz="0" w:space="0" w:color="auto"/>
        <w:right w:val="none" w:sz="0" w:space="0" w:color="auto"/>
      </w:divBdr>
    </w:div>
    <w:div w:id="1127815170">
      <w:bodyDiv w:val="1"/>
      <w:marLeft w:val="0"/>
      <w:marRight w:val="0"/>
      <w:marTop w:val="0"/>
      <w:marBottom w:val="0"/>
      <w:divBdr>
        <w:top w:val="none" w:sz="0" w:space="0" w:color="auto"/>
        <w:left w:val="none" w:sz="0" w:space="0" w:color="auto"/>
        <w:bottom w:val="none" w:sz="0" w:space="0" w:color="auto"/>
        <w:right w:val="none" w:sz="0" w:space="0" w:color="auto"/>
      </w:divBdr>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173303218">
      <w:bodyDiv w:val="1"/>
      <w:marLeft w:val="0"/>
      <w:marRight w:val="0"/>
      <w:marTop w:val="0"/>
      <w:marBottom w:val="0"/>
      <w:divBdr>
        <w:top w:val="none" w:sz="0" w:space="0" w:color="auto"/>
        <w:left w:val="none" w:sz="0" w:space="0" w:color="auto"/>
        <w:bottom w:val="none" w:sz="0" w:space="0" w:color="auto"/>
        <w:right w:val="none" w:sz="0" w:space="0" w:color="auto"/>
      </w:divBdr>
    </w:div>
    <w:div w:id="1177428549">
      <w:bodyDiv w:val="1"/>
      <w:marLeft w:val="0"/>
      <w:marRight w:val="0"/>
      <w:marTop w:val="0"/>
      <w:marBottom w:val="0"/>
      <w:divBdr>
        <w:top w:val="none" w:sz="0" w:space="0" w:color="auto"/>
        <w:left w:val="none" w:sz="0" w:space="0" w:color="auto"/>
        <w:bottom w:val="none" w:sz="0" w:space="0" w:color="auto"/>
        <w:right w:val="none" w:sz="0" w:space="0" w:color="auto"/>
      </w:divBdr>
    </w:div>
    <w:div w:id="1217014561">
      <w:bodyDiv w:val="1"/>
      <w:marLeft w:val="0"/>
      <w:marRight w:val="0"/>
      <w:marTop w:val="0"/>
      <w:marBottom w:val="0"/>
      <w:divBdr>
        <w:top w:val="none" w:sz="0" w:space="0" w:color="auto"/>
        <w:left w:val="none" w:sz="0" w:space="0" w:color="auto"/>
        <w:bottom w:val="none" w:sz="0" w:space="0" w:color="auto"/>
        <w:right w:val="none" w:sz="0" w:space="0" w:color="auto"/>
      </w:divBdr>
    </w:div>
    <w:div w:id="1224367263">
      <w:bodyDiv w:val="1"/>
      <w:marLeft w:val="0"/>
      <w:marRight w:val="0"/>
      <w:marTop w:val="0"/>
      <w:marBottom w:val="0"/>
      <w:divBdr>
        <w:top w:val="none" w:sz="0" w:space="0" w:color="auto"/>
        <w:left w:val="none" w:sz="0" w:space="0" w:color="auto"/>
        <w:bottom w:val="none" w:sz="0" w:space="0" w:color="auto"/>
        <w:right w:val="none" w:sz="0" w:space="0" w:color="auto"/>
      </w:divBdr>
    </w:div>
    <w:div w:id="1256791066">
      <w:bodyDiv w:val="1"/>
      <w:marLeft w:val="0"/>
      <w:marRight w:val="0"/>
      <w:marTop w:val="0"/>
      <w:marBottom w:val="0"/>
      <w:divBdr>
        <w:top w:val="none" w:sz="0" w:space="0" w:color="auto"/>
        <w:left w:val="none" w:sz="0" w:space="0" w:color="auto"/>
        <w:bottom w:val="none" w:sz="0" w:space="0" w:color="auto"/>
        <w:right w:val="none" w:sz="0" w:space="0" w:color="auto"/>
      </w:divBdr>
      <w:divsChild>
        <w:div w:id="1342049863">
          <w:marLeft w:val="0"/>
          <w:marRight w:val="0"/>
          <w:marTop w:val="0"/>
          <w:marBottom w:val="0"/>
          <w:divBdr>
            <w:top w:val="none" w:sz="0" w:space="0" w:color="auto"/>
            <w:left w:val="none" w:sz="0" w:space="0" w:color="auto"/>
            <w:bottom w:val="none" w:sz="0" w:space="0" w:color="auto"/>
            <w:right w:val="none" w:sz="0" w:space="0" w:color="auto"/>
          </w:divBdr>
        </w:div>
      </w:divsChild>
    </w:div>
    <w:div w:id="1276909980">
      <w:bodyDiv w:val="1"/>
      <w:marLeft w:val="0"/>
      <w:marRight w:val="0"/>
      <w:marTop w:val="0"/>
      <w:marBottom w:val="0"/>
      <w:divBdr>
        <w:top w:val="none" w:sz="0" w:space="0" w:color="auto"/>
        <w:left w:val="none" w:sz="0" w:space="0" w:color="auto"/>
        <w:bottom w:val="none" w:sz="0" w:space="0" w:color="auto"/>
        <w:right w:val="none" w:sz="0" w:space="0" w:color="auto"/>
      </w:divBdr>
    </w:div>
    <w:div w:id="1279024091">
      <w:bodyDiv w:val="1"/>
      <w:marLeft w:val="0"/>
      <w:marRight w:val="0"/>
      <w:marTop w:val="0"/>
      <w:marBottom w:val="0"/>
      <w:divBdr>
        <w:top w:val="none" w:sz="0" w:space="0" w:color="auto"/>
        <w:left w:val="none" w:sz="0" w:space="0" w:color="auto"/>
        <w:bottom w:val="none" w:sz="0" w:space="0" w:color="auto"/>
        <w:right w:val="none" w:sz="0" w:space="0" w:color="auto"/>
      </w:divBdr>
    </w:div>
    <w:div w:id="1358920314">
      <w:bodyDiv w:val="1"/>
      <w:marLeft w:val="0"/>
      <w:marRight w:val="0"/>
      <w:marTop w:val="0"/>
      <w:marBottom w:val="0"/>
      <w:divBdr>
        <w:top w:val="none" w:sz="0" w:space="0" w:color="auto"/>
        <w:left w:val="none" w:sz="0" w:space="0" w:color="auto"/>
        <w:bottom w:val="none" w:sz="0" w:space="0" w:color="auto"/>
        <w:right w:val="none" w:sz="0" w:space="0" w:color="auto"/>
      </w:divBdr>
    </w:div>
    <w:div w:id="1371148151">
      <w:bodyDiv w:val="1"/>
      <w:marLeft w:val="0"/>
      <w:marRight w:val="0"/>
      <w:marTop w:val="0"/>
      <w:marBottom w:val="0"/>
      <w:divBdr>
        <w:top w:val="none" w:sz="0" w:space="0" w:color="auto"/>
        <w:left w:val="none" w:sz="0" w:space="0" w:color="auto"/>
        <w:bottom w:val="none" w:sz="0" w:space="0" w:color="auto"/>
        <w:right w:val="none" w:sz="0" w:space="0" w:color="auto"/>
      </w:divBdr>
    </w:div>
    <w:div w:id="1372268230">
      <w:bodyDiv w:val="1"/>
      <w:marLeft w:val="0"/>
      <w:marRight w:val="0"/>
      <w:marTop w:val="0"/>
      <w:marBottom w:val="0"/>
      <w:divBdr>
        <w:top w:val="none" w:sz="0" w:space="0" w:color="auto"/>
        <w:left w:val="none" w:sz="0" w:space="0" w:color="auto"/>
        <w:bottom w:val="none" w:sz="0" w:space="0" w:color="auto"/>
        <w:right w:val="none" w:sz="0" w:space="0" w:color="auto"/>
      </w:divBdr>
    </w:div>
    <w:div w:id="1382244737">
      <w:bodyDiv w:val="1"/>
      <w:marLeft w:val="0"/>
      <w:marRight w:val="0"/>
      <w:marTop w:val="0"/>
      <w:marBottom w:val="0"/>
      <w:divBdr>
        <w:top w:val="none" w:sz="0" w:space="0" w:color="auto"/>
        <w:left w:val="none" w:sz="0" w:space="0" w:color="auto"/>
        <w:bottom w:val="none" w:sz="0" w:space="0" w:color="auto"/>
        <w:right w:val="none" w:sz="0" w:space="0" w:color="auto"/>
      </w:divBdr>
    </w:div>
    <w:div w:id="1387029647">
      <w:bodyDiv w:val="1"/>
      <w:marLeft w:val="0"/>
      <w:marRight w:val="0"/>
      <w:marTop w:val="0"/>
      <w:marBottom w:val="0"/>
      <w:divBdr>
        <w:top w:val="none" w:sz="0" w:space="0" w:color="auto"/>
        <w:left w:val="none" w:sz="0" w:space="0" w:color="auto"/>
        <w:bottom w:val="none" w:sz="0" w:space="0" w:color="auto"/>
        <w:right w:val="none" w:sz="0" w:space="0" w:color="auto"/>
      </w:divBdr>
    </w:div>
    <w:div w:id="1404375789">
      <w:bodyDiv w:val="1"/>
      <w:marLeft w:val="0"/>
      <w:marRight w:val="0"/>
      <w:marTop w:val="0"/>
      <w:marBottom w:val="0"/>
      <w:divBdr>
        <w:top w:val="none" w:sz="0" w:space="0" w:color="auto"/>
        <w:left w:val="none" w:sz="0" w:space="0" w:color="auto"/>
        <w:bottom w:val="none" w:sz="0" w:space="0" w:color="auto"/>
        <w:right w:val="none" w:sz="0" w:space="0" w:color="auto"/>
      </w:divBdr>
    </w:div>
    <w:div w:id="1411081811">
      <w:bodyDiv w:val="1"/>
      <w:marLeft w:val="0"/>
      <w:marRight w:val="0"/>
      <w:marTop w:val="0"/>
      <w:marBottom w:val="0"/>
      <w:divBdr>
        <w:top w:val="none" w:sz="0" w:space="0" w:color="auto"/>
        <w:left w:val="none" w:sz="0" w:space="0" w:color="auto"/>
        <w:bottom w:val="none" w:sz="0" w:space="0" w:color="auto"/>
        <w:right w:val="none" w:sz="0" w:space="0" w:color="auto"/>
      </w:divBdr>
    </w:div>
    <w:div w:id="1419332205">
      <w:bodyDiv w:val="1"/>
      <w:marLeft w:val="0"/>
      <w:marRight w:val="0"/>
      <w:marTop w:val="0"/>
      <w:marBottom w:val="0"/>
      <w:divBdr>
        <w:top w:val="none" w:sz="0" w:space="0" w:color="auto"/>
        <w:left w:val="none" w:sz="0" w:space="0" w:color="auto"/>
        <w:bottom w:val="none" w:sz="0" w:space="0" w:color="auto"/>
        <w:right w:val="none" w:sz="0" w:space="0" w:color="auto"/>
      </w:divBdr>
    </w:div>
    <w:div w:id="1440301062">
      <w:bodyDiv w:val="1"/>
      <w:marLeft w:val="0"/>
      <w:marRight w:val="0"/>
      <w:marTop w:val="0"/>
      <w:marBottom w:val="0"/>
      <w:divBdr>
        <w:top w:val="none" w:sz="0" w:space="0" w:color="auto"/>
        <w:left w:val="none" w:sz="0" w:space="0" w:color="auto"/>
        <w:bottom w:val="none" w:sz="0" w:space="0" w:color="auto"/>
        <w:right w:val="none" w:sz="0" w:space="0" w:color="auto"/>
      </w:divBdr>
    </w:div>
    <w:div w:id="1440569171">
      <w:bodyDiv w:val="1"/>
      <w:marLeft w:val="0"/>
      <w:marRight w:val="0"/>
      <w:marTop w:val="0"/>
      <w:marBottom w:val="0"/>
      <w:divBdr>
        <w:top w:val="none" w:sz="0" w:space="0" w:color="auto"/>
        <w:left w:val="none" w:sz="0" w:space="0" w:color="auto"/>
        <w:bottom w:val="none" w:sz="0" w:space="0" w:color="auto"/>
        <w:right w:val="none" w:sz="0" w:space="0" w:color="auto"/>
      </w:divBdr>
    </w:div>
    <w:div w:id="1474132967">
      <w:bodyDiv w:val="1"/>
      <w:marLeft w:val="0"/>
      <w:marRight w:val="0"/>
      <w:marTop w:val="0"/>
      <w:marBottom w:val="0"/>
      <w:divBdr>
        <w:top w:val="none" w:sz="0" w:space="0" w:color="auto"/>
        <w:left w:val="none" w:sz="0" w:space="0" w:color="auto"/>
        <w:bottom w:val="none" w:sz="0" w:space="0" w:color="auto"/>
        <w:right w:val="none" w:sz="0" w:space="0" w:color="auto"/>
      </w:divBdr>
    </w:div>
    <w:div w:id="1501038284">
      <w:bodyDiv w:val="1"/>
      <w:marLeft w:val="0"/>
      <w:marRight w:val="0"/>
      <w:marTop w:val="0"/>
      <w:marBottom w:val="0"/>
      <w:divBdr>
        <w:top w:val="none" w:sz="0" w:space="0" w:color="auto"/>
        <w:left w:val="none" w:sz="0" w:space="0" w:color="auto"/>
        <w:bottom w:val="none" w:sz="0" w:space="0" w:color="auto"/>
        <w:right w:val="none" w:sz="0" w:space="0" w:color="auto"/>
      </w:divBdr>
    </w:div>
    <w:div w:id="1501507649">
      <w:bodyDiv w:val="1"/>
      <w:marLeft w:val="0"/>
      <w:marRight w:val="0"/>
      <w:marTop w:val="0"/>
      <w:marBottom w:val="0"/>
      <w:divBdr>
        <w:top w:val="none" w:sz="0" w:space="0" w:color="auto"/>
        <w:left w:val="none" w:sz="0" w:space="0" w:color="auto"/>
        <w:bottom w:val="none" w:sz="0" w:space="0" w:color="auto"/>
        <w:right w:val="none" w:sz="0" w:space="0" w:color="auto"/>
      </w:divBdr>
    </w:div>
    <w:div w:id="1504198219">
      <w:bodyDiv w:val="1"/>
      <w:marLeft w:val="0"/>
      <w:marRight w:val="0"/>
      <w:marTop w:val="0"/>
      <w:marBottom w:val="0"/>
      <w:divBdr>
        <w:top w:val="none" w:sz="0" w:space="0" w:color="auto"/>
        <w:left w:val="none" w:sz="0" w:space="0" w:color="auto"/>
        <w:bottom w:val="none" w:sz="0" w:space="0" w:color="auto"/>
        <w:right w:val="none" w:sz="0" w:space="0" w:color="auto"/>
      </w:divBdr>
    </w:div>
    <w:div w:id="1509903312">
      <w:bodyDiv w:val="1"/>
      <w:marLeft w:val="0"/>
      <w:marRight w:val="0"/>
      <w:marTop w:val="0"/>
      <w:marBottom w:val="0"/>
      <w:divBdr>
        <w:top w:val="none" w:sz="0" w:space="0" w:color="auto"/>
        <w:left w:val="none" w:sz="0" w:space="0" w:color="auto"/>
        <w:bottom w:val="none" w:sz="0" w:space="0" w:color="auto"/>
        <w:right w:val="none" w:sz="0" w:space="0" w:color="auto"/>
      </w:divBdr>
    </w:div>
    <w:div w:id="1527981527">
      <w:bodyDiv w:val="1"/>
      <w:marLeft w:val="0"/>
      <w:marRight w:val="0"/>
      <w:marTop w:val="0"/>
      <w:marBottom w:val="0"/>
      <w:divBdr>
        <w:top w:val="none" w:sz="0" w:space="0" w:color="auto"/>
        <w:left w:val="none" w:sz="0" w:space="0" w:color="auto"/>
        <w:bottom w:val="none" w:sz="0" w:space="0" w:color="auto"/>
        <w:right w:val="none" w:sz="0" w:space="0" w:color="auto"/>
      </w:divBdr>
    </w:div>
    <w:div w:id="1543635530">
      <w:bodyDiv w:val="1"/>
      <w:marLeft w:val="0"/>
      <w:marRight w:val="0"/>
      <w:marTop w:val="0"/>
      <w:marBottom w:val="0"/>
      <w:divBdr>
        <w:top w:val="none" w:sz="0" w:space="0" w:color="auto"/>
        <w:left w:val="none" w:sz="0" w:space="0" w:color="auto"/>
        <w:bottom w:val="none" w:sz="0" w:space="0" w:color="auto"/>
        <w:right w:val="none" w:sz="0" w:space="0" w:color="auto"/>
      </w:divBdr>
    </w:div>
    <w:div w:id="1557813587">
      <w:bodyDiv w:val="1"/>
      <w:marLeft w:val="0"/>
      <w:marRight w:val="0"/>
      <w:marTop w:val="0"/>
      <w:marBottom w:val="0"/>
      <w:divBdr>
        <w:top w:val="none" w:sz="0" w:space="0" w:color="auto"/>
        <w:left w:val="none" w:sz="0" w:space="0" w:color="auto"/>
        <w:bottom w:val="none" w:sz="0" w:space="0" w:color="auto"/>
        <w:right w:val="none" w:sz="0" w:space="0" w:color="auto"/>
      </w:divBdr>
    </w:div>
    <w:div w:id="1583560135">
      <w:bodyDiv w:val="1"/>
      <w:marLeft w:val="0"/>
      <w:marRight w:val="0"/>
      <w:marTop w:val="0"/>
      <w:marBottom w:val="0"/>
      <w:divBdr>
        <w:top w:val="none" w:sz="0" w:space="0" w:color="auto"/>
        <w:left w:val="none" w:sz="0" w:space="0" w:color="auto"/>
        <w:bottom w:val="none" w:sz="0" w:space="0" w:color="auto"/>
        <w:right w:val="none" w:sz="0" w:space="0" w:color="auto"/>
      </w:divBdr>
    </w:div>
    <w:div w:id="1585996935">
      <w:bodyDiv w:val="1"/>
      <w:marLeft w:val="0"/>
      <w:marRight w:val="0"/>
      <w:marTop w:val="0"/>
      <w:marBottom w:val="0"/>
      <w:divBdr>
        <w:top w:val="none" w:sz="0" w:space="0" w:color="auto"/>
        <w:left w:val="none" w:sz="0" w:space="0" w:color="auto"/>
        <w:bottom w:val="none" w:sz="0" w:space="0" w:color="auto"/>
        <w:right w:val="none" w:sz="0" w:space="0" w:color="auto"/>
      </w:divBdr>
    </w:div>
    <w:div w:id="1593463983">
      <w:bodyDiv w:val="1"/>
      <w:marLeft w:val="0"/>
      <w:marRight w:val="0"/>
      <w:marTop w:val="0"/>
      <w:marBottom w:val="0"/>
      <w:divBdr>
        <w:top w:val="none" w:sz="0" w:space="0" w:color="auto"/>
        <w:left w:val="none" w:sz="0" w:space="0" w:color="auto"/>
        <w:bottom w:val="none" w:sz="0" w:space="0" w:color="auto"/>
        <w:right w:val="none" w:sz="0" w:space="0" w:color="auto"/>
      </w:divBdr>
      <w:divsChild>
        <w:div w:id="3165682">
          <w:marLeft w:val="0"/>
          <w:marRight w:val="0"/>
          <w:marTop w:val="0"/>
          <w:marBottom w:val="0"/>
          <w:divBdr>
            <w:top w:val="none" w:sz="0" w:space="0" w:color="auto"/>
            <w:left w:val="none" w:sz="0" w:space="0" w:color="auto"/>
            <w:bottom w:val="none" w:sz="0" w:space="0" w:color="auto"/>
            <w:right w:val="none" w:sz="0" w:space="0" w:color="auto"/>
          </w:divBdr>
        </w:div>
      </w:divsChild>
    </w:div>
    <w:div w:id="1616595285">
      <w:bodyDiv w:val="1"/>
      <w:marLeft w:val="0"/>
      <w:marRight w:val="0"/>
      <w:marTop w:val="0"/>
      <w:marBottom w:val="0"/>
      <w:divBdr>
        <w:top w:val="none" w:sz="0" w:space="0" w:color="auto"/>
        <w:left w:val="none" w:sz="0" w:space="0" w:color="auto"/>
        <w:bottom w:val="none" w:sz="0" w:space="0" w:color="auto"/>
        <w:right w:val="none" w:sz="0" w:space="0" w:color="auto"/>
      </w:divBdr>
    </w:div>
    <w:div w:id="1621033448">
      <w:bodyDiv w:val="1"/>
      <w:marLeft w:val="0"/>
      <w:marRight w:val="0"/>
      <w:marTop w:val="0"/>
      <w:marBottom w:val="0"/>
      <w:divBdr>
        <w:top w:val="none" w:sz="0" w:space="0" w:color="auto"/>
        <w:left w:val="none" w:sz="0" w:space="0" w:color="auto"/>
        <w:bottom w:val="none" w:sz="0" w:space="0" w:color="auto"/>
        <w:right w:val="none" w:sz="0" w:space="0" w:color="auto"/>
      </w:divBdr>
    </w:div>
    <w:div w:id="1623071769">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39147247">
      <w:bodyDiv w:val="1"/>
      <w:marLeft w:val="0"/>
      <w:marRight w:val="0"/>
      <w:marTop w:val="0"/>
      <w:marBottom w:val="0"/>
      <w:divBdr>
        <w:top w:val="none" w:sz="0" w:space="0" w:color="auto"/>
        <w:left w:val="none" w:sz="0" w:space="0" w:color="auto"/>
        <w:bottom w:val="none" w:sz="0" w:space="0" w:color="auto"/>
        <w:right w:val="none" w:sz="0" w:space="0" w:color="auto"/>
      </w:divBdr>
    </w:div>
    <w:div w:id="1639529146">
      <w:bodyDiv w:val="1"/>
      <w:marLeft w:val="0"/>
      <w:marRight w:val="0"/>
      <w:marTop w:val="0"/>
      <w:marBottom w:val="0"/>
      <w:divBdr>
        <w:top w:val="none" w:sz="0" w:space="0" w:color="auto"/>
        <w:left w:val="none" w:sz="0" w:space="0" w:color="auto"/>
        <w:bottom w:val="none" w:sz="0" w:space="0" w:color="auto"/>
        <w:right w:val="none" w:sz="0" w:space="0" w:color="auto"/>
      </w:divBdr>
    </w:div>
    <w:div w:id="1641614335">
      <w:bodyDiv w:val="1"/>
      <w:marLeft w:val="0"/>
      <w:marRight w:val="0"/>
      <w:marTop w:val="0"/>
      <w:marBottom w:val="0"/>
      <w:divBdr>
        <w:top w:val="none" w:sz="0" w:space="0" w:color="auto"/>
        <w:left w:val="none" w:sz="0" w:space="0" w:color="auto"/>
        <w:bottom w:val="none" w:sz="0" w:space="0" w:color="auto"/>
        <w:right w:val="none" w:sz="0" w:space="0" w:color="auto"/>
      </w:divBdr>
    </w:div>
    <w:div w:id="1643464870">
      <w:bodyDiv w:val="1"/>
      <w:marLeft w:val="0"/>
      <w:marRight w:val="0"/>
      <w:marTop w:val="0"/>
      <w:marBottom w:val="0"/>
      <w:divBdr>
        <w:top w:val="none" w:sz="0" w:space="0" w:color="auto"/>
        <w:left w:val="none" w:sz="0" w:space="0" w:color="auto"/>
        <w:bottom w:val="none" w:sz="0" w:space="0" w:color="auto"/>
        <w:right w:val="none" w:sz="0" w:space="0" w:color="auto"/>
      </w:divBdr>
    </w:div>
    <w:div w:id="1643924537">
      <w:bodyDiv w:val="1"/>
      <w:marLeft w:val="0"/>
      <w:marRight w:val="0"/>
      <w:marTop w:val="0"/>
      <w:marBottom w:val="0"/>
      <w:divBdr>
        <w:top w:val="none" w:sz="0" w:space="0" w:color="auto"/>
        <w:left w:val="none" w:sz="0" w:space="0" w:color="auto"/>
        <w:bottom w:val="none" w:sz="0" w:space="0" w:color="auto"/>
        <w:right w:val="none" w:sz="0" w:space="0" w:color="auto"/>
      </w:divBdr>
    </w:div>
    <w:div w:id="1644313093">
      <w:bodyDiv w:val="1"/>
      <w:marLeft w:val="0"/>
      <w:marRight w:val="0"/>
      <w:marTop w:val="0"/>
      <w:marBottom w:val="0"/>
      <w:divBdr>
        <w:top w:val="none" w:sz="0" w:space="0" w:color="auto"/>
        <w:left w:val="none" w:sz="0" w:space="0" w:color="auto"/>
        <w:bottom w:val="none" w:sz="0" w:space="0" w:color="auto"/>
        <w:right w:val="none" w:sz="0" w:space="0" w:color="auto"/>
      </w:divBdr>
    </w:div>
    <w:div w:id="1652951184">
      <w:bodyDiv w:val="1"/>
      <w:marLeft w:val="0"/>
      <w:marRight w:val="0"/>
      <w:marTop w:val="0"/>
      <w:marBottom w:val="0"/>
      <w:divBdr>
        <w:top w:val="none" w:sz="0" w:space="0" w:color="auto"/>
        <w:left w:val="none" w:sz="0" w:space="0" w:color="auto"/>
        <w:bottom w:val="none" w:sz="0" w:space="0" w:color="auto"/>
        <w:right w:val="none" w:sz="0" w:space="0" w:color="auto"/>
      </w:divBdr>
      <w:divsChild>
        <w:div w:id="2035156761">
          <w:marLeft w:val="0"/>
          <w:marRight w:val="0"/>
          <w:marTop w:val="0"/>
          <w:marBottom w:val="0"/>
          <w:divBdr>
            <w:top w:val="none" w:sz="0" w:space="0" w:color="auto"/>
            <w:left w:val="none" w:sz="0" w:space="0" w:color="auto"/>
            <w:bottom w:val="none" w:sz="0" w:space="0" w:color="auto"/>
            <w:right w:val="none" w:sz="0" w:space="0" w:color="auto"/>
          </w:divBdr>
        </w:div>
      </w:divsChild>
    </w:div>
    <w:div w:id="1657344430">
      <w:bodyDiv w:val="1"/>
      <w:marLeft w:val="0"/>
      <w:marRight w:val="0"/>
      <w:marTop w:val="0"/>
      <w:marBottom w:val="0"/>
      <w:divBdr>
        <w:top w:val="none" w:sz="0" w:space="0" w:color="auto"/>
        <w:left w:val="none" w:sz="0" w:space="0" w:color="auto"/>
        <w:bottom w:val="none" w:sz="0" w:space="0" w:color="auto"/>
        <w:right w:val="none" w:sz="0" w:space="0" w:color="auto"/>
      </w:divBdr>
    </w:div>
    <w:div w:id="1680036619">
      <w:bodyDiv w:val="1"/>
      <w:marLeft w:val="0"/>
      <w:marRight w:val="0"/>
      <w:marTop w:val="0"/>
      <w:marBottom w:val="0"/>
      <w:divBdr>
        <w:top w:val="none" w:sz="0" w:space="0" w:color="auto"/>
        <w:left w:val="none" w:sz="0" w:space="0" w:color="auto"/>
        <w:bottom w:val="none" w:sz="0" w:space="0" w:color="auto"/>
        <w:right w:val="none" w:sz="0" w:space="0" w:color="auto"/>
      </w:divBdr>
    </w:div>
    <w:div w:id="1712266758">
      <w:bodyDiv w:val="1"/>
      <w:marLeft w:val="0"/>
      <w:marRight w:val="0"/>
      <w:marTop w:val="0"/>
      <w:marBottom w:val="0"/>
      <w:divBdr>
        <w:top w:val="none" w:sz="0" w:space="0" w:color="auto"/>
        <w:left w:val="none" w:sz="0" w:space="0" w:color="auto"/>
        <w:bottom w:val="none" w:sz="0" w:space="0" w:color="auto"/>
        <w:right w:val="none" w:sz="0" w:space="0" w:color="auto"/>
      </w:divBdr>
    </w:div>
    <w:div w:id="1716084065">
      <w:bodyDiv w:val="1"/>
      <w:marLeft w:val="0"/>
      <w:marRight w:val="0"/>
      <w:marTop w:val="0"/>
      <w:marBottom w:val="0"/>
      <w:divBdr>
        <w:top w:val="none" w:sz="0" w:space="0" w:color="auto"/>
        <w:left w:val="none" w:sz="0" w:space="0" w:color="auto"/>
        <w:bottom w:val="none" w:sz="0" w:space="0" w:color="auto"/>
        <w:right w:val="none" w:sz="0" w:space="0" w:color="auto"/>
      </w:divBdr>
      <w:divsChild>
        <w:div w:id="1554732834">
          <w:marLeft w:val="0"/>
          <w:marRight w:val="0"/>
          <w:marTop w:val="0"/>
          <w:marBottom w:val="0"/>
          <w:divBdr>
            <w:top w:val="none" w:sz="0" w:space="0" w:color="auto"/>
            <w:left w:val="none" w:sz="0" w:space="0" w:color="auto"/>
            <w:bottom w:val="none" w:sz="0" w:space="0" w:color="auto"/>
            <w:right w:val="none" w:sz="0" w:space="0" w:color="auto"/>
          </w:divBdr>
        </w:div>
      </w:divsChild>
    </w:div>
    <w:div w:id="1779640999">
      <w:bodyDiv w:val="1"/>
      <w:marLeft w:val="0"/>
      <w:marRight w:val="0"/>
      <w:marTop w:val="0"/>
      <w:marBottom w:val="0"/>
      <w:divBdr>
        <w:top w:val="none" w:sz="0" w:space="0" w:color="auto"/>
        <w:left w:val="none" w:sz="0" w:space="0" w:color="auto"/>
        <w:bottom w:val="none" w:sz="0" w:space="0" w:color="auto"/>
        <w:right w:val="none" w:sz="0" w:space="0" w:color="auto"/>
      </w:divBdr>
    </w:div>
    <w:div w:id="1790854707">
      <w:bodyDiv w:val="1"/>
      <w:marLeft w:val="0"/>
      <w:marRight w:val="0"/>
      <w:marTop w:val="0"/>
      <w:marBottom w:val="0"/>
      <w:divBdr>
        <w:top w:val="none" w:sz="0" w:space="0" w:color="auto"/>
        <w:left w:val="none" w:sz="0" w:space="0" w:color="auto"/>
        <w:bottom w:val="none" w:sz="0" w:space="0" w:color="auto"/>
        <w:right w:val="none" w:sz="0" w:space="0" w:color="auto"/>
      </w:divBdr>
    </w:div>
    <w:div w:id="1802265806">
      <w:bodyDiv w:val="1"/>
      <w:marLeft w:val="0"/>
      <w:marRight w:val="0"/>
      <w:marTop w:val="0"/>
      <w:marBottom w:val="0"/>
      <w:divBdr>
        <w:top w:val="none" w:sz="0" w:space="0" w:color="auto"/>
        <w:left w:val="none" w:sz="0" w:space="0" w:color="auto"/>
        <w:bottom w:val="none" w:sz="0" w:space="0" w:color="auto"/>
        <w:right w:val="none" w:sz="0" w:space="0" w:color="auto"/>
      </w:divBdr>
    </w:div>
    <w:div w:id="1814058844">
      <w:bodyDiv w:val="1"/>
      <w:marLeft w:val="0"/>
      <w:marRight w:val="0"/>
      <w:marTop w:val="0"/>
      <w:marBottom w:val="0"/>
      <w:divBdr>
        <w:top w:val="none" w:sz="0" w:space="0" w:color="auto"/>
        <w:left w:val="none" w:sz="0" w:space="0" w:color="auto"/>
        <w:bottom w:val="none" w:sz="0" w:space="0" w:color="auto"/>
        <w:right w:val="none" w:sz="0" w:space="0" w:color="auto"/>
      </w:divBdr>
    </w:div>
    <w:div w:id="1815873228">
      <w:bodyDiv w:val="1"/>
      <w:marLeft w:val="0"/>
      <w:marRight w:val="0"/>
      <w:marTop w:val="0"/>
      <w:marBottom w:val="0"/>
      <w:divBdr>
        <w:top w:val="none" w:sz="0" w:space="0" w:color="auto"/>
        <w:left w:val="none" w:sz="0" w:space="0" w:color="auto"/>
        <w:bottom w:val="none" w:sz="0" w:space="0" w:color="auto"/>
        <w:right w:val="none" w:sz="0" w:space="0" w:color="auto"/>
      </w:divBdr>
    </w:div>
    <w:div w:id="1820684613">
      <w:bodyDiv w:val="1"/>
      <w:marLeft w:val="0"/>
      <w:marRight w:val="0"/>
      <w:marTop w:val="0"/>
      <w:marBottom w:val="0"/>
      <w:divBdr>
        <w:top w:val="none" w:sz="0" w:space="0" w:color="auto"/>
        <w:left w:val="none" w:sz="0" w:space="0" w:color="auto"/>
        <w:bottom w:val="none" w:sz="0" w:space="0" w:color="auto"/>
        <w:right w:val="none" w:sz="0" w:space="0" w:color="auto"/>
      </w:divBdr>
    </w:div>
    <w:div w:id="1840848038">
      <w:bodyDiv w:val="1"/>
      <w:marLeft w:val="0"/>
      <w:marRight w:val="0"/>
      <w:marTop w:val="0"/>
      <w:marBottom w:val="0"/>
      <w:divBdr>
        <w:top w:val="none" w:sz="0" w:space="0" w:color="auto"/>
        <w:left w:val="none" w:sz="0" w:space="0" w:color="auto"/>
        <w:bottom w:val="none" w:sz="0" w:space="0" w:color="auto"/>
        <w:right w:val="none" w:sz="0" w:space="0" w:color="auto"/>
      </w:divBdr>
    </w:div>
    <w:div w:id="1894542003">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1926038352">
      <w:bodyDiv w:val="1"/>
      <w:marLeft w:val="0"/>
      <w:marRight w:val="0"/>
      <w:marTop w:val="0"/>
      <w:marBottom w:val="0"/>
      <w:divBdr>
        <w:top w:val="none" w:sz="0" w:space="0" w:color="auto"/>
        <w:left w:val="none" w:sz="0" w:space="0" w:color="auto"/>
        <w:bottom w:val="none" w:sz="0" w:space="0" w:color="auto"/>
        <w:right w:val="none" w:sz="0" w:space="0" w:color="auto"/>
      </w:divBdr>
    </w:div>
    <w:div w:id="1953705969">
      <w:bodyDiv w:val="1"/>
      <w:marLeft w:val="0"/>
      <w:marRight w:val="0"/>
      <w:marTop w:val="0"/>
      <w:marBottom w:val="0"/>
      <w:divBdr>
        <w:top w:val="none" w:sz="0" w:space="0" w:color="auto"/>
        <w:left w:val="none" w:sz="0" w:space="0" w:color="auto"/>
        <w:bottom w:val="none" w:sz="0" w:space="0" w:color="auto"/>
        <w:right w:val="none" w:sz="0" w:space="0" w:color="auto"/>
      </w:divBdr>
    </w:div>
    <w:div w:id="1964070003">
      <w:bodyDiv w:val="1"/>
      <w:marLeft w:val="0"/>
      <w:marRight w:val="0"/>
      <w:marTop w:val="0"/>
      <w:marBottom w:val="0"/>
      <w:divBdr>
        <w:top w:val="none" w:sz="0" w:space="0" w:color="auto"/>
        <w:left w:val="none" w:sz="0" w:space="0" w:color="auto"/>
        <w:bottom w:val="none" w:sz="0" w:space="0" w:color="auto"/>
        <w:right w:val="none" w:sz="0" w:space="0" w:color="auto"/>
      </w:divBdr>
    </w:div>
    <w:div w:id="1966766138">
      <w:bodyDiv w:val="1"/>
      <w:marLeft w:val="0"/>
      <w:marRight w:val="0"/>
      <w:marTop w:val="0"/>
      <w:marBottom w:val="0"/>
      <w:divBdr>
        <w:top w:val="none" w:sz="0" w:space="0" w:color="auto"/>
        <w:left w:val="none" w:sz="0" w:space="0" w:color="auto"/>
        <w:bottom w:val="none" w:sz="0" w:space="0" w:color="auto"/>
        <w:right w:val="none" w:sz="0" w:space="0" w:color="auto"/>
      </w:divBdr>
    </w:div>
    <w:div w:id="1994213025">
      <w:bodyDiv w:val="1"/>
      <w:marLeft w:val="0"/>
      <w:marRight w:val="0"/>
      <w:marTop w:val="0"/>
      <w:marBottom w:val="0"/>
      <w:divBdr>
        <w:top w:val="none" w:sz="0" w:space="0" w:color="auto"/>
        <w:left w:val="none" w:sz="0" w:space="0" w:color="auto"/>
        <w:bottom w:val="none" w:sz="0" w:space="0" w:color="auto"/>
        <w:right w:val="none" w:sz="0" w:space="0" w:color="auto"/>
      </w:divBdr>
    </w:div>
    <w:div w:id="2003468160">
      <w:bodyDiv w:val="1"/>
      <w:marLeft w:val="0"/>
      <w:marRight w:val="0"/>
      <w:marTop w:val="0"/>
      <w:marBottom w:val="0"/>
      <w:divBdr>
        <w:top w:val="none" w:sz="0" w:space="0" w:color="auto"/>
        <w:left w:val="none" w:sz="0" w:space="0" w:color="auto"/>
        <w:bottom w:val="none" w:sz="0" w:space="0" w:color="auto"/>
        <w:right w:val="none" w:sz="0" w:space="0" w:color="auto"/>
      </w:divBdr>
    </w:div>
    <w:div w:id="2013095506">
      <w:bodyDiv w:val="1"/>
      <w:marLeft w:val="0"/>
      <w:marRight w:val="0"/>
      <w:marTop w:val="0"/>
      <w:marBottom w:val="0"/>
      <w:divBdr>
        <w:top w:val="none" w:sz="0" w:space="0" w:color="auto"/>
        <w:left w:val="none" w:sz="0" w:space="0" w:color="auto"/>
        <w:bottom w:val="none" w:sz="0" w:space="0" w:color="auto"/>
        <w:right w:val="none" w:sz="0" w:space="0" w:color="auto"/>
      </w:divBdr>
    </w:div>
    <w:div w:id="2036154827">
      <w:bodyDiv w:val="1"/>
      <w:marLeft w:val="0"/>
      <w:marRight w:val="0"/>
      <w:marTop w:val="0"/>
      <w:marBottom w:val="0"/>
      <w:divBdr>
        <w:top w:val="none" w:sz="0" w:space="0" w:color="auto"/>
        <w:left w:val="none" w:sz="0" w:space="0" w:color="auto"/>
        <w:bottom w:val="none" w:sz="0" w:space="0" w:color="auto"/>
        <w:right w:val="none" w:sz="0" w:space="0" w:color="auto"/>
      </w:divBdr>
      <w:divsChild>
        <w:div w:id="186334399">
          <w:marLeft w:val="0"/>
          <w:marRight w:val="0"/>
          <w:marTop w:val="0"/>
          <w:marBottom w:val="0"/>
          <w:divBdr>
            <w:top w:val="none" w:sz="0" w:space="0" w:color="auto"/>
            <w:left w:val="none" w:sz="0" w:space="0" w:color="auto"/>
            <w:bottom w:val="none" w:sz="0" w:space="0" w:color="auto"/>
            <w:right w:val="none" w:sz="0" w:space="0" w:color="auto"/>
          </w:divBdr>
        </w:div>
      </w:divsChild>
    </w:div>
    <w:div w:id="207828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1T10:21:44.731"/>
    </inkml:context>
    <inkml:brush xml:id="br0">
      <inkml:brushProperty name="width" value="0.035" units="cm"/>
      <inkml:brushProperty name="height" value="0.035" units="cm"/>
      <inkml:brushProperty name="color" value="#CC0066"/>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3609</Words>
  <Characters>22618</Characters>
  <Application>Microsoft Office Word</Application>
  <DocSecurity>0</DocSecurity>
  <Lines>474</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26080</CharactersWithSpaces>
  <SharedDoc>false</SharedDoc>
  <HLinks>
    <vt:vector size="108" baseType="variant">
      <vt:variant>
        <vt:i4>1572915</vt:i4>
      </vt:variant>
      <vt:variant>
        <vt:i4>107</vt:i4>
      </vt:variant>
      <vt:variant>
        <vt:i4>0</vt:i4>
      </vt:variant>
      <vt:variant>
        <vt:i4>5</vt:i4>
      </vt:variant>
      <vt:variant>
        <vt:lpwstr/>
      </vt:variant>
      <vt:variant>
        <vt:lpwstr>_Toc190162450</vt:lpwstr>
      </vt:variant>
      <vt:variant>
        <vt:i4>1638451</vt:i4>
      </vt:variant>
      <vt:variant>
        <vt:i4>101</vt:i4>
      </vt:variant>
      <vt:variant>
        <vt:i4>0</vt:i4>
      </vt:variant>
      <vt:variant>
        <vt:i4>5</vt:i4>
      </vt:variant>
      <vt:variant>
        <vt:lpwstr/>
      </vt:variant>
      <vt:variant>
        <vt:lpwstr>_Toc190162449</vt:lpwstr>
      </vt:variant>
      <vt:variant>
        <vt:i4>1638451</vt:i4>
      </vt:variant>
      <vt:variant>
        <vt:i4>95</vt:i4>
      </vt:variant>
      <vt:variant>
        <vt:i4>0</vt:i4>
      </vt:variant>
      <vt:variant>
        <vt:i4>5</vt:i4>
      </vt:variant>
      <vt:variant>
        <vt:lpwstr/>
      </vt:variant>
      <vt:variant>
        <vt:lpwstr>_Toc190162448</vt:lpwstr>
      </vt:variant>
      <vt:variant>
        <vt:i4>1638451</vt:i4>
      </vt:variant>
      <vt:variant>
        <vt:i4>89</vt:i4>
      </vt:variant>
      <vt:variant>
        <vt:i4>0</vt:i4>
      </vt:variant>
      <vt:variant>
        <vt:i4>5</vt:i4>
      </vt:variant>
      <vt:variant>
        <vt:lpwstr/>
      </vt:variant>
      <vt:variant>
        <vt:lpwstr>_Toc190162447</vt:lpwstr>
      </vt:variant>
      <vt:variant>
        <vt:i4>1638451</vt:i4>
      </vt:variant>
      <vt:variant>
        <vt:i4>83</vt:i4>
      </vt:variant>
      <vt:variant>
        <vt:i4>0</vt:i4>
      </vt:variant>
      <vt:variant>
        <vt:i4>5</vt:i4>
      </vt:variant>
      <vt:variant>
        <vt:lpwstr/>
      </vt:variant>
      <vt:variant>
        <vt:lpwstr>_Toc190162446</vt:lpwstr>
      </vt:variant>
      <vt:variant>
        <vt:i4>1835058</vt:i4>
      </vt:variant>
      <vt:variant>
        <vt:i4>74</vt:i4>
      </vt:variant>
      <vt:variant>
        <vt:i4>0</vt:i4>
      </vt:variant>
      <vt:variant>
        <vt:i4>5</vt:i4>
      </vt:variant>
      <vt:variant>
        <vt:lpwstr/>
      </vt:variant>
      <vt:variant>
        <vt:lpwstr>_Toc190160535</vt:lpwstr>
      </vt:variant>
      <vt:variant>
        <vt:i4>1835058</vt:i4>
      </vt:variant>
      <vt:variant>
        <vt:i4>68</vt:i4>
      </vt:variant>
      <vt:variant>
        <vt:i4>0</vt:i4>
      </vt:variant>
      <vt:variant>
        <vt:i4>5</vt:i4>
      </vt:variant>
      <vt:variant>
        <vt:lpwstr/>
      </vt:variant>
      <vt:variant>
        <vt:lpwstr>_Toc190160534</vt:lpwstr>
      </vt:variant>
      <vt:variant>
        <vt:i4>1835058</vt:i4>
      </vt:variant>
      <vt:variant>
        <vt:i4>62</vt:i4>
      </vt:variant>
      <vt:variant>
        <vt:i4>0</vt:i4>
      </vt:variant>
      <vt:variant>
        <vt:i4>5</vt:i4>
      </vt:variant>
      <vt:variant>
        <vt:lpwstr/>
      </vt:variant>
      <vt:variant>
        <vt:lpwstr>_Toc190160533</vt:lpwstr>
      </vt:variant>
      <vt:variant>
        <vt:i4>1835058</vt:i4>
      </vt:variant>
      <vt:variant>
        <vt:i4>56</vt:i4>
      </vt:variant>
      <vt:variant>
        <vt:i4>0</vt:i4>
      </vt:variant>
      <vt:variant>
        <vt:i4>5</vt:i4>
      </vt:variant>
      <vt:variant>
        <vt:lpwstr/>
      </vt:variant>
      <vt:variant>
        <vt:lpwstr>_Toc190160532</vt:lpwstr>
      </vt:variant>
      <vt:variant>
        <vt:i4>1835058</vt:i4>
      </vt:variant>
      <vt:variant>
        <vt:i4>50</vt:i4>
      </vt:variant>
      <vt:variant>
        <vt:i4>0</vt:i4>
      </vt:variant>
      <vt:variant>
        <vt:i4>5</vt:i4>
      </vt:variant>
      <vt:variant>
        <vt:lpwstr/>
      </vt:variant>
      <vt:variant>
        <vt:lpwstr>_Toc190160531</vt:lpwstr>
      </vt:variant>
      <vt:variant>
        <vt:i4>1835058</vt:i4>
      </vt:variant>
      <vt:variant>
        <vt:i4>44</vt:i4>
      </vt:variant>
      <vt:variant>
        <vt:i4>0</vt:i4>
      </vt:variant>
      <vt:variant>
        <vt:i4>5</vt:i4>
      </vt:variant>
      <vt:variant>
        <vt:lpwstr/>
      </vt:variant>
      <vt:variant>
        <vt:lpwstr>_Toc190160530</vt:lpwstr>
      </vt:variant>
      <vt:variant>
        <vt:i4>1900594</vt:i4>
      </vt:variant>
      <vt:variant>
        <vt:i4>38</vt:i4>
      </vt:variant>
      <vt:variant>
        <vt:i4>0</vt:i4>
      </vt:variant>
      <vt:variant>
        <vt:i4>5</vt:i4>
      </vt:variant>
      <vt:variant>
        <vt:lpwstr/>
      </vt:variant>
      <vt:variant>
        <vt:lpwstr>_Toc190160529</vt:lpwstr>
      </vt:variant>
      <vt:variant>
        <vt:i4>1900594</vt:i4>
      </vt:variant>
      <vt:variant>
        <vt:i4>32</vt:i4>
      </vt:variant>
      <vt:variant>
        <vt:i4>0</vt:i4>
      </vt:variant>
      <vt:variant>
        <vt:i4>5</vt:i4>
      </vt:variant>
      <vt:variant>
        <vt:lpwstr/>
      </vt:variant>
      <vt:variant>
        <vt:lpwstr>_Toc190160528</vt:lpwstr>
      </vt:variant>
      <vt:variant>
        <vt:i4>1900594</vt:i4>
      </vt:variant>
      <vt:variant>
        <vt:i4>26</vt:i4>
      </vt:variant>
      <vt:variant>
        <vt:i4>0</vt:i4>
      </vt:variant>
      <vt:variant>
        <vt:i4>5</vt:i4>
      </vt:variant>
      <vt:variant>
        <vt:lpwstr/>
      </vt:variant>
      <vt:variant>
        <vt:lpwstr>_Toc190160527</vt:lpwstr>
      </vt:variant>
      <vt:variant>
        <vt:i4>1900594</vt:i4>
      </vt:variant>
      <vt:variant>
        <vt:i4>20</vt:i4>
      </vt:variant>
      <vt:variant>
        <vt:i4>0</vt:i4>
      </vt:variant>
      <vt:variant>
        <vt:i4>5</vt:i4>
      </vt:variant>
      <vt:variant>
        <vt:lpwstr/>
      </vt:variant>
      <vt:variant>
        <vt:lpwstr>_Toc190160526</vt:lpwstr>
      </vt:variant>
      <vt:variant>
        <vt:i4>1900594</vt:i4>
      </vt:variant>
      <vt:variant>
        <vt:i4>14</vt:i4>
      </vt:variant>
      <vt:variant>
        <vt:i4>0</vt:i4>
      </vt:variant>
      <vt:variant>
        <vt:i4>5</vt:i4>
      </vt:variant>
      <vt:variant>
        <vt:lpwstr/>
      </vt:variant>
      <vt:variant>
        <vt:lpwstr>_Toc190160525</vt:lpwstr>
      </vt:variant>
      <vt:variant>
        <vt:i4>1900594</vt:i4>
      </vt:variant>
      <vt:variant>
        <vt:i4>8</vt:i4>
      </vt:variant>
      <vt:variant>
        <vt:i4>0</vt:i4>
      </vt:variant>
      <vt:variant>
        <vt:i4>5</vt:i4>
      </vt:variant>
      <vt:variant>
        <vt:lpwstr/>
      </vt:variant>
      <vt:variant>
        <vt:lpwstr>_Toc190160524</vt:lpwstr>
      </vt:variant>
      <vt:variant>
        <vt:i4>1900594</vt:i4>
      </vt:variant>
      <vt:variant>
        <vt:i4>2</vt:i4>
      </vt:variant>
      <vt:variant>
        <vt:i4>0</vt:i4>
      </vt:variant>
      <vt:variant>
        <vt:i4>5</vt:i4>
      </vt:variant>
      <vt:variant>
        <vt:lpwstr/>
      </vt:variant>
      <vt:variant>
        <vt:lpwstr>_Toc190160523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795</cp:revision>
  <cp:lastPrinted>2021-10-01T07:07:00Z</cp:lastPrinted>
  <dcterms:created xsi:type="dcterms:W3CDTF">2022-11-03T13:28:00Z</dcterms:created>
  <dcterms:modified xsi:type="dcterms:W3CDTF">2025-05-20T18:19:00Z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y fmtid="{D5CDD505-2E9C-101B-9397-08002B2CF9AE}" pid="4" name="GrammarlyDocumentId">
    <vt:lpwstr>e3c22c0a-72d7-472e-b90c-6af7605ca68f</vt:lpwstr>
  </property>
</Properties>
</file>