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cs="Arial"/>
          <w:szCs w:val="22"/>
        </w:rPr>
      </w:pPr>
      <w:r>
        <w:rPr>
          <w:rFonts w:cs="Arial"/>
          <w:szCs w:val="22"/>
        </w:rPr>
      </w:r>
    </w:p>
    <w:p>
      <w:pPr>
        <w:pStyle w:val="Normal"/>
        <w:jc w:val="center"/>
        <w:rPr>
          <w:rFonts w:cs="Arial"/>
          <w:szCs w:val="22"/>
        </w:rPr>
      </w:pPr>
      <w:r>
        <w:rPr>
          <w:rFonts w:cs="Arial"/>
          <w:szCs w:val="22"/>
        </w:rPr>
      </w:r>
    </w:p>
    <w:p>
      <w:pPr>
        <w:pStyle w:val="Normal"/>
        <w:jc w:val="center"/>
        <w:rPr>
          <w:rFonts w:cs="Arial"/>
          <w:szCs w:val="22"/>
        </w:rPr>
      </w:pPr>
      <w:r>
        <w:rPr>
          <w:rFonts w:cs="Arial"/>
          <w:szCs w:val="22"/>
        </w:rPr>
      </w:r>
    </w:p>
    <w:p>
      <w:pPr>
        <w:pStyle w:val="Normal"/>
        <w:jc w:val="center"/>
        <w:rPr>
          <w:rFonts w:cs="Arial"/>
          <w:szCs w:val="22"/>
        </w:rPr>
      </w:pPr>
      <w:r>
        <w:rPr>
          <w:rFonts w:cs="Arial"/>
          <w:szCs w:val="22"/>
        </w:rPr>
      </w:r>
    </w:p>
    <w:p>
      <w:pPr>
        <w:pStyle w:val="Normal"/>
        <w:jc w:val="center"/>
        <w:rPr>
          <w:rFonts w:cs="Arial"/>
          <w:szCs w:val="22"/>
        </w:rPr>
      </w:pPr>
      <w:r>
        <w:rPr>
          <w:rFonts w:cs="Arial"/>
          <w:szCs w:val="22"/>
        </w:rPr>
      </w:r>
    </w:p>
    <w:p>
      <w:pPr>
        <w:pStyle w:val="Normal"/>
        <w:jc w:val="center"/>
        <w:rPr>
          <w:rFonts w:cs="Arial"/>
          <w:b/>
          <w:bCs/>
          <w:szCs w:val="22"/>
        </w:rPr>
      </w:pPr>
      <w:r>
        <w:rPr>
          <w:rFonts w:cs="Arial"/>
          <w:b/>
          <w:bCs/>
          <w:szCs w:val="22"/>
        </w:rPr>
        <w:t>BMHP5019_BIRM – Introduction to Independent Research Skills</w:t>
      </w:r>
    </w:p>
    <w:p>
      <w:pPr>
        <w:pStyle w:val="Normal"/>
        <w:jc w:val="center"/>
        <w:rPr>
          <w:rFonts w:cs="Arial"/>
          <w:b/>
          <w:bCs/>
          <w:szCs w:val="22"/>
        </w:rPr>
      </w:pPr>
      <w:r>
        <w:rPr>
          <w:rFonts w:cs="Arial"/>
          <w:b/>
          <w:bCs/>
          <w:szCs w:val="22"/>
        </w:rPr>
        <w:t>Component 1 Template.</w:t>
      </w:r>
    </w:p>
    <w:p>
      <w:pPr>
        <w:pStyle w:val="Normal"/>
        <w:jc w:val="center"/>
        <w:rPr>
          <w:rFonts w:cs="Arial"/>
          <w:b/>
          <w:bCs/>
          <w:szCs w:val="22"/>
        </w:rPr>
      </w:pPr>
      <w:r>
        <w:rPr>
          <w:rFonts w:cs="Arial"/>
          <w:b/>
          <w:bCs/>
          <w:szCs w:val="22"/>
        </w:rPr>
        <w:t>400-word Scoping review proposal.</w:t>
      </w:r>
    </w:p>
    <w:p>
      <w:pPr>
        <w:pStyle w:val="Normal"/>
        <w:jc w:val="center"/>
        <w:rPr>
          <w:rFonts w:cs="Arial"/>
          <w:b/>
          <w:bCs/>
          <w:szCs w:val="22"/>
        </w:rPr>
      </w:pPr>
      <w:r>
        <w:rPr>
          <w:rFonts w:cs="Arial"/>
          <w:b/>
          <w:bCs/>
          <w:szCs w:val="22"/>
        </w:rPr>
      </w:r>
    </w:p>
    <w:p>
      <w:pPr>
        <w:pStyle w:val="Normal"/>
        <w:jc w:val="center"/>
        <w:rPr>
          <w:rFonts w:cs="Arial"/>
          <w:b/>
          <w:bCs/>
          <w:szCs w:val="22"/>
        </w:rPr>
      </w:pPr>
      <w:r>
        <w:rPr>
          <w:rFonts w:cs="Arial"/>
          <w:b/>
          <w:bCs/>
          <w:szCs w:val="22"/>
        </w:rPr>
      </w:r>
    </w:p>
    <w:p>
      <w:pPr>
        <w:pStyle w:val="Normal"/>
        <w:jc w:val="center"/>
        <w:rPr>
          <w:rFonts w:cs="Arial"/>
          <w:b/>
          <w:bCs/>
          <w:szCs w:val="22"/>
        </w:rPr>
      </w:pPr>
      <w:r>
        <w:rPr>
          <w:rFonts w:cs="Arial"/>
          <w:b/>
          <w:bCs/>
          <w:szCs w:val="22"/>
        </w:rPr>
        <w:t xml:space="preserve">Student Name: </w:t>
      </w:r>
      <w:r>
        <w:rPr>
          <w:rFonts w:cs="Arial"/>
          <w:b/>
          <w:bCs/>
          <w:szCs w:val="22"/>
        </w:rPr>
        <w:t xml:space="preserve">Sunitha Peeter </w:t>
      </w:r>
    </w:p>
    <w:p>
      <w:pPr>
        <w:pStyle w:val="Normal"/>
        <w:jc w:val="center"/>
        <w:rPr>
          <w:rFonts w:cs="Arial"/>
          <w:b/>
          <w:bCs/>
          <w:szCs w:val="22"/>
        </w:rPr>
      </w:pPr>
      <w:r>
        <w:rPr>
          <w:rFonts w:cs="Arial"/>
          <w:b/>
          <w:bCs/>
          <w:szCs w:val="22"/>
        </w:rPr>
        <w:t>Student Number: 2421161</w:t>
      </w:r>
    </w:p>
    <w:p>
      <w:pPr>
        <w:pStyle w:val="Normal"/>
        <w:jc w:val="center"/>
        <w:rPr>
          <w:rFonts w:cs="Arial"/>
          <w:szCs w:val="22"/>
        </w:rPr>
      </w:pPr>
      <w:r>
        <w:rPr>
          <w:rFonts w:cs="Arial"/>
          <w:szCs w:val="22"/>
        </w:rPr>
      </w:r>
    </w:p>
    <w:p>
      <w:pPr>
        <w:pStyle w:val="Normal"/>
        <w:jc w:val="center"/>
        <w:rPr>
          <w:rFonts w:cs="Arial"/>
          <w:szCs w:val="22"/>
        </w:rPr>
      </w:pPr>
      <w:r>
        <w:rPr>
          <w:rFonts w:cs="Arial"/>
          <w:szCs w:val="22"/>
        </w:rPr>
      </w:r>
    </w:p>
    <w:p>
      <w:pPr>
        <w:pStyle w:val="Normal"/>
        <w:jc w:val="center"/>
        <w:rPr>
          <w:rFonts w:cs="Arial"/>
          <w:szCs w:val="22"/>
        </w:rPr>
      </w:pPr>
      <w:r>
        <w:rPr>
          <w:rFonts w:cs="Arial"/>
          <w:szCs w:val="22"/>
        </w:rPr>
      </w:r>
    </w:p>
    <w:p>
      <w:pPr>
        <w:pStyle w:val="Normal"/>
        <w:jc w:val="center"/>
        <w:rPr>
          <w:rFonts w:cs="Arial"/>
          <w:szCs w:val="22"/>
        </w:rPr>
      </w:pPr>
      <w:r>
        <w:rPr>
          <w:rFonts w:cs="Arial"/>
          <w:szCs w:val="22"/>
        </w:rPr>
      </w:r>
    </w:p>
    <w:p>
      <w:pPr>
        <w:pStyle w:val="Normal"/>
        <w:jc w:val="center"/>
        <w:rPr>
          <w:rFonts w:cs="Arial"/>
          <w:b/>
          <w:bCs/>
          <w:szCs w:val="22"/>
          <w:u w:val="single"/>
        </w:rPr>
      </w:pPr>
      <w:r>
        <w:rPr>
          <w:rFonts w:cs="Arial"/>
          <w:b/>
          <w:bCs/>
          <w:szCs w:val="22"/>
          <w:u w:val="single"/>
        </w:rPr>
        <w:t>Title</w:t>
      </w:r>
    </w:p>
    <w:p>
      <w:pPr>
        <w:pStyle w:val="Normal"/>
        <w:jc w:val="center"/>
        <w:rPr>
          <w:rFonts w:cs="Arial"/>
          <w:szCs w:val="22"/>
        </w:rPr>
      </w:pPr>
      <w:r>
        <w:rPr>
          <w:rFonts w:cs="Arial"/>
          <w:szCs w:val="22"/>
        </w:rPr>
        <w:t>A Scoping Review of Factors Influencing Dental Anxiety among Children Aged 6–12 Attending Dental Services in the UK: Aveyard’s Simplified Thematic Analysis</w:t>
      </w:r>
    </w:p>
    <w:p>
      <w:pPr>
        <w:pStyle w:val="Normal"/>
        <w:rPr>
          <w:rFonts w:cs="Arial"/>
          <w:szCs w:val="22"/>
        </w:rPr>
      </w:pPr>
      <w:r>
        <w:rPr>
          <w:rFonts w:cs="Arial"/>
          <w:szCs w:val="22"/>
        </w:rPr>
      </w:r>
    </w:p>
    <w:p>
      <w:pPr>
        <w:pStyle w:val="Normal"/>
        <w:rPr>
          <w:rFonts w:cs="Arial"/>
          <w:szCs w:val="22"/>
        </w:rPr>
      </w:pPr>
      <w:r>
        <w:rPr>
          <w:rFonts w:cs="Arial"/>
          <w:szCs w:val="22"/>
        </w:rPr>
      </w:r>
    </w:p>
    <w:p>
      <w:pPr>
        <w:pStyle w:val="Normal"/>
        <w:rPr>
          <w:rFonts w:cs="Arial"/>
          <w:szCs w:val="22"/>
        </w:rPr>
      </w:pPr>
      <w:r>
        <w:rPr>
          <w:rFonts w:cs="Arial"/>
          <w:szCs w:val="22"/>
        </w:rPr>
      </w:r>
    </w:p>
    <w:p>
      <w:pPr>
        <w:pStyle w:val="Normal"/>
        <w:rPr>
          <w:rFonts w:cs="Arial"/>
          <w:szCs w:val="22"/>
        </w:rPr>
      </w:pPr>
      <w:r>
        <w:rPr>
          <w:rFonts w:cs="Arial"/>
          <w:szCs w:val="22"/>
        </w:rPr>
      </w:r>
    </w:p>
    <w:p>
      <w:pPr>
        <w:pStyle w:val="Normal"/>
        <w:rPr>
          <w:rFonts w:cs="Arial"/>
          <w:szCs w:val="22"/>
        </w:rPr>
      </w:pPr>
      <w:r>
        <w:rPr>
          <w:rFonts w:cs="Arial"/>
          <w:szCs w:val="22"/>
        </w:rPr>
      </w:r>
    </w:p>
    <w:p>
      <w:pPr>
        <w:pStyle w:val="Normal"/>
        <w:rPr>
          <w:rFonts w:cs="Arial"/>
          <w:szCs w:val="22"/>
        </w:rPr>
      </w:pPr>
      <w:r>
        <w:rPr>
          <w:rFonts w:cs="Arial"/>
          <w:szCs w:val="22"/>
        </w:rPr>
      </w:r>
    </w:p>
    <w:p>
      <w:pPr>
        <w:pStyle w:val="Normal"/>
        <w:rPr>
          <w:rFonts w:cs="Arial"/>
          <w:szCs w:val="22"/>
        </w:rPr>
      </w:pPr>
      <w:r>
        <w:rPr>
          <w:rFonts w:cs="Arial"/>
          <w:szCs w:val="22"/>
        </w:rPr>
      </w:r>
    </w:p>
    <w:sdt>
      <w:sdtPr>
        <w:docPartObj>
          <w:docPartGallery w:val="Table of Contents"/>
          <w:docPartUnique w:val="true"/>
        </w:docPartObj>
      </w:sdtPr>
      <w:sdtContent>
        <w:p>
          <w:pPr>
            <w:pStyle w:val="TOCHeading"/>
            <w:jc w:val="center"/>
            <w:rPr>
              <w:rFonts w:ascii="Arial" w:hAnsi="Arial" w:cs="Arial"/>
              <w:b/>
              <w:bCs/>
              <w:color w:themeColor="text1" w:val="000000"/>
            </w:rPr>
          </w:pPr>
          <w:r>
            <w:rPr>
              <w:rFonts w:cs="Arial" w:ascii="Arial" w:hAnsi="Arial"/>
              <w:b/>
              <w:bCs/>
              <w:color w:themeColor="text1" w:val="000000"/>
              <w:lang w:val="en-GB"/>
            </w:rPr>
            <w:t>Table of Contents</w:t>
          </w:r>
        </w:p>
        <w:p>
          <w:pPr>
            <w:pStyle w:val="TOC1"/>
            <w:tabs>
              <w:tab w:val="clear" w:pos="720"/>
              <w:tab w:val="right" w:pos="9016" w:leader="dot"/>
            </w:tabs>
            <w:rPr>
              <w:rFonts w:ascii="Aptos" w:hAnsi="Aptos" w:eastAsia="" w:asciiTheme="minorHAnsi" w:eastAsiaTheme="minorEastAsia" w:hAnsiTheme="minorHAnsi"/>
              <w:color w:val="auto"/>
              <w:sz w:val="24"/>
              <w:lang w:val="en-US"/>
            </w:rPr>
          </w:pPr>
          <w:r>
            <w:fldChar w:fldCharType="begin"/>
          </w:r>
          <w:r>
            <w:rPr>
              <w:webHidden/>
              <w:rStyle w:val="IndexLink"/>
            </w:rPr>
            <w:instrText xml:space="preserve"> TOC \z \o "1-3" \u \h</w:instrText>
          </w:r>
          <w:r>
            <w:rPr>
              <w:webHidden/>
              <w:rStyle w:val="IndexLink"/>
            </w:rPr>
            <w:fldChar w:fldCharType="separate"/>
          </w:r>
          <w:hyperlink w:anchor="_Toc242794976">
            <w:r>
              <w:rPr>
                <w:webHidden/>
                <w:rStyle w:val="IndexLink"/>
              </w:rPr>
              <w:t>Background and Rationale</w:t>
            </w:r>
            <w:r>
              <w:rPr>
                <w:webHidden/>
              </w:rPr>
              <w:fldChar w:fldCharType="begin"/>
            </w:r>
            <w:r>
              <w:rPr>
                <w:webHidden/>
              </w:rPr>
              <w:instrText xml:space="preserve">PAGEREF _Toc242794976 \h</w:instrText>
            </w:r>
            <w:r>
              <w:rPr>
                <w:webHidden/>
              </w:rPr>
              <w:fldChar w:fldCharType="separate"/>
            </w:r>
            <w:r>
              <w:rPr>
                <w:rStyle w:val="IndexLink"/>
                <w:vanish w:val="false"/>
              </w:rPr>
              <w:tab/>
              <w:t>3</w:t>
            </w:r>
            <w:r>
              <w:rPr>
                <w:webHidden/>
              </w:rPr>
              <w:fldChar w:fldCharType="end"/>
            </w:r>
          </w:hyperlink>
        </w:p>
        <w:p>
          <w:pPr>
            <w:pStyle w:val="TOC1"/>
            <w:tabs>
              <w:tab w:val="clear" w:pos="720"/>
              <w:tab w:val="right" w:pos="9016" w:leader="dot"/>
            </w:tabs>
            <w:rPr>
              <w:rFonts w:ascii="Aptos" w:hAnsi="Aptos" w:eastAsia="" w:asciiTheme="minorHAnsi" w:eastAsiaTheme="minorEastAsia" w:hAnsiTheme="minorHAnsi"/>
              <w:color w:val="auto"/>
              <w:sz w:val="24"/>
              <w:lang w:val="en-US"/>
            </w:rPr>
          </w:pPr>
          <w:hyperlink w:anchor="_Toc242794977">
            <w:r>
              <w:rPr>
                <w:webHidden/>
                <w:rStyle w:val="IndexLink"/>
              </w:rPr>
              <w:t>Research Aim and Objectives</w:t>
            </w:r>
            <w:r>
              <w:rPr>
                <w:webHidden/>
              </w:rPr>
              <w:fldChar w:fldCharType="begin"/>
            </w:r>
            <w:r>
              <w:rPr>
                <w:webHidden/>
              </w:rPr>
              <w:instrText xml:space="preserve">PAGEREF _Toc242794977 \h</w:instrText>
            </w:r>
            <w:r>
              <w:rPr>
                <w:webHidden/>
              </w:rPr>
              <w:fldChar w:fldCharType="separate"/>
            </w:r>
            <w:r>
              <w:rPr>
                <w:rStyle w:val="IndexLink"/>
                <w:vanish w:val="false"/>
              </w:rPr>
              <w:tab/>
              <w:t>3</w:t>
            </w:r>
            <w:r>
              <w:rPr>
                <w:webHidden/>
              </w:rPr>
              <w:fldChar w:fldCharType="end"/>
            </w:r>
          </w:hyperlink>
        </w:p>
        <w:p>
          <w:pPr>
            <w:pStyle w:val="TOC1"/>
            <w:tabs>
              <w:tab w:val="clear" w:pos="720"/>
              <w:tab w:val="right" w:pos="9016" w:leader="dot"/>
            </w:tabs>
            <w:rPr>
              <w:rFonts w:ascii="Aptos" w:hAnsi="Aptos" w:eastAsia="" w:asciiTheme="minorHAnsi" w:eastAsiaTheme="minorEastAsia" w:hAnsiTheme="minorHAnsi"/>
              <w:color w:val="auto"/>
              <w:sz w:val="24"/>
              <w:lang w:val="en-US"/>
            </w:rPr>
          </w:pPr>
          <w:hyperlink w:anchor="_Toc242794978">
            <w:r>
              <w:rPr>
                <w:webHidden/>
                <w:rStyle w:val="IndexLink"/>
              </w:rPr>
              <w:t>Methodology</w:t>
            </w:r>
            <w:r>
              <w:rPr>
                <w:webHidden/>
              </w:rPr>
              <w:fldChar w:fldCharType="begin"/>
            </w:r>
            <w:r>
              <w:rPr>
                <w:webHidden/>
              </w:rPr>
              <w:instrText xml:space="preserve">PAGEREF _Toc242794978 \h</w:instrText>
            </w:r>
            <w:r>
              <w:rPr>
                <w:webHidden/>
              </w:rPr>
              <w:fldChar w:fldCharType="separate"/>
            </w:r>
            <w:r>
              <w:rPr>
                <w:rStyle w:val="IndexLink"/>
                <w:vanish w:val="false"/>
              </w:rPr>
              <w:tab/>
              <w:t>3</w:t>
            </w:r>
            <w:r>
              <w:rPr>
                <w:webHidden/>
              </w:rPr>
              <w:fldChar w:fldCharType="end"/>
            </w:r>
          </w:hyperlink>
        </w:p>
        <w:p>
          <w:pPr>
            <w:pStyle w:val="TOC1"/>
            <w:tabs>
              <w:tab w:val="clear" w:pos="720"/>
              <w:tab w:val="right" w:pos="9016" w:leader="dot"/>
            </w:tabs>
            <w:rPr>
              <w:rFonts w:ascii="Aptos" w:hAnsi="Aptos" w:eastAsia="" w:asciiTheme="minorHAnsi" w:eastAsiaTheme="minorEastAsia" w:hAnsiTheme="minorHAnsi"/>
              <w:color w:val="auto"/>
              <w:sz w:val="24"/>
              <w:lang w:val="en-US"/>
            </w:rPr>
          </w:pPr>
          <w:hyperlink w:anchor="_Toc242794979">
            <w:r>
              <w:rPr>
                <w:webHidden/>
                <w:rStyle w:val="IndexLink"/>
              </w:rPr>
              <w:t>Inclusion and Exclusion Criteria</w:t>
            </w:r>
            <w:r>
              <w:rPr>
                <w:webHidden/>
              </w:rPr>
              <w:fldChar w:fldCharType="begin"/>
            </w:r>
            <w:r>
              <w:rPr>
                <w:webHidden/>
              </w:rPr>
              <w:instrText xml:space="preserve">PAGEREF _Toc242794979 \h</w:instrText>
            </w:r>
            <w:r>
              <w:rPr>
                <w:webHidden/>
              </w:rPr>
              <w:fldChar w:fldCharType="separate"/>
            </w:r>
            <w:r>
              <w:rPr>
                <w:rStyle w:val="IndexLink"/>
                <w:vanish w:val="false"/>
              </w:rPr>
              <w:tab/>
              <w:t>4</w:t>
            </w:r>
            <w:r>
              <w:rPr>
                <w:webHidden/>
              </w:rPr>
              <w:fldChar w:fldCharType="end"/>
            </w:r>
          </w:hyperlink>
        </w:p>
        <w:p>
          <w:pPr>
            <w:pStyle w:val="TOC1"/>
            <w:tabs>
              <w:tab w:val="clear" w:pos="720"/>
              <w:tab w:val="right" w:pos="9016" w:leader="dot"/>
            </w:tabs>
            <w:rPr>
              <w:rFonts w:ascii="Aptos" w:hAnsi="Aptos" w:eastAsia="" w:asciiTheme="minorHAnsi" w:eastAsiaTheme="minorEastAsia" w:hAnsiTheme="minorHAnsi"/>
              <w:color w:val="auto"/>
              <w:sz w:val="24"/>
              <w:lang w:val="en-US"/>
            </w:rPr>
          </w:pPr>
          <w:hyperlink w:anchor="_Toc242794980">
            <w:r>
              <w:rPr>
                <w:webHidden/>
                <w:rStyle w:val="IndexLink"/>
              </w:rPr>
              <w:t>Data Collection and Analysis</w:t>
            </w:r>
            <w:r>
              <w:rPr>
                <w:webHidden/>
              </w:rPr>
              <w:fldChar w:fldCharType="begin"/>
            </w:r>
            <w:r>
              <w:rPr>
                <w:webHidden/>
              </w:rPr>
              <w:instrText xml:space="preserve">PAGEREF _Toc242794980 \h</w:instrText>
            </w:r>
            <w:r>
              <w:rPr>
                <w:webHidden/>
              </w:rPr>
              <w:fldChar w:fldCharType="separate"/>
            </w:r>
            <w:r>
              <w:rPr>
                <w:rStyle w:val="IndexLink"/>
                <w:vanish w:val="false"/>
              </w:rPr>
              <w:tab/>
              <w:t>4</w:t>
            </w:r>
            <w:r>
              <w:rPr>
                <w:webHidden/>
              </w:rPr>
              <w:fldChar w:fldCharType="end"/>
            </w:r>
          </w:hyperlink>
        </w:p>
        <w:p>
          <w:pPr>
            <w:pStyle w:val="TOC1"/>
            <w:tabs>
              <w:tab w:val="clear" w:pos="720"/>
              <w:tab w:val="right" w:pos="9016" w:leader="dot"/>
            </w:tabs>
            <w:rPr>
              <w:rFonts w:ascii="Aptos" w:hAnsi="Aptos" w:eastAsia="" w:asciiTheme="minorHAnsi" w:eastAsiaTheme="minorEastAsia" w:hAnsiTheme="minorHAnsi"/>
              <w:color w:val="auto"/>
              <w:sz w:val="24"/>
              <w:lang w:val="en-US"/>
            </w:rPr>
          </w:pPr>
          <w:hyperlink w:anchor="_Toc242794981">
            <w:r>
              <w:rPr>
                <w:webHidden/>
                <w:rStyle w:val="IndexLink"/>
              </w:rPr>
              <w:t>Expected Outcomes</w:t>
            </w:r>
            <w:r>
              <w:rPr>
                <w:webHidden/>
              </w:rPr>
              <w:fldChar w:fldCharType="begin"/>
            </w:r>
            <w:r>
              <w:rPr>
                <w:webHidden/>
              </w:rPr>
              <w:instrText xml:space="preserve">PAGEREF _Toc242794981 \h</w:instrText>
            </w:r>
            <w:r>
              <w:rPr>
                <w:webHidden/>
              </w:rPr>
              <w:fldChar w:fldCharType="separate"/>
            </w:r>
            <w:r>
              <w:rPr>
                <w:rStyle w:val="IndexLink"/>
                <w:vanish w:val="false"/>
              </w:rPr>
              <w:tab/>
              <w:t>4</w:t>
            </w:r>
            <w:r>
              <w:rPr>
                <w:webHidden/>
              </w:rPr>
              <w:fldChar w:fldCharType="end"/>
            </w:r>
          </w:hyperlink>
        </w:p>
        <w:p>
          <w:pPr>
            <w:pStyle w:val="TOC1"/>
            <w:tabs>
              <w:tab w:val="clear" w:pos="720"/>
              <w:tab w:val="right" w:pos="9016" w:leader="dot"/>
            </w:tabs>
            <w:rPr>
              <w:rFonts w:ascii="Aptos" w:hAnsi="Aptos" w:eastAsia="" w:asciiTheme="minorHAnsi" w:eastAsiaTheme="minorEastAsia" w:hAnsiTheme="minorHAnsi"/>
              <w:color w:val="auto"/>
              <w:sz w:val="24"/>
              <w:lang w:val="en-US"/>
            </w:rPr>
          </w:pPr>
          <w:hyperlink w:anchor="_Toc242794982">
            <w:r>
              <w:rPr>
                <w:webHidden/>
                <w:rStyle w:val="IndexLink"/>
              </w:rPr>
              <w:t>Ethical Considerations</w:t>
            </w:r>
            <w:r>
              <w:rPr>
                <w:webHidden/>
              </w:rPr>
              <w:fldChar w:fldCharType="begin"/>
            </w:r>
            <w:r>
              <w:rPr>
                <w:webHidden/>
              </w:rPr>
              <w:instrText xml:space="preserve">PAGEREF _Toc242794982 \h</w:instrText>
            </w:r>
            <w:r>
              <w:rPr>
                <w:webHidden/>
              </w:rPr>
              <w:fldChar w:fldCharType="separate"/>
            </w:r>
            <w:r>
              <w:rPr>
                <w:rStyle w:val="IndexLink"/>
                <w:vanish w:val="false"/>
              </w:rPr>
              <w:tab/>
              <w:t>5</w:t>
            </w:r>
            <w:r>
              <w:rPr>
                <w:webHidden/>
              </w:rPr>
              <w:fldChar w:fldCharType="end"/>
            </w:r>
          </w:hyperlink>
        </w:p>
        <w:p>
          <w:pPr>
            <w:pStyle w:val="TOC1"/>
            <w:tabs>
              <w:tab w:val="clear" w:pos="720"/>
              <w:tab w:val="right" w:pos="9016" w:leader="dot"/>
            </w:tabs>
            <w:rPr>
              <w:rFonts w:ascii="Aptos" w:hAnsi="Aptos" w:eastAsia="" w:asciiTheme="minorHAnsi" w:eastAsiaTheme="minorEastAsia" w:hAnsiTheme="minorHAnsi"/>
              <w:color w:val="auto"/>
              <w:sz w:val="24"/>
              <w:lang w:val="en-US"/>
            </w:rPr>
          </w:pPr>
          <w:hyperlink w:anchor="_Toc242794983">
            <w:r>
              <w:rPr>
                <w:webHidden/>
                <w:rStyle w:val="IndexLink"/>
              </w:rPr>
              <w:t>References</w:t>
            </w:r>
            <w:r>
              <w:rPr>
                <w:webHidden/>
              </w:rPr>
              <w:fldChar w:fldCharType="begin"/>
            </w:r>
            <w:r>
              <w:rPr>
                <w:webHidden/>
              </w:rPr>
              <w:instrText xml:space="preserve">PAGEREF _Toc242794983 \h</w:instrText>
            </w:r>
            <w:r>
              <w:rPr>
                <w:webHidden/>
              </w:rPr>
              <w:fldChar w:fldCharType="separate"/>
            </w:r>
            <w:r>
              <w:rPr>
                <w:rStyle w:val="IndexLink"/>
                <w:vanish w:val="false"/>
              </w:rPr>
              <w:tab/>
              <w:t>6</w:t>
            </w:r>
            <w:r>
              <w:rPr>
                <w:webHidden/>
              </w:rPr>
              <w:fldChar w:fldCharType="end"/>
            </w:r>
          </w:hyperlink>
        </w:p>
        <w:p>
          <w:pPr>
            <w:pStyle w:val="Normal"/>
            <w:rPr/>
          </w:pPr>
          <w:r>
            <w:rPr/>
          </w:r>
          <w:r>
            <w:rPr/>
            <w:fldChar w:fldCharType="end"/>
          </w:r>
        </w:p>
      </w:sdtContent>
    </w:sdt>
    <w:p>
      <w:pPr>
        <w:pStyle w:val="Normal"/>
        <w:rPr>
          <w:rFonts w:cs="Arial"/>
          <w:szCs w:val="22"/>
        </w:rPr>
      </w:pPr>
      <w:r>
        <w:rPr>
          <w:rFonts w:cs="Arial"/>
          <w:szCs w:val="22"/>
        </w:rPr>
      </w:r>
    </w:p>
    <w:p>
      <w:pPr>
        <w:pStyle w:val="Normal"/>
        <w:rPr>
          <w:rFonts w:cs="Arial"/>
          <w:szCs w:val="22"/>
        </w:rPr>
      </w:pPr>
      <w:r>
        <w:rPr>
          <w:rFonts w:cs="Arial"/>
          <w:szCs w:val="22"/>
        </w:rPr>
      </w:r>
    </w:p>
    <w:p>
      <w:pPr>
        <w:pStyle w:val="Normal"/>
        <w:rPr>
          <w:rFonts w:cs="Arial"/>
          <w:szCs w:val="22"/>
        </w:rPr>
      </w:pPr>
      <w:r>
        <w:rPr>
          <w:rFonts w:cs="Arial"/>
          <w:szCs w:val="22"/>
        </w:rPr>
      </w:r>
    </w:p>
    <w:p>
      <w:pPr>
        <w:pStyle w:val="Normal"/>
        <w:rPr>
          <w:rFonts w:cs="Arial"/>
          <w:szCs w:val="22"/>
        </w:rPr>
      </w:pPr>
      <w:r>
        <w:rPr>
          <w:rFonts w:cs="Arial"/>
          <w:szCs w:val="22"/>
        </w:rPr>
      </w:r>
    </w:p>
    <w:p>
      <w:pPr>
        <w:pStyle w:val="Normal"/>
        <w:rPr>
          <w:rFonts w:cs="Arial"/>
          <w:b/>
          <w:bCs/>
          <w:szCs w:val="22"/>
          <w:u w:val="single"/>
        </w:rPr>
      </w:pPr>
      <w:r>
        <w:rPr>
          <w:rFonts w:cs="Arial"/>
          <w:b/>
          <w:bCs/>
          <w:szCs w:val="22"/>
          <w:u w:val="single"/>
        </w:rPr>
      </w:r>
      <w:r>
        <w:br w:type="page"/>
      </w:r>
    </w:p>
    <w:p>
      <w:pPr>
        <w:pStyle w:val="Heading1"/>
        <w:spacing w:before="0" w:after="80"/>
        <w:rPr/>
      </w:pPr>
      <w:bookmarkStart w:id="0" w:name="_Toc242794976"/>
      <w:r>
        <w:rPr/>
        <w:t>Background and Rationale</w:t>
      </w:r>
      <w:bookmarkEnd w:id="0"/>
    </w:p>
    <w:p>
      <w:pPr>
        <w:pStyle w:val="Normal"/>
        <w:rPr/>
      </w:pPr>
      <w:r>
        <w:rPr/>
        <w:t xml:space="preserve">Dental anxiety may influence children's cooperation, dental attendance, and oral health (Ramesh et al., 2024). The 6-12 age range can be nervous due to their previous dental history; they are a vital aspect of dental practice in the UK (Petkova-Ninova </w:t>
      </w:r>
      <w:r>
        <w:rPr>
          <w:i/>
          <w:iCs/>
        </w:rPr>
        <w:t>et al.,</w:t>
      </w:r>
      <w:r>
        <w:rPr/>
        <w:t xml:space="preserve"> 2025). Dental anxiety may reduce attendance rates and explain cooperation and preventive dental care rates among UK children. There is no systematic conclusion on the factors that influence dental anxiety in children aged 6-12 in the UK, which is why evidence mapping is necessary in the current literature. This study will examine a consistent body of evidence, discuss common problems, determine inconsistencies in findings, and find gaps.</w:t>
      </w:r>
    </w:p>
    <w:p>
      <w:pPr>
        <w:pStyle w:val="Heading1"/>
        <w:rPr/>
      </w:pPr>
      <w:bookmarkStart w:id="1" w:name="_Toc242794977"/>
      <w:r>
        <w:rPr/>
        <w:t>Research Aim and Objectives</w:t>
      </w:r>
      <w:bookmarkEnd w:id="1"/>
    </w:p>
    <w:p>
      <w:pPr>
        <w:pStyle w:val="Normal"/>
        <w:rPr/>
      </w:pPr>
      <w:r>
        <w:rPr>
          <w:b/>
          <w:bCs/>
        </w:rPr>
        <w:t>Aim</w:t>
      </w:r>
      <w:r>
        <w:rPr/>
        <w:t>: This scoping review will aim to map peer-reviewed literature regarding factors affecting dental anxiety in children aged 6- 12 years accessing dental services and to determine the most frequently reported themes in the literature.</w:t>
      </w:r>
    </w:p>
    <w:p>
      <w:pPr>
        <w:pStyle w:val="Normal"/>
        <w:rPr>
          <w:b/>
          <w:bCs/>
        </w:rPr>
      </w:pPr>
      <w:r>
        <w:rPr>
          <w:b/>
          <w:bCs/>
        </w:rPr>
        <w:t>Objectives:</w:t>
      </w:r>
    </w:p>
    <w:p>
      <w:pPr>
        <w:pStyle w:val="ListParagraph"/>
        <w:numPr>
          <w:ilvl w:val="0"/>
          <w:numId w:val="1"/>
        </w:numPr>
        <w:rPr/>
      </w:pPr>
      <w:r>
        <w:rPr/>
        <w:t>To identify and elaborate on the factors related to dental anxiety in children aged 6-12 who attend dental health services.</w:t>
      </w:r>
    </w:p>
    <w:p>
      <w:pPr>
        <w:pStyle w:val="ListParagraph"/>
        <w:numPr>
          <w:ilvl w:val="0"/>
          <w:numId w:val="1"/>
        </w:numPr>
        <w:rPr/>
      </w:pPr>
      <w:r>
        <w:rPr/>
        <w:t>To identify and group common themes reported in the available evidence on dental anxiety among this age group.</w:t>
      </w:r>
    </w:p>
    <w:p>
      <w:pPr>
        <w:pStyle w:val="ListParagraph"/>
        <w:numPr>
          <w:ilvl w:val="0"/>
          <w:numId w:val="1"/>
        </w:numPr>
        <w:rPr/>
      </w:pPr>
      <w:r>
        <w:rPr/>
        <w:t>To identify the gaps in the evidence available and what implications the findings might have for UK dental practice and future research.</w:t>
      </w:r>
    </w:p>
    <w:p>
      <w:pPr>
        <w:pStyle w:val="Heading1"/>
        <w:rPr/>
      </w:pPr>
      <w:bookmarkStart w:id="2" w:name="_Toc242794978"/>
      <w:r>
        <w:rPr/>
        <w:t>Methodology</w:t>
      </w:r>
      <w:bookmarkEnd w:id="2"/>
    </w:p>
    <w:p>
      <w:pPr>
        <w:pStyle w:val="Normal"/>
        <w:rPr>
          <w:b/>
          <w:bCs/>
        </w:rPr>
      </w:pPr>
      <w:r>
        <w:rPr>
          <w:b/>
          <w:bCs/>
        </w:rPr>
        <w:t>Scoping Review Framework</w:t>
      </w:r>
    </w:p>
    <w:p>
      <w:pPr>
        <w:pStyle w:val="Normal"/>
        <w:rPr/>
      </w:pPr>
      <w:r>
        <w:rPr/>
        <w:t>A scoping review approach will be included in this study; the titles and abstracts will be screened, the texts will be read, data will be extracted, synthesised and organised, and the themes will be developed (Arksey, and O'malley, 2005).</w:t>
      </w:r>
    </w:p>
    <w:p>
      <w:pPr>
        <w:pStyle w:val="Normal"/>
        <w:rPr>
          <w:b/>
          <w:bCs/>
        </w:rPr>
      </w:pPr>
      <w:r>
        <w:rPr>
          <w:b/>
          <w:bCs/>
        </w:rPr>
        <w:t>Research Question</w:t>
      </w:r>
    </w:p>
    <w:p>
      <w:pPr>
        <w:pStyle w:val="Normal"/>
        <w:rPr/>
      </w:pPr>
      <w:r>
        <w:rPr/>
        <w:t>What factors influencing dental anxiety among children aged 6–12 attending dental services are reported in the existing peer-reviewed literature, and what key themes can be identified from these findings?</w:t>
      </w:r>
    </w:p>
    <w:p>
      <w:pPr>
        <w:pStyle w:val="Heading1"/>
        <w:rPr/>
      </w:pPr>
      <w:bookmarkStart w:id="3" w:name="_Toc242794979"/>
      <w:r>
        <w:rPr/>
        <w:t>Inclusion and Exclusion Criteria</w:t>
      </w:r>
      <w:bookmarkEnd w:id="3"/>
    </w:p>
    <w:p>
      <w:pPr>
        <w:pStyle w:val="Normal"/>
        <w:jc w:val="center"/>
        <w:rPr/>
      </w:pPr>
      <w:r>
        <w:rPr/>
        <w:t xml:space="preserve">Table </w:t>
      </w:r>
      <w:r>
        <w:rPr/>
        <w:fldChar w:fldCharType="begin"/>
      </w:r>
      <w:r>
        <w:rPr/>
        <w:instrText xml:space="preserve"> SEQ Table \* ARABIC </w:instrText>
      </w:r>
      <w:r>
        <w:rPr/>
        <w:fldChar w:fldCharType="separate"/>
      </w:r>
      <w:r>
        <w:rPr/>
        <w:t>1</w:t>
      </w:r>
      <w:r>
        <w:rPr/>
        <w:fldChar w:fldCharType="end"/>
      </w:r>
      <w:r>
        <w:rPr/>
        <w:t>: Inclusion and Exclusion table</w:t>
      </w:r>
    </w:p>
    <w:p>
      <w:pPr>
        <w:pStyle w:val="Normal"/>
        <w:rPr/>
      </w:pPr>
      <w:r>
        <w:rPr/>
        <w:drawing>
          <wp:inline distT="0" distB="0" distL="0" distR="0">
            <wp:extent cx="5731510" cy="199199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5731510" cy="1991995"/>
                    </a:xfrm>
                    <a:prstGeom prst="rect">
                      <a:avLst/>
                    </a:prstGeom>
                  </pic:spPr>
                </pic:pic>
              </a:graphicData>
            </a:graphic>
          </wp:inline>
        </w:drawing>
      </w:r>
    </w:p>
    <w:p>
      <w:pPr>
        <w:pStyle w:val="Heading1"/>
        <w:rPr/>
      </w:pPr>
      <w:bookmarkStart w:id="4" w:name="_Toc242794980"/>
      <w:r>
        <w:rPr/>
        <w:t>Data Collection and Analysis</w:t>
      </w:r>
      <w:bookmarkEnd w:id="4"/>
    </w:p>
    <w:p>
      <w:pPr>
        <w:pStyle w:val="Normal"/>
        <w:jc w:val="center"/>
        <w:rPr/>
      </w:pPr>
      <w:r>
        <w:rPr/>
        <w:t xml:space="preserve">Table </w:t>
      </w:r>
      <w:r>
        <w:rPr/>
        <w:fldChar w:fldCharType="begin"/>
      </w:r>
      <w:r>
        <w:rPr/>
        <w:instrText xml:space="preserve"> SEQ Table \* ARABIC </w:instrText>
      </w:r>
      <w:r>
        <w:rPr/>
        <w:fldChar w:fldCharType="separate"/>
      </w:r>
      <w:r>
        <w:rPr/>
        <w:t>2</w:t>
      </w:r>
      <w:r>
        <w:rPr/>
        <w:fldChar w:fldCharType="end"/>
      </w:r>
      <w:r>
        <w:rPr/>
        <w:t>: Data Collection and Analysis</w:t>
      </w:r>
    </w:p>
    <w:p>
      <w:pPr>
        <w:pStyle w:val="Normal"/>
        <w:rPr/>
      </w:pPr>
      <w:r>
        <w:rPr/>
        <w:drawing>
          <wp:inline distT="0" distB="0" distL="0" distR="0">
            <wp:extent cx="5731510" cy="29775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31510" cy="2977515"/>
                    </a:xfrm>
                    <a:prstGeom prst="rect">
                      <a:avLst/>
                    </a:prstGeom>
                  </pic:spPr>
                </pic:pic>
              </a:graphicData>
            </a:graphic>
          </wp:inline>
        </w:drawing>
      </w:r>
    </w:p>
    <w:p>
      <w:pPr>
        <w:pStyle w:val="Heading1"/>
        <w:rPr/>
      </w:pPr>
      <w:bookmarkStart w:id="5" w:name="_Toc242794981"/>
      <w:r>
        <w:rPr/>
        <w:t>Expected Outcomes</w:t>
      </w:r>
      <w:bookmarkEnd w:id="5"/>
    </w:p>
    <w:p>
      <w:pPr>
        <w:pStyle w:val="Normal"/>
        <w:rPr>
          <w:b/>
        </w:rPr>
      </w:pPr>
      <w:r>
        <w:rPr/>
        <w:t>The review will map the factors reported, highlight key themes and gaps in the evidence, and guide subsequent research and age-specific dental services. It will also outline additional areas where further research is needed that may decrease dental anxiety or assure better results.</w:t>
      </w:r>
    </w:p>
    <w:p>
      <w:pPr>
        <w:pStyle w:val="Heading1"/>
        <w:rPr/>
      </w:pPr>
      <w:bookmarkStart w:id="6" w:name="_Toc242794982"/>
      <w:r>
        <w:rPr/>
        <w:t>Ethical Considerations</w:t>
      </w:r>
      <w:bookmarkEnd w:id="6"/>
    </w:p>
    <w:p>
      <w:pPr>
        <w:pStyle w:val="Normal"/>
        <w:rPr>
          <w:u w:val="single"/>
        </w:rPr>
      </w:pPr>
      <w:r>
        <w:rPr/>
        <w:t>The secondary review carries a low level of risk because no subjects or personal information are used. Ethical practice will guarantee transparency in reporting, valid findings, proper source recognition, assessment of opposing evidence, minimisation of bias, and discouragement of plagiarism (Bell and Waters, 2018).</w:t>
      </w:r>
    </w:p>
    <w:p>
      <w:pPr>
        <w:pStyle w:val="Normal"/>
        <w:spacing w:lineRule="auto" w:line="276"/>
        <w:jc w:val="left"/>
        <w:rPr>
          <w:rFonts w:eastAsia="" w:cs="Mangal" w:cstheme="majorBidi" w:eastAsiaTheme="majorEastAsia"/>
          <w:b/>
          <w:sz w:val="28"/>
          <w:szCs w:val="40"/>
        </w:rPr>
      </w:pPr>
      <w:r>
        <w:rPr>
          <w:rFonts w:eastAsia="" w:cs="Mangal" w:cstheme="majorBidi" w:eastAsiaTheme="majorEastAsia"/>
          <w:b/>
          <w:sz w:val="28"/>
          <w:szCs w:val="40"/>
        </w:rPr>
      </w:r>
      <w:r>
        <w:br w:type="page"/>
      </w:r>
    </w:p>
    <w:p>
      <w:pPr>
        <w:pStyle w:val="Heading1"/>
        <w:spacing w:before="0" w:after="80"/>
        <w:rPr/>
      </w:pPr>
      <w:bookmarkStart w:id="7" w:name="_Toc242794983"/>
      <w:r>
        <w:rPr/>
        <w:t>References</w:t>
      </w:r>
      <w:bookmarkEnd w:id="7"/>
    </w:p>
    <w:p>
      <w:pPr>
        <w:pStyle w:val="Normal"/>
        <w:rPr/>
      </w:pPr>
      <w:r>
        <w:rPr/>
        <w:t xml:space="preserve">Arksey, H. and O'malley, L. (2005) Scoping studies: towards a methodological framework. </w:t>
      </w:r>
      <w:r>
        <w:rPr>
          <w:i/>
          <w:iCs/>
        </w:rPr>
        <w:t>International journal of social research methodology</w:t>
      </w:r>
      <w:r>
        <w:rPr/>
        <w:t xml:space="preserve">, </w:t>
      </w:r>
      <w:r>
        <w:rPr>
          <w:i/>
          <w:iCs/>
        </w:rPr>
        <w:t>8</w:t>
      </w:r>
      <w:r>
        <w:rPr/>
        <w:t xml:space="preserve">(1), pp.19-32. </w:t>
      </w:r>
      <w:hyperlink r:id="rId4">
        <w:r>
          <w:rPr>
            <w:rStyle w:val="Hyperlink"/>
          </w:rPr>
          <w:t>https://doi.org/10.1080/1364557032000119616</w:t>
        </w:r>
      </w:hyperlink>
      <w:r>
        <w:rPr/>
        <w:t xml:space="preserve"> </w:t>
      </w:r>
    </w:p>
    <w:p>
      <w:pPr>
        <w:pStyle w:val="Normal"/>
        <w:rPr/>
      </w:pPr>
      <w:bookmarkStart w:id="8" w:name="_Hlk242265795"/>
      <w:bookmarkStart w:id="9" w:name="_Hlk242265787"/>
      <w:r>
        <w:rPr/>
        <w:t>Aveyard, H. (2023</w:t>
      </w:r>
      <w:bookmarkEnd w:id="9"/>
      <w:r>
        <w:rPr/>
        <w:t xml:space="preserve">) Ebook: Doing a Literature Review in Health and Social Care: A Practical Guide 5e. </w:t>
      </w:r>
      <w:hyperlink r:id="rId5">
        <w:r>
          <w:rPr>
            <w:rStyle w:val="Hyperlink"/>
          </w:rPr>
          <w:t>https://books.google.co.in/books?hl=en&amp;lr=&amp;id=65W1EAAAQBAJ&amp;oi=fnd&amp;pg</w:t>
        </w:r>
      </w:hyperlink>
      <w:r>
        <w:rPr/>
        <w:t xml:space="preserve"> </w:t>
      </w:r>
      <w:bookmarkEnd w:id="8"/>
    </w:p>
    <w:p>
      <w:pPr>
        <w:pStyle w:val="Normal"/>
        <w:rPr/>
      </w:pPr>
      <w:r>
        <w:rPr/>
        <w:t xml:space="preserve">Bell, J. and Waters, S., 2018. </w:t>
      </w:r>
      <w:r>
        <w:rPr>
          <w:i/>
          <w:iCs/>
        </w:rPr>
        <w:t>Ebook: doing your research project: a guide for first-time researchers</w:t>
      </w:r>
      <w:r>
        <w:rPr/>
        <w:t xml:space="preserve">. McGraw-hill education (UK). </w:t>
      </w:r>
      <w:r>
        <w:fldChar w:fldCharType="begin"/>
      </w:r>
      <w:r>
        <w:rPr>
          <w:rStyle w:val="Hyperlink"/>
        </w:rPr>
        <w:instrText xml:space="preserve"> HYPERLINK "https://books.google.co.uk/books?hl=en&amp;lr=&amp;id=eMovEAAAQBAJ&amp;oi=fnd&amp;pg=PR13&amp;dq=Approaches+to+Research+Bell&amp;ots=bFNt1Vt0bE&amp;sig=TEBoiU3v7MziFJLp-g_2HE3Gk8k&amp;redir_esc=y" \l "v=onepage&amp;q=Approaches%20to%20Research%20Bell&amp;f=false"</w:instrText>
      </w:r>
      <w:r>
        <w:rPr>
          <w:rStyle w:val="Hyperlink"/>
        </w:rPr>
        <w:fldChar w:fldCharType="separate"/>
      </w:r>
      <w:r>
        <w:rPr>
          <w:rStyle w:val="Hyperlink"/>
        </w:rPr>
        <w:t>https://books.google.co.uk/books?hl=en&amp;lr=&amp;id=eMovEAAAQBAJ&amp;oi</w:t>
      </w:r>
      <w:r>
        <w:rPr>
          <w:rStyle w:val="Hyperlink"/>
        </w:rPr>
        <w:fldChar w:fldCharType="end"/>
      </w:r>
      <w:r>
        <w:rPr/>
        <w:t xml:space="preserve"> </w:t>
      </w:r>
    </w:p>
    <w:p>
      <w:pPr>
        <w:pStyle w:val="Normal"/>
        <w:rPr/>
      </w:pPr>
      <w:r>
        <w:rPr/>
        <w:t xml:space="preserve">Petkova-Ninova, V., Mitova, N., Bakardjiev, P. and Georgieva, M. (2025) Phobia, fear, and anxiety of dental treatment in pediatric patients: Etiology and clinical implications. </w:t>
      </w:r>
      <w:r>
        <w:rPr>
          <w:i/>
          <w:iCs/>
        </w:rPr>
        <w:t>Problems of Dental Medicine</w:t>
      </w:r>
      <w:r>
        <w:rPr/>
        <w:t xml:space="preserve">, </w:t>
      </w:r>
      <w:r>
        <w:rPr>
          <w:i/>
          <w:iCs/>
        </w:rPr>
        <w:t>51</w:t>
      </w:r>
      <w:r>
        <w:rPr/>
        <w:t>, pp.1-8. DOI: 10.3897/pdm.51.e167362</w:t>
      </w:r>
    </w:p>
    <w:p>
      <w:pPr>
        <w:pStyle w:val="Normal"/>
        <w:widowControl/>
        <w:bidi w:val="0"/>
        <w:spacing w:lineRule="auto" w:line="360" w:before="0" w:after="160"/>
        <w:jc w:val="both"/>
        <w:rPr/>
      </w:pPr>
      <w:r>
        <w:rPr/>
        <w:t xml:space="preserve">Ramesh, R., Sathyaprasad, S., Nandan, S., Havaldar, K.S. and Antony, A. (2024) Assessment of preappointment parental counseling on dental fear and anxiety in children in pedodontic dental operatory: a randomized controlled trial. </w:t>
      </w:r>
      <w:r>
        <w:rPr>
          <w:i/>
          <w:iCs/>
        </w:rPr>
        <w:t>International Journal of Clinical Pediatric Dentistry</w:t>
      </w:r>
      <w:r>
        <w:rPr/>
        <w:t xml:space="preserve">, </w:t>
      </w:r>
      <w:r>
        <w:rPr>
          <w:i/>
          <w:iCs/>
        </w:rPr>
        <w:t>17</w:t>
      </w:r>
      <w:r>
        <w:rPr/>
        <w:t xml:space="preserve">(3), p.346. </w:t>
      </w:r>
      <w:hyperlink r:id="rId6">
        <w:r>
          <w:rPr>
            <w:rStyle w:val="Hyperlink"/>
            <w:rFonts w:cs="Arial"/>
          </w:rPr>
          <w:t>https://doi.org/10.5005/jp-journals-10005-2785</w:t>
        </w:r>
      </w:hyperlink>
      <w:r>
        <w:rPr/>
        <w:t xml:space="preserve"> </w:t>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ptos">
    <w:charset w:val="01"/>
    <w:family w:val="roman"/>
    <w:pitch w:val="variable"/>
  </w:font>
  <w:font w:name="Arial">
    <w:charset w:val="01"/>
    <w:family w:val="roman"/>
    <w:pitch w:val="variable"/>
  </w:font>
  <w:font w:name="Aptos Display">
    <w:charset w:val="01"/>
    <w:family w:val="roman"/>
    <w:pitch w:val="variable"/>
  </w:font>
  <w:font w:name="Segoe UI">
    <w:charset w:val="01"/>
    <w:family w:val="roman"/>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hi-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Mangal" w:asciiTheme="minorHAnsi" w:cstheme="minorBidi" w:eastAsiaTheme="minorHAnsi" w:hAnsiTheme="minorHAnsi"/>
        <w:kern w:val="2"/>
        <w:sz w:val="24"/>
        <w:szCs w:val="24"/>
        <w:lang w:val="en-GB"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0a3d"/>
    <w:pPr>
      <w:widowControl/>
      <w:bidi w:val="0"/>
      <w:spacing w:lineRule="auto" w:line="360" w:before="0" w:after="160"/>
      <w:jc w:val="both"/>
    </w:pPr>
    <w:rPr>
      <w:rFonts w:ascii="Arial" w:hAnsi="Arial" w:eastAsia="Aptos" w:cs="Mangal"/>
      <w:color w:themeColor="text1" w:val="000000"/>
      <w:kern w:val="2"/>
      <w:sz w:val="22"/>
      <w:szCs w:val="24"/>
      <w:lang w:val="en-GB" w:eastAsia="en-US" w:bidi="ar-SA"/>
    </w:rPr>
  </w:style>
  <w:style w:type="paragraph" w:styleId="Heading1">
    <w:name w:val="Heading 1"/>
    <w:basedOn w:val="Normal"/>
    <w:next w:val="Normal"/>
    <w:link w:val="Heading1Char"/>
    <w:uiPriority w:val="9"/>
    <w:qFormat/>
    <w:rsid w:val="00dd7e71"/>
    <w:pPr>
      <w:keepNext w:val="true"/>
      <w:keepLines/>
      <w:spacing w:before="360" w:after="80"/>
      <w:outlineLvl w:val="0"/>
    </w:pPr>
    <w:rPr>
      <w:rFonts w:eastAsia="" w:cs="Mangal" w:cstheme="majorBidi" w:eastAsiaTheme="majorEastAsia"/>
      <w:b/>
      <w:sz w:val="28"/>
      <w:szCs w:val="40"/>
    </w:rPr>
  </w:style>
  <w:style w:type="paragraph" w:styleId="Heading2">
    <w:name w:val="Heading 2"/>
    <w:basedOn w:val="Normal"/>
    <w:next w:val="Normal"/>
    <w:link w:val="Heading2Char"/>
    <w:uiPriority w:val="9"/>
    <w:semiHidden/>
    <w:unhideWhenUsed/>
    <w:qFormat/>
    <w:rsid w:val="002c336f"/>
    <w:pPr>
      <w:keepNext w:val="true"/>
      <w:keepLines/>
      <w:spacing w:before="160" w:after="80"/>
      <w:outlineLvl w:val="1"/>
    </w:pPr>
    <w:rPr>
      <w:rFonts w:ascii="Aptos Display" w:hAnsi="Aptos Display" w:eastAsia="" w:cs="Mangal"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Heading3Char"/>
    <w:uiPriority w:val="9"/>
    <w:semiHidden/>
    <w:unhideWhenUsed/>
    <w:qFormat/>
    <w:rsid w:val="002c336f"/>
    <w:pPr>
      <w:keepNext w:val="true"/>
      <w:keepLines/>
      <w:spacing w:before="160" w:after="80"/>
      <w:outlineLvl w:val="2"/>
    </w:pPr>
    <w:rPr>
      <w:rFonts w:eastAsia="" w:cs="Mangal" w:cstheme="majorBidi" w:eastAsiaTheme="majorEastAsia"/>
      <w:color w:themeColor="accent1" w:themeShade="bf" w:val="0F4761"/>
      <w:sz w:val="28"/>
      <w:szCs w:val="28"/>
    </w:rPr>
  </w:style>
  <w:style w:type="paragraph" w:styleId="Heading4">
    <w:name w:val="Heading 4"/>
    <w:basedOn w:val="Normal"/>
    <w:next w:val="Normal"/>
    <w:link w:val="Heading4Char"/>
    <w:uiPriority w:val="9"/>
    <w:semiHidden/>
    <w:unhideWhenUsed/>
    <w:qFormat/>
    <w:rsid w:val="002c336f"/>
    <w:pPr>
      <w:keepNext w:val="true"/>
      <w:keepLines/>
      <w:spacing w:before="80" w:after="40"/>
      <w:outlineLvl w:val="3"/>
    </w:pPr>
    <w:rPr>
      <w:rFonts w:eastAsia="" w:cs="Mangal" w:cstheme="majorBidi" w:eastAsiaTheme="majorEastAsia"/>
      <w:i/>
      <w:iCs/>
      <w:color w:themeColor="accent1" w:themeShade="bf" w:val="0F4761"/>
    </w:rPr>
  </w:style>
  <w:style w:type="paragraph" w:styleId="Heading5">
    <w:name w:val="Heading 5"/>
    <w:basedOn w:val="Normal"/>
    <w:next w:val="Normal"/>
    <w:link w:val="Heading5Char"/>
    <w:uiPriority w:val="9"/>
    <w:semiHidden/>
    <w:unhideWhenUsed/>
    <w:qFormat/>
    <w:rsid w:val="002c336f"/>
    <w:pPr>
      <w:keepNext w:val="true"/>
      <w:keepLines/>
      <w:spacing w:before="80" w:after="40"/>
      <w:outlineLvl w:val="4"/>
    </w:pPr>
    <w:rPr>
      <w:rFonts w:eastAsia="" w:cs="Mangal" w:cstheme="majorBidi" w:eastAsiaTheme="majorEastAsia"/>
      <w:color w:themeColor="accent1" w:themeShade="bf" w:val="0F4761"/>
    </w:rPr>
  </w:style>
  <w:style w:type="paragraph" w:styleId="Heading6">
    <w:name w:val="Heading 6"/>
    <w:basedOn w:val="Normal"/>
    <w:next w:val="Normal"/>
    <w:link w:val="Heading6Char"/>
    <w:uiPriority w:val="9"/>
    <w:semiHidden/>
    <w:unhideWhenUsed/>
    <w:qFormat/>
    <w:rsid w:val="002c336f"/>
    <w:pPr>
      <w:keepNext w:val="true"/>
      <w:keepLines/>
      <w:spacing w:before="40" w:after="0"/>
      <w:outlineLvl w:val="5"/>
    </w:pPr>
    <w:rPr>
      <w:rFonts w:eastAsia="" w:cs="Mangal"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2c336f"/>
    <w:pPr>
      <w:keepNext w:val="true"/>
      <w:keepLines/>
      <w:spacing w:before="40" w:after="0"/>
      <w:outlineLvl w:val="6"/>
    </w:pPr>
    <w:rPr>
      <w:rFonts w:eastAsia="" w:cs="Mangal"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2c336f"/>
    <w:pPr>
      <w:keepNext w:val="true"/>
      <w:keepLines/>
      <w:spacing w:before="0" w:after="0"/>
      <w:outlineLvl w:val="7"/>
    </w:pPr>
    <w:rPr>
      <w:rFonts w:eastAsia="" w:cs="Mangal"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2c336f"/>
    <w:pPr>
      <w:keepNext w:val="true"/>
      <w:keepLines/>
      <w:spacing w:before="0" w:after="0"/>
      <w:outlineLvl w:val="8"/>
    </w:pPr>
    <w:rPr>
      <w:rFonts w:eastAsia="" w:cs="Mangal"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dd7e71"/>
    <w:rPr>
      <w:rFonts w:ascii="Arial" w:hAnsi="Arial" w:eastAsia="" w:cs="Mangal" w:cstheme="majorBidi" w:eastAsiaTheme="majorEastAsia"/>
      <w:b/>
      <w:color w:themeColor="text1" w:val="000000"/>
      <w:sz w:val="28"/>
      <w:szCs w:val="40"/>
    </w:rPr>
  </w:style>
  <w:style w:type="character" w:styleId="Heading2Char" w:customStyle="1">
    <w:name w:val="Heading 2 Char"/>
    <w:basedOn w:val="DefaultParagraphFont"/>
    <w:link w:val="Heading2"/>
    <w:uiPriority w:val="9"/>
    <w:semiHidden/>
    <w:qFormat/>
    <w:rsid w:val="002c336f"/>
    <w:rPr>
      <w:rFonts w:ascii="Aptos Display" w:hAnsi="Aptos Display" w:eastAsia="" w:cs="Mangal" w:asciiTheme="majorHAnsi" w:cstheme="majorBidi" w:eastAsiaTheme="majorEastAsia" w:hAnsiTheme="majorHAnsi"/>
      <w:color w:themeColor="accent1" w:themeShade="bf" w:val="0F4761"/>
      <w:sz w:val="32"/>
      <w:szCs w:val="32"/>
    </w:rPr>
  </w:style>
  <w:style w:type="character" w:styleId="Heading3Char" w:customStyle="1">
    <w:name w:val="Heading 3 Char"/>
    <w:basedOn w:val="DefaultParagraphFont"/>
    <w:link w:val="Heading3"/>
    <w:uiPriority w:val="9"/>
    <w:semiHidden/>
    <w:qFormat/>
    <w:rsid w:val="002c336f"/>
    <w:rPr>
      <w:rFonts w:eastAsia="" w:cs="Mangal" w:cstheme="majorBidi" w:eastAsiaTheme="majorEastAsia"/>
      <w:color w:themeColor="accent1" w:themeShade="bf" w:val="0F4761"/>
      <w:sz w:val="28"/>
      <w:szCs w:val="28"/>
    </w:rPr>
  </w:style>
  <w:style w:type="character" w:styleId="Heading4Char" w:customStyle="1">
    <w:name w:val="Heading 4 Char"/>
    <w:basedOn w:val="DefaultParagraphFont"/>
    <w:link w:val="Heading4"/>
    <w:uiPriority w:val="9"/>
    <w:semiHidden/>
    <w:qFormat/>
    <w:rsid w:val="002c336f"/>
    <w:rPr>
      <w:rFonts w:eastAsia="" w:cs="Mangal" w:cstheme="majorBidi" w:eastAsiaTheme="majorEastAsia"/>
      <w:i/>
      <w:iCs/>
      <w:color w:themeColor="accent1" w:themeShade="bf" w:val="0F4761"/>
    </w:rPr>
  </w:style>
  <w:style w:type="character" w:styleId="Heading5Char" w:customStyle="1">
    <w:name w:val="Heading 5 Char"/>
    <w:basedOn w:val="DefaultParagraphFont"/>
    <w:link w:val="Heading5"/>
    <w:uiPriority w:val="9"/>
    <w:semiHidden/>
    <w:qFormat/>
    <w:rsid w:val="002c336f"/>
    <w:rPr>
      <w:rFonts w:eastAsia="" w:cs="Mangal" w:cstheme="majorBidi" w:eastAsiaTheme="majorEastAsia"/>
      <w:color w:themeColor="accent1" w:themeShade="bf" w:val="0F4761"/>
    </w:rPr>
  </w:style>
  <w:style w:type="character" w:styleId="Heading6Char" w:customStyle="1">
    <w:name w:val="Heading 6 Char"/>
    <w:basedOn w:val="DefaultParagraphFont"/>
    <w:link w:val="Heading6"/>
    <w:uiPriority w:val="9"/>
    <w:semiHidden/>
    <w:qFormat/>
    <w:rsid w:val="002c336f"/>
    <w:rPr>
      <w:rFonts w:eastAsia="" w:cs="Mangal"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2c336f"/>
    <w:rPr>
      <w:rFonts w:eastAsia="" w:cs="Mangal"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2c336f"/>
    <w:rPr>
      <w:rFonts w:eastAsia="" w:cs="Mangal"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2c336f"/>
    <w:rPr>
      <w:rFonts w:eastAsia="" w:cs="Mangal" w:cstheme="majorBidi" w:eastAsiaTheme="majorEastAsia"/>
      <w:color w:themeColor="text1" w:themeTint="d8" w:val="272727"/>
    </w:rPr>
  </w:style>
  <w:style w:type="character" w:styleId="TitleChar" w:customStyle="1">
    <w:name w:val="Title Char"/>
    <w:basedOn w:val="DefaultParagraphFont"/>
    <w:link w:val="Title"/>
    <w:uiPriority w:val="10"/>
    <w:qFormat/>
    <w:rsid w:val="002c336f"/>
    <w:rPr>
      <w:rFonts w:ascii="Aptos Display" w:hAnsi="Aptos Display" w:eastAsia="" w:cs="Mangal"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2c336f"/>
    <w:rPr>
      <w:rFonts w:eastAsia="" w:cs="Mangal"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2c336f"/>
    <w:rPr>
      <w:i/>
      <w:iCs/>
      <w:color w:themeColor="text1" w:themeTint="bf" w:val="404040"/>
    </w:rPr>
  </w:style>
  <w:style w:type="character" w:styleId="IntenseEmphasis">
    <w:name w:val="Intense Emphasis"/>
    <w:basedOn w:val="DefaultParagraphFont"/>
    <w:uiPriority w:val="21"/>
    <w:qFormat/>
    <w:rsid w:val="002c336f"/>
    <w:rPr>
      <w:i/>
      <w:iCs/>
      <w:color w:themeColor="accent1" w:themeShade="bf" w:val="0F4761"/>
    </w:rPr>
  </w:style>
  <w:style w:type="character" w:styleId="IntenseQuoteChar" w:customStyle="1">
    <w:name w:val="Intense Quote Char"/>
    <w:basedOn w:val="DefaultParagraphFont"/>
    <w:link w:val="IntenseQuote"/>
    <w:uiPriority w:val="30"/>
    <w:qFormat/>
    <w:rsid w:val="002c336f"/>
    <w:rPr>
      <w:i/>
      <w:iCs/>
      <w:color w:themeColor="accent1" w:themeShade="bf" w:val="0F4761"/>
    </w:rPr>
  </w:style>
  <w:style w:type="character" w:styleId="IntenseReference">
    <w:name w:val="Intense Reference"/>
    <w:basedOn w:val="DefaultParagraphFont"/>
    <w:uiPriority w:val="32"/>
    <w:qFormat/>
    <w:rsid w:val="002c336f"/>
    <w:rPr>
      <w:b/>
      <w:bCs/>
      <w:smallCaps/>
      <w:color w:themeColor="accent1" w:themeShade="bf" w:val="0F4761"/>
      <w:spacing w:val="5"/>
    </w:rPr>
  </w:style>
  <w:style w:type="character" w:styleId="Hyperlink">
    <w:name w:val="Hyperlink"/>
    <w:basedOn w:val="DefaultParagraphFont"/>
    <w:uiPriority w:val="99"/>
    <w:unhideWhenUsed/>
    <w:rsid w:val="003033f1"/>
    <w:rPr>
      <w:color w:themeColor="hyperlink" w:val="467886"/>
      <w:u w:val="single"/>
    </w:rPr>
  </w:style>
  <w:style w:type="character" w:styleId="UnresolvedMention1" w:customStyle="1">
    <w:name w:val="Unresolved Mention1"/>
    <w:basedOn w:val="DefaultParagraphFont"/>
    <w:uiPriority w:val="99"/>
    <w:semiHidden/>
    <w:unhideWhenUsed/>
    <w:qFormat/>
    <w:rsid w:val="003033f1"/>
    <w:rPr>
      <w:color w:val="605E5C"/>
      <w:shd w:fill="E1DFDD" w:val="clear"/>
    </w:rPr>
  </w:style>
  <w:style w:type="character" w:styleId="UnresolvedMention2" w:customStyle="1">
    <w:name w:val="Unresolved Mention2"/>
    <w:basedOn w:val="DefaultParagraphFont"/>
    <w:uiPriority w:val="99"/>
    <w:semiHidden/>
    <w:unhideWhenUsed/>
    <w:qFormat/>
    <w:rsid w:val="008f2a16"/>
    <w:rPr>
      <w:color w:val="605E5C"/>
      <w:shd w:fill="E1DFDD" w:val="clear"/>
    </w:rPr>
  </w:style>
  <w:style w:type="character" w:styleId="annotationreference">
    <w:name w:val="annotation reference"/>
    <w:basedOn w:val="DefaultParagraphFont"/>
    <w:uiPriority w:val="99"/>
    <w:semiHidden/>
    <w:unhideWhenUsed/>
    <w:qFormat/>
    <w:rsid w:val="008f2a16"/>
    <w:rPr>
      <w:sz w:val="16"/>
      <w:szCs w:val="16"/>
    </w:rPr>
  </w:style>
  <w:style w:type="character" w:styleId="CommentTextChar" w:customStyle="1">
    <w:name w:val="Comment Text Char"/>
    <w:basedOn w:val="DefaultParagraphFont"/>
    <w:link w:val="AnnotationText"/>
    <w:uiPriority w:val="99"/>
    <w:semiHidden/>
    <w:qFormat/>
    <w:rsid w:val="008f2a16"/>
    <w:rPr>
      <w:rFonts w:ascii="Arial" w:hAnsi="Arial"/>
      <w:color w:themeColor="text1" w:val="000000"/>
      <w:sz w:val="20"/>
      <w:szCs w:val="20"/>
    </w:rPr>
  </w:style>
  <w:style w:type="character" w:styleId="CommentSubjectChar" w:customStyle="1">
    <w:name w:val="Comment Subject Char"/>
    <w:basedOn w:val="CommentTextChar"/>
    <w:link w:val="annotationsubject"/>
    <w:uiPriority w:val="99"/>
    <w:semiHidden/>
    <w:qFormat/>
    <w:rsid w:val="008f2a16"/>
    <w:rPr>
      <w:rFonts w:ascii="Arial" w:hAnsi="Arial"/>
      <w:b/>
      <w:bCs/>
      <w:color w:themeColor="text1" w:val="000000"/>
      <w:sz w:val="20"/>
      <w:szCs w:val="20"/>
    </w:rPr>
  </w:style>
  <w:style w:type="character" w:styleId="BalloonTextChar" w:customStyle="1">
    <w:name w:val="Balloon Text Char"/>
    <w:basedOn w:val="DefaultParagraphFont"/>
    <w:link w:val="BalloonText"/>
    <w:uiPriority w:val="99"/>
    <w:semiHidden/>
    <w:qFormat/>
    <w:rsid w:val="0091010f"/>
    <w:rPr>
      <w:rFonts w:ascii="Segoe UI" w:hAnsi="Segoe UI" w:cs="Segoe UI"/>
      <w:color w:themeColor="text1" w:val="000000"/>
      <w:sz w:val="18"/>
      <w:szCs w:val="18"/>
    </w:rPr>
  </w:style>
  <w:style w:type="character" w:styleId="UnresolvedMention">
    <w:name w:val="Unresolved Mention"/>
    <w:basedOn w:val="DefaultParagraphFont"/>
    <w:uiPriority w:val="99"/>
    <w:semiHidden/>
    <w:unhideWhenUsed/>
    <w:qFormat/>
    <w:rsid w:val="0011104c"/>
    <w:rPr>
      <w:color w:val="605E5C"/>
      <w:shd w:fill="E1DFDD" w:val="clear"/>
    </w:rPr>
  </w:style>
  <w:style w:type="character" w:styleId="IndexLink">
    <w:name w:val="Index Link"/>
    <w:qFormat/>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next w:val="Normal"/>
    <w:uiPriority w:val="35"/>
    <w:unhideWhenUsed/>
    <w:qFormat/>
    <w:rsid w:val="007e1be0"/>
    <w:pPr>
      <w:spacing w:lineRule="auto" w:line="240" w:before="0" w:after="200"/>
    </w:pPr>
    <w:rPr>
      <w:i/>
      <w:iCs/>
      <w:color w:themeColor="text2" w:val="0E2841"/>
      <w:sz w:val="18"/>
      <w:szCs w:val="18"/>
    </w:rPr>
  </w:style>
  <w:style w:type="paragraph" w:styleId="Index">
    <w:name w:val="Index"/>
    <w:basedOn w:val="Normal"/>
    <w:qFormat/>
    <w:pPr>
      <w:suppressLineNumbers/>
    </w:pPr>
    <w:rPr>
      <w:rFonts w:cs="Noto Sans Devanagari"/>
    </w:rPr>
  </w:style>
  <w:style w:type="paragraph" w:styleId="Title">
    <w:name w:val="Title"/>
    <w:basedOn w:val="Normal"/>
    <w:next w:val="Normal"/>
    <w:link w:val="TitleChar"/>
    <w:uiPriority w:val="10"/>
    <w:qFormat/>
    <w:rsid w:val="002c336f"/>
    <w:pPr>
      <w:spacing w:lineRule="auto" w:line="240" w:before="0" w:after="80"/>
      <w:contextualSpacing/>
    </w:pPr>
    <w:rPr>
      <w:rFonts w:ascii="Aptos Display" w:hAnsi="Aptos Display" w:eastAsia="" w:cs="Mangal"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2c336f"/>
    <w:pPr/>
    <w:rPr>
      <w:rFonts w:eastAsia="" w:cs="Mangal"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2c336f"/>
    <w:pPr>
      <w:spacing w:before="160" w:after="160"/>
      <w:jc w:val="center"/>
    </w:pPr>
    <w:rPr>
      <w:i/>
      <w:iCs/>
      <w:color w:themeColor="text1" w:themeTint="bf" w:val="404040"/>
    </w:rPr>
  </w:style>
  <w:style w:type="paragraph" w:styleId="ListParagraph">
    <w:name w:val="List Paragraph"/>
    <w:basedOn w:val="Normal"/>
    <w:uiPriority w:val="34"/>
    <w:qFormat/>
    <w:rsid w:val="002c336f"/>
    <w:pPr>
      <w:spacing w:before="0" w:after="160"/>
      <w:ind w:left="720"/>
      <w:contextualSpacing/>
    </w:pPr>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IndexHeading">
    <w:name w:val="Index Heading"/>
    <w:basedOn w:val="Heading"/>
    <w:pPr/>
    <w:rPr/>
  </w:style>
  <w:style w:type="paragraph" w:styleId="TOCHeading">
    <w:name w:val="TOC Heading"/>
    <w:basedOn w:val="Heading1"/>
    <w:next w:val="Normal"/>
    <w:uiPriority w:val="39"/>
    <w:unhideWhenUsed/>
    <w:qFormat/>
    <w:rsid w:val="004d24b2"/>
    <w:pPr>
      <w:spacing w:lineRule="auto" w:line="259" w:before="240" w:after="0"/>
      <w:jc w:val="left"/>
      <w:outlineLvl w:val="9"/>
    </w:pPr>
    <w:rPr>
      <w:rFonts w:ascii="Aptos Display" w:hAnsi="Aptos Display" w:asciiTheme="majorHAnsi" w:hAnsiTheme="majorHAnsi"/>
      <w:b w:val="false"/>
      <w:color w:themeColor="accent1" w:themeShade="bf" w:val="0F4761"/>
      <w:kern w:val="0"/>
      <w:sz w:val="32"/>
      <w:szCs w:val="32"/>
      <w:lang w:val="en-US"/>
      <w14:ligatures w14:val="none"/>
    </w:rPr>
  </w:style>
  <w:style w:type="paragraph" w:styleId="TOC1">
    <w:name w:val="TOC 1"/>
    <w:basedOn w:val="Normal"/>
    <w:next w:val="Normal"/>
    <w:autoRedefine/>
    <w:uiPriority w:val="39"/>
    <w:unhideWhenUsed/>
    <w:rsid w:val="004d24b2"/>
    <w:pPr>
      <w:spacing w:before="0" w:after="100"/>
    </w:pPr>
    <w:rPr/>
  </w:style>
  <w:style w:type="paragraph" w:styleId="AnnotationText">
    <w:name w:val="Annotation Text"/>
    <w:basedOn w:val="Normal"/>
    <w:link w:val="CommentTextChar"/>
    <w:uiPriority w:val="99"/>
    <w:semiHidden/>
    <w:unhideWhenUsed/>
    <w:rsid w:val="008f2a16"/>
    <w:pPr>
      <w:spacing w:lineRule="auto" w:line="240"/>
    </w:pPr>
    <w:rPr>
      <w:sz w:val="20"/>
      <w:szCs w:val="20"/>
    </w:rPr>
  </w:style>
  <w:style w:type="paragraph" w:styleId="annotationsubject">
    <w:name w:val="annotation subject"/>
    <w:basedOn w:val="AnnotationText"/>
    <w:next w:val="AnnotationText"/>
    <w:link w:val="CommentSubjectChar"/>
    <w:uiPriority w:val="99"/>
    <w:semiHidden/>
    <w:unhideWhenUsed/>
    <w:qFormat/>
    <w:rsid w:val="008f2a16"/>
    <w:pPr/>
    <w:rPr>
      <w:b/>
      <w:bCs/>
    </w:rPr>
  </w:style>
  <w:style w:type="paragraph" w:styleId="BalloonText">
    <w:name w:val="Balloon Text"/>
    <w:basedOn w:val="Normal"/>
    <w:link w:val="BalloonTextChar"/>
    <w:uiPriority w:val="99"/>
    <w:semiHidden/>
    <w:unhideWhenUsed/>
    <w:qFormat/>
    <w:rsid w:val="0091010f"/>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10665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https://doi.org/10.1080/1364557032000119616" TargetMode="External"/><Relationship Id="rId5" Type="http://schemas.openxmlformats.org/officeDocument/2006/relationships/hyperlink" Target="https://books.google.co.in/books?hl=en&amp;lr=&amp;id=65W1EAAAQBAJ&amp;oi=fnd&amp;pg" TargetMode="External"/><Relationship Id="rId6" Type="http://schemas.openxmlformats.org/officeDocument/2006/relationships/hyperlink" Target="https://doi.org/10.5005/jp-journals-10005-2785"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itchFamily="0" charset="1"/>
        <a:ea typeface=""/>
        <a:cs typeface=""/>
      </a:majorFont>
      <a:minorFont>
        <a:latin typeface="Aptos"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C3B05-46B6-4ACE-93FE-1EF4A9651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610</Words>
  <Characters>3767</Characters>
  <Paragraphs>45</Paragraphs>
  <CharactersWithSpaces>4335</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dcterms:created xsi:type="dcterms:W3CDTF">2026-10-13T09:12:00Z</dcterms:created>
  <dcterms:modified xsi:type="dcterms:W3CDTF">2026-10-13T16:12:39Z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12b6dd35234e3a207f72c33519c442d5ef6a83ee9f90cdd2289d14187d7deb99</vt:lpwstr>
  </property>
</Properties>
</file>