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ADDCC" w14:textId="12D4510D"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 xml:space="preserve">Speaking </w:t>
      </w:r>
      <w:r>
        <w:rPr>
          <w:rFonts w:ascii="Times New Roman" w:hAnsi="Times New Roman" w:cs="Times New Roman"/>
          <w:b/>
          <w:bCs/>
        </w:rPr>
        <w:t>Note:</w:t>
      </w:r>
    </w:p>
    <w:p w14:paraId="210BBB2B"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Role: Mental Health Worker</w:t>
      </w:r>
    </w:p>
    <w:p w14:paraId="5A183537"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Case: Child A Safeguarding Practice Review</w:t>
      </w:r>
    </w:p>
    <w:p w14:paraId="3ACC9D2D"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Opening (First 1–2 minutes)</w:t>
      </w:r>
    </w:p>
    <w:p w14:paraId="56B6A1C9" w14:textId="4F1365C0"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As a mental health worker involved in safeguarding discussions, my role is to consider how parental mental health, family circumstances and adverse childhood experiences impact children’s safety and wellbeing.</w:t>
      </w:r>
    </w:p>
    <w:p w14:paraId="37697F13"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The case of Child A highlights how failures in recognising neglect and coordinating multi-agency responses can place children at significant risk.</w:t>
      </w:r>
    </w:p>
    <w:p w14:paraId="653CDAAF" w14:textId="48AEB404"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According to the safeguarding review, Child A tragically died after being struck by a car while outside unsupervised late at night. The review identified that Child A and his siblings had experienced long-term neglect and lack of supervision within the family home.</w:t>
      </w:r>
    </w:p>
    <w:p w14:paraId="6A9E6328"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From my perspective, this case raises important questions about:</w:t>
      </w:r>
    </w:p>
    <w:p w14:paraId="594EF1D6" w14:textId="77777777" w:rsidR="00DB5C3E" w:rsidRPr="00DB5C3E" w:rsidRDefault="00DB5C3E" w:rsidP="00DB5C3E">
      <w:pPr>
        <w:numPr>
          <w:ilvl w:val="0"/>
          <w:numId w:val="1"/>
        </w:numPr>
        <w:spacing w:line="360" w:lineRule="auto"/>
        <w:jc w:val="both"/>
        <w:rPr>
          <w:rFonts w:ascii="Times New Roman" w:hAnsi="Times New Roman" w:cs="Times New Roman"/>
        </w:rPr>
      </w:pPr>
      <w:r w:rsidRPr="00DB5C3E">
        <w:rPr>
          <w:rFonts w:ascii="Times New Roman" w:hAnsi="Times New Roman" w:cs="Times New Roman"/>
        </w:rPr>
        <w:t>how professionals understood the children’s lived experiences</w:t>
      </w:r>
    </w:p>
    <w:p w14:paraId="44A085B2" w14:textId="77777777" w:rsidR="00DB5C3E" w:rsidRPr="00DB5C3E" w:rsidRDefault="00DB5C3E" w:rsidP="00DB5C3E">
      <w:pPr>
        <w:numPr>
          <w:ilvl w:val="0"/>
          <w:numId w:val="1"/>
        </w:numPr>
        <w:spacing w:line="360" w:lineRule="auto"/>
        <w:jc w:val="both"/>
        <w:rPr>
          <w:rFonts w:ascii="Times New Roman" w:hAnsi="Times New Roman" w:cs="Times New Roman"/>
        </w:rPr>
      </w:pPr>
      <w:r w:rsidRPr="00DB5C3E">
        <w:rPr>
          <w:rFonts w:ascii="Times New Roman" w:hAnsi="Times New Roman" w:cs="Times New Roman"/>
        </w:rPr>
        <w:t>how agencies shared information</w:t>
      </w:r>
    </w:p>
    <w:p w14:paraId="5D35C72B" w14:textId="77777777" w:rsidR="00DB5C3E" w:rsidRPr="00DB5C3E" w:rsidRDefault="00DB5C3E" w:rsidP="00DB5C3E">
      <w:pPr>
        <w:numPr>
          <w:ilvl w:val="0"/>
          <w:numId w:val="1"/>
        </w:numPr>
        <w:spacing w:line="360" w:lineRule="auto"/>
        <w:jc w:val="both"/>
        <w:rPr>
          <w:rFonts w:ascii="Times New Roman" w:hAnsi="Times New Roman" w:cs="Times New Roman"/>
        </w:rPr>
      </w:pPr>
      <w:r w:rsidRPr="00DB5C3E">
        <w:rPr>
          <w:rFonts w:ascii="Times New Roman" w:hAnsi="Times New Roman" w:cs="Times New Roman"/>
        </w:rPr>
        <w:t>and whether safeguarding responses were sufficient to protect the children.</w:t>
      </w:r>
    </w:p>
    <w:p w14:paraId="73269DBA" w14:textId="62D63746"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Safeguarding policy in the UK, particularly Working Together to Safeguard Children (2023), emphasises that protecting children requires effective collaboration between professionals and</w:t>
      </w:r>
      <w:r w:rsidRPr="00DB5C3E">
        <w:rPr>
          <w:rFonts w:ascii="Times New Roman" w:hAnsi="Times New Roman" w:cs="Times New Roman"/>
          <w:b/>
          <w:bCs/>
        </w:rPr>
        <w:t xml:space="preserve"> </w:t>
      </w:r>
      <w:r w:rsidRPr="00DB5C3E">
        <w:rPr>
          <w:rFonts w:ascii="Times New Roman" w:hAnsi="Times New Roman" w:cs="Times New Roman"/>
        </w:rPr>
        <w:t>agencies.</w:t>
      </w:r>
    </w:p>
    <w:p w14:paraId="2B7DD1FF" w14:textId="3ECA1784" w:rsidR="00DB5C3E" w:rsidRPr="00DB5C3E" w:rsidRDefault="00DB5C3E" w:rsidP="00DB5C3E">
      <w:pPr>
        <w:spacing w:line="360" w:lineRule="auto"/>
        <w:jc w:val="both"/>
        <w:rPr>
          <w:rFonts w:ascii="Times New Roman" w:hAnsi="Times New Roman" w:cs="Times New Roman"/>
        </w:rPr>
      </w:pPr>
    </w:p>
    <w:p w14:paraId="14EDECFF"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Children’s Wellbeing and Lived Experiences (3 minutes)</w:t>
      </w:r>
    </w:p>
    <w:p w14:paraId="06A99F73" w14:textId="78CAB65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 xml:space="preserve">One of the most important aspects of safeguarding practice is understanding children’s </w:t>
      </w:r>
      <w:proofErr w:type="gramStart"/>
      <w:r w:rsidRPr="00DB5C3E">
        <w:rPr>
          <w:rFonts w:ascii="Times New Roman" w:hAnsi="Times New Roman" w:cs="Times New Roman"/>
        </w:rPr>
        <w:t>perception</w:t>
      </w:r>
      <w:proofErr w:type="gramEnd"/>
      <w:r w:rsidRPr="00DB5C3E">
        <w:rPr>
          <w:rFonts w:ascii="Times New Roman" w:hAnsi="Times New Roman" w:cs="Times New Roman"/>
        </w:rPr>
        <w:t xml:space="preserve"> of wellbeing.</w:t>
      </w:r>
    </w:p>
    <w:p w14:paraId="3456A3B8" w14:textId="48834E3E"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In this case, the review shows that the children lived in extremely poor conditions. The house contained large amounts of rubbish, beds were broken and basic needs such as food and electricity were sometimes unavailable.</w:t>
      </w:r>
    </w:p>
    <w:p w14:paraId="7AD3925F"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From a child-centred perspective, these conditions clearly indicate chronic neglect.</w:t>
      </w:r>
    </w:p>
    <w:p w14:paraId="21A3401F"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Another concerning factor was that the eldest sibling was often responsible for caring for the younger children overnight when the mother was absent.</w:t>
      </w:r>
    </w:p>
    <w:p w14:paraId="0EDFB79C"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lastRenderedPageBreak/>
        <w:t>From a mental health perspective, placing a child in this role can create significant emotional stress and anxiety. Research shows that children who take on parental responsibilities, often described as parentification, can experience long-term psychological difficulties.</w:t>
      </w:r>
    </w:p>
    <w:p w14:paraId="3793A70D"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 key safeguarding issue in this case is that the children’s voices were not fully prioritised.</w:t>
      </w:r>
    </w:p>
    <w:p w14:paraId="367C6D39"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 xml:space="preserve">Although the children </w:t>
      </w:r>
      <w:proofErr w:type="gramStart"/>
      <w:r w:rsidRPr="00DB5C3E">
        <w:rPr>
          <w:rFonts w:ascii="Times New Roman" w:hAnsi="Times New Roman" w:cs="Times New Roman"/>
        </w:rPr>
        <w:t>disclosed</w:t>
      </w:r>
      <w:proofErr w:type="gramEnd"/>
      <w:r w:rsidRPr="00DB5C3E">
        <w:rPr>
          <w:rFonts w:ascii="Times New Roman" w:hAnsi="Times New Roman" w:cs="Times New Roman"/>
        </w:rPr>
        <w:t xml:space="preserve"> concerns about their home environment, professionals sometimes relied more heavily on the mother’s explanations.</w:t>
      </w:r>
    </w:p>
    <w:p w14:paraId="5E76F2D4" w14:textId="184A6328"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This is problematic because the Children Act 1989 emphasises that the welfare and views of the child must be central to safeguarding decisions.</w:t>
      </w:r>
    </w:p>
    <w:p w14:paraId="144EA807" w14:textId="705D7A5C" w:rsidR="00DB5C3E" w:rsidRPr="00DB5C3E" w:rsidRDefault="00DB5C3E" w:rsidP="00DB5C3E">
      <w:pPr>
        <w:spacing w:line="360" w:lineRule="auto"/>
        <w:jc w:val="both"/>
        <w:rPr>
          <w:rFonts w:ascii="Times New Roman" w:hAnsi="Times New Roman" w:cs="Times New Roman"/>
        </w:rPr>
      </w:pPr>
    </w:p>
    <w:p w14:paraId="2890D56F"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Adverse Childhood Experiences and Mental Health (3 minutes)</w:t>
      </w:r>
    </w:p>
    <w:p w14:paraId="5758C256" w14:textId="06C3957C"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Another important issue in this case is the presence of Adverse Childhood Experiences, commonly known as ACEs.</w:t>
      </w:r>
    </w:p>
    <w:p w14:paraId="0324543B"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ACEs include experiences such as neglect, parental mental illness, domestic abuse and substance misuse. Research shows that exposure to multiple ACEs significantly increases the risk of mental health problems later in life.</w:t>
      </w:r>
    </w:p>
    <w:p w14:paraId="23C01FFF"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In this case the children were exposed to several ACEs, including:</w:t>
      </w:r>
    </w:p>
    <w:p w14:paraId="1C9834D6" w14:textId="77777777" w:rsidR="00DB5C3E" w:rsidRPr="00DB5C3E" w:rsidRDefault="00DB5C3E" w:rsidP="00DB5C3E">
      <w:pPr>
        <w:numPr>
          <w:ilvl w:val="0"/>
          <w:numId w:val="2"/>
        </w:numPr>
        <w:spacing w:line="360" w:lineRule="auto"/>
        <w:jc w:val="both"/>
        <w:rPr>
          <w:rFonts w:ascii="Times New Roman" w:hAnsi="Times New Roman" w:cs="Times New Roman"/>
        </w:rPr>
      </w:pPr>
      <w:r w:rsidRPr="00DB5C3E">
        <w:rPr>
          <w:rFonts w:ascii="Times New Roman" w:hAnsi="Times New Roman" w:cs="Times New Roman"/>
        </w:rPr>
        <w:t>parental mental health difficulties</w:t>
      </w:r>
    </w:p>
    <w:p w14:paraId="162FACE4" w14:textId="77777777" w:rsidR="00DB5C3E" w:rsidRPr="00DB5C3E" w:rsidRDefault="00DB5C3E" w:rsidP="00DB5C3E">
      <w:pPr>
        <w:numPr>
          <w:ilvl w:val="0"/>
          <w:numId w:val="2"/>
        </w:numPr>
        <w:spacing w:line="360" w:lineRule="auto"/>
        <w:jc w:val="both"/>
        <w:rPr>
          <w:rFonts w:ascii="Times New Roman" w:hAnsi="Times New Roman" w:cs="Times New Roman"/>
        </w:rPr>
      </w:pPr>
      <w:r w:rsidRPr="00DB5C3E">
        <w:rPr>
          <w:rFonts w:ascii="Times New Roman" w:hAnsi="Times New Roman" w:cs="Times New Roman"/>
        </w:rPr>
        <w:t>emotional abuse</w:t>
      </w:r>
    </w:p>
    <w:p w14:paraId="3E0874AE" w14:textId="77777777" w:rsidR="00DB5C3E" w:rsidRPr="00DB5C3E" w:rsidRDefault="00DB5C3E" w:rsidP="00DB5C3E">
      <w:pPr>
        <w:numPr>
          <w:ilvl w:val="0"/>
          <w:numId w:val="2"/>
        </w:numPr>
        <w:spacing w:line="360" w:lineRule="auto"/>
        <w:jc w:val="both"/>
        <w:rPr>
          <w:rFonts w:ascii="Times New Roman" w:hAnsi="Times New Roman" w:cs="Times New Roman"/>
        </w:rPr>
      </w:pPr>
      <w:r w:rsidRPr="00DB5C3E">
        <w:rPr>
          <w:rFonts w:ascii="Times New Roman" w:hAnsi="Times New Roman" w:cs="Times New Roman"/>
        </w:rPr>
        <w:t>chronic neglect</w:t>
      </w:r>
    </w:p>
    <w:p w14:paraId="6571067C" w14:textId="77777777" w:rsidR="00DB5C3E" w:rsidRPr="00DB5C3E" w:rsidRDefault="00DB5C3E" w:rsidP="00DB5C3E">
      <w:pPr>
        <w:numPr>
          <w:ilvl w:val="0"/>
          <w:numId w:val="2"/>
        </w:numPr>
        <w:spacing w:line="360" w:lineRule="auto"/>
        <w:jc w:val="both"/>
        <w:rPr>
          <w:rFonts w:ascii="Times New Roman" w:hAnsi="Times New Roman" w:cs="Times New Roman"/>
        </w:rPr>
      </w:pPr>
      <w:r w:rsidRPr="00DB5C3E">
        <w:rPr>
          <w:rFonts w:ascii="Times New Roman" w:hAnsi="Times New Roman" w:cs="Times New Roman"/>
        </w:rPr>
        <w:t>poverty and housing instability.</w:t>
      </w:r>
    </w:p>
    <w:p w14:paraId="3C12A3A1" w14:textId="2EF3490B"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One particularly significant safeguarding moment occurred in 2017 when the children’s mother attempted suicide while intoxicated and required emergency medical intervention.</w:t>
      </w:r>
    </w:p>
    <w:p w14:paraId="321C3680"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From a mental health worker perspective, this incident should have triggered a multi-agency safeguarding response, because parental mental health crises can directly affect parenting capacity.</w:t>
      </w:r>
    </w:p>
    <w:p w14:paraId="7F638C43"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However, although several services were involved, the review concluded that there was no coordinated safeguarding assessment focusing on the children’s needs.</w:t>
      </w:r>
    </w:p>
    <w:p w14:paraId="2908D649" w14:textId="38F0BE5C"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This suggests that professionals did not fully apply a Think Family approach, which encourages practitioners to consider the impact of adult mental health issues on children within the household.</w:t>
      </w:r>
    </w:p>
    <w:p w14:paraId="53117061" w14:textId="446BF4F0" w:rsidR="00DB5C3E" w:rsidRPr="00DB5C3E" w:rsidRDefault="00DB5C3E" w:rsidP="00DB5C3E">
      <w:pPr>
        <w:spacing w:line="360" w:lineRule="auto"/>
        <w:jc w:val="both"/>
        <w:rPr>
          <w:rFonts w:ascii="Times New Roman" w:hAnsi="Times New Roman" w:cs="Times New Roman"/>
        </w:rPr>
      </w:pPr>
    </w:p>
    <w:p w14:paraId="5F112C7A"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lastRenderedPageBreak/>
        <w:t>Partnership Working and Communication (3 minutes)</w:t>
      </w:r>
    </w:p>
    <w:p w14:paraId="30E42C19" w14:textId="04E0A398"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Partnership working is one of the key foundations of safeguarding practice.</w:t>
      </w:r>
    </w:p>
    <w:p w14:paraId="3C7C8483"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The Children Act 2004 introduced a duty for organisations to cooperate in safeguarding children, while national guidance emphasises the importance of information sharing between agencies.</w:t>
      </w:r>
    </w:p>
    <w:p w14:paraId="0FF46FBB"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However, the Child A review identified several failures in multi-agency communication.</w:t>
      </w:r>
    </w:p>
    <w:p w14:paraId="2F6F201E"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For example, during the mother’s mental health crisis, multiple agencies were involved including police, ambulance services, hospital staff and mental health practitioners.</w:t>
      </w:r>
    </w:p>
    <w:p w14:paraId="552FE7CD" w14:textId="3400F058"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Despite this, important information about the children’s circumstances was not effectively shared between services.</w:t>
      </w:r>
    </w:p>
    <w:p w14:paraId="29DC9990"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In addition, when the mother disengaged from mental health services, this information was not communicated to her GP due to administrative errors.</w:t>
      </w:r>
    </w:p>
    <w:p w14:paraId="0EFBE6FB"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From a safeguarding perspective, this demonstrates how fragmented communication between agencies can prevent professionals from recognising the full level of risk to children.</w:t>
      </w:r>
    </w:p>
    <w:p w14:paraId="70D8F177"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Another issue highlighted in the review was the lack of professional challenge.</w:t>
      </w:r>
    </w:p>
    <w:p w14:paraId="4DB44A9B" w14:textId="5E267844"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Professionals did not escalate concerns when safeguarding thresholds may have been met. This suggests that there was a lack of professional curiosity, which is essential when working with vulnerable families.</w:t>
      </w:r>
    </w:p>
    <w:p w14:paraId="189EF733" w14:textId="23112BE0" w:rsidR="00DB5C3E" w:rsidRPr="00DB5C3E" w:rsidRDefault="00DB5C3E" w:rsidP="00DB5C3E">
      <w:pPr>
        <w:spacing w:line="360" w:lineRule="auto"/>
        <w:jc w:val="both"/>
        <w:rPr>
          <w:rFonts w:ascii="Times New Roman" w:hAnsi="Times New Roman" w:cs="Times New Roman"/>
        </w:rPr>
      </w:pPr>
    </w:p>
    <w:p w14:paraId="257E1FAB"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Critical Analysis of Professional Responses (3 minutes)</w:t>
      </w:r>
    </w:p>
    <w:p w14:paraId="7291A92D" w14:textId="4F3C7A23"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When critically analysing the professional responses in this case, several issues become clear.</w:t>
      </w:r>
    </w:p>
    <w:p w14:paraId="59141D2E"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Firstly, professionals failed to recognise the cumulative nature of neglect.</w:t>
      </w:r>
    </w:p>
    <w:p w14:paraId="73B05509"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Rather than identifying patterns of long-term harm, safeguarding assessments often focused on individual incidents.</w:t>
      </w:r>
    </w:p>
    <w:p w14:paraId="4EBB269E"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However, chronic neglect can have severe long-term impacts on children’s physical and emotional development.</w:t>
      </w:r>
    </w:p>
    <w:p w14:paraId="7CC5480C" w14:textId="6ED7CEED"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Secondly, safeguarding thresholds were not applied appropriately. Despite repeated concerns, including children being left unsupervised overnight, there was no Section 47 child protection investigation.</w:t>
      </w:r>
    </w:p>
    <w:p w14:paraId="3769ED98"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Section 47 of the Children Act 1989 requires local authorities to investigate when there is reasonable cause to suspect significant harm.</w:t>
      </w:r>
    </w:p>
    <w:p w14:paraId="75CCB629"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lastRenderedPageBreak/>
        <w:t>Thirdly, the role of extended family members was not fully considered. Child A’s father later reported that he had regular contact with his son and would have been willing to provide care if professionals had been aware of the situation.</w:t>
      </w:r>
    </w:p>
    <w:p w14:paraId="497529D9" w14:textId="3198D552"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This highlights the importance of conducting comprehensive family assessments when safeguarding concerns arise.</w:t>
      </w:r>
    </w:p>
    <w:p w14:paraId="2ED3337D" w14:textId="682A4F0F" w:rsidR="00DB5C3E" w:rsidRPr="00DB5C3E" w:rsidRDefault="00DB5C3E" w:rsidP="00DB5C3E">
      <w:pPr>
        <w:spacing w:line="360" w:lineRule="auto"/>
        <w:jc w:val="both"/>
        <w:rPr>
          <w:rFonts w:ascii="Times New Roman" w:hAnsi="Times New Roman" w:cs="Times New Roman"/>
        </w:rPr>
      </w:pPr>
    </w:p>
    <w:p w14:paraId="776B0B16"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Recommendations for Improving Safeguarding Practice (2 minutes)</w:t>
      </w:r>
    </w:p>
    <w:p w14:paraId="60955289" w14:textId="6EEDBDD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Based on the lessons from this case, several improvements could strengthen safeguarding practice.</w:t>
      </w:r>
    </w:p>
    <w:p w14:paraId="5B8C423C"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First, professionals should adopt a stronger Think Family approach, ensuring that mental health services consider the impact of parental mental illness on children.</w:t>
      </w:r>
    </w:p>
    <w:p w14:paraId="2ED5EA4A"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Second, training should improve professionals’ ability to recognise the cumulative effects of neglect.</w:t>
      </w:r>
    </w:p>
    <w:p w14:paraId="5F89E156"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Third, safeguarding systems should strengthen multi-agency communication and information sharing.</w:t>
      </w:r>
    </w:p>
    <w:p w14:paraId="479692E2"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Fourth, professionals should be encouraged to demonstrate professional curiosity and challenge safeguarding decisions where necessary.</w:t>
      </w:r>
    </w:p>
    <w:p w14:paraId="768DBE7E" w14:textId="7E6B2169"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Finally, safeguarding assessments must prioritise the voices and lived experiences of children, ensuring their perspectives inform decision-making.</w:t>
      </w:r>
    </w:p>
    <w:p w14:paraId="36D1D22C" w14:textId="3A27E11E" w:rsidR="00DB5C3E" w:rsidRPr="00DB5C3E" w:rsidRDefault="00DB5C3E" w:rsidP="00DB5C3E">
      <w:pPr>
        <w:spacing w:line="360" w:lineRule="auto"/>
        <w:jc w:val="both"/>
        <w:rPr>
          <w:rFonts w:ascii="Times New Roman" w:hAnsi="Times New Roman" w:cs="Times New Roman"/>
        </w:rPr>
      </w:pPr>
    </w:p>
    <w:p w14:paraId="2A78B921" w14:textId="77777777" w:rsidR="00DB5C3E" w:rsidRPr="00DB5C3E" w:rsidRDefault="00DB5C3E" w:rsidP="00DB5C3E">
      <w:pPr>
        <w:spacing w:line="360" w:lineRule="auto"/>
        <w:jc w:val="both"/>
        <w:rPr>
          <w:rFonts w:ascii="Times New Roman" w:hAnsi="Times New Roman" w:cs="Times New Roman"/>
          <w:b/>
          <w:bCs/>
        </w:rPr>
      </w:pPr>
      <w:r w:rsidRPr="00DB5C3E">
        <w:rPr>
          <w:rFonts w:ascii="Times New Roman" w:hAnsi="Times New Roman" w:cs="Times New Roman"/>
          <w:b/>
          <w:bCs/>
        </w:rPr>
        <w:t>Conclusion (Final minute)</w:t>
      </w:r>
    </w:p>
    <w:p w14:paraId="7462E3FA" w14:textId="26F4209B"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In conclusion, the Child A safeguarding review highlights significant failures in recognising neglect, responding to parental mental health difficulties and coordinating multi-agency safeguarding responses.</w:t>
      </w:r>
    </w:p>
    <w:p w14:paraId="10D0E87B" w14:textId="77777777"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From my perspective as a mental health worker, this case demonstrates the importance of understanding how family circumstances, mental health and environmental factors interact to influence children’s wellbeing.</w:t>
      </w:r>
    </w:p>
    <w:p w14:paraId="3973777F" w14:textId="7E939294" w:rsidR="00DB5C3E" w:rsidRPr="00DB5C3E" w:rsidRDefault="00DB5C3E" w:rsidP="00DB5C3E">
      <w:pPr>
        <w:spacing w:line="360" w:lineRule="auto"/>
        <w:jc w:val="both"/>
        <w:rPr>
          <w:rFonts w:ascii="Times New Roman" w:hAnsi="Times New Roman" w:cs="Times New Roman"/>
        </w:rPr>
      </w:pPr>
      <w:r w:rsidRPr="00DB5C3E">
        <w:rPr>
          <w:rFonts w:ascii="Times New Roman" w:hAnsi="Times New Roman" w:cs="Times New Roman"/>
        </w:rPr>
        <w:t>By strengthening multi-agency collaboration, improving communication and prioritising children’s voices, professionals can help prevent similar tragedies and provide better protection for vulnerable children.</w:t>
      </w:r>
    </w:p>
    <w:p w14:paraId="7FFDB8B9" w14:textId="77777777" w:rsidR="0020227F" w:rsidRDefault="0020227F" w:rsidP="00DB5C3E">
      <w:pPr>
        <w:spacing w:line="360" w:lineRule="auto"/>
        <w:jc w:val="both"/>
        <w:rPr>
          <w:rFonts w:ascii="Times New Roman" w:hAnsi="Times New Roman" w:cs="Times New Roman"/>
        </w:rPr>
      </w:pPr>
    </w:p>
    <w:p w14:paraId="7B51E0FB" w14:textId="77777777" w:rsidR="00680511" w:rsidRDefault="00680511" w:rsidP="00DB5C3E">
      <w:pPr>
        <w:spacing w:line="360" w:lineRule="auto"/>
        <w:jc w:val="both"/>
        <w:rPr>
          <w:rFonts w:ascii="Times New Roman" w:hAnsi="Times New Roman" w:cs="Times New Roman"/>
        </w:rPr>
      </w:pPr>
    </w:p>
    <w:p w14:paraId="625674AA" w14:textId="77777777" w:rsidR="00680511" w:rsidRDefault="00680511" w:rsidP="00DB5C3E">
      <w:pPr>
        <w:spacing w:line="360" w:lineRule="auto"/>
        <w:jc w:val="both"/>
        <w:rPr>
          <w:rFonts w:ascii="Times New Roman" w:hAnsi="Times New Roman" w:cs="Times New Roman"/>
        </w:rPr>
      </w:pPr>
    </w:p>
    <w:p w14:paraId="24128D40" w14:textId="0B8605F2" w:rsidR="00680511" w:rsidRPr="00680511" w:rsidRDefault="00680511" w:rsidP="00680511">
      <w:pPr>
        <w:spacing w:line="360" w:lineRule="auto"/>
        <w:jc w:val="both"/>
        <w:rPr>
          <w:rFonts w:ascii="Times New Roman" w:hAnsi="Times New Roman" w:cs="Times New Roman"/>
          <w:b/>
          <w:bCs/>
        </w:rPr>
      </w:pPr>
      <w:r w:rsidRPr="00680511">
        <w:rPr>
          <w:rFonts w:ascii="Times New Roman" w:hAnsi="Times New Roman" w:cs="Times New Roman"/>
          <w:b/>
          <w:bCs/>
        </w:rPr>
        <w:lastRenderedPageBreak/>
        <w:t>Reference</w:t>
      </w:r>
      <w:r>
        <w:rPr>
          <w:rFonts w:ascii="Times New Roman" w:hAnsi="Times New Roman" w:cs="Times New Roman"/>
          <w:b/>
          <w:bCs/>
        </w:rPr>
        <w:t>.</w:t>
      </w:r>
    </w:p>
    <w:p w14:paraId="76C1A298"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Bradford Safeguarding Children Partnership (2023) </w:t>
      </w:r>
      <w:r w:rsidRPr="00680511">
        <w:rPr>
          <w:rFonts w:ascii="Times New Roman" w:hAnsi="Times New Roman" w:cs="Times New Roman"/>
          <w:i/>
          <w:iCs/>
        </w:rPr>
        <w:t>Child A: Local Child Safeguarding Practice Review</w:t>
      </w:r>
      <w:r w:rsidRPr="00680511">
        <w:rPr>
          <w:rFonts w:ascii="Times New Roman" w:hAnsi="Times New Roman" w:cs="Times New Roman"/>
        </w:rPr>
        <w:t>. Bradford: Bradford Safeguarding Children Partnership.</w:t>
      </w:r>
    </w:p>
    <w:p w14:paraId="7D8792F5"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Daniel, B., Taylor, J. and Scott, J. (2011) </w:t>
      </w:r>
      <w:r w:rsidRPr="00680511">
        <w:rPr>
          <w:rFonts w:ascii="Times New Roman" w:hAnsi="Times New Roman" w:cs="Times New Roman"/>
          <w:i/>
          <w:iCs/>
        </w:rPr>
        <w:t>Recognising and Helping the Neglected Child: Evidence-Based Practice for Assessment and Intervention</w:t>
      </w:r>
      <w:r w:rsidRPr="00680511">
        <w:rPr>
          <w:rFonts w:ascii="Times New Roman" w:hAnsi="Times New Roman" w:cs="Times New Roman"/>
        </w:rPr>
        <w:t>. London: Jessica Kingsley Publishers.</w:t>
      </w:r>
    </w:p>
    <w:p w14:paraId="551DB704"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Department for Education (2018) </w:t>
      </w:r>
      <w:r w:rsidRPr="00680511">
        <w:rPr>
          <w:rFonts w:ascii="Times New Roman" w:hAnsi="Times New Roman" w:cs="Times New Roman"/>
          <w:i/>
          <w:iCs/>
        </w:rPr>
        <w:t>Working Together to Safeguard Children: A Guide to Inter-Agency Working to Safeguard and Promote the Welfare of Children</w:t>
      </w:r>
      <w:r w:rsidRPr="00680511">
        <w:rPr>
          <w:rFonts w:ascii="Times New Roman" w:hAnsi="Times New Roman" w:cs="Times New Roman"/>
        </w:rPr>
        <w:t>. London: HM Government.</w:t>
      </w:r>
    </w:p>
    <w:p w14:paraId="7002F196"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Department for Education (2023) </w:t>
      </w:r>
      <w:r w:rsidRPr="00680511">
        <w:rPr>
          <w:rFonts w:ascii="Times New Roman" w:hAnsi="Times New Roman" w:cs="Times New Roman"/>
          <w:i/>
          <w:iCs/>
        </w:rPr>
        <w:t>Working Together to Safeguard Children</w:t>
      </w:r>
      <w:r w:rsidRPr="00680511">
        <w:rPr>
          <w:rFonts w:ascii="Times New Roman" w:hAnsi="Times New Roman" w:cs="Times New Roman"/>
        </w:rPr>
        <w:t>. London: HM Government.</w:t>
      </w:r>
    </w:p>
    <w:p w14:paraId="3BFAFF3A"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Felitti, V., Anda, R., Nordenberg, D., Williamson, D., Spitz, A., Edwards, V., Koss, M. and Marks, J. (1998) ‘Relationship of childhood abuse and household dysfunction to many of the leading causes of death in adults’, </w:t>
      </w:r>
      <w:r w:rsidRPr="00680511">
        <w:rPr>
          <w:rFonts w:ascii="Times New Roman" w:hAnsi="Times New Roman" w:cs="Times New Roman"/>
          <w:i/>
          <w:iCs/>
        </w:rPr>
        <w:t>American Journal of Preventive Medicine</w:t>
      </w:r>
      <w:r w:rsidRPr="00680511">
        <w:rPr>
          <w:rFonts w:ascii="Times New Roman" w:hAnsi="Times New Roman" w:cs="Times New Roman"/>
        </w:rPr>
        <w:t>, 14(4), pp. 245–258.</w:t>
      </w:r>
    </w:p>
    <w:p w14:paraId="271E381A"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HM Government (1989) </w:t>
      </w:r>
      <w:r w:rsidRPr="00680511">
        <w:rPr>
          <w:rFonts w:ascii="Times New Roman" w:hAnsi="Times New Roman" w:cs="Times New Roman"/>
          <w:i/>
          <w:iCs/>
        </w:rPr>
        <w:t>Children Act 1989</w:t>
      </w:r>
      <w:r w:rsidRPr="00680511">
        <w:rPr>
          <w:rFonts w:ascii="Times New Roman" w:hAnsi="Times New Roman" w:cs="Times New Roman"/>
        </w:rPr>
        <w:t>. London: The Stationery Office.</w:t>
      </w:r>
    </w:p>
    <w:p w14:paraId="4D5B03BA"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HM Government (2004) </w:t>
      </w:r>
      <w:r w:rsidRPr="00680511">
        <w:rPr>
          <w:rFonts w:ascii="Times New Roman" w:hAnsi="Times New Roman" w:cs="Times New Roman"/>
          <w:i/>
          <w:iCs/>
        </w:rPr>
        <w:t>Children Act 2004</w:t>
      </w:r>
      <w:r w:rsidRPr="00680511">
        <w:rPr>
          <w:rFonts w:ascii="Times New Roman" w:hAnsi="Times New Roman" w:cs="Times New Roman"/>
        </w:rPr>
        <w:t>. London: The Stationery Office.</w:t>
      </w:r>
    </w:p>
    <w:p w14:paraId="37AADEF2"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Hooper, L. (2011) </w:t>
      </w:r>
      <w:r w:rsidRPr="00680511">
        <w:rPr>
          <w:rFonts w:ascii="Times New Roman" w:hAnsi="Times New Roman" w:cs="Times New Roman"/>
          <w:i/>
          <w:iCs/>
        </w:rPr>
        <w:t>Understanding Parentification: When Parents Fail to Grow Up</w:t>
      </w:r>
      <w:r w:rsidRPr="00680511">
        <w:rPr>
          <w:rFonts w:ascii="Times New Roman" w:hAnsi="Times New Roman" w:cs="Times New Roman"/>
        </w:rPr>
        <w:t>. Farnham: Ashgate Publishing.</w:t>
      </w:r>
    </w:p>
    <w:p w14:paraId="3137C4BA"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Hughes, K., Bellis, M., Hardcastle, K., Sethi, D., Butchart, A., </w:t>
      </w:r>
      <w:proofErr w:type="spellStart"/>
      <w:r w:rsidRPr="00680511">
        <w:rPr>
          <w:rFonts w:ascii="Times New Roman" w:hAnsi="Times New Roman" w:cs="Times New Roman"/>
        </w:rPr>
        <w:t>Mikton</w:t>
      </w:r>
      <w:proofErr w:type="spellEnd"/>
      <w:r w:rsidRPr="00680511">
        <w:rPr>
          <w:rFonts w:ascii="Times New Roman" w:hAnsi="Times New Roman" w:cs="Times New Roman"/>
        </w:rPr>
        <w:t xml:space="preserve">, C., Jones, L. and Dunne, M. (2017) ‘The effect of multiple adverse childhood experiences on health: a systematic review and meta-analysis’, </w:t>
      </w:r>
      <w:r w:rsidRPr="00680511">
        <w:rPr>
          <w:rFonts w:ascii="Times New Roman" w:hAnsi="Times New Roman" w:cs="Times New Roman"/>
          <w:i/>
          <w:iCs/>
        </w:rPr>
        <w:t>The Lancet Public Health</w:t>
      </w:r>
      <w:r w:rsidRPr="00680511">
        <w:rPr>
          <w:rFonts w:ascii="Times New Roman" w:hAnsi="Times New Roman" w:cs="Times New Roman"/>
        </w:rPr>
        <w:t>, 2(8), pp. e356–e366.</w:t>
      </w:r>
    </w:p>
    <w:p w14:paraId="4382F31B"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Munro, E. (2011) </w:t>
      </w:r>
      <w:r w:rsidRPr="00680511">
        <w:rPr>
          <w:rFonts w:ascii="Times New Roman" w:hAnsi="Times New Roman" w:cs="Times New Roman"/>
          <w:i/>
          <w:iCs/>
        </w:rPr>
        <w:t>The Munro Review of Child Protection: Final Report – A Child-Centred System</w:t>
      </w:r>
      <w:r w:rsidRPr="00680511">
        <w:rPr>
          <w:rFonts w:ascii="Times New Roman" w:hAnsi="Times New Roman" w:cs="Times New Roman"/>
        </w:rPr>
        <w:t>. London: Department for Education.</w:t>
      </w:r>
    </w:p>
    <w:p w14:paraId="11B51CFE"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Social Care Institute for Excellence (2017) </w:t>
      </w:r>
      <w:r w:rsidRPr="00680511">
        <w:rPr>
          <w:rFonts w:ascii="Times New Roman" w:hAnsi="Times New Roman" w:cs="Times New Roman"/>
          <w:i/>
          <w:iCs/>
        </w:rPr>
        <w:t>Think Child, Think Parent, Think Family: A Guide to Parental Mental Health and Child Welfare</w:t>
      </w:r>
      <w:r w:rsidRPr="00680511">
        <w:rPr>
          <w:rFonts w:ascii="Times New Roman" w:hAnsi="Times New Roman" w:cs="Times New Roman"/>
        </w:rPr>
        <w:t>. London: SCIE.</w:t>
      </w:r>
    </w:p>
    <w:p w14:paraId="6C25E901" w14:textId="77777777" w:rsidR="00680511" w:rsidRPr="00680511" w:rsidRDefault="00680511" w:rsidP="00680511">
      <w:pPr>
        <w:spacing w:line="360" w:lineRule="auto"/>
        <w:jc w:val="both"/>
        <w:rPr>
          <w:rFonts w:ascii="Times New Roman" w:hAnsi="Times New Roman" w:cs="Times New Roman"/>
        </w:rPr>
      </w:pPr>
      <w:r w:rsidRPr="00680511">
        <w:rPr>
          <w:rFonts w:ascii="Times New Roman" w:hAnsi="Times New Roman" w:cs="Times New Roman"/>
        </w:rPr>
        <w:t xml:space="preserve">UNICEF Office of Research (2020) </w:t>
      </w:r>
      <w:r w:rsidRPr="00680511">
        <w:rPr>
          <w:rFonts w:ascii="Times New Roman" w:hAnsi="Times New Roman" w:cs="Times New Roman"/>
          <w:i/>
          <w:iCs/>
        </w:rPr>
        <w:t>Worlds of Influence: Understanding What Shapes Child Well-Being in Rich Countries</w:t>
      </w:r>
      <w:r w:rsidRPr="00680511">
        <w:rPr>
          <w:rFonts w:ascii="Times New Roman" w:hAnsi="Times New Roman" w:cs="Times New Roman"/>
        </w:rPr>
        <w:t>. Florence: UNICEF.</w:t>
      </w:r>
    </w:p>
    <w:p w14:paraId="3E17D80E" w14:textId="77777777" w:rsidR="00680511" w:rsidRPr="00DB5C3E" w:rsidRDefault="00680511" w:rsidP="00DB5C3E">
      <w:pPr>
        <w:spacing w:line="360" w:lineRule="auto"/>
        <w:jc w:val="both"/>
        <w:rPr>
          <w:rFonts w:ascii="Times New Roman" w:hAnsi="Times New Roman" w:cs="Times New Roman"/>
        </w:rPr>
      </w:pPr>
    </w:p>
    <w:sectPr w:rsidR="00680511" w:rsidRPr="00DB5C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0A03A" w14:textId="77777777" w:rsidR="00BD0C51" w:rsidRDefault="00BD0C51" w:rsidP="00DB5C3E">
      <w:pPr>
        <w:spacing w:after="0" w:line="240" w:lineRule="auto"/>
      </w:pPr>
      <w:r>
        <w:separator/>
      </w:r>
    </w:p>
  </w:endnote>
  <w:endnote w:type="continuationSeparator" w:id="0">
    <w:p w14:paraId="5126BA53" w14:textId="77777777" w:rsidR="00BD0C51" w:rsidRDefault="00BD0C51" w:rsidP="00DB5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F0319" w14:textId="77777777" w:rsidR="00BD0C51" w:rsidRDefault="00BD0C51" w:rsidP="00DB5C3E">
      <w:pPr>
        <w:spacing w:after="0" w:line="240" w:lineRule="auto"/>
      </w:pPr>
      <w:r>
        <w:separator/>
      </w:r>
    </w:p>
  </w:footnote>
  <w:footnote w:type="continuationSeparator" w:id="0">
    <w:p w14:paraId="44E65DD3" w14:textId="77777777" w:rsidR="00BD0C51" w:rsidRDefault="00BD0C51" w:rsidP="00DB5C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50836"/>
    <w:multiLevelType w:val="multilevel"/>
    <w:tmpl w:val="457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2F78E1"/>
    <w:multiLevelType w:val="multilevel"/>
    <w:tmpl w:val="3AE4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197754">
    <w:abstractNumId w:val="1"/>
  </w:num>
  <w:num w:numId="2" w16cid:durableId="148525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C3E"/>
    <w:rsid w:val="000639B1"/>
    <w:rsid w:val="000C3447"/>
    <w:rsid w:val="00194A1E"/>
    <w:rsid w:val="0020227F"/>
    <w:rsid w:val="00680511"/>
    <w:rsid w:val="0095093A"/>
    <w:rsid w:val="00AE7549"/>
    <w:rsid w:val="00BD0C51"/>
    <w:rsid w:val="00DB5C3E"/>
    <w:rsid w:val="00F410B7"/>
    <w:rsid w:val="00F96D5B"/>
    <w:rsid w:val="00FB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AE73"/>
  <w15:chartTrackingRefBased/>
  <w15:docId w15:val="{7FE300BF-1D8E-4373-85DF-97E379FE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C3E"/>
    <w:rPr>
      <w:rFonts w:eastAsiaTheme="majorEastAsia" w:cstheme="majorBidi"/>
      <w:color w:val="272727" w:themeColor="text1" w:themeTint="D8"/>
    </w:rPr>
  </w:style>
  <w:style w:type="paragraph" w:styleId="Title">
    <w:name w:val="Title"/>
    <w:basedOn w:val="Normal"/>
    <w:next w:val="Normal"/>
    <w:link w:val="TitleChar"/>
    <w:uiPriority w:val="10"/>
    <w:qFormat/>
    <w:rsid w:val="00DB5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C3E"/>
    <w:pPr>
      <w:spacing w:before="160"/>
      <w:jc w:val="center"/>
    </w:pPr>
    <w:rPr>
      <w:i/>
      <w:iCs/>
      <w:color w:val="404040" w:themeColor="text1" w:themeTint="BF"/>
    </w:rPr>
  </w:style>
  <w:style w:type="character" w:customStyle="1" w:styleId="QuoteChar">
    <w:name w:val="Quote Char"/>
    <w:basedOn w:val="DefaultParagraphFont"/>
    <w:link w:val="Quote"/>
    <w:uiPriority w:val="29"/>
    <w:rsid w:val="00DB5C3E"/>
    <w:rPr>
      <w:i/>
      <w:iCs/>
      <w:color w:val="404040" w:themeColor="text1" w:themeTint="BF"/>
    </w:rPr>
  </w:style>
  <w:style w:type="paragraph" w:styleId="ListParagraph">
    <w:name w:val="List Paragraph"/>
    <w:basedOn w:val="Normal"/>
    <w:uiPriority w:val="34"/>
    <w:qFormat/>
    <w:rsid w:val="00DB5C3E"/>
    <w:pPr>
      <w:ind w:left="720"/>
      <w:contextualSpacing/>
    </w:pPr>
  </w:style>
  <w:style w:type="character" w:styleId="IntenseEmphasis">
    <w:name w:val="Intense Emphasis"/>
    <w:basedOn w:val="DefaultParagraphFont"/>
    <w:uiPriority w:val="21"/>
    <w:qFormat/>
    <w:rsid w:val="00DB5C3E"/>
    <w:rPr>
      <w:i/>
      <w:iCs/>
      <w:color w:val="0F4761" w:themeColor="accent1" w:themeShade="BF"/>
    </w:rPr>
  </w:style>
  <w:style w:type="paragraph" w:styleId="IntenseQuote">
    <w:name w:val="Intense Quote"/>
    <w:basedOn w:val="Normal"/>
    <w:next w:val="Normal"/>
    <w:link w:val="IntenseQuoteChar"/>
    <w:uiPriority w:val="30"/>
    <w:qFormat/>
    <w:rsid w:val="00DB5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C3E"/>
    <w:rPr>
      <w:i/>
      <w:iCs/>
      <w:color w:val="0F4761" w:themeColor="accent1" w:themeShade="BF"/>
    </w:rPr>
  </w:style>
  <w:style w:type="character" w:styleId="IntenseReference">
    <w:name w:val="Intense Reference"/>
    <w:basedOn w:val="DefaultParagraphFont"/>
    <w:uiPriority w:val="32"/>
    <w:qFormat/>
    <w:rsid w:val="00DB5C3E"/>
    <w:rPr>
      <w:b/>
      <w:bCs/>
      <w:smallCaps/>
      <w:color w:val="0F4761" w:themeColor="accent1" w:themeShade="BF"/>
      <w:spacing w:val="5"/>
    </w:rPr>
  </w:style>
  <w:style w:type="paragraph" w:styleId="Header">
    <w:name w:val="header"/>
    <w:basedOn w:val="Normal"/>
    <w:link w:val="HeaderChar"/>
    <w:uiPriority w:val="99"/>
    <w:unhideWhenUsed/>
    <w:rsid w:val="00DB5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C3E"/>
  </w:style>
  <w:style w:type="paragraph" w:styleId="Footer">
    <w:name w:val="footer"/>
    <w:basedOn w:val="Normal"/>
    <w:link w:val="FooterChar"/>
    <w:uiPriority w:val="99"/>
    <w:unhideWhenUsed/>
    <w:rsid w:val="00DB5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1414</Words>
  <Characters>8066</Characters>
  <Application>Microsoft Office Word</Application>
  <DocSecurity>0</DocSecurity>
  <Lines>67</Lines>
  <Paragraphs>18</Paragraphs>
  <ScaleCrop>false</ScaleCrop>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Believe Okwokwo</dc:creator>
  <cp:keywords/>
  <dc:description/>
  <cp:lastModifiedBy>Believe Okwokwo</cp:lastModifiedBy>
  <cp:revision>2</cp:revision>
  <dcterms:created xsi:type="dcterms:W3CDTF">2026-03-13T18:52:00Z</dcterms:created>
  <dcterms:modified xsi:type="dcterms:W3CDTF">2026-03-13T21:08:00Z</dcterms:modified>
</cp:coreProperties>
</file>